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A81" w:rsidRDefault="003E180D" w:rsidP="003E180D">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B383791A-2FD0-4BE5-B922-753F9F438033" style="width:450.45pt;height:406.65pt">
            <v:imagedata r:id="rId12" o:title=""/>
          </v:shape>
        </w:pict>
      </w:r>
    </w:p>
    <w:bookmarkEnd w:id="0"/>
    <w:p w:rsidR="00C14A81" w:rsidRDefault="00C14A81">
      <w:pPr>
        <w:pStyle w:val="Pagedecouverture"/>
        <w:rPr>
          <w:noProof/>
        </w:rPr>
        <w:sectPr w:rsidR="00C14A81" w:rsidSect="003E180D">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26"/>
        </w:sectPr>
      </w:pPr>
    </w:p>
    <w:p w:rsidR="00A55D73" w:rsidRDefault="003E180D">
      <w:pPr>
        <w:pStyle w:val="TOC1"/>
        <w:rPr>
          <w:rFonts w:asciiTheme="minorHAnsi" w:eastAsiaTheme="minorEastAsia" w:hAnsiTheme="minorHAnsi" w:cstheme="minorBidi"/>
          <w:caps w:val="0"/>
          <w:noProof/>
          <w:sz w:val="22"/>
          <w:szCs w:val="22"/>
          <w:lang w:eastAsia="en-GB"/>
        </w:rPr>
      </w:pPr>
      <w:r>
        <w:rPr>
          <w:noProof/>
        </w:rPr>
        <w:lastRenderedPageBreak/>
        <w:fldChar w:fldCharType="begin"/>
      </w:r>
      <w:r>
        <w:rPr>
          <w:noProof/>
        </w:rPr>
        <w:instrText xml:space="preserve"> TOC \o "1-3" \h \z \u </w:instrText>
      </w:r>
      <w:r>
        <w:rPr>
          <w:noProof/>
        </w:rPr>
        <w:fldChar w:fldCharType="separate"/>
      </w:r>
      <w:hyperlink w:anchor="_Toc514328785" w:history="1">
        <w:r w:rsidR="00A55D73" w:rsidRPr="00FE0A5F">
          <w:rPr>
            <w:rStyle w:val="Hyperlink"/>
            <w:noProof/>
          </w:rPr>
          <w:t>1</w:t>
        </w:r>
        <w:r w:rsidR="00A55D73">
          <w:rPr>
            <w:rFonts w:asciiTheme="minorHAnsi" w:eastAsiaTheme="minorEastAsia" w:hAnsiTheme="minorHAnsi" w:cstheme="minorBidi"/>
            <w:caps w:val="0"/>
            <w:noProof/>
            <w:sz w:val="22"/>
            <w:szCs w:val="22"/>
            <w:lang w:eastAsia="en-GB"/>
          </w:rPr>
          <w:tab/>
        </w:r>
        <w:r w:rsidR="00A55D73" w:rsidRPr="00FE0A5F">
          <w:rPr>
            <w:rStyle w:val="Hyperlink"/>
            <w:noProof/>
          </w:rPr>
          <w:t>Annex 1: Procedural information concerning the process to prepare the impact assessment report and the related initiative</w:t>
        </w:r>
        <w:r w:rsidR="00A55D73">
          <w:rPr>
            <w:noProof/>
            <w:webHidden/>
          </w:rPr>
          <w:tab/>
        </w:r>
        <w:r w:rsidR="00A55D73">
          <w:rPr>
            <w:noProof/>
            <w:webHidden/>
          </w:rPr>
          <w:fldChar w:fldCharType="begin"/>
        </w:r>
        <w:r w:rsidR="00A55D73">
          <w:rPr>
            <w:noProof/>
            <w:webHidden/>
          </w:rPr>
          <w:instrText xml:space="preserve"> PAGEREF _Toc514328785 \h </w:instrText>
        </w:r>
        <w:r w:rsidR="00A55D73">
          <w:rPr>
            <w:noProof/>
            <w:webHidden/>
          </w:rPr>
        </w:r>
        <w:r w:rsidR="00A55D73">
          <w:rPr>
            <w:noProof/>
            <w:webHidden/>
          </w:rPr>
          <w:fldChar w:fldCharType="separate"/>
        </w:r>
        <w:r w:rsidR="00A55D73">
          <w:rPr>
            <w:noProof/>
            <w:webHidden/>
          </w:rPr>
          <w:t>3</w:t>
        </w:r>
        <w:r w:rsidR="00A55D73">
          <w:rPr>
            <w:noProof/>
            <w:webHidden/>
          </w:rPr>
          <w:fldChar w:fldCharType="end"/>
        </w:r>
      </w:hyperlink>
    </w:p>
    <w:p w:rsidR="00A55D73" w:rsidRDefault="00A55D73">
      <w:pPr>
        <w:pStyle w:val="TOC2"/>
        <w:tabs>
          <w:tab w:val="left" w:pos="1077"/>
        </w:tabs>
        <w:rPr>
          <w:rFonts w:asciiTheme="minorHAnsi" w:eastAsiaTheme="minorEastAsia" w:hAnsiTheme="minorHAnsi" w:cstheme="minorBidi"/>
          <w:noProof/>
          <w:sz w:val="22"/>
          <w:szCs w:val="22"/>
          <w:lang w:eastAsia="en-GB"/>
        </w:rPr>
      </w:pPr>
      <w:hyperlink w:anchor="_Toc514328786" w:history="1">
        <w:r w:rsidRPr="00FE0A5F">
          <w:rPr>
            <w:rStyle w:val="Hyperlink"/>
            <w:noProof/>
          </w:rPr>
          <w:t>1.1</w:t>
        </w:r>
        <w:r>
          <w:rPr>
            <w:rFonts w:asciiTheme="minorHAnsi" w:eastAsiaTheme="minorEastAsia" w:hAnsiTheme="minorHAnsi" w:cstheme="minorBidi"/>
            <w:noProof/>
            <w:sz w:val="22"/>
            <w:szCs w:val="22"/>
            <w:lang w:eastAsia="en-GB"/>
          </w:rPr>
          <w:tab/>
        </w:r>
        <w:r w:rsidRPr="00FE0A5F">
          <w:rPr>
            <w:rStyle w:val="Hyperlink"/>
            <w:noProof/>
          </w:rPr>
          <w:t>Organisation and timing</w:t>
        </w:r>
        <w:r>
          <w:rPr>
            <w:noProof/>
            <w:webHidden/>
          </w:rPr>
          <w:tab/>
        </w:r>
        <w:r>
          <w:rPr>
            <w:noProof/>
            <w:webHidden/>
          </w:rPr>
          <w:fldChar w:fldCharType="begin"/>
        </w:r>
        <w:r>
          <w:rPr>
            <w:noProof/>
            <w:webHidden/>
          </w:rPr>
          <w:instrText xml:space="preserve"> PAGEREF _Toc514328786 \h </w:instrText>
        </w:r>
        <w:r>
          <w:rPr>
            <w:noProof/>
            <w:webHidden/>
          </w:rPr>
        </w:r>
        <w:r>
          <w:rPr>
            <w:noProof/>
            <w:webHidden/>
          </w:rPr>
          <w:fldChar w:fldCharType="separate"/>
        </w:r>
        <w:r>
          <w:rPr>
            <w:noProof/>
            <w:webHidden/>
          </w:rPr>
          <w:t>3</w:t>
        </w:r>
        <w:r>
          <w:rPr>
            <w:noProof/>
            <w:webHidden/>
          </w:rPr>
          <w:fldChar w:fldCharType="end"/>
        </w:r>
      </w:hyperlink>
    </w:p>
    <w:p w:rsidR="00A55D73" w:rsidRDefault="00A55D73">
      <w:pPr>
        <w:pStyle w:val="TOC2"/>
        <w:tabs>
          <w:tab w:val="left" w:pos="1077"/>
        </w:tabs>
        <w:rPr>
          <w:rFonts w:asciiTheme="minorHAnsi" w:eastAsiaTheme="minorEastAsia" w:hAnsiTheme="minorHAnsi" w:cstheme="minorBidi"/>
          <w:noProof/>
          <w:sz w:val="22"/>
          <w:szCs w:val="22"/>
          <w:lang w:eastAsia="en-GB"/>
        </w:rPr>
      </w:pPr>
      <w:hyperlink w:anchor="_Toc514328787" w:history="1">
        <w:r w:rsidRPr="00FE0A5F">
          <w:rPr>
            <w:rStyle w:val="Hyperlink"/>
            <w:noProof/>
          </w:rPr>
          <w:t>1.2</w:t>
        </w:r>
        <w:r>
          <w:rPr>
            <w:rFonts w:asciiTheme="minorHAnsi" w:eastAsiaTheme="minorEastAsia" w:hAnsiTheme="minorHAnsi" w:cstheme="minorBidi"/>
            <w:noProof/>
            <w:sz w:val="22"/>
            <w:szCs w:val="22"/>
            <w:lang w:eastAsia="en-GB"/>
          </w:rPr>
          <w:tab/>
        </w:r>
        <w:r w:rsidRPr="00FE0A5F">
          <w:rPr>
            <w:rStyle w:val="Hyperlink"/>
            <w:noProof/>
          </w:rPr>
          <w:t>Consultation of the Regulatory Scrutiny Board (RSB)</w:t>
        </w:r>
        <w:r>
          <w:rPr>
            <w:noProof/>
            <w:webHidden/>
          </w:rPr>
          <w:tab/>
        </w:r>
        <w:r>
          <w:rPr>
            <w:noProof/>
            <w:webHidden/>
          </w:rPr>
          <w:fldChar w:fldCharType="begin"/>
        </w:r>
        <w:r>
          <w:rPr>
            <w:noProof/>
            <w:webHidden/>
          </w:rPr>
          <w:instrText xml:space="preserve"> PAGEREF _Toc514328787 \h </w:instrText>
        </w:r>
        <w:r>
          <w:rPr>
            <w:noProof/>
            <w:webHidden/>
          </w:rPr>
        </w:r>
        <w:r>
          <w:rPr>
            <w:noProof/>
            <w:webHidden/>
          </w:rPr>
          <w:fldChar w:fldCharType="separate"/>
        </w:r>
        <w:r>
          <w:rPr>
            <w:noProof/>
            <w:webHidden/>
          </w:rPr>
          <w:t>3</w:t>
        </w:r>
        <w:r>
          <w:rPr>
            <w:noProof/>
            <w:webHidden/>
          </w:rPr>
          <w:fldChar w:fldCharType="end"/>
        </w:r>
      </w:hyperlink>
    </w:p>
    <w:p w:rsidR="00A55D73" w:rsidRDefault="00A55D73">
      <w:pPr>
        <w:pStyle w:val="TOC2"/>
        <w:tabs>
          <w:tab w:val="left" w:pos="1077"/>
        </w:tabs>
        <w:rPr>
          <w:rFonts w:asciiTheme="minorHAnsi" w:eastAsiaTheme="minorEastAsia" w:hAnsiTheme="minorHAnsi" w:cstheme="minorBidi"/>
          <w:noProof/>
          <w:sz w:val="22"/>
          <w:szCs w:val="22"/>
          <w:lang w:eastAsia="en-GB"/>
        </w:rPr>
      </w:pPr>
      <w:hyperlink w:anchor="_Toc514328788" w:history="1">
        <w:r w:rsidRPr="00FE0A5F">
          <w:rPr>
            <w:rStyle w:val="Hyperlink"/>
            <w:noProof/>
          </w:rPr>
          <w:t>1.3</w:t>
        </w:r>
        <w:r>
          <w:rPr>
            <w:rFonts w:asciiTheme="minorHAnsi" w:eastAsiaTheme="minorEastAsia" w:hAnsiTheme="minorHAnsi" w:cstheme="minorBidi"/>
            <w:noProof/>
            <w:sz w:val="22"/>
            <w:szCs w:val="22"/>
            <w:lang w:eastAsia="en-GB"/>
          </w:rPr>
          <w:tab/>
        </w:r>
        <w:r w:rsidRPr="00FE0A5F">
          <w:rPr>
            <w:rStyle w:val="Hyperlink"/>
            <w:noProof/>
          </w:rPr>
          <w:t>External expertise</w:t>
        </w:r>
        <w:r>
          <w:rPr>
            <w:noProof/>
            <w:webHidden/>
          </w:rPr>
          <w:tab/>
        </w:r>
        <w:r>
          <w:rPr>
            <w:noProof/>
            <w:webHidden/>
          </w:rPr>
          <w:fldChar w:fldCharType="begin"/>
        </w:r>
        <w:r>
          <w:rPr>
            <w:noProof/>
            <w:webHidden/>
          </w:rPr>
          <w:instrText xml:space="preserve"> PAGEREF _Toc514328788 \h </w:instrText>
        </w:r>
        <w:r>
          <w:rPr>
            <w:noProof/>
            <w:webHidden/>
          </w:rPr>
        </w:r>
        <w:r>
          <w:rPr>
            <w:noProof/>
            <w:webHidden/>
          </w:rPr>
          <w:fldChar w:fldCharType="separate"/>
        </w:r>
        <w:r>
          <w:rPr>
            <w:noProof/>
            <w:webHidden/>
          </w:rPr>
          <w:t>11</w:t>
        </w:r>
        <w:r>
          <w:rPr>
            <w:noProof/>
            <w:webHidden/>
          </w:rPr>
          <w:fldChar w:fldCharType="end"/>
        </w:r>
      </w:hyperlink>
    </w:p>
    <w:p w:rsidR="00A55D73" w:rsidRDefault="00A55D73">
      <w:pPr>
        <w:pStyle w:val="TOC1"/>
        <w:rPr>
          <w:rFonts w:asciiTheme="minorHAnsi" w:eastAsiaTheme="minorEastAsia" w:hAnsiTheme="minorHAnsi" w:cstheme="minorBidi"/>
          <w:caps w:val="0"/>
          <w:noProof/>
          <w:sz w:val="22"/>
          <w:szCs w:val="22"/>
          <w:lang w:eastAsia="en-GB"/>
        </w:rPr>
      </w:pPr>
      <w:hyperlink w:anchor="_Toc514328789" w:history="1">
        <w:r w:rsidRPr="00FE0A5F">
          <w:rPr>
            <w:rStyle w:val="Hyperlink"/>
            <w:noProof/>
          </w:rPr>
          <w:t>2</w:t>
        </w:r>
        <w:r>
          <w:rPr>
            <w:rFonts w:asciiTheme="minorHAnsi" w:eastAsiaTheme="minorEastAsia" w:hAnsiTheme="minorHAnsi" w:cstheme="minorBidi"/>
            <w:caps w:val="0"/>
            <w:noProof/>
            <w:sz w:val="22"/>
            <w:szCs w:val="22"/>
            <w:lang w:eastAsia="en-GB"/>
          </w:rPr>
          <w:tab/>
        </w:r>
        <w:r w:rsidRPr="00FE0A5F">
          <w:rPr>
            <w:rStyle w:val="Hyperlink"/>
            <w:noProof/>
          </w:rPr>
          <w:t>Annex 2: Stakeholder consultation</w:t>
        </w:r>
        <w:r>
          <w:rPr>
            <w:noProof/>
            <w:webHidden/>
          </w:rPr>
          <w:tab/>
        </w:r>
        <w:r>
          <w:rPr>
            <w:noProof/>
            <w:webHidden/>
          </w:rPr>
          <w:fldChar w:fldCharType="begin"/>
        </w:r>
        <w:r>
          <w:rPr>
            <w:noProof/>
            <w:webHidden/>
          </w:rPr>
          <w:instrText xml:space="preserve"> PAGEREF _Toc514328789 \h </w:instrText>
        </w:r>
        <w:r>
          <w:rPr>
            <w:noProof/>
            <w:webHidden/>
          </w:rPr>
        </w:r>
        <w:r>
          <w:rPr>
            <w:noProof/>
            <w:webHidden/>
          </w:rPr>
          <w:fldChar w:fldCharType="separate"/>
        </w:r>
        <w:r>
          <w:rPr>
            <w:noProof/>
            <w:webHidden/>
          </w:rPr>
          <w:t>12</w:t>
        </w:r>
        <w:r>
          <w:rPr>
            <w:noProof/>
            <w:webHidden/>
          </w:rPr>
          <w:fldChar w:fldCharType="end"/>
        </w:r>
      </w:hyperlink>
    </w:p>
    <w:p w:rsidR="00A55D73" w:rsidRDefault="00A55D73">
      <w:pPr>
        <w:pStyle w:val="TOC2"/>
        <w:tabs>
          <w:tab w:val="left" w:pos="1077"/>
        </w:tabs>
        <w:rPr>
          <w:rFonts w:asciiTheme="minorHAnsi" w:eastAsiaTheme="minorEastAsia" w:hAnsiTheme="minorHAnsi" w:cstheme="minorBidi"/>
          <w:noProof/>
          <w:sz w:val="22"/>
          <w:szCs w:val="22"/>
          <w:lang w:eastAsia="en-GB"/>
        </w:rPr>
      </w:pPr>
      <w:hyperlink w:anchor="_Toc514328790" w:history="1">
        <w:r w:rsidRPr="00FE0A5F">
          <w:rPr>
            <w:rStyle w:val="Hyperlink"/>
            <w:noProof/>
          </w:rPr>
          <w:t>2.1</w:t>
        </w:r>
        <w:r>
          <w:rPr>
            <w:rFonts w:asciiTheme="minorHAnsi" w:eastAsiaTheme="minorEastAsia" w:hAnsiTheme="minorHAnsi" w:cstheme="minorBidi"/>
            <w:noProof/>
            <w:sz w:val="22"/>
            <w:szCs w:val="22"/>
            <w:lang w:eastAsia="en-GB"/>
          </w:rPr>
          <w:tab/>
        </w:r>
        <w:r w:rsidRPr="00FE0A5F">
          <w:rPr>
            <w:rStyle w:val="Hyperlink"/>
            <w:noProof/>
          </w:rPr>
          <w:t>Introduction</w:t>
        </w:r>
        <w:r>
          <w:rPr>
            <w:noProof/>
            <w:webHidden/>
          </w:rPr>
          <w:tab/>
        </w:r>
        <w:r>
          <w:rPr>
            <w:noProof/>
            <w:webHidden/>
          </w:rPr>
          <w:fldChar w:fldCharType="begin"/>
        </w:r>
        <w:r>
          <w:rPr>
            <w:noProof/>
            <w:webHidden/>
          </w:rPr>
          <w:instrText xml:space="preserve"> PAGEREF _Toc514328790 \h </w:instrText>
        </w:r>
        <w:r>
          <w:rPr>
            <w:noProof/>
            <w:webHidden/>
          </w:rPr>
        </w:r>
        <w:r>
          <w:rPr>
            <w:noProof/>
            <w:webHidden/>
          </w:rPr>
          <w:fldChar w:fldCharType="separate"/>
        </w:r>
        <w:r>
          <w:rPr>
            <w:noProof/>
            <w:webHidden/>
          </w:rPr>
          <w:t>12</w:t>
        </w:r>
        <w:r>
          <w:rPr>
            <w:noProof/>
            <w:webHidden/>
          </w:rPr>
          <w:fldChar w:fldCharType="end"/>
        </w:r>
      </w:hyperlink>
    </w:p>
    <w:p w:rsidR="00A55D73" w:rsidRDefault="00A55D73">
      <w:pPr>
        <w:pStyle w:val="TOC2"/>
        <w:tabs>
          <w:tab w:val="left" w:pos="1077"/>
        </w:tabs>
        <w:rPr>
          <w:rFonts w:asciiTheme="minorHAnsi" w:eastAsiaTheme="minorEastAsia" w:hAnsiTheme="minorHAnsi" w:cstheme="minorBidi"/>
          <w:noProof/>
          <w:sz w:val="22"/>
          <w:szCs w:val="22"/>
          <w:lang w:eastAsia="en-GB"/>
        </w:rPr>
      </w:pPr>
      <w:hyperlink w:anchor="_Toc514328791" w:history="1">
        <w:r w:rsidRPr="00FE0A5F">
          <w:rPr>
            <w:rStyle w:val="Hyperlink"/>
            <w:noProof/>
          </w:rPr>
          <w:t>2.2</w:t>
        </w:r>
        <w:r>
          <w:rPr>
            <w:rFonts w:asciiTheme="minorHAnsi" w:eastAsiaTheme="minorEastAsia" w:hAnsiTheme="minorHAnsi" w:cstheme="minorBidi"/>
            <w:noProof/>
            <w:sz w:val="22"/>
            <w:szCs w:val="22"/>
            <w:lang w:eastAsia="en-GB"/>
          </w:rPr>
          <w:tab/>
        </w:r>
        <w:r w:rsidRPr="00FE0A5F">
          <w:rPr>
            <w:rStyle w:val="Hyperlink"/>
            <w:noProof/>
          </w:rPr>
          <w:t>Public consultation</w:t>
        </w:r>
        <w:r>
          <w:rPr>
            <w:noProof/>
            <w:webHidden/>
          </w:rPr>
          <w:tab/>
        </w:r>
        <w:r>
          <w:rPr>
            <w:noProof/>
            <w:webHidden/>
          </w:rPr>
          <w:fldChar w:fldCharType="begin"/>
        </w:r>
        <w:r>
          <w:rPr>
            <w:noProof/>
            <w:webHidden/>
          </w:rPr>
          <w:instrText xml:space="preserve"> PAGEREF _Toc514328791 \h </w:instrText>
        </w:r>
        <w:r>
          <w:rPr>
            <w:noProof/>
            <w:webHidden/>
          </w:rPr>
        </w:r>
        <w:r>
          <w:rPr>
            <w:noProof/>
            <w:webHidden/>
          </w:rPr>
          <w:fldChar w:fldCharType="separate"/>
        </w:r>
        <w:r>
          <w:rPr>
            <w:noProof/>
            <w:webHidden/>
          </w:rPr>
          <w:t>13</w:t>
        </w:r>
        <w:r>
          <w:rPr>
            <w:noProof/>
            <w:webHidden/>
          </w:rPr>
          <w:fldChar w:fldCharType="end"/>
        </w:r>
      </w:hyperlink>
    </w:p>
    <w:p w:rsidR="00A55D73" w:rsidRDefault="00A55D73">
      <w:pPr>
        <w:pStyle w:val="TOC3"/>
        <w:rPr>
          <w:rFonts w:asciiTheme="minorHAnsi" w:eastAsiaTheme="minorEastAsia" w:hAnsiTheme="minorHAnsi" w:cstheme="minorBidi"/>
          <w:sz w:val="22"/>
          <w:lang w:val="en-GB" w:eastAsia="en-GB"/>
        </w:rPr>
      </w:pPr>
      <w:hyperlink w:anchor="_Toc514328792" w:history="1">
        <w:r w:rsidRPr="00FE0A5F">
          <w:rPr>
            <w:rStyle w:val="Hyperlink"/>
          </w:rPr>
          <w:t>2.2.1</w:t>
        </w:r>
        <w:r>
          <w:rPr>
            <w:rFonts w:asciiTheme="minorHAnsi" w:eastAsiaTheme="minorEastAsia" w:hAnsiTheme="minorHAnsi" w:cstheme="minorBidi"/>
            <w:sz w:val="22"/>
            <w:lang w:val="en-GB" w:eastAsia="en-GB"/>
          </w:rPr>
          <w:tab/>
        </w:r>
        <w:r w:rsidRPr="00FE0A5F">
          <w:rPr>
            <w:rStyle w:val="Hyperlink"/>
          </w:rPr>
          <w:t>Process and quantitative results</w:t>
        </w:r>
        <w:r>
          <w:rPr>
            <w:webHidden/>
          </w:rPr>
          <w:tab/>
        </w:r>
        <w:r>
          <w:rPr>
            <w:webHidden/>
          </w:rPr>
          <w:fldChar w:fldCharType="begin"/>
        </w:r>
        <w:r>
          <w:rPr>
            <w:webHidden/>
          </w:rPr>
          <w:instrText xml:space="preserve"> PAGEREF _Toc514328792 \h </w:instrText>
        </w:r>
        <w:r>
          <w:rPr>
            <w:webHidden/>
          </w:rPr>
        </w:r>
        <w:r>
          <w:rPr>
            <w:webHidden/>
          </w:rPr>
          <w:fldChar w:fldCharType="separate"/>
        </w:r>
        <w:r>
          <w:rPr>
            <w:webHidden/>
          </w:rPr>
          <w:t>13</w:t>
        </w:r>
        <w:r>
          <w:rPr>
            <w:webHidden/>
          </w:rPr>
          <w:fldChar w:fldCharType="end"/>
        </w:r>
      </w:hyperlink>
    </w:p>
    <w:p w:rsidR="00A55D73" w:rsidRDefault="00A55D73">
      <w:pPr>
        <w:pStyle w:val="TOC3"/>
        <w:rPr>
          <w:rFonts w:asciiTheme="minorHAnsi" w:eastAsiaTheme="minorEastAsia" w:hAnsiTheme="minorHAnsi" w:cstheme="minorBidi"/>
          <w:sz w:val="22"/>
          <w:lang w:val="en-GB" w:eastAsia="en-GB"/>
        </w:rPr>
      </w:pPr>
      <w:hyperlink w:anchor="_Toc514328793" w:history="1">
        <w:r w:rsidRPr="00FE0A5F">
          <w:rPr>
            <w:rStyle w:val="Hyperlink"/>
          </w:rPr>
          <w:t>2.2.2</w:t>
        </w:r>
        <w:r>
          <w:rPr>
            <w:rFonts w:asciiTheme="minorHAnsi" w:eastAsiaTheme="minorEastAsia" w:hAnsiTheme="minorHAnsi" w:cstheme="minorBidi"/>
            <w:sz w:val="22"/>
            <w:lang w:val="en-GB" w:eastAsia="en-GB"/>
          </w:rPr>
          <w:tab/>
        </w:r>
        <w:r w:rsidRPr="00FE0A5F">
          <w:rPr>
            <w:rStyle w:val="Hyperlink"/>
          </w:rPr>
          <w:t>Replies to key issues</w:t>
        </w:r>
        <w:r>
          <w:rPr>
            <w:webHidden/>
          </w:rPr>
          <w:tab/>
        </w:r>
        <w:r>
          <w:rPr>
            <w:webHidden/>
          </w:rPr>
          <w:fldChar w:fldCharType="begin"/>
        </w:r>
        <w:r>
          <w:rPr>
            <w:webHidden/>
          </w:rPr>
          <w:instrText xml:space="preserve"> PAGEREF _Toc514328793 \h </w:instrText>
        </w:r>
        <w:r>
          <w:rPr>
            <w:webHidden/>
          </w:rPr>
        </w:r>
        <w:r>
          <w:rPr>
            <w:webHidden/>
          </w:rPr>
          <w:fldChar w:fldCharType="separate"/>
        </w:r>
        <w:r>
          <w:rPr>
            <w:webHidden/>
          </w:rPr>
          <w:t>14</w:t>
        </w:r>
        <w:r>
          <w:rPr>
            <w:webHidden/>
          </w:rPr>
          <w:fldChar w:fldCharType="end"/>
        </w:r>
      </w:hyperlink>
      <w:bookmarkStart w:id="1" w:name="_GoBack"/>
      <w:bookmarkEnd w:id="1"/>
    </w:p>
    <w:p w:rsidR="00A55D73" w:rsidRDefault="00A55D73">
      <w:pPr>
        <w:pStyle w:val="TOC2"/>
        <w:tabs>
          <w:tab w:val="left" w:pos="1077"/>
        </w:tabs>
        <w:rPr>
          <w:rFonts w:asciiTheme="minorHAnsi" w:eastAsiaTheme="minorEastAsia" w:hAnsiTheme="minorHAnsi" w:cstheme="minorBidi"/>
          <w:noProof/>
          <w:sz w:val="22"/>
          <w:szCs w:val="22"/>
          <w:lang w:eastAsia="en-GB"/>
        </w:rPr>
      </w:pPr>
      <w:hyperlink w:anchor="_Toc514328794" w:history="1">
        <w:r w:rsidRPr="00FE0A5F">
          <w:rPr>
            <w:rStyle w:val="Hyperlink"/>
            <w:noProof/>
          </w:rPr>
          <w:t>2.3</w:t>
        </w:r>
        <w:r>
          <w:rPr>
            <w:rFonts w:asciiTheme="minorHAnsi" w:eastAsiaTheme="minorEastAsia" w:hAnsiTheme="minorHAnsi" w:cstheme="minorBidi"/>
            <w:noProof/>
            <w:sz w:val="22"/>
            <w:szCs w:val="22"/>
            <w:lang w:eastAsia="en-GB"/>
          </w:rPr>
          <w:tab/>
        </w:r>
        <w:r w:rsidRPr="00FE0A5F">
          <w:rPr>
            <w:rStyle w:val="Hyperlink"/>
            <w:noProof/>
          </w:rPr>
          <w:t>Use of the stakeholder input for the impact assessment</w:t>
        </w:r>
        <w:r>
          <w:rPr>
            <w:noProof/>
            <w:webHidden/>
          </w:rPr>
          <w:tab/>
        </w:r>
        <w:r>
          <w:rPr>
            <w:noProof/>
            <w:webHidden/>
          </w:rPr>
          <w:fldChar w:fldCharType="begin"/>
        </w:r>
        <w:r>
          <w:rPr>
            <w:noProof/>
            <w:webHidden/>
          </w:rPr>
          <w:instrText xml:space="preserve"> PAGEREF _Toc514328794 \h </w:instrText>
        </w:r>
        <w:r>
          <w:rPr>
            <w:noProof/>
            <w:webHidden/>
          </w:rPr>
        </w:r>
        <w:r>
          <w:rPr>
            <w:noProof/>
            <w:webHidden/>
          </w:rPr>
          <w:fldChar w:fldCharType="separate"/>
        </w:r>
        <w:r>
          <w:rPr>
            <w:noProof/>
            <w:webHidden/>
          </w:rPr>
          <w:t>18</w:t>
        </w:r>
        <w:r>
          <w:rPr>
            <w:noProof/>
            <w:webHidden/>
          </w:rPr>
          <w:fldChar w:fldCharType="end"/>
        </w:r>
      </w:hyperlink>
    </w:p>
    <w:p w:rsidR="00A55D73" w:rsidRDefault="00A55D73">
      <w:pPr>
        <w:pStyle w:val="TOC1"/>
        <w:rPr>
          <w:rFonts w:asciiTheme="minorHAnsi" w:eastAsiaTheme="minorEastAsia" w:hAnsiTheme="minorHAnsi" w:cstheme="minorBidi"/>
          <w:caps w:val="0"/>
          <w:noProof/>
          <w:sz w:val="22"/>
          <w:szCs w:val="22"/>
          <w:lang w:eastAsia="en-GB"/>
        </w:rPr>
      </w:pPr>
      <w:hyperlink w:anchor="_Toc514328795" w:history="1">
        <w:r w:rsidRPr="00FE0A5F">
          <w:rPr>
            <w:rStyle w:val="Hyperlink"/>
            <w:noProof/>
          </w:rPr>
          <w:t>3</w:t>
        </w:r>
        <w:r>
          <w:rPr>
            <w:rFonts w:asciiTheme="minorHAnsi" w:eastAsiaTheme="minorEastAsia" w:hAnsiTheme="minorHAnsi" w:cstheme="minorBidi"/>
            <w:caps w:val="0"/>
            <w:noProof/>
            <w:sz w:val="22"/>
            <w:szCs w:val="22"/>
            <w:lang w:eastAsia="en-GB"/>
          </w:rPr>
          <w:tab/>
        </w:r>
        <w:r w:rsidRPr="00FE0A5F">
          <w:rPr>
            <w:rStyle w:val="Hyperlink"/>
            <w:noProof/>
          </w:rPr>
          <w:t xml:space="preserve">Annex 3: </w:t>
        </w:r>
        <w:r w:rsidRPr="00FE0A5F">
          <w:rPr>
            <w:rStyle w:val="Hyperlink"/>
            <w:bCs/>
            <w:noProof/>
          </w:rPr>
          <w:t>Who</w:t>
        </w:r>
        <w:r w:rsidRPr="00FE0A5F">
          <w:rPr>
            <w:rStyle w:val="Hyperlink"/>
            <w:noProof/>
          </w:rPr>
          <w:t xml:space="preserve"> is affected by the initiative and how</w:t>
        </w:r>
        <w:r>
          <w:rPr>
            <w:noProof/>
            <w:webHidden/>
          </w:rPr>
          <w:tab/>
        </w:r>
        <w:r>
          <w:rPr>
            <w:noProof/>
            <w:webHidden/>
          </w:rPr>
          <w:fldChar w:fldCharType="begin"/>
        </w:r>
        <w:r>
          <w:rPr>
            <w:noProof/>
            <w:webHidden/>
          </w:rPr>
          <w:instrText xml:space="preserve"> PAGEREF _Toc514328795 \h </w:instrText>
        </w:r>
        <w:r>
          <w:rPr>
            <w:noProof/>
            <w:webHidden/>
          </w:rPr>
        </w:r>
        <w:r>
          <w:rPr>
            <w:noProof/>
            <w:webHidden/>
          </w:rPr>
          <w:fldChar w:fldCharType="separate"/>
        </w:r>
        <w:r>
          <w:rPr>
            <w:noProof/>
            <w:webHidden/>
          </w:rPr>
          <w:t>19</w:t>
        </w:r>
        <w:r>
          <w:rPr>
            <w:noProof/>
            <w:webHidden/>
          </w:rPr>
          <w:fldChar w:fldCharType="end"/>
        </w:r>
      </w:hyperlink>
    </w:p>
    <w:p w:rsidR="00A55D73" w:rsidRDefault="00A55D73">
      <w:pPr>
        <w:pStyle w:val="TOC2"/>
        <w:tabs>
          <w:tab w:val="left" w:pos="1077"/>
        </w:tabs>
        <w:rPr>
          <w:rFonts w:asciiTheme="minorHAnsi" w:eastAsiaTheme="minorEastAsia" w:hAnsiTheme="minorHAnsi" w:cstheme="minorBidi"/>
          <w:noProof/>
          <w:sz w:val="22"/>
          <w:szCs w:val="22"/>
          <w:lang w:eastAsia="en-GB"/>
        </w:rPr>
      </w:pPr>
      <w:hyperlink w:anchor="_Toc514328796" w:history="1">
        <w:r w:rsidRPr="00FE0A5F">
          <w:rPr>
            <w:rStyle w:val="Hyperlink"/>
            <w:noProof/>
          </w:rPr>
          <w:t>3.1</w:t>
        </w:r>
        <w:r>
          <w:rPr>
            <w:rFonts w:asciiTheme="minorHAnsi" w:eastAsiaTheme="minorEastAsia" w:hAnsiTheme="minorHAnsi" w:cstheme="minorBidi"/>
            <w:noProof/>
            <w:sz w:val="22"/>
            <w:szCs w:val="22"/>
            <w:lang w:eastAsia="en-GB"/>
          </w:rPr>
          <w:tab/>
        </w:r>
        <w:r w:rsidRPr="00FE0A5F">
          <w:rPr>
            <w:rStyle w:val="Hyperlink"/>
            <w:noProof/>
          </w:rPr>
          <w:t>Practical implications of the initiative</w:t>
        </w:r>
        <w:r>
          <w:rPr>
            <w:noProof/>
            <w:webHidden/>
          </w:rPr>
          <w:tab/>
        </w:r>
        <w:r>
          <w:rPr>
            <w:noProof/>
            <w:webHidden/>
          </w:rPr>
          <w:fldChar w:fldCharType="begin"/>
        </w:r>
        <w:r>
          <w:rPr>
            <w:noProof/>
            <w:webHidden/>
          </w:rPr>
          <w:instrText xml:space="preserve"> PAGEREF _Toc514328796 \h </w:instrText>
        </w:r>
        <w:r>
          <w:rPr>
            <w:noProof/>
            <w:webHidden/>
          </w:rPr>
        </w:r>
        <w:r>
          <w:rPr>
            <w:noProof/>
            <w:webHidden/>
          </w:rPr>
          <w:fldChar w:fldCharType="separate"/>
        </w:r>
        <w:r>
          <w:rPr>
            <w:noProof/>
            <w:webHidden/>
          </w:rPr>
          <w:t>19</w:t>
        </w:r>
        <w:r>
          <w:rPr>
            <w:noProof/>
            <w:webHidden/>
          </w:rPr>
          <w:fldChar w:fldCharType="end"/>
        </w:r>
      </w:hyperlink>
    </w:p>
    <w:p w:rsidR="00A55D73" w:rsidRDefault="00A55D73">
      <w:pPr>
        <w:pStyle w:val="TOC2"/>
        <w:tabs>
          <w:tab w:val="left" w:pos="1077"/>
        </w:tabs>
        <w:rPr>
          <w:rFonts w:asciiTheme="minorHAnsi" w:eastAsiaTheme="minorEastAsia" w:hAnsiTheme="minorHAnsi" w:cstheme="minorBidi"/>
          <w:noProof/>
          <w:sz w:val="22"/>
          <w:szCs w:val="22"/>
          <w:lang w:eastAsia="en-GB"/>
        </w:rPr>
      </w:pPr>
      <w:hyperlink w:anchor="_Toc514328797" w:history="1">
        <w:r w:rsidRPr="00FE0A5F">
          <w:rPr>
            <w:rStyle w:val="Hyperlink"/>
            <w:noProof/>
          </w:rPr>
          <w:t>3.2</w:t>
        </w:r>
        <w:r>
          <w:rPr>
            <w:rFonts w:asciiTheme="minorHAnsi" w:eastAsiaTheme="minorEastAsia" w:hAnsiTheme="minorHAnsi" w:cstheme="minorBidi"/>
            <w:noProof/>
            <w:sz w:val="22"/>
            <w:szCs w:val="22"/>
            <w:lang w:eastAsia="en-GB"/>
          </w:rPr>
          <w:tab/>
        </w:r>
        <w:r w:rsidRPr="00FE0A5F">
          <w:rPr>
            <w:rStyle w:val="Hyperlink"/>
            <w:noProof/>
          </w:rPr>
          <w:t>Summary of costs and benefits of the different EU fleet-wide CO</w:t>
        </w:r>
        <w:r w:rsidRPr="00FE0A5F">
          <w:rPr>
            <w:rStyle w:val="Hyperlink"/>
            <w:noProof/>
            <w:vertAlign w:val="subscript"/>
          </w:rPr>
          <w:t>2</w:t>
        </w:r>
        <w:r w:rsidRPr="00FE0A5F">
          <w:rPr>
            <w:rStyle w:val="Hyperlink"/>
            <w:noProof/>
          </w:rPr>
          <w:t xml:space="preserve"> target level options</w:t>
        </w:r>
        <w:r>
          <w:rPr>
            <w:noProof/>
            <w:webHidden/>
          </w:rPr>
          <w:tab/>
        </w:r>
        <w:r>
          <w:rPr>
            <w:noProof/>
            <w:webHidden/>
          </w:rPr>
          <w:fldChar w:fldCharType="begin"/>
        </w:r>
        <w:r>
          <w:rPr>
            <w:noProof/>
            <w:webHidden/>
          </w:rPr>
          <w:instrText xml:space="preserve"> PAGEREF _Toc514328797 \h </w:instrText>
        </w:r>
        <w:r>
          <w:rPr>
            <w:noProof/>
            <w:webHidden/>
          </w:rPr>
        </w:r>
        <w:r>
          <w:rPr>
            <w:noProof/>
            <w:webHidden/>
          </w:rPr>
          <w:fldChar w:fldCharType="separate"/>
        </w:r>
        <w:r>
          <w:rPr>
            <w:noProof/>
            <w:webHidden/>
          </w:rPr>
          <w:t>21</w:t>
        </w:r>
        <w:r>
          <w:rPr>
            <w:noProof/>
            <w:webHidden/>
          </w:rPr>
          <w:fldChar w:fldCharType="end"/>
        </w:r>
      </w:hyperlink>
    </w:p>
    <w:p w:rsidR="00A55D73" w:rsidRDefault="00A55D73">
      <w:pPr>
        <w:pStyle w:val="TOC1"/>
        <w:rPr>
          <w:rFonts w:asciiTheme="minorHAnsi" w:eastAsiaTheme="minorEastAsia" w:hAnsiTheme="minorHAnsi" w:cstheme="minorBidi"/>
          <w:caps w:val="0"/>
          <w:noProof/>
          <w:sz w:val="22"/>
          <w:szCs w:val="22"/>
          <w:lang w:eastAsia="en-GB"/>
        </w:rPr>
      </w:pPr>
      <w:hyperlink w:anchor="_Toc514328798" w:history="1">
        <w:r w:rsidRPr="00FE0A5F">
          <w:rPr>
            <w:rStyle w:val="Hyperlink"/>
            <w:noProof/>
          </w:rPr>
          <w:t>4</w:t>
        </w:r>
        <w:r>
          <w:rPr>
            <w:rFonts w:asciiTheme="minorHAnsi" w:eastAsiaTheme="minorEastAsia" w:hAnsiTheme="minorHAnsi" w:cstheme="minorBidi"/>
            <w:caps w:val="0"/>
            <w:noProof/>
            <w:sz w:val="22"/>
            <w:szCs w:val="22"/>
            <w:lang w:eastAsia="en-GB"/>
          </w:rPr>
          <w:tab/>
        </w:r>
        <w:r w:rsidRPr="00FE0A5F">
          <w:rPr>
            <w:rStyle w:val="Hyperlink"/>
            <w:noProof/>
          </w:rPr>
          <w:t>Annex 4: Analytical models used in preparing the impact assessment</w:t>
        </w:r>
        <w:r>
          <w:rPr>
            <w:noProof/>
            <w:webHidden/>
          </w:rPr>
          <w:tab/>
        </w:r>
        <w:r>
          <w:rPr>
            <w:noProof/>
            <w:webHidden/>
          </w:rPr>
          <w:fldChar w:fldCharType="begin"/>
        </w:r>
        <w:r>
          <w:rPr>
            <w:noProof/>
            <w:webHidden/>
          </w:rPr>
          <w:instrText xml:space="preserve"> PAGEREF _Toc514328798 \h </w:instrText>
        </w:r>
        <w:r>
          <w:rPr>
            <w:noProof/>
            <w:webHidden/>
          </w:rPr>
        </w:r>
        <w:r>
          <w:rPr>
            <w:noProof/>
            <w:webHidden/>
          </w:rPr>
          <w:fldChar w:fldCharType="separate"/>
        </w:r>
        <w:r>
          <w:rPr>
            <w:noProof/>
            <w:webHidden/>
          </w:rPr>
          <w:t>24</w:t>
        </w:r>
        <w:r>
          <w:rPr>
            <w:noProof/>
            <w:webHidden/>
          </w:rPr>
          <w:fldChar w:fldCharType="end"/>
        </w:r>
      </w:hyperlink>
    </w:p>
    <w:p w:rsidR="00A55D73" w:rsidRDefault="00A55D73">
      <w:pPr>
        <w:pStyle w:val="TOC2"/>
        <w:tabs>
          <w:tab w:val="left" w:pos="1077"/>
        </w:tabs>
        <w:rPr>
          <w:rFonts w:asciiTheme="minorHAnsi" w:eastAsiaTheme="minorEastAsia" w:hAnsiTheme="minorHAnsi" w:cstheme="minorBidi"/>
          <w:noProof/>
          <w:sz w:val="22"/>
          <w:szCs w:val="22"/>
          <w:lang w:eastAsia="en-GB"/>
        </w:rPr>
      </w:pPr>
      <w:hyperlink w:anchor="_Toc514328799" w:history="1">
        <w:r w:rsidRPr="00FE0A5F">
          <w:rPr>
            <w:rStyle w:val="Hyperlink"/>
            <w:noProof/>
          </w:rPr>
          <w:t>4.1</w:t>
        </w:r>
        <w:r>
          <w:rPr>
            <w:rFonts w:asciiTheme="minorHAnsi" w:eastAsiaTheme="minorEastAsia" w:hAnsiTheme="minorHAnsi" w:cstheme="minorBidi"/>
            <w:noProof/>
            <w:sz w:val="22"/>
            <w:szCs w:val="22"/>
            <w:lang w:eastAsia="en-GB"/>
          </w:rPr>
          <w:tab/>
        </w:r>
        <w:r w:rsidRPr="00FE0A5F">
          <w:rPr>
            <w:rStyle w:val="Hyperlink"/>
            <w:noProof/>
          </w:rPr>
          <w:t>PRIMES-TREMOVE transport model</w:t>
        </w:r>
        <w:r>
          <w:rPr>
            <w:noProof/>
            <w:webHidden/>
          </w:rPr>
          <w:tab/>
        </w:r>
        <w:r>
          <w:rPr>
            <w:noProof/>
            <w:webHidden/>
          </w:rPr>
          <w:fldChar w:fldCharType="begin"/>
        </w:r>
        <w:r>
          <w:rPr>
            <w:noProof/>
            <w:webHidden/>
          </w:rPr>
          <w:instrText xml:space="preserve"> PAGEREF _Toc514328799 \h </w:instrText>
        </w:r>
        <w:r>
          <w:rPr>
            <w:noProof/>
            <w:webHidden/>
          </w:rPr>
        </w:r>
        <w:r>
          <w:rPr>
            <w:noProof/>
            <w:webHidden/>
          </w:rPr>
          <w:fldChar w:fldCharType="separate"/>
        </w:r>
        <w:r>
          <w:rPr>
            <w:noProof/>
            <w:webHidden/>
          </w:rPr>
          <w:t>24</w:t>
        </w:r>
        <w:r>
          <w:rPr>
            <w:noProof/>
            <w:webHidden/>
          </w:rPr>
          <w:fldChar w:fldCharType="end"/>
        </w:r>
      </w:hyperlink>
    </w:p>
    <w:p w:rsidR="00A55D73" w:rsidRDefault="00A55D73">
      <w:pPr>
        <w:pStyle w:val="TOC2"/>
        <w:tabs>
          <w:tab w:val="left" w:pos="1077"/>
        </w:tabs>
        <w:rPr>
          <w:rFonts w:asciiTheme="minorHAnsi" w:eastAsiaTheme="minorEastAsia" w:hAnsiTheme="minorHAnsi" w:cstheme="minorBidi"/>
          <w:noProof/>
          <w:sz w:val="22"/>
          <w:szCs w:val="22"/>
          <w:lang w:eastAsia="en-GB"/>
        </w:rPr>
      </w:pPr>
      <w:hyperlink w:anchor="_Toc514328800" w:history="1">
        <w:r w:rsidRPr="00FE0A5F">
          <w:rPr>
            <w:rStyle w:val="Hyperlink"/>
            <w:noProof/>
          </w:rPr>
          <w:t>4.2</w:t>
        </w:r>
        <w:r>
          <w:rPr>
            <w:rFonts w:asciiTheme="minorHAnsi" w:eastAsiaTheme="minorEastAsia" w:hAnsiTheme="minorHAnsi" w:cstheme="minorBidi"/>
            <w:noProof/>
            <w:sz w:val="22"/>
            <w:szCs w:val="22"/>
            <w:lang w:eastAsia="en-GB"/>
          </w:rPr>
          <w:tab/>
        </w:r>
        <w:r w:rsidRPr="00FE0A5F">
          <w:rPr>
            <w:rStyle w:val="Hyperlink"/>
            <w:noProof/>
          </w:rPr>
          <w:t>DIONE model (JRC)</w:t>
        </w:r>
        <w:r>
          <w:rPr>
            <w:noProof/>
            <w:webHidden/>
          </w:rPr>
          <w:tab/>
        </w:r>
        <w:r>
          <w:rPr>
            <w:noProof/>
            <w:webHidden/>
          </w:rPr>
          <w:fldChar w:fldCharType="begin"/>
        </w:r>
        <w:r>
          <w:rPr>
            <w:noProof/>
            <w:webHidden/>
          </w:rPr>
          <w:instrText xml:space="preserve"> PAGEREF _Toc514328800 \h </w:instrText>
        </w:r>
        <w:r>
          <w:rPr>
            <w:noProof/>
            <w:webHidden/>
          </w:rPr>
        </w:r>
        <w:r>
          <w:rPr>
            <w:noProof/>
            <w:webHidden/>
          </w:rPr>
          <w:fldChar w:fldCharType="separate"/>
        </w:r>
        <w:r>
          <w:rPr>
            <w:noProof/>
            <w:webHidden/>
          </w:rPr>
          <w:t>26</w:t>
        </w:r>
        <w:r>
          <w:rPr>
            <w:noProof/>
            <w:webHidden/>
          </w:rPr>
          <w:fldChar w:fldCharType="end"/>
        </w:r>
      </w:hyperlink>
    </w:p>
    <w:p w:rsidR="00A55D73" w:rsidRDefault="00A55D73">
      <w:pPr>
        <w:pStyle w:val="TOC2"/>
        <w:tabs>
          <w:tab w:val="left" w:pos="1077"/>
        </w:tabs>
        <w:rPr>
          <w:rFonts w:asciiTheme="minorHAnsi" w:eastAsiaTheme="minorEastAsia" w:hAnsiTheme="minorHAnsi" w:cstheme="minorBidi"/>
          <w:noProof/>
          <w:sz w:val="22"/>
          <w:szCs w:val="22"/>
          <w:lang w:eastAsia="en-GB"/>
        </w:rPr>
      </w:pPr>
      <w:hyperlink w:anchor="_Toc514328801" w:history="1">
        <w:r w:rsidRPr="00FE0A5F">
          <w:rPr>
            <w:rStyle w:val="Hyperlink"/>
            <w:noProof/>
          </w:rPr>
          <w:t>4.3</w:t>
        </w:r>
        <w:r>
          <w:rPr>
            <w:rFonts w:asciiTheme="minorHAnsi" w:eastAsiaTheme="minorEastAsia" w:hAnsiTheme="minorHAnsi" w:cstheme="minorBidi"/>
            <w:noProof/>
            <w:sz w:val="22"/>
            <w:szCs w:val="22"/>
            <w:lang w:eastAsia="en-GB"/>
          </w:rPr>
          <w:tab/>
        </w:r>
        <w:r w:rsidRPr="00FE0A5F">
          <w:rPr>
            <w:rStyle w:val="Hyperlink"/>
            <w:noProof/>
          </w:rPr>
          <w:t>Macro-economic model - EXIOMOD</w:t>
        </w:r>
        <w:r>
          <w:rPr>
            <w:noProof/>
            <w:webHidden/>
          </w:rPr>
          <w:tab/>
        </w:r>
        <w:r>
          <w:rPr>
            <w:noProof/>
            <w:webHidden/>
          </w:rPr>
          <w:fldChar w:fldCharType="begin"/>
        </w:r>
        <w:r>
          <w:rPr>
            <w:noProof/>
            <w:webHidden/>
          </w:rPr>
          <w:instrText xml:space="preserve"> PAGEREF _Toc514328801 \h </w:instrText>
        </w:r>
        <w:r>
          <w:rPr>
            <w:noProof/>
            <w:webHidden/>
          </w:rPr>
        </w:r>
        <w:r>
          <w:rPr>
            <w:noProof/>
            <w:webHidden/>
          </w:rPr>
          <w:fldChar w:fldCharType="separate"/>
        </w:r>
        <w:r>
          <w:rPr>
            <w:noProof/>
            <w:webHidden/>
          </w:rPr>
          <w:t>28</w:t>
        </w:r>
        <w:r>
          <w:rPr>
            <w:noProof/>
            <w:webHidden/>
          </w:rPr>
          <w:fldChar w:fldCharType="end"/>
        </w:r>
      </w:hyperlink>
    </w:p>
    <w:p w:rsidR="00A55D73" w:rsidRDefault="00A55D73">
      <w:pPr>
        <w:pStyle w:val="TOC2"/>
        <w:tabs>
          <w:tab w:val="left" w:pos="1077"/>
        </w:tabs>
        <w:rPr>
          <w:rFonts w:asciiTheme="minorHAnsi" w:eastAsiaTheme="minorEastAsia" w:hAnsiTheme="minorHAnsi" w:cstheme="minorBidi"/>
          <w:noProof/>
          <w:sz w:val="22"/>
          <w:szCs w:val="22"/>
          <w:lang w:eastAsia="en-GB"/>
        </w:rPr>
      </w:pPr>
      <w:hyperlink w:anchor="_Toc514328802" w:history="1">
        <w:r w:rsidRPr="00FE0A5F">
          <w:rPr>
            <w:rStyle w:val="Hyperlink"/>
            <w:noProof/>
          </w:rPr>
          <w:t>4.4</w:t>
        </w:r>
        <w:r>
          <w:rPr>
            <w:rFonts w:asciiTheme="minorHAnsi" w:eastAsiaTheme="minorEastAsia" w:hAnsiTheme="minorHAnsi" w:cstheme="minorBidi"/>
            <w:noProof/>
            <w:sz w:val="22"/>
            <w:szCs w:val="22"/>
            <w:lang w:eastAsia="en-GB"/>
          </w:rPr>
          <w:tab/>
        </w:r>
        <w:r w:rsidRPr="00FE0A5F">
          <w:rPr>
            <w:rStyle w:val="Hyperlink"/>
            <w:noProof/>
          </w:rPr>
          <w:t>Baseline and policy scenarios</w:t>
        </w:r>
        <w:r>
          <w:rPr>
            <w:noProof/>
            <w:webHidden/>
          </w:rPr>
          <w:tab/>
        </w:r>
        <w:r>
          <w:rPr>
            <w:noProof/>
            <w:webHidden/>
          </w:rPr>
          <w:fldChar w:fldCharType="begin"/>
        </w:r>
        <w:r>
          <w:rPr>
            <w:noProof/>
            <w:webHidden/>
          </w:rPr>
          <w:instrText xml:space="preserve"> PAGEREF _Toc514328802 \h </w:instrText>
        </w:r>
        <w:r>
          <w:rPr>
            <w:noProof/>
            <w:webHidden/>
          </w:rPr>
        </w:r>
        <w:r>
          <w:rPr>
            <w:noProof/>
            <w:webHidden/>
          </w:rPr>
          <w:fldChar w:fldCharType="separate"/>
        </w:r>
        <w:r>
          <w:rPr>
            <w:noProof/>
            <w:webHidden/>
          </w:rPr>
          <w:t>29</w:t>
        </w:r>
        <w:r>
          <w:rPr>
            <w:noProof/>
            <w:webHidden/>
          </w:rPr>
          <w:fldChar w:fldCharType="end"/>
        </w:r>
      </w:hyperlink>
    </w:p>
    <w:p w:rsidR="00A55D73" w:rsidRDefault="00A55D73">
      <w:pPr>
        <w:pStyle w:val="TOC1"/>
        <w:rPr>
          <w:rFonts w:asciiTheme="minorHAnsi" w:eastAsiaTheme="minorEastAsia" w:hAnsiTheme="minorHAnsi" w:cstheme="minorBidi"/>
          <w:caps w:val="0"/>
          <w:noProof/>
          <w:sz w:val="22"/>
          <w:szCs w:val="22"/>
          <w:lang w:eastAsia="en-GB"/>
        </w:rPr>
      </w:pPr>
      <w:hyperlink w:anchor="_Toc514328803" w:history="1">
        <w:r w:rsidRPr="00FE0A5F">
          <w:rPr>
            <w:rStyle w:val="Hyperlink"/>
            <w:noProof/>
          </w:rPr>
          <w:t>5</w:t>
        </w:r>
        <w:r>
          <w:rPr>
            <w:rFonts w:asciiTheme="minorHAnsi" w:eastAsiaTheme="minorEastAsia" w:hAnsiTheme="minorHAnsi" w:cstheme="minorBidi"/>
            <w:caps w:val="0"/>
            <w:noProof/>
            <w:sz w:val="22"/>
            <w:szCs w:val="22"/>
            <w:lang w:eastAsia="en-GB"/>
          </w:rPr>
          <w:tab/>
        </w:r>
        <w:r w:rsidRPr="00FE0A5F">
          <w:rPr>
            <w:rStyle w:val="Hyperlink"/>
            <w:noProof/>
          </w:rPr>
          <w:t>Annex 5: Introduction to the Impact Assessment – complementary information</w:t>
        </w:r>
        <w:r>
          <w:rPr>
            <w:noProof/>
            <w:webHidden/>
          </w:rPr>
          <w:tab/>
        </w:r>
        <w:r>
          <w:rPr>
            <w:noProof/>
            <w:webHidden/>
          </w:rPr>
          <w:fldChar w:fldCharType="begin"/>
        </w:r>
        <w:r>
          <w:rPr>
            <w:noProof/>
            <w:webHidden/>
          </w:rPr>
          <w:instrText xml:space="preserve"> PAGEREF _Toc514328803 \h </w:instrText>
        </w:r>
        <w:r>
          <w:rPr>
            <w:noProof/>
            <w:webHidden/>
          </w:rPr>
        </w:r>
        <w:r>
          <w:rPr>
            <w:noProof/>
            <w:webHidden/>
          </w:rPr>
          <w:fldChar w:fldCharType="separate"/>
        </w:r>
        <w:r>
          <w:rPr>
            <w:noProof/>
            <w:webHidden/>
          </w:rPr>
          <w:t>33</w:t>
        </w:r>
        <w:r>
          <w:rPr>
            <w:noProof/>
            <w:webHidden/>
          </w:rPr>
          <w:fldChar w:fldCharType="end"/>
        </w:r>
      </w:hyperlink>
    </w:p>
    <w:p w:rsidR="00A55D73" w:rsidRDefault="00A55D73">
      <w:pPr>
        <w:pStyle w:val="TOC2"/>
        <w:tabs>
          <w:tab w:val="left" w:pos="1077"/>
        </w:tabs>
        <w:rPr>
          <w:rFonts w:asciiTheme="minorHAnsi" w:eastAsiaTheme="minorEastAsia" w:hAnsiTheme="minorHAnsi" w:cstheme="minorBidi"/>
          <w:noProof/>
          <w:sz w:val="22"/>
          <w:szCs w:val="22"/>
          <w:lang w:eastAsia="en-GB"/>
        </w:rPr>
      </w:pPr>
      <w:hyperlink w:anchor="_Toc514328804" w:history="1">
        <w:r w:rsidRPr="00FE0A5F">
          <w:rPr>
            <w:rStyle w:val="Hyperlink"/>
            <w:noProof/>
          </w:rPr>
          <w:t>5.1</w:t>
        </w:r>
        <w:r>
          <w:rPr>
            <w:rFonts w:asciiTheme="minorHAnsi" w:eastAsiaTheme="minorEastAsia" w:hAnsiTheme="minorHAnsi" w:cstheme="minorBidi"/>
            <w:noProof/>
            <w:sz w:val="22"/>
            <w:szCs w:val="22"/>
            <w:lang w:eastAsia="en-GB"/>
          </w:rPr>
          <w:tab/>
        </w:r>
        <w:r w:rsidRPr="00FE0A5F">
          <w:rPr>
            <w:rStyle w:val="Hyperlink"/>
            <w:noProof/>
          </w:rPr>
          <w:t>Description of the HDV sector</w:t>
        </w:r>
        <w:r>
          <w:rPr>
            <w:noProof/>
            <w:webHidden/>
          </w:rPr>
          <w:tab/>
        </w:r>
        <w:r>
          <w:rPr>
            <w:noProof/>
            <w:webHidden/>
          </w:rPr>
          <w:fldChar w:fldCharType="begin"/>
        </w:r>
        <w:r>
          <w:rPr>
            <w:noProof/>
            <w:webHidden/>
          </w:rPr>
          <w:instrText xml:space="preserve"> PAGEREF _Toc514328804 \h </w:instrText>
        </w:r>
        <w:r>
          <w:rPr>
            <w:noProof/>
            <w:webHidden/>
          </w:rPr>
        </w:r>
        <w:r>
          <w:rPr>
            <w:noProof/>
            <w:webHidden/>
          </w:rPr>
          <w:fldChar w:fldCharType="separate"/>
        </w:r>
        <w:r>
          <w:rPr>
            <w:noProof/>
            <w:webHidden/>
          </w:rPr>
          <w:t>33</w:t>
        </w:r>
        <w:r>
          <w:rPr>
            <w:noProof/>
            <w:webHidden/>
          </w:rPr>
          <w:fldChar w:fldCharType="end"/>
        </w:r>
      </w:hyperlink>
    </w:p>
    <w:p w:rsidR="00A55D73" w:rsidRDefault="00A55D73">
      <w:pPr>
        <w:pStyle w:val="TOC2"/>
        <w:tabs>
          <w:tab w:val="left" w:pos="1077"/>
        </w:tabs>
        <w:rPr>
          <w:rFonts w:asciiTheme="minorHAnsi" w:eastAsiaTheme="minorEastAsia" w:hAnsiTheme="minorHAnsi" w:cstheme="minorBidi"/>
          <w:noProof/>
          <w:sz w:val="22"/>
          <w:szCs w:val="22"/>
          <w:lang w:eastAsia="en-GB"/>
        </w:rPr>
      </w:pPr>
      <w:hyperlink w:anchor="_Toc514328805" w:history="1">
        <w:r w:rsidRPr="00FE0A5F">
          <w:rPr>
            <w:rStyle w:val="Hyperlink"/>
            <w:noProof/>
          </w:rPr>
          <w:t>5.2</w:t>
        </w:r>
        <w:r>
          <w:rPr>
            <w:rFonts w:asciiTheme="minorHAnsi" w:eastAsiaTheme="minorEastAsia" w:hAnsiTheme="minorHAnsi" w:cstheme="minorBidi"/>
            <w:noProof/>
            <w:sz w:val="22"/>
            <w:szCs w:val="22"/>
            <w:lang w:eastAsia="en-GB"/>
          </w:rPr>
          <w:tab/>
        </w:r>
        <w:r w:rsidRPr="00FE0A5F">
          <w:rPr>
            <w:rStyle w:val="Hyperlink"/>
            <w:noProof/>
          </w:rPr>
          <w:t>Specificities of the HDV sector compared to LDVs</w:t>
        </w:r>
        <w:r>
          <w:rPr>
            <w:noProof/>
            <w:webHidden/>
          </w:rPr>
          <w:tab/>
        </w:r>
        <w:r>
          <w:rPr>
            <w:noProof/>
            <w:webHidden/>
          </w:rPr>
          <w:fldChar w:fldCharType="begin"/>
        </w:r>
        <w:r>
          <w:rPr>
            <w:noProof/>
            <w:webHidden/>
          </w:rPr>
          <w:instrText xml:space="preserve"> PAGEREF _Toc514328805 \h </w:instrText>
        </w:r>
        <w:r>
          <w:rPr>
            <w:noProof/>
            <w:webHidden/>
          </w:rPr>
        </w:r>
        <w:r>
          <w:rPr>
            <w:noProof/>
            <w:webHidden/>
          </w:rPr>
          <w:fldChar w:fldCharType="separate"/>
        </w:r>
        <w:r>
          <w:rPr>
            <w:noProof/>
            <w:webHidden/>
          </w:rPr>
          <w:t>35</w:t>
        </w:r>
        <w:r>
          <w:rPr>
            <w:noProof/>
            <w:webHidden/>
          </w:rPr>
          <w:fldChar w:fldCharType="end"/>
        </w:r>
      </w:hyperlink>
    </w:p>
    <w:p w:rsidR="00A55D73" w:rsidRDefault="00A55D73">
      <w:pPr>
        <w:pStyle w:val="TOC2"/>
        <w:tabs>
          <w:tab w:val="left" w:pos="1077"/>
        </w:tabs>
        <w:rPr>
          <w:rFonts w:asciiTheme="minorHAnsi" w:eastAsiaTheme="minorEastAsia" w:hAnsiTheme="minorHAnsi" w:cstheme="minorBidi"/>
          <w:noProof/>
          <w:sz w:val="22"/>
          <w:szCs w:val="22"/>
          <w:lang w:eastAsia="en-GB"/>
        </w:rPr>
      </w:pPr>
      <w:hyperlink w:anchor="_Toc514328806" w:history="1">
        <w:r w:rsidRPr="00FE0A5F">
          <w:rPr>
            <w:rStyle w:val="Hyperlink"/>
            <w:noProof/>
          </w:rPr>
          <w:t>5.3</w:t>
        </w:r>
        <w:r>
          <w:rPr>
            <w:rFonts w:asciiTheme="minorHAnsi" w:eastAsiaTheme="minorEastAsia" w:hAnsiTheme="minorHAnsi" w:cstheme="minorBidi"/>
            <w:noProof/>
            <w:sz w:val="22"/>
            <w:szCs w:val="22"/>
            <w:lang w:eastAsia="en-GB"/>
          </w:rPr>
          <w:tab/>
        </w:r>
        <w:r w:rsidRPr="00FE0A5F">
          <w:rPr>
            <w:rStyle w:val="Hyperlink"/>
            <w:noProof/>
          </w:rPr>
          <w:t>Overview of international HDV CO</w:t>
        </w:r>
        <w:r w:rsidRPr="00FE0A5F">
          <w:rPr>
            <w:rStyle w:val="Hyperlink"/>
            <w:noProof/>
            <w:vertAlign w:val="subscript"/>
          </w:rPr>
          <w:t>2</w:t>
        </w:r>
        <w:r w:rsidRPr="00FE0A5F">
          <w:rPr>
            <w:rStyle w:val="Hyperlink"/>
            <w:noProof/>
          </w:rPr>
          <w:t xml:space="preserve"> or fuel economy standards</w:t>
        </w:r>
        <w:r>
          <w:rPr>
            <w:noProof/>
            <w:webHidden/>
          </w:rPr>
          <w:tab/>
        </w:r>
        <w:r>
          <w:rPr>
            <w:noProof/>
            <w:webHidden/>
          </w:rPr>
          <w:fldChar w:fldCharType="begin"/>
        </w:r>
        <w:r>
          <w:rPr>
            <w:noProof/>
            <w:webHidden/>
          </w:rPr>
          <w:instrText xml:space="preserve"> PAGEREF _Toc514328806 \h </w:instrText>
        </w:r>
        <w:r>
          <w:rPr>
            <w:noProof/>
            <w:webHidden/>
          </w:rPr>
        </w:r>
        <w:r>
          <w:rPr>
            <w:noProof/>
            <w:webHidden/>
          </w:rPr>
          <w:fldChar w:fldCharType="separate"/>
        </w:r>
        <w:r>
          <w:rPr>
            <w:noProof/>
            <w:webHidden/>
          </w:rPr>
          <w:t>37</w:t>
        </w:r>
        <w:r>
          <w:rPr>
            <w:noProof/>
            <w:webHidden/>
          </w:rPr>
          <w:fldChar w:fldCharType="end"/>
        </w:r>
      </w:hyperlink>
    </w:p>
    <w:p w:rsidR="00A55D73" w:rsidRDefault="00A55D73">
      <w:pPr>
        <w:pStyle w:val="TOC1"/>
        <w:rPr>
          <w:rFonts w:asciiTheme="minorHAnsi" w:eastAsiaTheme="minorEastAsia" w:hAnsiTheme="minorHAnsi" w:cstheme="minorBidi"/>
          <w:caps w:val="0"/>
          <w:noProof/>
          <w:sz w:val="22"/>
          <w:szCs w:val="22"/>
          <w:lang w:eastAsia="en-GB"/>
        </w:rPr>
      </w:pPr>
      <w:hyperlink w:anchor="_Toc514328807" w:history="1">
        <w:r w:rsidRPr="00FE0A5F">
          <w:rPr>
            <w:rStyle w:val="Hyperlink"/>
            <w:noProof/>
          </w:rPr>
          <w:t>6</w:t>
        </w:r>
        <w:r>
          <w:rPr>
            <w:rFonts w:asciiTheme="minorHAnsi" w:eastAsiaTheme="minorEastAsia" w:hAnsiTheme="minorHAnsi" w:cstheme="minorBidi"/>
            <w:caps w:val="0"/>
            <w:noProof/>
            <w:sz w:val="22"/>
            <w:szCs w:val="22"/>
            <w:lang w:eastAsia="en-GB"/>
          </w:rPr>
          <w:tab/>
        </w:r>
        <w:r w:rsidRPr="00FE0A5F">
          <w:rPr>
            <w:rStyle w:val="Hyperlink"/>
            <w:noProof/>
          </w:rPr>
          <w:t>Annex 6: Policy initiatives addressing transport emissions</w:t>
        </w:r>
        <w:r>
          <w:rPr>
            <w:noProof/>
            <w:webHidden/>
          </w:rPr>
          <w:tab/>
        </w:r>
        <w:r>
          <w:rPr>
            <w:noProof/>
            <w:webHidden/>
          </w:rPr>
          <w:fldChar w:fldCharType="begin"/>
        </w:r>
        <w:r>
          <w:rPr>
            <w:noProof/>
            <w:webHidden/>
          </w:rPr>
          <w:instrText xml:space="preserve"> PAGEREF _Toc514328807 \h </w:instrText>
        </w:r>
        <w:r>
          <w:rPr>
            <w:noProof/>
            <w:webHidden/>
          </w:rPr>
        </w:r>
        <w:r>
          <w:rPr>
            <w:noProof/>
            <w:webHidden/>
          </w:rPr>
          <w:fldChar w:fldCharType="separate"/>
        </w:r>
        <w:r>
          <w:rPr>
            <w:noProof/>
            <w:webHidden/>
          </w:rPr>
          <w:t>39</w:t>
        </w:r>
        <w:r>
          <w:rPr>
            <w:noProof/>
            <w:webHidden/>
          </w:rPr>
          <w:fldChar w:fldCharType="end"/>
        </w:r>
      </w:hyperlink>
    </w:p>
    <w:p w:rsidR="00A55D73" w:rsidRDefault="00A55D73">
      <w:pPr>
        <w:pStyle w:val="TOC2"/>
        <w:tabs>
          <w:tab w:val="left" w:pos="1077"/>
        </w:tabs>
        <w:rPr>
          <w:rFonts w:asciiTheme="minorHAnsi" w:eastAsiaTheme="minorEastAsia" w:hAnsiTheme="minorHAnsi" w:cstheme="minorBidi"/>
          <w:noProof/>
          <w:sz w:val="22"/>
          <w:szCs w:val="22"/>
          <w:lang w:eastAsia="en-GB"/>
        </w:rPr>
      </w:pPr>
      <w:hyperlink w:anchor="_Toc514328808" w:history="1">
        <w:r w:rsidRPr="00FE0A5F">
          <w:rPr>
            <w:rStyle w:val="Hyperlink"/>
            <w:noProof/>
          </w:rPr>
          <w:t>6.1</w:t>
        </w:r>
        <w:r>
          <w:rPr>
            <w:rFonts w:asciiTheme="minorHAnsi" w:eastAsiaTheme="minorEastAsia" w:hAnsiTheme="minorHAnsi" w:cstheme="minorBidi"/>
            <w:noProof/>
            <w:sz w:val="22"/>
            <w:szCs w:val="22"/>
            <w:lang w:eastAsia="en-GB"/>
          </w:rPr>
          <w:tab/>
        </w:r>
        <w:r w:rsidRPr="00FE0A5F">
          <w:rPr>
            <w:rStyle w:val="Hyperlink"/>
            <w:noProof/>
          </w:rPr>
          <w:t>Overview of recent Commission initiatives</w:t>
        </w:r>
        <w:r>
          <w:rPr>
            <w:noProof/>
            <w:webHidden/>
          </w:rPr>
          <w:tab/>
        </w:r>
        <w:r>
          <w:rPr>
            <w:noProof/>
            <w:webHidden/>
          </w:rPr>
          <w:fldChar w:fldCharType="begin"/>
        </w:r>
        <w:r>
          <w:rPr>
            <w:noProof/>
            <w:webHidden/>
          </w:rPr>
          <w:instrText xml:space="preserve"> PAGEREF _Toc514328808 \h </w:instrText>
        </w:r>
        <w:r>
          <w:rPr>
            <w:noProof/>
            <w:webHidden/>
          </w:rPr>
        </w:r>
        <w:r>
          <w:rPr>
            <w:noProof/>
            <w:webHidden/>
          </w:rPr>
          <w:fldChar w:fldCharType="separate"/>
        </w:r>
        <w:r>
          <w:rPr>
            <w:noProof/>
            <w:webHidden/>
          </w:rPr>
          <w:t>39</w:t>
        </w:r>
        <w:r>
          <w:rPr>
            <w:noProof/>
            <w:webHidden/>
          </w:rPr>
          <w:fldChar w:fldCharType="end"/>
        </w:r>
      </w:hyperlink>
    </w:p>
    <w:p w:rsidR="00A55D73" w:rsidRDefault="00A55D73">
      <w:pPr>
        <w:pStyle w:val="TOC2"/>
        <w:tabs>
          <w:tab w:val="left" w:pos="1077"/>
        </w:tabs>
        <w:rPr>
          <w:rFonts w:asciiTheme="minorHAnsi" w:eastAsiaTheme="minorEastAsia" w:hAnsiTheme="minorHAnsi" w:cstheme="minorBidi"/>
          <w:noProof/>
          <w:sz w:val="22"/>
          <w:szCs w:val="22"/>
          <w:lang w:eastAsia="en-GB"/>
        </w:rPr>
      </w:pPr>
      <w:hyperlink w:anchor="_Toc514328809" w:history="1">
        <w:r w:rsidRPr="00FE0A5F">
          <w:rPr>
            <w:rStyle w:val="Hyperlink"/>
            <w:noProof/>
          </w:rPr>
          <w:t>6.2</w:t>
        </w:r>
        <w:r>
          <w:rPr>
            <w:rFonts w:asciiTheme="minorHAnsi" w:eastAsiaTheme="minorEastAsia" w:hAnsiTheme="minorHAnsi" w:cstheme="minorBidi"/>
            <w:noProof/>
            <w:sz w:val="22"/>
            <w:szCs w:val="22"/>
            <w:lang w:eastAsia="en-GB"/>
          </w:rPr>
          <w:tab/>
        </w:r>
        <w:r w:rsidRPr="00FE0A5F">
          <w:rPr>
            <w:rStyle w:val="Hyperlink"/>
            <w:noProof/>
          </w:rPr>
          <w:t>Overview of broader EU mobility policies relevant for HDVs</w:t>
        </w:r>
        <w:r>
          <w:rPr>
            <w:noProof/>
            <w:webHidden/>
          </w:rPr>
          <w:tab/>
        </w:r>
        <w:r>
          <w:rPr>
            <w:noProof/>
            <w:webHidden/>
          </w:rPr>
          <w:fldChar w:fldCharType="begin"/>
        </w:r>
        <w:r>
          <w:rPr>
            <w:noProof/>
            <w:webHidden/>
          </w:rPr>
          <w:instrText xml:space="preserve"> PAGEREF _Toc514328809 \h </w:instrText>
        </w:r>
        <w:r>
          <w:rPr>
            <w:noProof/>
            <w:webHidden/>
          </w:rPr>
        </w:r>
        <w:r>
          <w:rPr>
            <w:noProof/>
            <w:webHidden/>
          </w:rPr>
          <w:fldChar w:fldCharType="separate"/>
        </w:r>
        <w:r>
          <w:rPr>
            <w:noProof/>
            <w:webHidden/>
          </w:rPr>
          <w:t>40</w:t>
        </w:r>
        <w:r>
          <w:rPr>
            <w:noProof/>
            <w:webHidden/>
          </w:rPr>
          <w:fldChar w:fldCharType="end"/>
        </w:r>
      </w:hyperlink>
    </w:p>
    <w:p w:rsidR="00A55D73" w:rsidRDefault="00A55D73">
      <w:pPr>
        <w:pStyle w:val="TOC2"/>
        <w:tabs>
          <w:tab w:val="left" w:pos="1077"/>
        </w:tabs>
        <w:rPr>
          <w:rFonts w:asciiTheme="minorHAnsi" w:eastAsiaTheme="minorEastAsia" w:hAnsiTheme="minorHAnsi" w:cstheme="minorBidi"/>
          <w:noProof/>
          <w:sz w:val="22"/>
          <w:szCs w:val="22"/>
          <w:lang w:eastAsia="en-GB"/>
        </w:rPr>
      </w:pPr>
      <w:hyperlink w:anchor="_Toc514328810" w:history="1">
        <w:r w:rsidRPr="00FE0A5F">
          <w:rPr>
            <w:rStyle w:val="Hyperlink"/>
            <w:noProof/>
          </w:rPr>
          <w:t>6.3</w:t>
        </w:r>
        <w:r>
          <w:rPr>
            <w:rFonts w:asciiTheme="minorHAnsi" w:eastAsiaTheme="minorEastAsia" w:hAnsiTheme="minorHAnsi" w:cstheme="minorBidi"/>
            <w:noProof/>
            <w:sz w:val="22"/>
            <w:szCs w:val="22"/>
            <w:lang w:eastAsia="en-GB"/>
          </w:rPr>
          <w:tab/>
        </w:r>
        <w:r w:rsidRPr="00FE0A5F">
          <w:rPr>
            <w:rStyle w:val="Hyperlink"/>
            <w:noProof/>
          </w:rPr>
          <w:t>Link with problem drivers</w:t>
        </w:r>
        <w:r>
          <w:rPr>
            <w:noProof/>
            <w:webHidden/>
          </w:rPr>
          <w:tab/>
        </w:r>
        <w:r>
          <w:rPr>
            <w:noProof/>
            <w:webHidden/>
          </w:rPr>
          <w:fldChar w:fldCharType="begin"/>
        </w:r>
        <w:r>
          <w:rPr>
            <w:noProof/>
            <w:webHidden/>
          </w:rPr>
          <w:instrText xml:space="preserve"> PAGEREF _Toc514328810 \h </w:instrText>
        </w:r>
        <w:r>
          <w:rPr>
            <w:noProof/>
            <w:webHidden/>
          </w:rPr>
        </w:r>
        <w:r>
          <w:rPr>
            <w:noProof/>
            <w:webHidden/>
          </w:rPr>
          <w:fldChar w:fldCharType="separate"/>
        </w:r>
        <w:r>
          <w:rPr>
            <w:noProof/>
            <w:webHidden/>
          </w:rPr>
          <w:t>42</w:t>
        </w:r>
        <w:r>
          <w:rPr>
            <w:noProof/>
            <w:webHidden/>
          </w:rPr>
          <w:fldChar w:fldCharType="end"/>
        </w:r>
      </w:hyperlink>
    </w:p>
    <w:p w:rsidR="00A55D73" w:rsidRDefault="00A55D73">
      <w:pPr>
        <w:pStyle w:val="TOC1"/>
        <w:rPr>
          <w:rFonts w:asciiTheme="minorHAnsi" w:eastAsiaTheme="minorEastAsia" w:hAnsiTheme="minorHAnsi" w:cstheme="minorBidi"/>
          <w:caps w:val="0"/>
          <w:noProof/>
          <w:sz w:val="22"/>
          <w:szCs w:val="22"/>
          <w:lang w:eastAsia="en-GB"/>
        </w:rPr>
      </w:pPr>
      <w:hyperlink w:anchor="_Toc514328811" w:history="1">
        <w:r w:rsidRPr="00FE0A5F">
          <w:rPr>
            <w:rStyle w:val="Hyperlink"/>
            <w:noProof/>
          </w:rPr>
          <w:t>7</w:t>
        </w:r>
        <w:r>
          <w:rPr>
            <w:rFonts w:asciiTheme="minorHAnsi" w:eastAsiaTheme="minorEastAsia" w:hAnsiTheme="minorHAnsi" w:cstheme="minorBidi"/>
            <w:caps w:val="0"/>
            <w:noProof/>
            <w:sz w:val="22"/>
            <w:szCs w:val="22"/>
            <w:lang w:eastAsia="en-GB"/>
          </w:rPr>
          <w:tab/>
        </w:r>
        <w:r w:rsidRPr="00FE0A5F">
          <w:rPr>
            <w:rStyle w:val="Hyperlink"/>
            <w:noProof/>
          </w:rPr>
          <w:t>Annex 7: Problems and drivers – complementary information</w:t>
        </w:r>
        <w:r>
          <w:rPr>
            <w:noProof/>
            <w:webHidden/>
          </w:rPr>
          <w:tab/>
        </w:r>
        <w:r>
          <w:rPr>
            <w:noProof/>
            <w:webHidden/>
          </w:rPr>
          <w:fldChar w:fldCharType="begin"/>
        </w:r>
        <w:r>
          <w:rPr>
            <w:noProof/>
            <w:webHidden/>
          </w:rPr>
          <w:instrText xml:space="preserve"> PAGEREF _Toc514328811 \h </w:instrText>
        </w:r>
        <w:r>
          <w:rPr>
            <w:noProof/>
            <w:webHidden/>
          </w:rPr>
        </w:r>
        <w:r>
          <w:rPr>
            <w:noProof/>
            <w:webHidden/>
          </w:rPr>
          <w:fldChar w:fldCharType="separate"/>
        </w:r>
        <w:r>
          <w:rPr>
            <w:noProof/>
            <w:webHidden/>
          </w:rPr>
          <w:t>43</w:t>
        </w:r>
        <w:r>
          <w:rPr>
            <w:noProof/>
            <w:webHidden/>
          </w:rPr>
          <w:fldChar w:fldCharType="end"/>
        </w:r>
      </w:hyperlink>
    </w:p>
    <w:p w:rsidR="00A55D73" w:rsidRDefault="00A55D73">
      <w:pPr>
        <w:pStyle w:val="TOC2"/>
        <w:tabs>
          <w:tab w:val="left" w:pos="1077"/>
        </w:tabs>
        <w:rPr>
          <w:rFonts w:asciiTheme="minorHAnsi" w:eastAsiaTheme="minorEastAsia" w:hAnsiTheme="minorHAnsi" w:cstheme="minorBidi"/>
          <w:noProof/>
          <w:sz w:val="22"/>
          <w:szCs w:val="22"/>
          <w:lang w:eastAsia="en-GB"/>
        </w:rPr>
      </w:pPr>
      <w:hyperlink w:anchor="_Toc514328812" w:history="1">
        <w:r w:rsidRPr="00FE0A5F">
          <w:rPr>
            <w:rStyle w:val="Hyperlink"/>
            <w:noProof/>
          </w:rPr>
          <w:t>7.1</w:t>
        </w:r>
        <w:r>
          <w:rPr>
            <w:rFonts w:asciiTheme="minorHAnsi" w:eastAsiaTheme="minorEastAsia" w:hAnsiTheme="minorHAnsi" w:cstheme="minorBidi"/>
            <w:noProof/>
            <w:sz w:val="22"/>
            <w:szCs w:val="22"/>
            <w:lang w:eastAsia="en-GB"/>
          </w:rPr>
          <w:tab/>
        </w:r>
        <w:r w:rsidRPr="00FE0A5F">
          <w:rPr>
            <w:rStyle w:val="Hyperlink"/>
            <w:noProof/>
          </w:rPr>
          <w:t>Problem 1: HDV sector is a significant and growing source of GHG emissions</w:t>
        </w:r>
        <w:r>
          <w:rPr>
            <w:noProof/>
            <w:webHidden/>
          </w:rPr>
          <w:tab/>
        </w:r>
        <w:r>
          <w:rPr>
            <w:noProof/>
            <w:webHidden/>
          </w:rPr>
          <w:fldChar w:fldCharType="begin"/>
        </w:r>
        <w:r>
          <w:rPr>
            <w:noProof/>
            <w:webHidden/>
          </w:rPr>
          <w:instrText xml:space="preserve"> PAGEREF _Toc514328812 \h </w:instrText>
        </w:r>
        <w:r>
          <w:rPr>
            <w:noProof/>
            <w:webHidden/>
          </w:rPr>
        </w:r>
        <w:r>
          <w:rPr>
            <w:noProof/>
            <w:webHidden/>
          </w:rPr>
          <w:fldChar w:fldCharType="separate"/>
        </w:r>
        <w:r>
          <w:rPr>
            <w:noProof/>
            <w:webHidden/>
          </w:rPr>
          <w:t>43</w:t>
        </w:r>
        <w:r>
          <w:rPr>
            <w:noProof/>
            <w:webHidden/>
          </w:rPr>
          <w:fldChar w:fldCharType="end"/>
        </w:r>
      </w:hyperlink>
    </w:p>
    <w:p w:rsidR="00A55D73" w:rsidRDefault="00A55D73">
      <w:pPr>
        <w:pStyle w:val="TOC2"/>
        <w:tabs>
          <w:tab w:val="left" w:pos="1077"/>
        </w:tabs>
        <w:rPr>
          <w:rFonts w:asciiTheme="minorHAnsi" w:eastAsiaTheme="minorEastAsia" w:hAnsiTheme="minorHAnsi" w:cstheme="minorBidi"/>
          <w:noProof/>
          <w:sz w:val="22"/>
          <w:szCs w:val="22"/>
          <w:lang w:eastAsia="en-GB"/>
        </w:rPr>
      </w:pPr>
      <w:hyperlink w:anchor="_Toc514328813" w:history="1">
        <w:r w:rsidRPr="00FE0A5F">
          <w:rPr>
            <w:rStyle w:val="Hyperlink"/>
            <w:noProof/>
          </w:rPr>
          <w:t>7.2</w:t>
        </w:r>
        <w:r>
          <w:rPr>
            <w:rFonts w:asciiTheme="minorHAnsi" w:eastAsiaTheme="minorEastAsia" w:hAnsiTheme="minorHAnsi" w:cstheme="minorBidi"/>
            <w:noProof/>
            <w:sz w:val="22"/>
            <w:szCs w:val="22"/>
            <w:lang w:eastAsia="en-GB"/>
          </w:rPr>
          <w:tab/>
        </w:r>
        <w:r w:rsidRPr="00FE0A5F">
          <w:rPr>
            <w:rStyle w:val="Hyperlink"/>
            <w:noProof/>
          </w:rPr>
          <w:t>Problem 3: EU HDV manufacturers and component suppliers are at risk of losing their technological and innovation leadership position</w:t>
        </w:r>
        <w:r>
          <w:rPr>
            <w:noProof/>
            <w:webHidden/>
          </w:rPr>
          <w:tab/>
        </w:r>
        <w:r>
          <w:rPr>
            <w:noProof/>
            <w:webHidden/>
          </w:rPr>
          <w:fldChar w:fldCharType="begin"/>
        </w:r>
        <w:r>
          <w:rPr>
            <w:noProof/>
            <w:webHidden/>
          </w:rPr>
          <w:instrText xml:space="preserve"> PAGEREF _Toc514328813 \h </w:instrText>
        </w:r>
        <w:r>
          <w:rPr>
            <w:noProof/>
            <w:webHidden/>
          </w:rPr>
        </w:r>
        <w:r>
          <w:rPr>
            <w:noProof/>
            <w:webHidden/>
          </w:rPr>
          <w:fldChar w:fldCharType="separate"/>
        </w:r>
        <w:r>
          <w:rPr>
            <w:noProof/>
            <w:webHidden/>
          </w:rPr>
          <w:t>44</w:t>
        </w:r>
        <w:r>
          <w:rPr>
            <w:noProof/>
            <w:webHidden/>
          </w:rPr>
          <w:fldChar w:fldCharType="end"/>
        </w:r>
      </w:hyperlink>
    </w:p>
    <w:p w:rsidR="00A55D73" w:rsidRDefault="00A55D73">
      <w:pPr>
        <w:pStyle w:val="TOC2"/>
        <w:tabs>
          <w:tab w:val="left" w:pos="1077"/>
        </w:tabs>
        <w:rPr>
          <w:rFonts w:asciiTheme="minorHAnsi" w:eastAsiaTheme="minorEastAsia" w:hAnsiTheme="minorHAnsi" w:cstheme="minorBidi"/>
          <w:noProof/>
          <w:sz w:val="22"/>
          <w:szCs w:val="22"/>
          <w:lang w:eastAsia="en-GB"/>
        </w:rPr>
      </w:pPr>
      <w:hyperlink w:anchor="_Toc514328814" w:history="1">
        <w:r w:rsidRPr="00FE0A5F">
          <w:rPr>
            <w:rStyle w:val="Hyperlink"/>
            <w:noProof/>
          </w:rPr>
          <w:t>7.3</w:t>
        </w:r>
        <w:r>
          <w:rPr>
            <w:rFonts w:asciiTheme="minorHAnsi" w:eastAsiaTheme="minorEastAsia" w:hAnsiTheme="minorHAnsi" w:cstheme="minorBidi"/>
            <w:noProof/>
            <w:sz w:val="22"/>
            <w:szCs w:val="22"/>
            <w:lang w:eastAsia="en-GB"/>
          </w:rPr>
          <w:tab/>
        </w:r>
        <w:r w:rsidRPr="00FE0A5F">
          <w:rPr>
            <w:rStyle w:val="Hyperlink"/>
            <w:noProof/>
          </w:rPr>
          <w:t>Driver 1: Road freight transport activity is increasing</w:t>
        </w:r>
        <w:r>
          <w:rPr>
            <w:noProof/>
            <w:webHidden/>
          </w:rPr>
          <w:tab/>
        </w:r>
        <w:r>
          <w:rPr>
            <w:noProof/>
            <w:webHidden/>
          </w:rPr>
          <w:fldChar w:fldCharType="begin"/>
        </w:r>
        <w:r>
          <w:rPr>
            <w:noProof/>
            <w:webHidden/>
          </w:rPr>
          <w:instrText xml:space="preserve"> PAGEREF _Toc514328814 \h </w:instrText>
        </w:r>
        <w:r>
          <w:rPr>
            <w:noProof/>
            <w:webHidden/>
          </w:rPr>
        </w:r>
        <w:r>
          <w:rPr>
            <w:noProof/>
            <w:webHidden/>
          </w:rPr>
          <w:fldChar w:fldCharType="separate"/>
        </w:r>
        <w:r>
          <w:rPr>
            <w:noProof/>
            <w:webHidden/>
          </w:rPr>
          <w:t>45</w:t>
        </w:r>
        <w:r>
          <w:rPr>
            <w:noProof/>
            <w:webHidden/>
          </w:rPr>
          <w:fldChar w:fldCharType="end"/>
        </w:r>
      </w:hyperlink>
    </w:p>
    <w:p w:rsidR="00A55D73" w:rsidRDefault="00A55D73">
      <w:pPr>
        <w:pStyle w:val="TOC2"/>
        <w:tabs>
          <w:tab w:val="left" w:pos="1077"/>
        </w:tabs>
        <w:rPr>
          <w:rFonts w:asciiTheme="minorHAnsi" w:eastAsiaTheme="minorEastAsia" w:hAnsiTheme="minorHAnsi" w:cstheme="minorBidi"/>
          <w:noProof/>
          <w:sz w:val="22"/>
          <w:szCs w:val="22"/>
          <w:lang w:eastAsia="en-GB"/>
        </w:rPr>
      </w:pPr>
      <w:hyperlink w:anchor="_Toc514328815" w:history="1">
        <w:r w:rsidRPr="00FE0A5F">
          <w:rPr>
            <w:rStyle w:val="Hyperlink"/>
            <w:noProof/>
          </w:rPr>
          <w:t>7.4</w:t>
        </w:r>
        <w:r>
          <w:rPr>
            <w:rFonts w:asciiTheme="minorHAnsi" w:eastAsiaTheme="minorEastAsia" w:hAnsiTheme="minorHAnsi" w:cstheme="minorBidi"/>
            <w:noProof/>
            <w:sz w:val="22"/>
            <w:szCs w:val="22"/>
            <w:lang w:eastAsia="en-GB"/>
          </w:rPr>
          <w:tab/>
        </w:r>
        <w:r w:rsidRPr="00FE0A5F">
          <w:rPr>
            <w:rStyle w:val="Hyperlink"/>
            <w:noProof/>
          </w:rPr>
          <w:t>Driver 3: Limited use of zero- and low-emission vehicles in the HDV sector</w:t>
        </w:r>
        <w:r>
          <w:rPr>
            <w:noProof/>
            <w:webHidden/>
          </w:rPr>
          <w:tab/>
        </w:r>
        <w:r>
          <w:rPr>
            <w:noProof/>
            <w:webHidden/>
          </w:rPr>
          <w:fldChar w:fldCharType="begin"/>
        </w:r>
        <w:r>
          <w:rPr>
            <w:noProof/>
            <w:webHidden/>
          </w:rPr>
          <w:instrText xml:space="preserve"> PAGEREF _Toc514328815 \h </w:instrText>
        </w:r>
        <w:r>
          <w:rPr>
            <w:noProof/>
            <w:webHidden/>
          </w:rPr>
        </w:r>
        <w:r>
          <w:rPr>
            <w:noProof/>
            <w:webHidden/>
          </w:rPr>
          <w:fldChar w:fldCharType="separate"/>
        </w:r>
        <w:r>
          <w:rPr>
            <w:noProof/>
            <w:webHidden/>
          </w:rPr>
          <w:t>46</w:t>
        </w:r>
        <w:r>
          <w:rPr>
            <w:noProof/>
            <w:webHidden/>
          </w:rPr>
          <w:fldChar w:fldCharType="end"/>
        </w:r>
      </w:hyperlink>
    </w:p>
    <w:p w:rsidR="00A55D73" w:rsidRDefault="00A55D73">
      <w:pPr>
        <w:pStyle w:val="TOC1"/>
        <w:rPr>
          <w:rFonts w:asciiTheme="minorHAnsi" w:eastAsiaTheme="minorEastAsia" w:hAnsiTheme="minorHAnsi" w:cstheme="minorBidi"/>
          <w:caps w:val="0"/>
          <w:noProof/>
          <w:sz w:val="22"/>
          <w:szCs w:val="22"/>
          <w:lang w:eastAsia="en-GB"/>
        </w:rPr>
      </w:pPr>
      <w:hyperlink w:anchor="_Toc514328816" w:history="1">
        <w:r w:rsidRPr="00FE0A5F">
          <w:rPr>
            <w:rStyle w:val="Hyperlink"/>
            <w:noProof/>
          </w:rPr>
          <w:t>8</w:t>
        </w:r>
        <w:r>
          <w:rPr>
            <w:rFonts w:asciiTheme="minorHAnsi" w:eastAsiaTheme="minorEastAsia" w:hAnsiTheme="minorHAnsi" w:cstheme="minorBidi"/>
            <w:caps w:val="0"/>
            <w:noProof/>
            <w:sz w:val="22"/>
            <w:szCs w:val="22"/>
            <w:lang w:eastAsia="en-GB"/>
          </w:rPr>
          <w:tab/>
        </w:r>
        <w:r w:rsidRPr="00FE0A5F">
          <w:rPr>
            <w:rStyle w:val="Hyperlink"/>
            <w:noProof/>
          </w:rPr>
          <w:t>Annex 8: Step-wise approach for regulating HDV CO</w:t>
        </w:r>
        <w:r w:rsidRPr="00FE0A5F">
          <w:rPr>
            <w:rStyle w:val="Hyperlink"/>
            <w:noProof/>
            <w:vertAlign w:val="subscript"/>
          </w:rPr>
          <w:t>2</w:t>
        </w:r>
        <w:r w:rsidRPr="00FE0A5F">
          <w:rPr>
            <w:rStyle w:val="Hyperlink"/>
            <w:noProof/>
          </w:rPr>
          <w:t xml:space="preserve"> emissions: VECTO, Certification and monitoring/reporting of HDV CO</w:t>
        </w:r>
        <w:r w:rsidRPr="00FE0A5F">
          <w:rPr>
            <w:rStyle w:val="Hyperlink"/>
            <w:noProof/>
            <w:vertAlign w:val="subscript"/>
          </w:rPr>
          <w:t>2</w:t>
        </w:r>
        <w:r w:rsidRPr="00FE0A5F">
          <w:rPr>
            <w:rStyle w:val="Hyperlink"/>
            <w:noProof/>
          </w:rPr>
          <w:t xml:space="preserve"> emissions.</w:t>
        </w:r>
        <w:r>
          <w:rPr>
            <w:noProof/>
            <w:webHidden/>
          </w:rPr>
          <w:tab/>
        </w:r>
        <w:r>
          <w:rPr>
            <w:noProof/>
            <w:webHidden/>
          </w:rPr>
          <w:fldChar w:fldCharType="begin"/>
        </w:r>
        <w:r>
          <w:rPr>
            <w:noProof/>
            <w:webHidden/>
          </w:rPr>
          <w:instrText xml:space="preserve"> PAGEREF _Toc514328816 \h </w:instrText>
        </w:r>
        <w:r>
          <w:rPr>
            <w:noProof/>
            <w:webHidden/>
          </w:rPr>
        </w:r>
        <w:r>
          <w:rPr>
            <w:noProof/>
            <w:webHidden/>
          </w:rPr>
          <w:fldChar w:fldCharType="separate"/>
        </w:r>
        <w:r>
          <w:rPr>
            <w:noProof/>
            <w:webHidden/>
          </w:rPr>
          <w:t>47</w:t>
        </w:r>
        <w:r>
          <w:rPr>
            <w:noProof/>
            <w:webHidden/>
          </w:rPr>
          <w:fldChar w:fldCharType="end"/>
        </w:r>
      </w:hyperlink>
    </w:p>
    <w:p w:rsidR="00A55D73" w:rsidRDefault="00A55D73">
      <w:pPr>
        <w:pStyle w:val="TOC2"/>
        <w:tabs>
          <w:tab w:val="left" w:pos="1077"/>
        </w:tabs>
        <w:rPr>
          <w:rFonts w:asciiTheme="minorHAnsi" w:eastAsiaTheme="minorEastAsia" w:hAnsiTheme="minorHAnsi" w:cstheme="minorBidi"/>
          <w:noProof/>
          <w:sz w:val="22"/>
          <w:szCs w:val="22"/>
          <w:lang w:eastAsia="en-GB"/>
        </w:rPr>
      </w:pPr>
      <w:hyperlink w:anchor="_Toc514328817" w:history="1">
        <w:r w:rsidRPr="00FE0A5F">
          <w:rPr>
            <w:rStyle w:val="Hyperlink"/>
            <w:noProof/>
          </w:rPr>
          <w:t>8.1</w:t>
        </w:r>
        <w:r>
          <w:rPr>
            <w:rFonts w:asciiTheme="minorHAnsi" w:eastAsiaTheme="minorEastAsia" w:hAnsiTheme="minorHAnsi" w:cstheme="minorBidi"/>
            <w:noProof/>
            <w:sz w:val="22"/>
            <w:szCs w:val="22"/>
            <w:lang w:eastAsia="en-GB"/>
          </w:rPr>
          <w:tab/>
        </w:r>
        <w:r w:rsidRPr="00FE0A5F">
          <w:rPr>
            <w:rStyle w:val="Hyperlink"/>
            <w:noProof/>
          </w:rPr>
          <w:t>VECTO</w:t>
        </w:r>
        <w:r>
          <w:rPr>
            <w:noProof/>
            <w:webHidden/>
          </w:rPr>
          <w:tab/>
        </w:r>
        <w:r>
          <w:rPr>
            <w:noProof/>
            <w:webHidden/>
          </w:rPr>
          <w:fldChar w:fldCharType="begin"/>
        </w:r>
        <w:r>
          <w:rPr>
            <w:noProof/>
            <w:webHidden/>
          </w:rPr>
          <w:instrText xml:space="preserve"> PAGEREF _Toc514328817 \h </w:instrText>
        </w:r>
        <w:r>
          <w:rPr>
            <w:noProof/>
            <w:webHidden/>
          </w:rPr>
        </w:r>
        <w:r>
          <w:rPr>
            <w:noProof/>
            <w:webHidden/>
          </w:rPr>
          <w:fldChar w:fldCharType="separate"/>
        </w:r>
        <w:r>
          <w:rPr>
            <w:noProof/>
            <w:webHidden/>
          </w:rPr>
          <w:t>48</w:t>
        </w:r>
        <w:r>
          <w:rPr>
            <w:noProof/>
            <w:webHidden/>
          </w:rPr>
          <w:fldChar w:fldCharType="end"/>
        </w:r>
      </w:hyperlink>
    </w:p>
    <w:p w:rsidR="00A55D73" w:rsidRDefault="00A55D73">
      <w:pPr>
        <w:pStyle w:val="TOC3"/>
        <w:rPr>
          <w:rFonts w:asciiTheme="minorHAnsi" w:eastAsiaTheme="minorEastAsia" w:hAnsiTheme="minorHAnsi" w:cstheme="minorBidi"/>
          <w:sz w:val="22"/>
          <w:lang w:val="en-GB" w:eastAsia="en-GB"/>
        </w:rPr>
      </w:pPr>
      <w:hyperlink w:anchor="_Toc514328818" w:history="1">
        <w:r w:rsidRPr="00FE0A5F">
          <w:rPr>
            <w:rStyle w:val="Hyperlink"/>
          </w:rPr>
          <w:t>8.1.1</w:t>
        </w:r>
        <w:r>
          <w:rPr>
            <w:rFonts w:asciiTheme="minorHAnsi" w:eastAsiaTheme="minorEastAsia" w:hAnsiTheme="minorHAnsi" w:cstheme="minorBidi"/>
            <w:sz w:val="22"/>
            <w:lang w:val="en-GB" w:eastAsia="en-GB"/>
          </w:rPr>
          <w:tab/>
        </w:r>
        <w:r w:rsidRPr="00FE0A5F">
          <w:rPr>
            <w:rStyle w:val="Hyperlink"/>
          </w:rPr>
          <w:t>Introduction</w:t>
        </w:r>
        <w:r>
          <w:rPr>
            <w:webHidden/>
          </w:rPr>
          <w:tab/>
        </w:r>
        <w:r>
          <w:rPr>
            <w:webHidden/>
          </w:rPr>
          <w:fldChar w:fldCharType="begin"/>
        </w:r>
        <w:r>
          <w:rPr>
            <w:webHidden/>
          </w:rPr>
          <w:instrText xml:space="preserve"> PAGEREF _Toc514328818 \h </w:instrText>
        </w:r>
        <w:r>
          <w:rPr>
            <w:webHidden/>
          </w:rPr>
        </w:r>
        <w:r>
          <w:rPr>
            <w:webHidden/>
          </w:rPr>
          <w:fldChar w:fldCharType="separate"/>
        </w:r>
        <w:r>
          <w:rPr>
            <w:webHidden/>
          </w:rPr>
          <w:t>48</w:t>
        </w:r>
        <w:r>
          <w:rPr>
            <w:webHidden/>
          </w:rPr>
          <w:fldChar w:fldCharType="end"/>
        </w:r>
      </w:hyperlink>
    </w:p>
    <w:p w:rsidR="00A55D73" w:rsidRDefault="00A55D73">
      <w:pPr>
        <w:pStyle w:val="TOC3"/>
        <w:rPr>
          <w:rFonts w:asciiTheme="minorHAnsi" w:eastAsiaTheme="minorEastAsia" w:hAnsiTheme="minorHAnsi" w:cstheme="minorBidi"/>
          <w:sz w:val="22"/>
          <w:lang w:val="en-GB" w:eastAsia="en-GB"/>
        </w:rPr>
      </w:pPr>
      <w:hyperlink w:anchor="_Toc514328819" w:history="1">
        <w:r w:rsidRPr="00FE0A5F">
          <w:rPr>
            <w:rStyle w:val="Hyperlink"/>
            <w:bCs/>
            <w:lang w:eastAsia="en-GB"/>
          </w:rPr>
          <w:t>8.1.2</w:t>
        </w:r>
        <w:r>
          <w:rPr>
            <w:rFonts w:asciiTheme="minorHAnsi" w:eastAsiaTheme="minorEastAsia" w:hAnsiTheme="minorHAnsi" w:cstheme="minorBidi"/>
            <w:sz w:val="22"/>
            <w:lang w:val="en-GB" w:eastAsia="en-GB"/>
          </w:rPr>
          <w:tab/>
        </w:r>
        <w:r w:rsidRPr="00FE0A5F">
          <w:rPr>
            <w:rStyle w:val="Hyperlink"/>
            <w:lang w:eastAsia="en-GB"/>
          </w:rPr>
          <w:t>Schematic overview of simulation model and computational programme</w:t>
        </w:r>
        <w:r>
          <w:rPr>
            <w:webHidden/>
          </w:rPr>
          <w:tab/>
        </w:r>
        <w:r>
          <w:rPr>
            <w:webHidden/>
          </w:rPr>
          <w:fldChar w:fldCharType="begin"/>
        </w:r>
        <w:r>
          <w:rPr>
            <w:webHidden/>
          </w:rPr>
          <w:instrText xml:space="preserve"> PAGEREF _Toc514328819 \h </w:instrText>
        </w:r>
        <w:r>
          <w:rPr>
            <w:webHidden/>
          </w:rPr>
        </w:r>
        <w:r>
          <w:rPr>
            <w:webHidden/>
          </w:rPr>
          <w:fldChar w:fldCharType="separate"/>
        </w:r>
        <w:r>
          <w:rPr>
            <w:webHidden/>
          </w:rPr>
          <w:t>49</w:t>
        </w:r>
        <w:r>
          <w:rPr>
            <w:webHidden/>
          </w:rPr>
          <w:fldChar w:fldCharType="end"/>
        </w:r>
      </w:hyperlink>
    </w:p>
    <w:p w:rsidR="00A55D73" w:rsidRDefault="00A55D73">
      <w:pPr>
        <w:pStyle w:val="TOC3"/>
        <w:rPr>
          <w:rFonts w:asciiTheme="minorHAnsi" w:eastAsiaTheme="minorEastAsia" w:hAnsiTheme="minorHAnsi" w:cstheme="minorBidi"/>
          <w:sz w:val="22"/>
          <w:lang w:val="en-GB" w:eastAsia="en-GB"/>
        </w:rPr>
      </w:pPr>
      <w:hyperlink w:anchor="_Toc514328820" w:history="1">
        <w:r w:rsidRPr="00FE0A5F">
          <w:rPr>
            <w:rStyle w:val="Hyperlink"/>
          </w:rPr>
          <w:t>8.1.3</w:t>
        </w:r>
        <w:r>
          <w:rPr>
            <w:rFonts w:asciiTheme="minorHAnsi" w:eastAsiaTheme="minorEastAsia" w:hAnsiTheme="minorHAnsi" w:cstheme="minorBidi"/>
            <w:sz w:val="22"/>
            <w:lang w:val="en-GB" w:eastAsia="en-GB"/>
          </w:rPr>
          <w:tab/>
        </w:r>
        <w:r w:rsidRPr="00FE0A5F">
          <w:rPr>
            <w:rStyle w:val="Hyperlink"/>
          </w:rPr>
          <w:t>Adequacy of VECTO as a simulation tool</w:t>
        </w:r>
        <w:r>
          <w:rPr>
            <w:webHidden/>
          </w:rPr>
          <w:tab/>
        </w:r>
        <w:r>
          <w:rPr>
            <w:webHidden/>
          </w:rPr>
          <w:fldChar w:fldCharType="begin"/>
        </w:r>
        <w:r>
          <w:rPr>
            <w:webHidden/>
          </w:rPr>
          <w:instrText xml:space="preserve"> PAGEREF _Toc514328820 \h </w:instrText>
        </w:r>
        <w:r>
          <w:rPr>
            <w:webHidden/>
          </w:rPr>
        </w:r>
        <w:r>
          <w:rPr>
            <w:webHidden/>
          </w:rPr>
          <w:fldChar w:fldCharType="separate"/>
        </w:r>
        <w:r>
          <w:rPr>
            <w:webHidden/>
          </w:rPr>
          <w:t>51</w:t>
        </w:r>
        <w:r>
          <w:rPr>
            <w:webHidden/>
          </w:rPr>
          <w:fldChar w:fldCharType="end"/>
        </w:r>
      </w:hyperlink>
    </w:p>
    <w:p w:rsidR="00A55D73" w:rsidRDefault="00A55D73">
      <w:pPr>
        <w:pStyle w:val="TOC3"/>
        <w:rPr>
          <w:rFonts w:asciiTheme="minorHAnsi" w:eastAsiaTheme="minorEastAsia" w:hAnsiTheme="minorHAnsi" w:cstheme="minorBidi"/>
          <w:sz w:val="22"/>
          <w:lang w:val="en-GB" w:eastAsia="en-GB"/>
        </w:rPr>
      </w:pPr>
      <w:hyperlink w:anchor="_Toc514328821" w:history="1">
        <w:r w:rsidRPr="00FE0A5F">
          <w:rPr>
            <w:rStyle w:val="Hyperlink"/>
          </w:rPr>
          <w:t>8.1.4</w:t>
        </w:r>
        <w:r>
          <w:rPr>
            <w:rFonts w:asciiTheme="minorHAnsi" w:eastAsiaTheme="minorEastAsia" w:hAnsiTheme="minorHAnsi" w:cstheme="minorBidi"/>
            <w:sz w:val="22"/>
            <w:lang w:val="en-GB" w:eastAsia="en-GB"/>
          </w:rPr>
          <w:tab/>
        </w:r>
        <w:r w:rsidRPr="00FE0A5F">
          <w:rPr>
            <w:rStyle w:val="Hyperlink"/>
          </w:rPr>
          <w:t>Future development steps of the VECTO tool</w:t>
        </w:r>
        <w:r>
          <w:rPr>
            <w:webHidden/>
          </w:rPr>
          <w:tab/>
        </w:r>
        <w:r>
          <w:rPr>
            <w:webHidden/>
          </w:rPr>
          <w:fldChar w:fldCharType="begin"/>
        </w:r>
        <w:r>
          <w:rPr>
            <w:webHidden/>
          </w:rPr>
          <w:instrText xml:space="preserve"> PAGEREF _Toc514328821 \h </w:instrText>
        </w:r>
        <w:r>
          <w:rPr>
            <w:webHidden/>
          </w:rPr>
        </w:r>
        <w:r>
          <w:rPr>
            <w:webHidden/>
          </w:rPr>
          <w:fldChar w:fldCharType="separate"/>
        </w:r>
        <w:r>
          <w:rPr>
            <w:webHidden/>
          </w:rPr>
          <w:t>52</w:t>
        </w:r>
        <w:r>
          <w:rPr>
            <w:webHidden/>
          </w:rPr>
          <w:fldChar w:fldCharType="end"/>
        </w:r>
      </w:hyperlink>
    </w:p>
    <w:p w:rsidR="00A55D73" w:rsidRDefault="00A55D73">
      <w:pPr>
        <w:pStyle w:val="TOC2"/>
        <w:tabs>
          <w:tab w:val="left" w:pos="1077"/>
        </w:tabs>
        <w:rPr>
          <w:rFonts w:asciiTheme="minorHAnsi" w:eastAsiaTheme="minorEastAsia" w:hAnsiTheme="minorHAnsi" w:cstheme="minorBidi"/>
          <w:noProof/>
          <w:sz w:val="22"/>
          <w:szCs w:val="22"/>
          <w:lang w:eastAsia="en-GB"/>
        </w:rPr>
      </w:pPr>
      <w:hyperlink w:anchor="_Toc514328822" w:history="1">
        <w:r w:rsidRPr="00FE0A5F">
          <w:rPr>
            <w:rStyle w:val="Hyperlink"/>
            <w:noProof/>
          </w:rPr>
          <w:t>8.2</w:t>
        </w:r>
        <w:r>
          <w:rPr>
            <w:rFonts w:asciiTheme="minorHAnsi" w:eastAsiaTheme="minorEastAsia" w:hAnsiTheme="minorHAnsi" w:cstheme="minorBidi"/>
            <w:noProof/>
            <w:sz w:val="22"/>
            <w:szCs w:val="22"/>
            <w:lang w:eastAsia="en-GB"/>
          </w:rPr>
          <w:tab/>
        </w:r>
        <w:r w:rsidRPr="00FE0A5F">
          <w:rPr>
            <w:rStyle w:val="Hyperlink"/>
            <w:noProof/>
          </w:rPr>
          <w:t>Certification Regulation</w:t>
        </w:r>
        <w:r>
          <w:rPr>
            <w:noProof/>
            <w:webHidden/>
          </w:rPr>
          <w:tab/>
        </w:r>
        <w:r>
          <w:rPr>
            <w:noProof/>
            <w:webHidden/>
          </w:rPr>
          <w:fldChar w:fldCharType="begin"/>
        </w:r>
        <w:r>
          <w:rPr>
            <w:noProof/>
            <w:webHidden/>
          </w:rPr>
          <w:instrText xml:space="preserve"> PAGEREF _Toc514328822 \h </w:instrText>
        </w:r>
        <w:r>
          <w:rPr>
            <w:noProof/>
            <w:webHidden/>
          </w:rPr>
        </w:r>
        <w:r>
          <w:rPr>
            <w:noProof/>
            <w:webHidden/>
          </w:rPr>
          <w:fldChar w:fldCharType="separate"/>
        </w:r>
        <w:r>
          <w:rPr>
            <w:noProof/>
            <w:webHidden/>
          </w:rPr>
          <w:t>53</w:t>
        </w:r>
        <w:r>
          <w:rPr>
            <w:noProof/>
            <w:webHidden/>
          </w:rPr>
          <w:fldChar w:fldCharType="end"/>
        </w:r>
      </w:hyperlink>
    </w:p>
    <w:p w:rsidR="00A55D73" w:rsidRDefault="00A55D73">
      <w:pPr>
        <w:pStyle w:val="TOC2"/>
        <w:tabs>
          <w:tab w:val="left" w:pos="1077"/>
        </w:tabs>
        <w:rPr>
          <w:rFonts w:asciiTheme="minorHAnsi" w:eastAsiaTheme="minorEastAsia" w:hAnsiTheme="minorHAnsi" w:cstheme="minorBidi"/>
          <w:noProof/>
          <w:sz w:val="22"/>
          <w:szCs w:val="22"/>
          <w:lang w:eastAsia="en-GB"/>
        </w:rPr>
      </w:pPr>
      <w:hyperlink w:anchor="_Toc514328823" w:history="1">
        <w:r w:rsidRPr="00FE0A5F">
          <w:rPr>
            <w:rStyle w:val="Hyperlink"/>
            <w:noProof/>
          </w:rPr>
          <w:t>8.3</w:t>
        </w:r>
        <w:r>
          <w:rPr>
            <w:rFonts w:asciiTheme="minorHAnsi" w:eastAsiaTheme="minorEastAsia" w:hAnsiTheme="minorHAnsi" w:cstheme="minorBidi"/>
            <w:noProof/>
            <w:sz w:val="22"/>
            <w:szCs w:val="22"/>
            <w:lang w:eastAsia="en-GB"/>
          </w:rPr>
          <w:tab/>
        </w:r>
        <w:r w:rsidRPr="00FE0A5F">
          <w:rPr>
            <w:rStyle w:val="Hyperlink"/>
            <w:noProof/>
          </w:rPr>
          <w:t>Monitoring and reporting</w:t>
        </w:r>
        <w:r>
          <w:rPr>
            <w:noProof/>
            <w:webHidden/>
          </w:rPr>
          <w:tab/>
        </w:r>
        <w:r>
          <w:rPr>
            <w:noProof/>
            <w:webHidden/>
          </w:rPr>
          <w:fldChar w:fldCharType="begin"/>
        </w:r>
        <w:r>
          <w:rPr>
            <w:noProof/>
            <w:webHidden/>
          </w:rPr>
          <w:instrText xml:space="preserve"> PAGEREF _Toc514328823 \h </w:instrText>
        </w:r>
        <w:r>
          <w:rPr>
            <w:noProof/>
            <w:webHidden/>
          </w:rPr>
        </w:r>
        <w:r>
          <w:rPr>
            <w:noProof/>
            <w:webHidden/>
          </w:rPr>
          <w:fldChar w:fldCharType="separate"/>
        </w:r>
        <w:r>
          <w:rPr>
            <w:noProof/>
            <w:webHidden/>
          </w:rPr>
          <w:t>56</w:t>
        </w:r>
        <w:r>
          <w:rPr>
            <w:noProof/>
            <w:webHidden/>
          </w:rPr>
          <w:fldChar w:fldCharType="end"/>
        </w:r>
      </w:hyperlink>
    </w:p>
    <w:p w:rsidR="00A55D73" w:rsidRDefault="00A55D73">
      <w:pPr>
        <w:pStyle w:val="TOC1"/>
        <w:rPr>
          <w:rFonts w:asciiTheme="minorHAnsi" w:eastAsiaTheme="minorEastAsia" w:hAnsiTheme="minorHAnsi" w:cstheme="minorBidi"/>
          <w:caps w:val="0"/>
          <w:noProof/>
          <w:sz w:val="22"/>
          <w:szCs w:val="22"/>
          <w:lang w:eastAsia="en-GB"/>
        </w:rPr>
      </w:pPr>
      <w:hyperlink w:anchor="_Toc514328824" w:history="1">
        <w:r w:rsidRPr="00FE0A5F">
          <w:rPr>
            <w:rStyle w:val="Hyperlink"/>
            <w:noProof/>
          </w:rPr>
          <w:t>9</w:t>
        </w:r>
        <w:r>
          <w:rPr>
            <w:rFonts w:asciiTheme="minorHAnsi" w:eastAsiaTheme="minorEastAsia" w:hAnsiTheme="minorHAnsi" w:cstheme="minorBidi"/>
            <w:caps w:val="0"/>
            <w:noProof/>
            <w:sz w:val="22"/>
            <w:szCs w:val="22"/>
            <w:lang w:eastAsia="en-GB"/>
          </w:rPr>
          <w:tab/>
        </w:r>
        <w:r w:rsidRPr="00FE0A5F">
          <w:rPr>
            <w:rStyle w:val="Hyperlink"/>
            <w:noProof/>
          </w:rPr>
          <w:t>Annex 9 – Description of the options - complementary information</w:t>
        </w:r>
        <w:r>
          <w:rPr>
            <w:noProof/>
            <w:webHidden/>
          </w:rPr>
          <w:tab/>
        </w:r>
        <w:r>
          <w:rPr>
            <w:noProof/>
            <w:webHidden/>
          </w:rPr>
          <w:fldChar w:fldCharType="begin"/>
        </w:r>
        <w:r>
          <w:rPr>
            <w:noProof/>
            <w:webHidden/>
          </w:rPr>
          <w:instrText xml:space="preserve"> PAGEREF _Toc514328824 \h </w:instrText>
        </w:r>
        <w:r>
          <w:rPr>
            <w:noProof/>
            <w:webHidden/>
          </w:rPr>
        </w:r>
        <w:r>
          <w:rPr>
            <w:noProof/>
            <w:webHidden/>
          </w:rPr>
          <w:fldChar w:fldCharType="separate"/>
        </w:r>
        <w:r>
          <w:rPr>
            <w:noProof/>
            <w:webHidden/>
          </w:rPr>
          <w:t>57</w:t>
        </w:r>
        <w:r>
          <w:rPr>
            <w:noProof/>
            <w:webHidden/>
          </w:rPr>
          <w:fldChar w:fldCharType="end"/>
        </w:r>
      </w:hyperlink>
    </w:p>
    <w:p w:rsidR="00A55D73" w:rsidRDefault="00A55D73">
      <w:pPr>
        <w:pStyle w:val="TOC2"/>
        <w:tabs>
          <w:tab w:val="left" w:pos="1077"/>
        </w:tabs>
        <w:rPr>
          <w:rFonts w:asciiTheme="minorHAnsi" w:eastAsiaTheme="minorEastAsia" w:hAnsiTheme="minorHAnsi" w:cstheme="minorBidi"/>
          <w:noProof/>
          <w:sz w:val="22"/>
          <w:szCs w:val="22"/>
          <w:lang w:eastAsia="en-GB"/>
        </w:rPr>
      </w:pPr>
      <w:hyperlink w:anchor="_Toc514328825" w:history="1">
        <w:r w:rsidRPr="00FE0A5F">
          <w:rPr>
            <w:rStyle w:val="Hyperlink"/>
            <w:noProof/>
          </w:rPr>
          <w:t>9.1</w:t>
        </w:r>
        <w:r>
          <w:rPr>
            <w:rFonts w:asciiTheme="minorHAnsi" w:eastAsiaTheme="minorEastAsia" w:hAnsiTheme="minorHAnsi" w:cstheme="minorBidi"/>
            <w:noProof/>
            <w:sz w:val="22"/>
            <w:szCs w:val="22"/>
            <w:lang w:eastAsia="en-GB"/>
          </w:rPr>
          <w:tab/>
        </w:r>
        <w:r w:rsidRPr="00FE0A5F">
          <w:rPr>
            <w:rStyle w:val="Hyperlink"/>
            <w:noProof/>
          </w:rPr>
          <w:t>Policy option categories</w:t>
        </w:r>
        <w:r>
          <w:rPr>
            <w:noProof/>
            <w:webHidden/>
          </w:rPr>
          <w:tab/>
        </w:r>
        <w:r>
          <w:rPr>
            <w:noProof/>
            <w:webHidden/>
          </w:rPr>
          <w:fldChar w:fldCharType="begin"/>
        </w:r>
        <w:r>
          <w:rPr>
            <w:noProof/>
            <w:webHidden/>
          </w:rPr>
          <w:instrText xml:space="preserve"> PAGEREF _Toc514328825 \h </w:instrText>
        </w:r>
        <w:r>
          <w:rPr>
            <w:noProof/>
            <w:webHidden/>
          </w:rPr>
        </w:r>
        <w:r>
          <w:rPr>
            <w:noProof/>
            <w:webHidden/>
          </w:rPr>
          <w:fldChar w:fldCharType="separate"/>
        </w:r>
        <w:r>
          <w:rPr>
            <w:noProof/>
            <w:webHidden/>
          </w:rPr>
          <w:t>57</w:t>
        </w:r>
        <w:r>
          <w:rPr>
            <w:noProof/>
            <w:webHidden/>
          </w:rPr>
          <w:fldChar w:fldCharType="end"/>
        </w:r>
      </w:hyperlink>
    </w:p>
    <w:p w:rsidR="00A55D73" w:rsidRDefault="00A55D73">
      <w:pPr>
        <w:pStyle w:val="TOC2"/>
        <w:tabs>
          <w:tab w:val="left" w:pos="1077"/>
        </w:tabs>
        <w:rPr>
          <w:rFonts w:asciiTheme="minorHAnsi" w:eastAsiaTheme="minorEastAsia" w:hAnsiTheme="minorHAnsi" w:cstheme="minorBidi"/>
          <w:noProof/>
          <w:sz w:val="22"/>
          <w:szCs w:val="22"/>
          <w:lang w:eastAsia="en-GB"/>
        </w:rPr>
      </w:pPr>
      <w:hyperlink w:anchor="_Toc514328826" w:history="1">
        <w:r w:rsidRPr="00FE0A5F">
          <w:rPr>
            <w:rStyle w:val="Hyperlink"/>
            <w:noProof/>
          </w:rPr>
          <w:t>9.2</w:t>
        </w:r>
        <w:r>
          <w:rPr>
            <w:rFonts w:asciiTheme="minorHAnsi" w:eastAsiaTheme="minorEastAsia" w:hAnsiTheme="minorHAnsi" w:cstheme="minorBidi"/>
            <w:noProof/>
            <w:sz w:val="22"/>
            <w:szCs w:val="22"/>
            <w:lang w:eastAsia="en-GB"/>
          </w:rPr>
          <w:tab/>
        </w:r>
        <w:r w:rsidRPr="00FE0A5F">
          <w:rPr>
            <w:rStyle w:val="Hyperlink"/>
            <w:noProof/>
          </w:rPr>
          <w:t>Target levels – baseline and overview of options</w:t>
        </w:r>
        <w:r>
          <w:rPr>
            <w:noProof/>
            <w:webHidden/>
          </w:rPr>
          <w:tab/>
        </w:r>
        <w:r>
          <w:rPr>
            <w:noProof/>
            <w:webHidden/>
          </w:rPr>
          <w:fldChar w:fldCharType="begin"/>
        </w:r>
        <w:r>
          <w:rPr>
            <w:noProof/>
            <w:webHidden/>
          </w:rPr>
          <w:instrText xml:space="preserve"> PAGEREF _Toc514328826 \h </w:instrText>
        </w:r>
        <w:r>
          <w:rPr>
            <w:noProof/>
            <w:webHidden/>
          </w:rPr>
        </w:r>
        <w:r>
          <w:rPr>
            <w:noProof/>
            <w:webHidden/>
          </w:rPr>
          <w:fldChar w:fldCharType="separate"/>
        </w:r>
        <w:r>
          <w:rPr>
            <w:noProof/>
            <w:webHidden/>
          </w:rPr>
          <w:t>58</w:t>
        </w:r>
        <w:r>
          <w:rPr>
            <w:noProof/>
            <w:webHidden/>
          </w:rPr>
          <w:fldChar w:fldCharType="end"/>
        </w:r>
      </w:hyperlink>
    </w:p>
    <w:p w:rsidR="00A55D73" w:rsidRDefault="00A55D73">
      <w:pPr>
        <w:pStyle w:val="TOC2"/>
        <w:tabs>
          <w:tab w:val="left" w:pos="1077"/>
        </w:tabs>
        <w:rPr>
          <w:rFonts w:asciiTheme="minorHAnsi" w:eastAsiaTheme="minorEastAsia" w:hAnsiTheme="minorHAnsi" w:cstheme="minorBidi"/>
          <w:noProof/>
          <w:sz w:val="22"/>
          <w:szCs w:val="22"/>
          <w:lang w:eastAsia="en-GB"/>
        </w:rPr>
      </w:pPr>
      <w:hyperlink w:anchor="_Toc514328827" w:history="1">
        <w:r w:rsidRPr="00FE0A5F">
          <w:rPr>
            <w:rStyle w:val="Hyperlink"/>
            <w:noProof/>
            <w:lang w:val="en-US"/>
          </w:rPr>
          <w:t>9.3</w:t>
        </w:r>
        <w:r>
          <w:rPr>
            <w:rFonts w:asciiTheme="minorHAnsi" w:eastAsiaTheme="minorEastAsia" w:hAnsiTheme="minorHAnsi" w:cstheme="minorBidi"/>
            <w:noProof/>
            <w:sz w:val="22"/>
            <w:szCs w:val="22"/>
            <w:lang w:eastAsia="en-GB"/>
          </w:rPr>
          <w:tab/>
        </w:r>
        <w:r w:rsidRPr="00FE0A5F">
          <w:rPr>
            <w:rStyle w:val="Hyperlink"/>
            <w:noProof/>
          </w:rPr>
          <w:t>Incentives for Zero- and Low-Emission Vehicles (ZEV/LEV)- context</w:t>
        </w:r>
        <w:r>
          <w:rPr>
            <w:noProof/>
            <w:webHidden/>
          </w:rPr>
          <w:tab/>
        </w:r>
        <w:r>
          <w:rPr>
            <w:noProof/>
            <w:webHidden/>
          </w:rPr>
          <w:fldChar w:fldCharType="begin"/>
        </w:r>
        <w:r>
          <w:rPr>
            <w:noProof/>
            <w:webHidden/>
          </w:rPr>
          <w:instrText xml:space="preserve"> PAGEREF _Toc514328827 \h </w:instrText>
        </w:r>
        <w:r>
          <w:rPr>
            <w:noProof/>
            <w:webHidden/>
          </w:rPr>
        </w:r>
        <w:r>
          <w:rPr>
            <w:noProof/>
            <w:webHidden/>
          </w:rPr>
          <w:fldChar w:fldCharType="separate"/>
        </w:r>
        <w:r>
          <w:rPr>
            <w:noProof/>
            <w:webHidden/>
          </w:rPr>
          <w:t>59</w:t>
        </w:r>
        <w:r>
          <w:rPr>
            <w:noProof/>
            <w:webHidden/>
          </w:rPr>
          <w:fldChar w:fldCharType="end"/>
        </w:r>
      </w:hyperlink>
    </w:p>
    <w:p w:rsidR="00A55D73" w:rsidRDefault="00A55D73">
      <w:pPr>
        <w:pStyle w:val="TOC2"/>
        <w:tabs>
          <w:tab w:val="left" w:pos="1077"/>
        </w:tabs>
        <w:rPr>
          <w:rFonts w:asciiTheme="minorHAnsi" w:eastAsiaTheme="minorEastAsia" w:hAnsiTheme="minorHAnsi" w:cstheme="minorBidi"/>
          <w:noProof/>
          <w:sz w:val="22"/>
          <w:szCs w:val="22"/>
          <w:lang w:eastAsia="en-GB"/>
        </w:rPr>
      </w:pPr>
      <w:hyperlink w:anchor="_Toc514328828" w:history="1">
        <w:r w:rsidRPr="00FE0A5F">
          <w:rPr>
            <w:rStyle w:val="Hyperlink"/>
            <w:noProof/>
            <w:lang w:val="en-US"/>
          </w:rPr>
          <w:t>9.4</w:t>
        </w:r>
        <w:r>
          <w:rPr>
            <w:rFonts w:asciiTheme="minorHAnsi" w:eastAsiaTheme="minorEastAsia" w:hAnsiTheme="minorHAnsi" w:cstheme="minorBidi"/>
            <w:noProof/>
            <w:sz w:val="22"/>
            <w:szCs w:val="22"/>
            <w:lang w:eastAsia="en-GB"/>
          </w:rPr>
          <w:tab/>
        </w:r>
        <w:r w:rsidRPr="00FE0A5F">
          <w:rPr>
            <w:rStyle w:val="Hyperlink"/>
            <w:noProof/>
            <w:lang w:val="en-US"/>
          </w:rPr>
          <w:t>Banking and borrowing – design elements</w:t>
        </w:r>
        <w:r>
          <w:rPr>
            <w:noProof/>
            <w:webHidden/>
          </w:rPr>
          <w:tab/>
        </w:r>
        <w:r>
          <w:rPr>
            <w:noProof/>
            <w:webHidden/>
          </w:rPr>
          <w:fldChar w:fldCharType="begin"/>
        </w:r>
        <w:r>
          <w:rPr>
            <w:noProof/>
            <w:webHidden/>
          </w:rPr>
          <w:instrText xml:space="preserve"> PAGEREF _Toc514328828 \h </w:instrText>
        </w:r>
        <w:r>
          <w:rPr>
            <w:noProof/>
            <w:webHidden/>
          </w:rPr>
        </w:r>
        <w:r>
          <w:rPr>
            <w:noProof/>
            <w:webHidden/>
          </w:rPr>
          <w:fldChar w:fldCharType="separate"/>
        </w:r>
        <w:r>
          <w:rPr>
            <w:noProof/>
            <w:webHidden/>
          </w:rPr>
          <w:t>60</w:t>
        </w:r>
        <w:r>
          <w:rPr>
            <w:noProof/>
            <w:webHidden/>
          </w:rPr>
          <w:fldChar w:fldCharType="end"/>
        </w:r>
      </w:hyperlink>
    </w:p>
    <w:p w:rsidR="00A55D73" w:rsidRDefault="00A55D73">
      <w:pPr>
        <w:pStyle w:val="TOC1"/>
        <w:rPr>
          <w:rFonts w:asciiTheme="minorHAnsi" w:eastAsiaTheme="minorEastAsia" w:hAnsiTheme="minorHAnsi" w:cstheme="minorBidi"/>
          <w:caps w:val="0"/>
          <w:noProof/>
          <w:sz w:val="22"/>
          <w:szCs w:val="22"/>
          <w:lang w:eastAsia="en-GB"/>
        </w:rPr>
      </w:pPr>
      <w:hyperlink w:anchor="_Toc514328829" w:history="1">
        <w:r w:rsidRPr="00FE0A5F">
          <w:rPr>
            <w:rStyle w:val="Hyperlink"/>
            <w:noProof/>
          </w:rPr>
          <w:t>10</w:t>
        </w:r>
        <w:r>
          <w:rPr>
            <w:rFonts w:asciiTheme="minorHAnsi" w:eastAsiaTheme="minorEastAsia" w:hAnsiTheme="minorHAnsi" w:cstheme="minorBidi"/>
            <w:caps w:val="0"/>
            <w:noProof/>
            <w:sz w:val="22"/>
            <w:szCs w:val="22"/>
            <w:lang w:eastAsia="en-GB"/>
          </w:rPr>
          <w:tab/>
        </w:r>
        <w:r w:rsidRPr="00FE0A5F">
          <w:rPr>
            <w:rStyle w:val="Hyperlink"/>
            <w:noProof/>
          </w:rPr>
          <w:t>Annex 10: Impacts of policy options – complementary information</w:t>
        </w:r>
        <w:r>
          <w:rPr>
            <w:noProof/>
            <w:webHidden/>
          </w:rPr>
          <w:tab/>
        </w:r>
        <w:r>
          <w:rPr>
            <w:noProof/>
            <w:webHidden/>
          </w:rPr>
          <w:fldChar w:fldCharType="begin"/>
        </w:r>
        <w:r>
          <w:rPr>
            <w:noProof/>
            <w:webHidden/>
          </w:rPr>
          <w:instrText xml:space="preserve"> PAGEREF _Toc514328829 \h </w:instrText>
        </w:r>
        <w:r>
          <w:rPr>
            <w:noProof/>
            <w:webHidden/>
          </w:rPr>
        </w:r>
        <w:r>
          <w:rPr>
            <w:noProof/>
            <w:webHidden/>
          </w:rPr>
          <w:fldChar w:fldCharType="separate"/>
        </w:r>
        <w:r>
          <w:rPr>
            <w:noProof/>
            <w:webHidden/>
          </w:rPr>
          <w:t>61</w:t>
        </w:r>
        <w:r>
          <w:rPr>
            <w:noProof/>
            <w:webHidden/>
          </w:rPr>
          <w:fldChar w:fldCharType="end"/>
        </w:r>
      </w:hyperlink>
    </w:p>
    <w:p w:rsidR="00A55D73" w:rsidRDefault="00A55D73">
      <w:pPr>
        <w:pStyle w:val="TOC2"/>
        <w:tabs>
          <w:tab w:val="left" w:pos="1320"/>
        </w:tabs>
        <w:rPr>
          <w:rFonts w:asciiTheme="minorHAnsi" w:eastAsiaTheme="minorEastAsia" w:hAnsiTheme="minorHAnsi" w:cstheme="minorBidi"/>
          <w:noProof/>
          <w:sz w:val="22"/>
          <w:szCs w:val="22"/>
          <w:lang w:eastAsia="en-GB"/>
        </w:rPr>
      </w:pPr>
      <w:hyperlink w:anchor="_Toc514328830" w:history="1">
        <w:r w:rsidRPr="00FE0A5F">
          <w:rPr>
            <w:rStyle w:val="Hyperlink"/>
            <w:noProof/>
          </w:rPr>
          <w:t>10.1</w:t>
        </w:r>
        <w:r>
          <w:rPr>
            <w:rFonts w:asciiTheme="minorHAnsi" w:eastAsiaTheme="minorEastAsia" w:hAnsiTheme="minorHAnsi" w:cstheme="minorBidi"/>
            <w:noProof/>
            <w:sz w:val="22"/>
            <w:szCs w:val="22"/>
            <w:lang w:eastAsia="en-GB"/>
          </w:rPr>
          <w:tab/>
        </w:r>
        <w:r w:rsidRPr="00FE0A5F">
          <w:rPr>
            <w:rStyle w:val="Hyperlink"/>
            <w:noProof/>
          </w:rPr>
          <w:t>Fleet composition under different target level options</w:t>
        </w:r>
        <w:r>
          <w:rPr>
            <w:noProof/>
            <w:webHidden/>
          </w:rPr>
          <w:tab/>
        </w:r>
        <w:r>
          <w:rPr>
            <w:noProof/>
            <w:webHidden/>
          </w:rPr>
          <w:fldChar w:fldCharType="begin"/>
        </w:r>
        <w:r>
          <w:rPr>
            <w:noProof/>
            <w:webHidden/>
          </w:rPr>
          <w:instrText xml:space="preserve"> PAGEREF _Toc514328830 \h </w:instrText>
        </w:r>
        <w:r>
          <w:rPr>
            <w:noProof/>
            <w:webHidden/>
          </w:rPr>
        </w:r>
        <w:r>
          <w:rPr>
            <w:noProof/>
            <w:webHidden/>
          </w:rPr>
          <w:fldChar w:fldCharType="separate"/>
        </w:r>
        <w:r>
          <w:rPr>
            <w:noProof/>
            <w:webHidden/>
          </w:rPr>
          <w:t>61</w:t>
        </w:r>
        <w:r>
          <w:rPr>
            <w:noProof/>
            <w:webHidden/>
          </w:rPr>
          <w:fldChar w:fldCharType="end"/>
        </w:r>
      </w:hyperlink>
    </w:p>
    <w:p w:rsidR="00A55D73" w:rsidRDefault="00A55D73">
      <w:pPr>
        <w:pStyle w:val="TOC2"/>
        <w:tabs>
          <w:tab w:val="left" w:pos="1320"/>
        </w:tabs>
        <w:rPr>
          <w:rFonts w:asciiTheme="minorHAnsi" w:eastAsiaTheme="minorEastAsia" w:hAnsiTheme="minorHAnsi" w:cstheme="minorBidi"/>
          <w:noProof/>
          <w:sz w:val="22"/>
          <w:szCs w:val="22"/>
          <w:lang w:eastAsia="en-GB"/>
        </w:rPr>
      </w:pPr>
      <w:hyperlink w:anchor="_Toc514328831" w:history="1">
        <w:r w:rsidRPr="00FE0A5F">
          <w:rPr>
            <w:rStyle w:val="Hyperlink"/>
            <w:noProof/>
          </w:rPr>
          <w:t>10.2</w:t>
        </w:r>
        <w:r>
          <w:rPr>
            <w:rFonts w:asciiTheme="minorHAnsi" w:eastAsiaTheme="minorEastAsia" w:hAnsiTheme="minorHAnsi" w:cstheme="minorBidi"/>
            <w:noProof/>
            <w:sz w:val="22"/>
            <w:szCs w:val="22"/>
            <w:lang w:eastAsia="en-GB"/>
          </w:rPr>
          <w:tab/>
        </w:r>
        <w:r w:rsidRPr="00FE0A5F">
          <w:rPr>
            <w:rStyle w:val="Hyperlink"/>
            <w:noProof/>
          </w:rPr>
          <w:t>Net economic savings over the vehicle lifetime from a societal perspective</w:t>
        </w:r>
        <w:r>
          <w:rPr>
            <w:noProof/>
            <w:webHidden/>
          </w:rPr>
          <w:tab/>
        </w:r>
        <w:r>
          <w:rPr>
            <w:noProof/>
            <w:webHidden/>
          </w:rPr>
          <w:fldChar w:fldCharType="begin"/>
        </w:r>
        <w:r>
          <w:rPr>
            <w:noProof/>
            <w:webHidden/>
          </w:rPr>
          <w:instrText xml:space="preserve"> PAGEREF _Toc514328831 \h </w:instrText>
        </w:r>
        <w:r>
          <w:rPr>
            <w:noProof/>
            <w:webHidden/>
          </w:rPr>
        </w:r>
        <w:r>
          <w:rPr>
            <w:noProof/>
            <w:webHidden/>
          </w:rPr>
          <w:fldChar w:fldCharType="separate"/>
        </w:r>
        <w:r>
          <w:rPr>
            <w:noProof/>
            <w:webHidden/>
          </w:rPr>
          <w:t>62</w:t>
        </w:r>
        <w:r>
          <w:rPr>
            <w:noProof/>
            <w:webHidden/>
          </w:rPr>
          <w:fldChar w:fldCharType="end"/>
        </w:r>
      </w:hyperlink>
    </w:p>
    <w:p w:rsidR="00A55D73" w:rsidRDefault="00A55D73">
      <w:pPr>
        <w:pStyle w:val="TOC2"/>
        <w:tabs>
          <w:tab w:val="left" w:pos="1320"/>
        </w:tabs>
        <w:rPr>
          <w:rFonts w:asciiTheme="minorHAnsi" w:eastAsiaTheme="minorEastAsia" w:hAnsiTheme="minorHAnsi" w:cstheme="minorBidi"/>
          <w:noProof/>
          <w:sz w:val="22"/>
          <w:szCs w:val="22"/>
          <w:lang w:eastAsia="en-GB"/>
        </w:rPr>
      </w:pPr>
      <w:hyperlink w:anchor="_Toc514328832" w:history="1">
        <w:r w:rsidRPr="00FE0A5F">
          <w:rPr>
            <w:rStyle w:val="Hyperlink"/>
            <w:noProof/>
          </w:rPr>
          <w:t>10.3</w:t>
        </w:r>
        <w:r>
          <w:rPr>
            <w:rFonts w:asciiTheme="minorHAnsi" w:eastAsiaTheme="minorEastAsia" w:hAnsiTheme="minorHAnsi" w:cstheme="minorBidi"/>
            <w:noProof/>
            <w:sz w:val="22"/>
            <w:szCs w:val="22"/>
            <w:lang w:eastAsia="en-GB"/>
          </w:rPr>
          <w:tab/>
        </w:r>
        <w:r w:rsidRPr="00FE0A5F">
          <w:rPr>
            <w:rStyle w:val="Hyperlink"/>
            <w:noProof/>
          </w:rPr>
          <w:t>Avoided CO</w:t>
        </w:r>
        <w:r w:rsidRPr="00FE0A5F">
          <w:rPr>
            <w:rStyle w:val="Hyperlink"/>
            <w:noProof/>
            <w:vertAlign w:val="subscript"/>
          </w:rPr>
          <w:t>2</w:t>
        </w:r>
        <w:r w:rsidRPr="00FE0A5F">
          <w:rPr>
            <w:rStyle w:val="Hyperlink"/>
            <w:noProof/>
          </w:rPr>
          <w:t xml:space="preserve"> costs</w:t>
        </w:r>
        <w:r>
          <w:rPr>
            <w:noProof/>
            <w:webHidden/>
          </w:rPr>
          <w:tab/>
        </w:r>
        <w:r>
          <w:rPr>
            <w:noProof/>
            <w:webHidden/>
          </w:rPr>
          <w:fldChar w:fldCharType="begin"/>
        </w:r>
        <w:r>
          <w:rPr>
            <w:noProof/>
            <w:webHidden/>
          </w:rPr>
          <w:instrText xml:space="preserve"> PAGEREF _Toc514328832 \h </w:instrText>
        </w:r>
        <w:r>
          <w:rPr>
            <w:noProof/>
            <w:webHidden/>
          </w:rPr>
        </w:r>
        <w:r>
          <w:rPr>
            <w:noProof/>
            <w:webHidden/>
          </w:rPr>
          <w:fldChar w:fldCharType="separate"/>
        </w:r>
        <w:r>
          <w:rPr>
            <w:noProof/>
            <w:webHidden/>
          </w:rPr>
          <w:t>63</w:t>
        </w:r>
        <w:r>
          <w:rPr>
            <w:noProof/>
            <w:webHidden/>
          </w:rPr>
          <w:fldChar w:fldCharType="end"/>
        </w:r>
      </w:hyperlink>
    </w:p>
    <w:p w:rsidR="00A55D73" w:rsidRDefault="00A55D73">
      <w:pPr>
        <w:pStyle w:val="TOC2"/>
        <w:tabs>
          <w:tab w:val="left" w:pos="1320"/>
        </w:tabs>
        <w:rPr>
          <w:rFonts w:asciiTheme="minorHAnsi" w:eastAsiaTheme="minorEastAsia" w:hAnsiTheme="minorHAnsi" w:cstheme="minorBidi"/>
          <w:noProof/>
          <w:sz w:val="22"/>
          <w:szCs w:val="22"/>
          <w:lang w:eastAsia="en-GB"/>
        </w:rPr>
      </w:pPr>
      <w:hyperlink w:anchor="_Toc514328833" w:history="1">
        <w:r w:rsidRPr="00FE0A5F">
          <w:rPr>
            <w:rStyle w:val="Hyperlink"/>
            <w:noProof/>
          </w:rPr>
          <w:t>10.4</w:t>
        </w:r>
        <w:r>
          <w:rPr>
            <w:rFonts w:asciiTheme="minorHAnsi" w:eastAsiaTheme="minorEastAsia" w:hAnsiTheme="minorHAnsi" w:cstheme="minorBidi"/>
            <w:noProof/>
            <w:sz w:val="22"/>
            <w:szCs w:val="22"/>
            <w:lang w:eastAsia="en-GB"/>
          </w:rPr>
          <w:tab/>
        </w:r>
        <w:r w:rsidRPr="00FE0A5F">
          <w:rPr>
            <w:rStyle w:val="Hyperlink"/>
            <w:noProof/>
          </w:rPr>
          <w:t>TCO-first use (5 years)</w:t>
        </w:r>
        <w:r>
          <w:rPr>
            <w:noProof/>
            <w:webHidden/>
          </w:rPr>
          <w:tab/>
        </w:r>
        <w:r>
          <w:rPr>
            <w:noProof/>
            <w:webHidden/>
          </w:rPr>
          <w:fldChar w:fldCharType="begin"/>
        </w:r>
        <w:r>
          <w:rPr>
            <w:noProof/>
            <w:webHidden/>
          </w:rPr>
          <w:instrText xml:space="preserve"> PAGEREF _Toc514328833 \h </w:instrText>
        </w:r>
        <w:r>
          <w:rPr>
            <w:noProof/>
            <w:webHidden/>
          </w:rPr>
        </w:r>
        <w:r>
          <w:rPr>
            <w:noProof/>
            <w:webHidden/>
          </w:rPr>
          <w:fldChar w:fldCharType="separate"/>
        </w:r>
        <w:r>
          <w:rPr>
            <w:noProof/>
            <w:webHidden/>
          </w:rPr>
          <w:t>63</w:t>
        </w:r>
        <w:r>
          <w:rPr>
            <w:noProof/>
            <w:webHidden/>
          </w:rPr>
          <w:fldChar w:fldCharType="end"/>
        </w:r>
      </w:hyperlink>
    </w:p>
    <w:p w:rsidR="00A55D73" w:rsidRDefault="00A55D73">
      <w:pPr>
        <w:pStyle w:val="TOC2"/>
        <w:tabs>
          <w:tab w:val="left" w:pos="1320"/>
        </w:tabs>
        <w:rPr>
          <w:rFonts w:asciiTheme="minorHAnsi" w:eastAsiaTheme="minorEastAsia" w:hAnsiTheme="minorHAnsi" w:cstheme="minorBidi"/>
          <w:noProof/>
          <w:sz w:val="22"/>
          <w:szCs w:val="22"/>
          <w:lang w:eastAsia="en-GB"/>
        </w:rPr>
      </w:pPr>
      <w:hyperlink w:anchor="_Toc514328834" w:history="1">
        <w:r w:rsidRPr="00FE0A5F">
          <w:rPr>
            <w:rStyle w:val="Hyperlink"/>
            <w:noProof/>
          </w:rPr>
          <w:t>10.5</w:t>
        </w:r>
        <w:r>
          <w:rPr>
            <w:rFonts w:asciiTheme="minorHAnsi" w:eastAsiaTheme="minorEastAsia" w:hAnsiTheme="minorHAnsi" w:cstheme="minorBidi"/>
            <w:noProof/>
            <w:sz w:val="22"/>
            <w:szCs w:val="22"/>
            <w:lang w:eastAsia="en-GB"/>
          </w:rPr>
          <w:tab/>
        </w:r>
        <w:r w:rsidRPr="00FE0A5F">
          <w:rPr>
            <w:rStyle w:val="Hyperlink"/>
            <w:noProof/>
          </w:rPr>
          <w:t>TCO-second use</w:t>
        </w:r>
        <w:r>
          <w:rPr>
            <w:noProof/>
            <w:webHidden/>
          </w:rPr>
          <w:tab/>
        </w:r>
        <w:r>
          <w:rPr>
            <w:noProof/>
            <w:webHidden/>
          </w:rPr>
          <w:fldChar w:fldCharType="begin"/>
        </w:r>
        <w:r>
          <w:rPr>
            <w:noProof/>
            <w:webHidden/>
          </w:rPr>
          <w:instrText xml:space="preserve"> PAGEREF _Toc514328834 \h </w:instrText>
        </w:r>
        <w:r>
          <w:rPr>
            <w:noProof/>
            <w:webHidden/>
          </w:rPr>
        </w:r>
        <w:r>
          <w:rPr>
            <w:noProof/>
            <w:webHidden/>
          </w:rPr>
          <w:fldChar w:fldCharType="separate"/>
        </w:r>
        <w:r>
          <w:rPr>
            <w:noProof/>
            <w:webHidden/>
          </w:rPr>
          <w:t>64</w:t>
        </w:r>
        <w:r>
          <w:rPr>
            <w:noProof/>
            <w:webHidden/>
          </w:rPr>
          <w:fldChar w:fldCharType="end"/>
        </w:r>
      </w:hyperlink>
    </w:p>
    <w:p w:rsidR="00A55D73" w:rsidRDefault="00A55D73">
      <w:pPr>
        <w:pStyle w:val="TOC2"/>
        <w:tabs>
          <w:tab w:val="left" w:pos="1320"/>
        </w:tabs>
        <w:rPr>
          <w:rFonts w:asciiTheme="minorHAnsi" w:eastAsiaTheme="minorEastAsia" w:hAnsiTheme="minorHAnsi" w:cstheme="minorBidi"/>
          <w:noProof/>
          <w:sz w:val="22"/>
          <w:szCs w:val="22"/>
          <w:lang w:eastAsia="en-GB"/>
        </w:rPr>
      </w:pPr>
      <w:hyperlink w:anchor="_Toc514328835" w:history="1">
        <w:r w:rsidRPr="00FE0A5F">
          <w:rPr>
            <w:rStyle w:val="Hyperlink"/>
            <w:noProof/>
          </w:rPr>
          <w:t>10.6</w:t>
        </w:r>
        <w:r>
          <w:rPr>
            <w:rFonts w:asciiTheme="minorHAnsi" w:eastAsiaTheme="minorEastAsia" w:hAnsiTheme="minorHAnsi" w:cstheme="minorBidi"/>
            <w:noProof/>
            <w:sz w:val="22"/>
            <w:szCs w:val="22"/>
            <w:lang w:eastAsia="en-GB"/>
          </w:rPr>
          <w:tab/>
        </w:r>
        <w:r w:rsidRPr="00FE0A5F">
          <w:rPr>
            <w:rStyle w:val="Hyperlink"/>
            <w:noProof/>
          </w:rPr>
          <w:t xml:space="preserve">Sensitivity – economic impacts </w:t>
        </w:r>
        <w:r w:rsidRPr="00FE0A5F">
          <w:rPr>
            <w:rStyle w:val="Hyperlink"/>
            <w:i/>
            <w:noProof/>
          </w:rPr>
          <w:t>with varying international oil price</w:t>
        </w:r>
        <w:r>
          <w:rPr>
            <w:noProof/>
            <w:webHidden/>
          </w:rPr>
          <w:tab/>
        </w:r>
        <w:r>
          <w:rPr>
            <w:noProof/>
            <w:webHidden/>
          </w:rPr>
          <w:fldChar w:fldCharType="begin"/>
        </w:r>
        <w:r>
          <w:rPr>
            <w:noProof/>
            <w:webHidden/>
          </w:rPr>
          <w:instrText xml:space="preserve"> PAGEREF _Toc514328835 \h </w:instrText>
        </w:r>
        <w:r>
          <w:rPr>
            <w:noProof/>
            <w:webHidden/>
          </w:rPr>
        </w:r>
        <w:r>
          <w:rPr>
            <w:noProof/>
            <w:webHidden/>
          </w:rPr>
          <w:fldChar w:fldCharType="separate"/>
        </w:r>
        <w:r>
          <w:rPr>
            <w:noProof/>
            <w:webHidden/>
          </w:rPr>
          <w:t>64</w:t>
        </w:r>
        <w:r>
          <w:rPr>
            <w:noProof/>
            <w:webHidden/>
          </w:rPr>
          <w:fldChar w:fldCharType="end"/>
        </w:r>
      </w:hyperlink>
    </w:p>
    <w:p w:rsidR="00A55D73" w:rsidRDefault="00A55D73">
      <w:pPr>
        <w:pStyle w:val="TOC2"/>
        <w:tabs>
          <w:tab w:val="left" w:pos="1320"/>
        </w:tabs>
        <w:rPr>
          <w:rFonts w:asciiTheme="minorHAnsi" w:eastAsiaTheme="minorEastAsia" w:hAnsiTheme="minorHAnsi" w:cstheme="minorBidi"/>
          <w:noProof/>
          <w:sz w:val="22"/>
          <w:szCs w:val="22"/>
          <w:lang w:eastAsia="en-GB"/>
        </w:rPr>
      </w:pPr>
      <w:hyperlink w:anchor="_Toc514328836" w:history="1">
        <w:r w:rsidRPr="00FE0A5F">
          <w:rPr>
            <w:rStyle w:val="Hyperlink"/>
            <w:noProof/>
          </w:rPr>
          <w:t>10.7</w:t>
        </w:r>
        <w:r>
          <w:rPr>
            <w:rFonts w:asciiTheme="minorHAnsi" w:eastAsiaTheme="minorEastAsia" w:hAnsiTheme="minorHAnsi" w:cstheme="minorBidi"/>
            <w:noProof/>
            <w:sz w:val="22"/>
            <w:szCs w:val="22"/>
            <w:lang w:eastAsia="en-GB"/>
          </w:rPr>
          <w:tab/>
        </w:r>
        <w:r w:rsidRPr="00FE0A5F">
          <w:rPr>
            <w:rStyle w:val="Hyperlink"/>
            <w:noProof/>
          </w:rPr>
          <w:t>Energy system impact of different target level options</w:t>
        </w:r>
        <w:r>
          <w:rPr>
            <w:noProof/>
            <w:webHidden/>
          </w:rPr>
          <w:tab/>
        </w:r>
        <w:r>
          <w:rPr>
            <w:noProof/>
            <w:webHidden/>
          </w:rPr>
          <w:fldChar w:fldCharType="begin"/>
        </w:r>
        <w:r>
          <w:rPr>
            <w:noProof/>
            <w:webHidden/>
          </w:rPr>
          <w:instrText xml:space="preserve"> PAGEREF _Toc514328836 \h </w:instrText>
        </w:r>
        <w:r>
          <w:rPr>
            <w:noProof/>
            <w:webHidden/>
          </w:rPr>
        </w:r>
        <w:r>
          <w:rPr>
            <w:noProof/>
            <w:webHidden/>
          </w:rPr>
          <w:fldChar w:fldCharType="separate"/>
        </w:r>
        <w:r>
          <w:rPr>
            <w:noProof/>
            <w:webHidden/>
          </w:rPr>
          <w:t>66</w:t>
        </w:r>
        <w:r>
          <w:rPr>
            <w:noProof/>
            <w:webHidden/>
          </w:rPr>
          <w:fldChar w:fldCharType="end"/>
        </w:r>
      </w:hyperlink>
    </w:p>
    <w:p w:rsidR="00A55D73" w:rsidRDefault="00A55D73">
      <w:pPr>
        <w:pStyle w:val="TOC2"/>
        <w:tabs>
          <w:tab w:val="left" w:pos="1320"/>
        </w:tabs>
        <w:rPr>
          <w:rFonts w:asciiTheme="minorHAnsi" w:eastAsiaTheme="minorEastAsia" w:hAnsiTheme="minorHAnsi" w:cstheme="minorBidi"/>
          <w:noProof/>
          <w:sz w:val="22"/>
          <w:szCs w:val="22"/>
          <w:lang w:eastAsia="en-GB"/>
        </w:rPr>
      </w:pPr>
      <w:hyperlink w:anchor="_Toc514328837" w:history="1">
        <w:r w:rsidRPr="00FE0A5F">
          <w:rPr>
            <w:rStyle w:val="Hyperlink"/>
            <w:noProof/>
          </w:rPr>
          <w:t>10.8</w:t>
        </w:r>
        <w:r>
          <w:rPr>
            <w:rFonts w:asciiTheme="minorHAnsi" w:eastAsiaTheme="minorEastAsia" w:hAnsiTheme="minorHAnsi" w:cstheme="minorBidi"/>
            <w:noProof/>
            <w:sz w:val="22"/>
            <w:szCs w:val="22"/>
            <w:lang w:eastAsia="en-GB"/>
          </w:rPr>
          <w:tab/>
        </w:r>
        <w:r w:rsidRPr="00FE0A5F">
          <w:rPr>
            <w:rStyle w:val="Hyperlink"/>
            <w:noProof/>
          </w:rPr>
          <w:t>Freight (HDV) transport impact of different target level options</w:t>
        </w:r>
        <w:r>
          <w:rPr>
            <w:noProof/>
            <w:webHidden/>
          </w:rPr>
          <w:tab/>
        </w:r>
        <w:r>
          <w:rPr>
            <w:noProof/>
            <w:webHidden/>
          </w:rPr>
          <w:fldChar w:fldCharType="begin"/>
        </w:r>
        <w:r>
          <w:rPr>
            <w:noProof/>
            <w:webHidden/>
          </w:rPr>
          <w:instrText xml:space="preserve"> PAGEREF _Toc514328837 \h </w:instrText>
        </w:r>
        <w:r>
          <w:rPr>
            <w:noProof/>
            <w:webHidden/>
          </w:rPr>
        </w:r>
        <w:r>
          <w:rPr>
            <w:noProof/>
            <w:webHidden/>
          </w:rPr>
          <w:fldChar w:fldCharType="separate"/>
        </w:r>
        <w:r>
          <w:rPr>
            <w:noProof/>
            <w:webHidden/>
          </w:rPr>
          <w:t>67</w:t>
        </w:r>
        <w:r>
          <w:rPr>
            <w:noProof/>
            <w:webHidden/>
          </w:rPr>
          <w:fldChar w:fldCharType="end"/>
        </w:r>
      </w:hyperlink>
    </w:p>
    <w:p w:rsidR="00A55D73" w:rsidRDefault="00A55D73">
      <w:pPr>
        <w:pStyle w:val="TOC2"/>
        <w:tabs>
          <w:tab w:val="left" w:pos="1320"/>
        </w:tabs>
        <w:rPr>
          <w:rFonts w:asciiTheme="minorHAnsi" w:eastAsiaTheme="minorEastAsia" w:hAnsiTheme="minorHAnsi" w:cstheme="minorBidi"/>
          <w:noProof/>
          <w:sz w:val="22"/>
          <w:szCs w:val="22"/>
          <w:lang w:eastAsia="en-GB"/>
        </w:rPr>
      </w:pPr>
      <w:hyperlink w:anchor="_Toc514328838" w:history="1">
        <w:r w:rsidRPr="00FE0A5F">
          <w:rPr>
            <w:rStyle w:val="Hyperlink"/>
            <w:noProof/>
          </w:rPr>
          <w:t>10.9</w:t>
        </w:r>
        <w:r>
          <w:rPr>
            <w:rFonts w:asciiTheme="minorHAnsi" w:eastAsiaTheme="minorEastAsia" w:hAnsiTheme="minorHAnsi" w:cstheme="minorBidi"/>
            <w:noProof/>
            <w:sz w:val="22"/>
            <w:szCs w:val="22"/>
            <w:lang w:eastAsia="en-GB"/>
          </w:rPr>
          <w:tab/>
        </w:r>
        <w:r w:rsidRPr="00FE0A5F">
          <w:rPr>
            <w:rStyle w:val="Hyperlink"/>
            <w:noProof/>
          </w:rPr>
          <w:t>Macro-economic impacts, including employment (EXIOMOD results), of different target level options</w:t>
        </w:r>
        <w:r>
          <w:rPr>
            <w:noProof/>
            <w:webHidden/>
          </w:rPr>
          <w:tab/>
        </w:r>
        <w:r>
          <w:rPr>
            <w:noProof/>
            <w:webHidden/>
          </w:rPr>
          <w:fldChar w:fldCharType="begin"/>
        </w:r>
        <w:r>
          <w:rPr>
            <w:noProof/>
            <w:webHidden/>
          </w:rPr>
          <w:instrText xml:space="preserve"> PAGEREF _Toc514328838 \h </w:instrText>
        </w:r>
        <w:r>
          <w:rPr>
            <w:noProof/>
            <w:webHidden/>
          </w:rPr>
        </w:r>
        <w:r>
          <w:rPr>
            <w:noProof/>
            <w:webHidden/>
          </w:rPr>
          <w:fldChar w:fldCharType="separate"/>
        </w:r>
        <w:r>
          <w:rPr>
            <w:noProof/>
            <w:webHidden/>
          </w:rPr>
          <w:t>69</w:t>
        </w:r>
        <w:r>
          <w:rPr>
            <w:noProof/>
            <w:webHidden/>
          </w:rPr>
          <w:fldChar w:fldCharType="end"/>
        </w:r>
      </w:hyperlink>
    </w:p>
    <w:p w:rsidR="00A55D73" w:rsidRDefault="00A55D73">
      <w:pPr>
        <w:pStyle w:val="TOC2"/>
        <w:tabs>
          <w:tab w:val="left" w:pos="1320"/>
        </w:tabs>
        <w:rPr>
          <w:rFonts w:asciiTheme="minorHAnsi" w:eastAsiaTheme="minorEastAsia" w:hAnsiTheme="minorHAnsi" w:cstheme="minorBidi"/>
          <w:noProof/>
          <w:sz w:val="22"/>
          <w:szCs w:val="22"/>
          <w:lang w:eastAsia="en-GB"/>
        </w:rPr>
      </w:pPr>
      <w:hyperlink w:anchor="_Toc514328839" w:history="1">
        <w:r w:rsidRPr="00FE0A5F">
          <w:rPr>
            <w:rStyle w:val="Hyperlink"/>
            <w:noProof/>
          </w:rPr>
          <w:t>10.10</w:t>
        </w:r>
        <w:r>
          <w:rPr>
            <w:rFonts w:asciiTheme="minorHAnsi" w:eastAsiaTheme="minorEastAsia" w:hAnsiTheme="minorHAnsi" w:cstheme="minorBidi"/>
            <w:noProof/>
            <w:sz w:val="22"/>
            <w:szCs w:val="22"/>
            <w:lang w:eastAsia="en-GB"/>
          </w:rPr>
          <w:tab/>
        </w:r>
        <w:r w:rsidRPr="00FE0A5F">
          <w:rPr>
            <w:rStyle w:val="Hyperlink"/>
            <w:noProof/>
          </w:rPr>
          <w:t>Environmental impacts of different target level options: CO</w:t>
        </w:r>
        <w:r w:rsidRPr="00FE0A5F">
          <w:rPr>
            <w:rStyle w:val="Hyperlink"/>
            <w:noProof/>
            <w:vertAlign w:val="subscript"/>
          </w:rPr>
          <w:t>2</w:t>
        </w:r>
        <w:r w:rsidRPr="00FE0A5F">
          <w:rPr>
            <w:rStyle w:val="Hyperlink"/>
            <w:noProof/>
          </w:rPr>
          <w:t xml:space="preserve"> emissions and air pollutant emissions</w:t>
        </w:r>
        <w:r>
          <w:rPr>
            <w:noProof/>
            <w:webHidden/>
          </w:rPr>
          <w:tab/>
        </w:r>
        <w:r>
          <w:rPr>
            <w:noProof/>
            <w:webHidden/>
          </w:rPr>
          <w:fldChar w:fldCharType="begin"/>
        </w:r>
        <w:r>
          <w:rPr>
            <w:noProof/>
            <w:webHidden/>
          </w:rPr>
          <w:instrText xml:space="preserve"> PAGEREF _Toc514328839 \h </w:instrText>
        </w:r>
        <w:r>
          <w:rPr>
            <w:noProof/>
            <w:webHidden/>
          </w:rPr>
        </w:r>
        <w:r>
          <w:rPr>
            <w:noProof/>
            <w:webHidden/>
          </w:rPr>
          <w:fldChar w:fldCharType="separate"/>
        </w:r>
        <w:r>
          <w:rPr>
            <w:noProof/>
            <w:webHidden/>
          </w:rPr>
          <w:t>74</w:t>
        </w:r>
        <w:r>
          <w:rPr>
            <w:noProof/>
            <w:webHidden/>
          </w:rPr>
          <w:fldChar w:fldCharType="end"/>
        </w:r>
      </w:hyperlink>
    </w:p>
    <w:p w:rsidR="00A55D73" w:rsidRDefault="00A55D73">
      <w:pPr>
        <w:pStyle w:val="TOC2"/>
        <w:tabs>
          <w:tab w:val="left" w:pos="1320"/>
        </w:tabs>
        <w:rPr>
          <w:rFonts w:asciiTheme="minorHAnsi" w:eastAsiaTheme="minorEastAsia" w:hAnsiTheme="minorHAnsi" w:cstheme="minorBidi"/>
          <w:noProof/>
          <w:sz w:val="22"/>
          <w:szCs w:val="22"/>
          <w:lang w:eastAsia="en-GB"/>
        </w:rPr>
      </w:pPr>
      <w:hyperlink w:anchor="_Toc514328840" w:history="1">
        <w:r w:rsidRPr="00FE0A5F">
          <w:rPr>
            <w:rStyle w:val="Hyperlink"/>
            <w:noProof/>
          </w:rPr>
          <w:t>10.11</w:t>
        </w:r>
        <w:r>
          <w:rPr>
            <w:rFonts w:asciiTheme="minorHAnsi" w:eastAsiaTheme="minorEastAsia" w:hAnsiTheme="minorHAnsi" w:cstheme="minorBidi"/>
            <w:noProof/>
            <w:sz w:val="22"/>
            <w:szCs w:val="22"/>
            <w:lang w:eastAsia="en-GB"/>
          </w:rPr>
          <w:tab/>
        </w:r>
        <w:r w:rsidRPr="00FE0A5F">
          <w:rPr>
            <w:rStyle w:val="Hyperlink"/>
            <w:noProof/>
          </w:rPr>
          <w:t>Sensitivity – results for EU-27, without UK</w:t>
        </w:r>
        <w:r>
          <w:rPr>
            <w:noProof/>
            <w:webHidden/>
          </w:rPr>
          <w:tab/>
        </w:r>
        <w:r>
          <w:rPr>
            <w:noProof/>
            <w:webHidden/>
          </w:rPr>
          <w:fldChar w:fldCharType="begin"/>
        </w:r>
        <w:r>
          <w:rPr>
            <w:noProof/>
            <w:webHidden/>
          </w:rPr>
          <w:instrText xml:space="preserve"> PAGEREF _Toc514328840 \h </w:instrText>
        </w:r>
        <w:r>
          <w:rPr>
            <w:noProof/>
            <w:webHidden/>
          </w:rPr>
        </w:r>
        <w:r>
          <w:rPr>
            <w:noProof/>
            <w:webHidden/>
          </w:rPr>
          <w:fldChar w:fldCharType="separate"/>
        </w:r>
        <w:r>
          <w:rPr>
            <w:noProof/>
            <w:webHidden/>
          </w:rPr>
          <w:t>74</w:t>
        </w:r>
        <w:r>
          <w:rPr>
            <w:noProof/>
            <w:webHidden/>
          </w:rPr>
          <w:fldChar w:fldCharType="end"/>
        </w:r>
      </w:hyperlink>
    </w:p>
    <w:p w:rsidR="00A55D73" w:rsidRDefault="00A55D73">
      <w:pPr>
        <w:pStyle w:val="TOC2"/>
        <w:tabs>
          <w:tab w:val="left" w:pos="1320"/>
        </w:tabs>
        <w:rPr>
          <w:rFonts w:asciiTheme="minorHAnsi" w:eastAsiaTheme="minorEastAsia" w:hAnsiTheme="minorHAnsi" w:cstheme="minorBidi"/>
          <w:noProof/>
          <w:sz w:val="22"/>
          <w:szCs w:val="22"/>
          <w:lang w:eastAsia="en-GB"/>
        </w:rPr>
      </w:pPr>
      <w:hyperlink w:anchor="_Toc514328841" w:history="1">
        <w:r w:rsidRPr="00FE0A5F">
          <w:rPr>
            <w:rStyle w:val="Hyperlink"/>
            <w:noProof/>
          </w:rPr>
          <w:t>10.12</w:t>
        </w:r>
        <w:r>
          <w:rPr>
            <w:rFonts w:asciiTheme="minorHAnsi" w:eastAsiaTheme="minorEastAsia" w:hAnsiTheme="minorHAnsi" w:cstheme="minorBidi"/>
            <w:noProof/>
            <w:sz w:val="22"/>
            <w:szCs w:val="22"/>
            <w:lang w:eastAsia="en-GB"/>
          </w:rPr>
          <w:tab/>
        </w:r>
        <w:r w:rsidRPr="00FE0A5F">
          <w:rPr>
            <w:rStyle w:val="Hyperlink"/>
            <w:noProof/>
          </w:rPr>
          <w:t>Contribution to the ESR targets</w:t>
        </w:r>
        <w:r>
          <w:rPr>
            <w:noProof/>
            <w:webHidden/>
          </w:rPr>
          <w:tab/>
        </w:r>
        <w:r>
          <w:rPr>
            <w:noProof/>
            <w:webHidden/>
          </w:rPr>
          <w:fldChar w:fldCharType="begin"/>
        </w:r>
        <w:r>
          <w:rPr>
            <w:noProof/>
            <w:webHidden/>
          </w:rPr>
          <w:instrText xml:space="preserve"> PAGEREF _Toc514328841 \h </w:instrText>
        </w:r>
        <w:r>
          <w:rPr>
            <w:noProof/>
            <w:webHidden/>
          </w:rPr>
        </w:r>
        <w:r>
          <w:rPr>
            <w:noProof/>
            <w:webHidden/>
          </w:rPr>
          <w:fldChar w:fldCharType="separate"/>
        </w:r>
        <w:r>
          <w:rPr>
            <w:noProof/>
            <w:webHidden/>
          </w:rPr>
          <w:t>75</w:t>
        </w:r>
        <w:r>
          <w:rPr>
            <w:noProof/>
            <w:webHidden/>
          </w:rPr>
          <w:fldChar w:fldCharType="end"/>
        </w:r>
      </w:hyperlink>
    </w:p>
    <w:p w:rsidR="00A55D73" w:rsidRDefault="00A55D73">
      <w:pPr>
        <w:pStyle w:val="TOC2"/>
        <w:tabs>
          <w:tab w:val="left" w:pos="1320"/>
        </w:tabs>
        <w:rPr>
          <w:rFonts w:asciiTheme="minorHAnsi" w:eastAsiaTheme="minorEastAsia" w:hAnsiTheme="minorHAnsi" w:cstheme="minorBidi"/>
          <w:noProof/>
          <w:sz w:val="22"/>
          <w:szCs w:val="22"/>
          <w:lang w:eastAsia="en-GB"/>
        </w:rPr>
      </w:pPr>
      <w:hyperlink w:anchor="_Toc514328842" w:history="1">
        <w:r w:rsidRPr="00FE0A5F">
          <w:rPr>
            <w:rStyle w:val="Hyperlink"/>
            <w:noProof/>
          </w:rPr>
          <w:t>10.13</w:t>
        </w:r>
        <w:r>
          <w:rPr>
            <w:rFonts w:asciiTheme="minorHAnsi" w:eastAsiaTheme="minorEastAsia" w:hAnsiTheme="minorHAnsi" w:cstheme="minorBidi"/>
            <w:noProof/>
            <w:sz w:val="22"/>
            <w:szCs w:val="22"/>
            <w:lang w:eastAsia="en-GB"/>
          </w:rPr>
          <w:tab/>
        </w:r>
        <w:r w:rsidRPr="00FE0A5F">
          <w:rPr>
            <w:rStyle w:val="Hyperlink"/>
            <w:noProof/>
          </w:rPr>
          <w:t>Penalties – economic impacts</w:t>
        </w:r>
        <w:r>
          <w:rPr>
            <w:noProof/>
            <w:webHidden/>
          </w:rPr>
          <w:tab/>
        </w:r>
        <w:r>
          <w:rPr>
            <w:noProof/>
            <w:webHidden/>
          </w:rPr>
          <w:fldChar w:fldCharType="begin"/>
        </w:r>
        <w:r>
          <w:rPr>
            <w:noProof/>
            <w:webHidden/>
          </w:rPr>
          <w:instrText xml:space="preserve"> PAGEREF _Toc514328842 \h </w:instrText>
        </w:r>
        <w:r>
          <w:rPr>
            <w:noProof/>
            <w:webHidden/>
          </w:rPr>
        </w:r>
        <w:r>
          <w:rPr>
            <w:noProof/>
            <w:webHidden/>
          </w:rPr>
          <w:fldChar w:fldCharType="separate"/>
        </w:r>
        <w:r>
          <w:rPr>
            <w:noProof/>
            <w:webHidden/>
          </w:rPr>
          <w:t>75</w:t>
        </w:r>
        <w:r>
          <w:rPr>
            <w:noProof/>
            <w:webHidden/>
          </w:rPr>
          <w:fldChar w:fldCharType="end"/>
        </w:r>
      </w:hyperlink>
    </w:p>
    <w:p w:rsidR="00A55D73" w:rsidRDefault="00A55D73">
      <w:pPr>
        <w:pStyle w:val="TOC1"/>
        <w:rPr>
          <w:rFonts w:asciiTheme="minorHAnsi" w:eastAsiaTheme="minorEastAsia" w:hAnsiTheme="minorHAnsi" w:cstheme="minorBidi"/>
          <w:caps w:val="0"/>
          <w:noProof/>
          <w:sz w:val="22"/>
          <w:szCs w:val="22"/>
          <w:lang w:eastAsia="en-GB"/>
        </w:rPr>
      </w:pPr>
      <w:hyperlink w:anchor="_Toc514328843" w:history="1">
        <w:r w:rsidRPr="00FE0A5F">
          <w:rPr>
            <w:rStyle w:val="Hyperlink"/>
            <w:noProof/>
          </w:rPr>
          <w:t>11</w:t>
        </w:r>
        <w:r>
          <w:rPr>
            <w:rFonts w:asciiTheme="minorHAnsi" w:eastAsiaTheme="minorEastAsia" w:hAnsiTheme="minorHAnsi" w:cstheme="minorBidi"/>
            <w:caps w:val="0"/>
            <w:noProof/>
            <w:sz w:val="22"/>
            <w:szCs w:val="22"/>
            <w:lang w:eastAsia="en-GB"/>
          </w:rPr>
          <w:tab/>
        </w:r>
        <w:r w:rsidRPr="00FE0A5F">
          <w:rPr>
            <w:rStyle w:val="Hyperlink"/>
            <w:noProof/>
          </w:rPr>
          <w:t>Annex 11: Distribution of the EU fleet-wide target between the various lorry families (sub-)groups and manufacturers</w:t>
        </w:r>
        <w:r>
          <w:rPr>
            <w:noProof/>
            <w:webHidden/>
          </w:rPr>
          <w:tab/>
        </w:r>
        <w:r>
          <w:rPr>
            <w:noProof/>
            <w:webHidden/>
          </w:rPr>
          <w:fldChar w:fldCharType="begin"/>
        </w:r>
        <w:r>
          <w:rPr>
            <w:noProof/>
            <w:webHidden/>
          </w:rPr>
          <w:instrText xml:space="preserve"> PAGEREF _Toc514328843 \h </w:instrText>
        </w:r>
        <w:r>
          <w:rPr>
            <w:noProof/>
            <w:webHidden/>
          </w:rPr>
        </w:r>
        <w:r>
          <w:rPr>
            <w:noProof/>
            <w:webHidden/>
          </w:rPr>
          <w:fldChar w:fldCharType="separate"/>
        </w:r>
        <w:r>
          <w:rPr>
            <w:noProof/>
            <w:webHidden/>
          </w:rPr>
          <w:t>79</w:t>
        </w:r>
        <w:r>
          <w:rPr>
            <w:noProof/>
            <w:webHidden/>
          </w:rPr>
          <w:fldChar w:fldCharType="end"/>
        </w:r>
      </w:hyperlink>
    </w:p>
    <w:p w:rsidR="00A55D73" w:rsidRDefault="00A55D73">
      <w:pPr>
        <w:pStyle w:val="TOC2"/>
        <w:tabs>
          <w:tab w:val="left" w:pos="1320"/>
        </w:tabs>
        <w:rPr>
          <w:rFonts w:asciiTheme="minorHAnsi" w:eastAsiaTheme="minorEastAsia" w:hAnsiTheme="minorHAnsi" w:cstheme="minorBidi"/>
          <w:noProof/>
          <w:sz w:val="22"/>
          <w:szCs w:val="22"/>
          <w:lang w:eastAsia="en-GB"/>
        </w:rPr>
      </w:pPr>
      <w:hyperlink w:anchor="_Toc514328844" w:history="1">
        <w:r w:rsidRPr="00FE0A5F">
          <w:rPr>
            <w:rStyle w:val="Hyperlink"/>
            <w:noProof/>
            <w:lang w:eastAsia="en-GB"/>
          </w:rPr>
          <w:t>11.1</w:t>
        </w:r>
        <w:r>
          <w:rPr>
            <w:rFonts w:asciiTheme="minorHAnsi" w:eastAsiaTheme="minorEastAsia" w:hAnsiTheme="minorHAnsi" w:cstheme="minorBidi"/>
            <w:noProof/>
            <w:sz w:val="22"/>
            <w:szCs w:val="22"/>
            <w:lang w:eastAsia="en-GB"/>
          </w:rPr>
          <w:tab/>
        </w:r>
        <w:r w:rsidRPr="00FE0A5F">
          <w:rPr>
            <w:rStyle w:val="Hyperlink"/>
            <w:noProof/>
          </w:rPr>
          <w:t>Sub-group targets</w:t>
        </w:r>
        <w:r>
          <w:rPr>
            <w:noProof/>
            <w:webHidden/>
          </w:rPr>
          <w:tab/>
        </w:r>
        <w:r>
          <w:rPr>
            <w:noProof/>
            <w:webHidden/>
          </w:rPr>
          <w:fldChar w:fldCharType="begin"/>
        </w:r>
        <w:r>
          <w:rPr>
            <w:noProof/>
            <w:webHidden/>
          </w:rPr>
          <w:instrText xml:space="preserve"> PAGEREF _Toc514328844 \h </w:instrText>
        </w:r>
        <w:r>
          <w:rPr>
            <w:noProof/>
            <w:webHidden/>
          </w:rPr>
        </w:r>
        <w:r>
          <w:rPr>
            <w:noProof/>
            <w:webHidden/>
          </w:rPr>
          <w:fldChar w:fldCharType="separate"/>
        </w:r>
        <w:r>
          <w:rPr>
            <w:noProof/>
            <w:webHidden/>
          </w:rPr>
          <w:t>79</w:t>
        </w:r>
        <w:r>
          <w:rPr>
            <w:noProof/>
            <w:webHidden/>
          </w:rPr>
          <w:fldChar w:fldCharType="end"/>
        </w:r>
      </w:hyperlink>
    </w:p>
    <w:p w:rsidR="00A55D73" w:rsidRDefault="00A55D73">
      <w:pPr>
        <w:pStyle w:val="TOC2"/>
        <w:tabs>
          <w:tab w:val="left" w:pos="1320"/>
        </w:tabs>
        <w:rPr>
          <w:rFonts w:asciiTheme="minorHAnsi" w:eastAsiaTheme="minorEastAsia" w:hAnsiTheme="minorHAnsi" w:cstheme="minorBidi"/>
          <w:noProof/>
          <w:sz w:val="22"/>
          <w:szCs w:val="22"/>
          <w:lang w:eastAsia="en-GB"/>
        </w:rPr>
      </w:pPr>
      <w:hyperlink w:anchor="_Toc514328845" w:history="1">
        <w:r w:rsidRPr="00FE0A5F">
          <w:rPr>
            <w:rStyle w:val="Hyperlink"/>
            <w:noProof/>
            <w:lang w:eastAsia="en-GB"/>
          </w:rPr>
          <w:t>11.2</w:t>
        </w:r>
        <w:r>
          <w:rPr>
            <w:rFonts w:asciiTheme="minorHAnsi" w:eastAsiaTheme="minorEastAsia" w:hAnsiTheme="minorHAnsi" w:cstheme="minorBidi"/>
            <w:noProof/>
            <w:sz w:val="22"/>
            <w:szCs w:val="22"/>
            <w:lang w:eastAsia="en-GB"/>
          </w:rPr>
          <w:tab/>
        </w:r>
        <w:r w:rsidRPr="00FE0A5F">
          <w:rPr>
            <w:rStyle w:val="Hyperlink"/>
            <w:noProof/>
          </w:rPr>
          <w:t>Assessment of compliance</w:t>
        </w:r>
        <w:r>
          <w:rPr>
            <w:noProof/>
            <w:webHidden/>
          </w:rPr>
          <w:tab/>
        </w:r>
        <w:r>
          <w:rPr>
            <w:noProof/>
            <w:webHidden/>
          </w:rPr>
          <w:fldChar w:fldCharType="begin"/>
        </w:r>
        <w:r>
          <w:rPr>
            <w:noProof/>
            <w:webHidden/>
          </w:rPr>
          <w:instrText xml:space="preserve"> PAGEREF _Toc514328845 \h </w:instrText>
        </w:r>
        <w:r>
          <w:rPr>
            <w:noProof/>
            <w:webHidden/>
          </w:rPr>
        </w:r>
        <w:r>
          <w:rPr>
            <w:noProof/>
            <w:webHidden/>
          </w:rPr>
          <w:fldChar w:fldCharType="separate"/>
        </w:r>
        <w:r>
          <w:rPr>
            <w:noProof/>
            <w:webHidden/>
          </w:rPr>
          <w:t>79</w:t>
        </w:r>
        <w:r>
          <w:rPr>
            <w:noProof/>
            <w:webHidden/>
          </w:rPr>
          <w:fldChar w:fldCharType="end"/>
        </w:r>
      </w:hyperlink>
    </w:p>
    <w:p w:rsidR="00A55D73" w:rsidRDefault="00A55D73">
      <w:pPr>
        <w:pStyle w:val="TOC1"/>
        <w:rPr>
          <w:rFonts w:asciiTheme="minorHAnsi" w:eastAsiaTheme="minorEastAsia" w:hAnsiTheme="minorHAnsi" w:cstheme="minorBidi"/>
          <w:caps w:val="0"/>
          <w:noProof/>
          <w:sz w:val="22"/>
          <w:szCs w:val="22"/>
          <w:lang w:eastAsia="en-GB"/>
        </w:rPr>
      </w:pPr>
      <w:hyperlink w:anchor="_Toc514328846" w:history="1">
        <w:r w:rsidRPr="00FE0A5F">
          <w:rPr>
            <w:rStyle w:val="Hyperlink"/>
            <w:noProof/>
          </w:rPr>
          <w:t>12</w:t>
        </w:r>
        <w:r>
          <w:rPr>
            <w:rFonts w:asciiTheme="minorHAnsi" w:eastAsiaTheme="minorEastAsia" w:hAnsiTheme="minorHAnsi" w:cstheme="minorBidi"/>
            <w:caps w:val="0"/>
            <w:noProof/>
            <w:sz w:val="22"/>
            <w:szCs w:val="22"/>
            <w:lang w:eastAsia="en-GB"/>
          </w:rPr>
          <w:tab/>
        </w:r>
        <w:r w:rsidRPr="00FE0A5F">
          <w:rPr>
            <w:rStyle w:val="Hyperlink"/>
            <w:noProof/>
          </w:rPr>
          <w:t>Annex 12: Weighting of mission profiles for calculating CO</w:t>
        </w:r>
        <w:r w:rsidRPr="00FE0A5F">
          <w:rPr>
            <w:rStyle w:val="Hyperlink"/>
            <w:noProof/>
            <w:vertAlign w:val="subscript"/>
          </w:rPr>
          <w:t>2</w:t>
        </w:r>
        <w:r w:rsidRPr="00FE0A5F">
          <w:rPr>
            <w:rStyle w:val="Hyperlink"/>
            <w:noProof/>
          </w:rPr>
          <w:t xml:space="preserve"> emissions for the purpose of assessing compliance with CO</w:t>
        </w:r>
        <w:r w:rsidRPr="00FE0A5F">
          <w:rPr>
            <w:rStyle w:val="Hyperlink"/>
            <w:noProof/>
            <w:vertAlign w:val="subscript"/>
          </w:rPr>
          <w:t>2</w:t>
        </w:r>
        <w:r w:rsidRPr="00FE0A5F">
          <w:rPr>
            <w:rStyle w:val="Hyperlink"/>
            <w:noProof/>
          </w:rPr>
          <w:t xml:space="preserve"> targets</w:t>
        </w:r>
        <w:r>
          <w:rPr>
            <w:noProof/>
            <w:webHidden/>
          </w:rPr>
          <w:tab/>
        </w:r>
        <w:r>
          <w:rPr>
            <w:noProof/>
            <w:webHidden/>
          </w:rPr>
          <w:fldChar w:fldCharType="begin"/>
        </w:r>
        <w:r>
          <w:rPr>
            <w:noProof/>
            <w:webHidden/>
          </w:rPr>
          <w:instrText xml:space="preserve"> PAGEREF _Toc514328846 \h </w:instrText>
        </w:r>
        <w:r>
          <w:rPr>
            <w:noProof/>
            <w:webHidden/>
          </w:rPr>
        </w:r>
        <w:r>
          <w:rPr>
            <w:noProof/>
            <w:webHidden/>
          </w:rPr>
          <w:fldChar w:fldCharType="separate"/>
        </w:r>
        <w:r>
          <w:rPr>
            <w:noProof/>
            <w:webHidden/>
          </w:rPr>
          <w:t>81</w:t>
        </w:r>
        <w:r>
          <w:rPr>
            <w:noProof/>
            <w:webHidden/>
          </w:rPr>
          <w:fldChar w:fldCharType="end"/>
        </w:r>
      </w:hyperlink>
    </w:p>
    <w:p w:rsidR="00A55D73" w:rsidRDefault="00A55D73">
      <w:pPr>
        <w:pStyle w:val="TOC2"/>
        <w:tabs>
          <w:tab w:val="left" w:pos="1320"/>
        </w:tabs>
        <w:rPr>
          <w:rFonts w:asciiTheme="minorHAnsi" w:eastAsiaTheme="minorEastAsia" w:hAnsiTheme="minorHAnsi" w:cstheme="minorBidi"/>
          <w:noProof/>
          <w:sz w:val="22"/>
          <w:szCs w:val="22"/>
          <w:lang w:eastAsia="en-GB"/>
        </w:rPr>
      </w:pPr>
      <w:hyperlink w:anchor="_Toc514328847" w:history="1">
        <w:r w:rsidRPr="00FE0A5F">
          <w:rPr>
            <w:rStyle w:val="Hyperlink"/>
            <w:noProof/>
          </w:rPr>
          <w:t>12.1</w:t>
        </w:r>
        <w:r>
          <w:rPr>
            <w:rFonts w:asciiTheme="minorHAnsi" w:eastAsiaTheme="minorEastAsia" w:hAnsiTheme="minorHAnsi" w:cstheme="minorBidi"/>
            <w:noProof/>
            <w:sz w:val="22"/>
            <w:szCs w:val="22"/>
            <w:lang w:eastAsia="en-GB"/>
          </w:rPr>
          <w:tab/>
        </w:r>
        <w:r w:rsidRPr="00FE0A5F">
          <w:rPr>
            <w:rStyle w:val="Hyperlink"/>
            <w:noProof/>
          </w:rPr>
          <w:t>Mission profiles in VECTO</w:t>
        </w:r>
        <w:r>
          <w:rPr>
            <w:noProof/>
            <w:webHidden/>
          </w:rPr>
          <w:tab/>
        </w:r>
        <w:r>
          <w:rPr>
            <w:noProof/>
            <w:webHidden/>
          </w:rPr>
          <w:fldChar w:fldCharType="begin"/>
        </w:r>
        <w:r>
          <w:rPr>
            <w:noProof/>
            <w:webHidden/>
          </w:rPr>
          <w:instrText xml:space="preserve"> PAGEREF _Toc514328847 \h </w:instrText>
        </w:r>
        <w:r>
          <w:rPr>
            <w:noProof/>
            <w:webHidden/>
          </w:rPr>
        </w:r>
        <w:r>
          <w:rPr>
            <w:noProof/>
            <w:webHidden/>
          </w:rPr>
          <w:fldChar w:fldCharType="separate"/>
        </w:r>
        <w:r>
          <w:rPr>
            <w:noProof/>
            <w:webHidden/>
          </w:rPr>
          <w:t>81</w:t>
        </w:r>
        <w:r>
          <w:rPr>
            <w:noProof/>
            <w:webHidden/>
          </w:rPr>
          <w:fldChar w:fldCharType="end"/>
        </w:r>
      </w:hyperlink>
    </w:p>
    <w:p w:rsidR="00A55D73" w:rsidRDefault="00A55D73">
      <w:pPr>
        <w:pStyle w:val="TOC2"/>
        <w:tabs>
          <w:tab w:val="left" w:pos="1320"/>
        </w:tabs>
        <w:rPr>
          <w:rFonts w:asciiTheme="minorHAnsi" w:eastAsiaTheme="minorEastAsia" w:hAnsiTheme="minorHAnsi" w:cstheme="minorBidi"/>
          <w:noProof/>
          <w:sz w:val="22"/>
          <w:szCs w:val="22"/>
          <w:lang w:eastAsia="en-GB"/>
        </w:rPr>
      </w:pPr>
      <w:hyperlink w:anchor="_Toc514328848" w:history="1">
        <w:r w:rsidRPr="00FE0A5F">
          <w:rPr>
            <w:rStyle w:val="Hyperlink"/>
            <w:noProof/>
          </w:rPr>
          <w:t>12.2</w:t>
        </w:r>
        <w:r>
          <w:rPr>
            <w:rFonts w:asciiTheme="minorHAnsi" w:eastAsiaTheme="minorEastAsia" w:hAnsiTheme="minorHAnsi" w:cstheme="minorBidi"/>
            <w:noProof/>
            <w:sz w:val="22"/>
            <w:szCs w:val="22"/>
            <w:lang w:eastAsia="en-GB"/>
          </w:rPr>
          <w:tab/>
        </w:r>
        <w:r w:rsidRPr="00FE0A5F">
          <w:rPr>
            <w:rStyle w:val="Hyperlink"/>
            <w:noProof/>
          </w:rPr>
          <w:t>Weighting of VECTO mission profiles</w:t>
        </w:r>
        <w:r>
          <w:rPr>
            <w:noProof/>
            <w:webHidden/>
          </w:rPr>
          <w:tab/>
        </w:r>
        <w:r>
          <w:rPr>
            <w:noProof/>
            <w:webHidden/>
          </w:rPr>
          <w:fldChar w:fldCharType="begin"/>
        </w:r>
        <w:r>
          <w:rPr>
            <w:noProof/>
            <w:webHidden/>
          </w:rPr>
          <w:instrText xml:space="preserve"> PAGEREF _Toc514328848 \h </w:instrText>
        </w:r>
        <w:r>
          <w:rPr>
            <w:noProof/>
            <w:webHidden/>
          </w:rPr>
        </w:r>
        <w:r>
          <w:rPr>
            <w:noProof/>
            <w:webHidden/>
          </w:rPr>
          <w:fldChar w:fldCharType="separate"/>
        </w:r>
        <w:r>
          <w:rPr>
            <w:noProof/>
            <w:webHidden/>
          </w:rPr>
          <w:t>81</w:t>
        </w:r>
        <w:r>
          <w:rPr>
            <w:noProof/>
            <w:webHidden/>
          </w:rPr>
          <w:fldChar w:fldCharType="end"/>
        </w:r>
      </w:hyperlink>
    </w:p>
    <w:p w:rsidR="003E180D" w:rsidRDefault="003E180D" w:rsidP="003E180D">
      <w:pPr>
        <w:rPr>
          <w:bCs/>
          <w:noProof/>
        </w:rPr>
      </w:pPr>
      <w:r>
        <w:rPr>
          <w:b/>
          <w:bCs/>
          <w:noProof/>
        </w:rPr>
        <w:fldChar w:fldCharType="end"/>
      </w:r>
      <w:bookmarkStart w:id="2" w:name="_Toc496688602"/>
      <w:bookmarkStart w:id="3" w:name="_Toc476144661"/>
      <w:bookmarkStart w:id="4" w:name="_Toc508181015"/>
      <w:bookmarkStart w:id="5" w:name="_Toc508129624"/>
      <w:bookmarkStart w:id="6" w:name="_Toc508127850"/>
      <w:bookmarkStart w:id="7" w:name="_Toc508127497"/>
      <w:bookmarkStart w:id="8" w:name="_Toc508126126"/>
      <w:bookmarkStart w:id="9" w:name="_Toc508124761"/>
      <w:bookmarkStart w:id="10" w:name="_Toc507517558"/>
      <w:bookmarkStart w:id="11" w:name="_Toc507512094"/>
      <w:bookmarkStart w:id="12" w:name="_Toc507496396"/>
      <w:bookmarkStart w:id="13" w:name="_Toc507493370"/>
      <w:bookmarkStart w:id="14" w:name="_Toc507494516"/>
      <w:bookmarkStart w:id="15" w:name="_Toc507496395"/>
      <w:bookmarkStart w:id="16" w:name="_Toc507517557"/>
      <w:bookmarkStart w:id="17" w:name="_Toc507580925"/>
      <w:bookmarkStart w:id="18" w:name="_Toc507581689"/>
      <w:bookmarkStart w:id="19" w:name="_Toc507583901"/>
      <w:bookmarkStart w:id="20" w:name="_Toc507494517"/>
      <w:bookmarkStart w:id="21" w:name="_Toc507495456"/>
      <w:bookmarkStart w:id="22" w:name="_Toc507501900"/>
      <w:bookmarkStart w:id="23" w:name="_Toc507507250"/>
      <w:bookmarkStart w:id="24" w:name="_Toc507507383"/>
      <w:bookmarkStart w:id="25" w:name="_Toc507512093"/>
      <w:bookmarkStart w:id="26" w:name="_Toc507512589"/>
      <w:bookmarkStart w:id="27" w:name="_Toc507519109"/>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3E180D" w:rsidRDefault="003E180D" w:rsidP="003E180D">
      <w:pPr>
        <w:pStyle w:val="Heading1"/>
        <w:numPr>
          <w:ilvl w:val="0"/>
          <w:numId w:val="22"/>
        </w:numPr>
        <w:rPr>
          <w:noProof/>
        </w:rPr>
      </w:pPr>
      <w:bookmarkStart w:id="28" w:name="_Toc508186608"/>
      <w:bookmarkStart w:id="29" w:name="_Toc510708088"/>
      <w:bookmarkStart w:id="30" w:name="_Toc514328785"/>
      <w:r>
        <w:rPr>
          <w:noProof/>
        </w:rPr>
        <w:t>Annex 1: Procedural information concerning the process to prepare the impact assessment report and the related initiative</w:t>
      </w:r>
      <w:bookmarkEnd w:id="4"/>
      <w:bookmarkEnd w:id="5"/>
      <w:bookmarkEnd w:id="6"/>
      <w:bookmarkEnd w:id="7"/>
      <w:bookmarkEnd w:id="8"/>
      <w:bookmarkEnd w:id="9"/>
      <w:bookmarkEnd w:id="10"/>
      <w:bookmarkEnd w:id="11"/>
      <w:bookmarkEnd w:id="12"/>
      <w:bookmarkEnd w:id="13"/>
      <w:bookmarkEnd w:id="28"/>
      <w:bookmarkEnd w:id="29"/>
      <w:bookmarkEnd w:id="30"/>
    </w:p>
    <w:p w:rsidR="003E180D" w:rsidRDefault="003E180D" w:rsidP="003E180D">
      <w:pPr>
        <w:pStyle w:val="Heading2"/>
        <w:numPr>
          <w:ilvl w:val="1"/>
          <w:numId w:val="22"/>
        </w:numPr>
        <w:spacing w:before="240" w:after="240"/>
        <w:rPr>
          <w:noProof/>
        </w:rPr>
      </w:pPr>
      <w:bookmarkStart w:id="31" w:name="_Toc507493371"/>
      <w:bookmarkStart w:id="32" w:name="_Toc507496397"/>
      <w:bookmarkStart w:id="33" w:name="_Toc507512095"/>
      <w:bookmarkStart w:id="34" w:name="_Toc507517559"/>
      <w:bookmarkStart w:id="35" w:name="_Toc508124762"/>
      <w:bookmarkStart w:id="36" w:name="_Toc508126127"/>
      <w:bookmarkStart w:id="37" w:name="_Toc508127498"/>
      <w:bookmarkStart w:id="38" w:name="_Toc508127851"/>
      <w:bookmarkStart w:id="39" w:name="_Toc508129625"/>
      <w:bookmarkStart w:id="40" w:name="_Toc508181016"/>
      <w:bookmarkStart w:id="41" w:name="_Toc508186609"/>
      <w:bookmarkStart w:id="42" w:name="_Toc510708089"/>
      <w:bookmarkStart w:id="43" w:name="_Toc514328786"/>
      <w:r>
        <w:rPr>
          <w:noProof/>
        </w:rPr>
        <w:t>Organisation and timing</w:t>
      </w:r>
      <w:bookmarkEnd w:id="31"/>
      <w:bookmarkEnd w:id="32"/>
      <w:bookmarkEnd w:id="33"/>
      <w:bookmarkEnd w:id="34"/>
      <w:bookmarkEnd w:id="35"/>
      <w:bookmarkEnd w:id="36"/>
      <w:bookmarkEnd w:id="37"/>
      <w:bookmarkEnd w:id="38"/>
      <w:bookmarkEnd w:id="39"/>
      <w:bookmarkEnd w:id="40"/>
      <w:bookmarkEnd w:id="41"/>
      <w:bookmarkEnd w:id="42"/>
      <w:bookmarkEnd w:id="43"/>
    </w:p>
    <w:p w:rsidR="003E180D" w:rsidRDefault="003E180D" w:rsidP="003E180D">
      <w:pPr>
        <w:spacing w:after="120" w:line="240" w:lineRule="auto"/>
        <w:jc w:val="both"/>
        <w:rPr>
          <w:rFonts w:cs="Times New Roman"/>
          <w:noProof/>
          <w:szCs w:val="24"/>
        </w:rPr>
      </w:pPr>
      <w:r>
        <w:rPr>
          <w:noProof/>
        </w:rPr>
        <w:t>The Directorate-General for Climate Action is the lead service for the preparation of the initiative (PLAN/2017/</w:t>
      </w:r>
      <w:r>
        <w:rPr>
          <w:rFonts w:cs="Times New Roman"/>
          <w:noProof/>
          <w:szCs w:val="24"/>
        </w:rPr>
        <w:t>1474</w:t>
      </w:r>
      <w:r>
        <w:rPr>
          <w:noProof/>
        </w:rPr>
        <w:t xml:space="preserve">) and the work on the impact assessment. </w:t>
      </w:r>
    </w:p>
    <w:p w:rsidR="003E180D" w:rsidRDefault="003E180D" w:rsidP="003E180D">
      <w:pPr>
        <w:spacing w:after="120" w:line="240" w:lineRule="auto"/>
        <w:jc w:val="both"/>
        <w:rPr>
          <w:rFonts w:eastAsia="Times New Roman" w:cs="Times New Roman"/>
          <w:noProof/>
          <w:szCs w:val="24"/>
        </w:rPr>
      </w:pPr>
      <w:r>
        <w:rPr>
          <w:noProof/>
        </w:rPr>
        <w:t>An inter-service steering group (ISG), chaired by the Secretariat-General, was set up in December 2017</w:t>
      </w:r>
      <w:r>
        <w:rPr>
          <w:rFonts w:eastAsia="Times New Roman"/>
          <w:noProof/>
        </w:rPr>
        <w:t xml:space="preserve"> with the participation of the following Commission Directorates-General: Legal Service; Economic and Financial Affairs; Internal Market, Industry, Entrepreneurship and SMEs; Environment; Mobility and Transport; Joint Research Centre; Taxation and Customs Union; Justice and Consumers, Employment, Social Affairs and Inclusion, Research and Innovation, Competition, Energy, Communications Networks, Content &amp; Technology. </w:t>
      </w:r>
    </w:p>
    <w:p w:rsidR="003E180D" w:rsidRDefault="003E180D" w:rsidP="003E180D">
      <w:pPr>
        <w:spacing w:after="120" w:line="240" w:lineRule="auto"/>
        <w:jc w:val="both"/>
        <w:rPr>
          <w:rFonts w:eastAsia="Times New Roman" w:cs="Times New Roman"/>
          <w:noProof/>
          <w:szCs w:val="24"/>
        </w:rPr>
      </w:pPr>
      <w:r>
        <w:rPr>
          <w:noProof/>
        </w:rPr>
        <w:t>The ISG met</w:t>
      </w:r>
      <w:r>
        <w:rPr>
          <w:rFonts w:eastAsia="Times New Roman"/>
          <w:noProof/>
        </w:rPr>
        <w:t xml:space="preserve"> </w:t>
      </w:r>
      <w:r>
        <w:rPr>
          <w:noProof/>
        </w:rPr>
        <w:t>three times</w:t>
      </w:r>
      <w:r>
        <w:rPr>
          <w:rFonts w:eastAsia="Times New Roman"/>
          <w:noProof/>
        </w:rPr>
        <w:t xml:space="preserve"> between December 2017 and the end of February 2018, to discuss the draft impact assessment.</w:t>
      </w:r>
    </w:p>
    <w:p w:rsidR="003E180D" w:rsidRDefault="003E180D" w:rsidP="003E180D">
      <w:pPr>
        <w:pStyle w:val="Heading2"/>
        <w:numPr>
          <w:ilvl w:val="1"/>
          <w:numId w:val="22"/>
        </w:numPr>
        <w:spacing w:before="240" w:after="240"/>
        <w:rPr>
          <w:noProof/>
        </w:rPr>
      </w:pPr>
      <w:bookmarkStart w:id="44" w:name="_Toc507493372"/>
      <w:bookmarkStart w:id="45" w:name="_Toc507496398"/>
      <w:bookmarkStart w:id="46" w:name="_Toc507512096"/>
      <w:bookmarkStart w:id="47" w:name="_Toc507517560"/>
      <w:bookmarkStart w:id="48" w:name="_Toc508124763"/>
      <w:bookmarkStart w:id="49" w:name="_Toc508126128"/>
      <w:bookmarkStart w:id="50" w:name="_Toc508127499"/>
      <w:bookmarkStart w:id="51" w:name="_Toc508127852"/>
      <w:bookmarkStart w:id="52" w:name="_Toc508129626"/>
      <w:bookmarkStart w:id="53" w:name="_Toc508181017"/>
      <w:bookmarkStart w:id="54" w:name="_Toc508186610"/>
      <w:bookmarkStart w:id="55" w:name="_Toc510708090"/>
      <w:bookmarkStart w:id="56" w:name="_Toc514328787"/>
      <w:r>
        <w:rPr>
          <w:noProof/>
        </w:rPr>
        <w:t>Consultation of the Regulatory Scrutiny Board (RSB)</w:t>
      </w:r>
      <w:bookmarkEnd w:id="44"/>
      <w:bookmarkEnd w:id="45"/>
      <w:bookmarkEnd w:id="46"/>
      <w:bookmarkEnd w:id="47"/>
      <w:bookmarkEnd w:id="48"/>
      <w:bookmarkEnd w:id="49"/>
      <w:bookmarkEnd w:id="50"/>
      <w:bookmarkEnd w:id="51"/>
      <w:bookmarkEnd w:id="52"/>
      <w:bookmarkEnd w:id="53"/>
      <w:bookmarkEnd w:id="54"/>
      <w:bookmarkEnd w:id="55"/>
      <w:bookmarkEnd w:id="56"/>
      <w:r>
        <w:rPr>
          <w:noProof/>
        </w:rPr>
        <w:t xml:space="preserve"> </w:t>
      </w:r>
    </w:p>
    <w:p w:rsidR="003E180D" w:rsidRDefault="003E180D" w:rsidP="003E180D">
      <w:pPr>
        <w:pStyle w:val="Text2"/>
        <w:ind w:left="0"/>
        <w:rPr>
          <w:noProof/>
          <w:szCs w:val="24"/>
        </w:rPr>
      </w:pPr>
      <w:r>
        <w:rPr>
          <w:noProof/>
        </w:rPr>
        <w:t xml:space="preserve">The Regulatory Scrutiny Board received the draft version of the present impact assessment report on 28 February 2018 and following the Board meeting on 28 March 2018 issued a negative opinion on </w:t>
      </w:r>
      <w:r>
        <w:rPr>
          <w:noProof/>
          <w:szCs w:val="24"/>
        </w:rPr>
        <w:t>4 April</w:t>
      </w:r>
      <w:r>
        <w:rPr>
          <w:noProof/>
        </w:rPr>
        <w:t xml:space="preserve"> 2018. </w:t>
      </w:r>
    </w:p>
    <w:p w:rsidR="003E180D" w:rsidRDefault="003E180D" w:rsidP="003E180D">
      <w:pPr>
        <w:pStyle w:val="Text2"/>
        <w:ind w:left="0"/>
        <w:rPr>
          <w:noProof/>
        </w:rPr>
      </w:pPr>
      <w:r>
        <w:rPr>
          <w:noProof/>
        </w:rPr>
        <w:t>The Board made the following recommendations, which were addressed in the revised draft impact assessment report as indicated below.</w:t>
      </w:r>
    </w:p>
    <w:tbl>
      <w:tblPr>
        <w:tblStyle w:val="TableFPB3"/>
        <w:tblW w:w="0" w:type="auto"/>
        <w:tblLook w:val="04A0" w:firstRow="1" w:lastRow="0" w:firstColumn="1" w:lastColumn="0" w:noHBand="0" w:noVBand="1"/>
      </w:tblPr>
      <w:tblGrid>
        <w:gridCol w:w="4361"/>
        <w:gridCol w:w="4472"/>
      </w:tblGrid>
      <w:tr w:rsidR="003E180D" w:rsidTr="0088305C">
        <w:tc>
          <w:tcPr>
            <w:tcW w:w="4361" w:type="dxa"/>
            <w:tcBorders>
              <w:top w:val="single" w:sz="4" w:space="0" w:color="auto"/>
              <w:left w:val="single" w:sz="4" w:space="0" w:color="auto"/>
              <w:bottom w:val="single" w:sz="4" w:space="0" w:color="auto"/>
              <w:right w:val="single" w:sz="4" w:space="0" w:color="auto"/>
            </w:tcBorders>
            <w:hideMark/>
          </w:tcPr>
          <w:p w:rsidR="003E180D" w:rsidRDefault="003E180D" w:rsidP="0088305C">
            <w:pPr>
              <w:tabs>
                <w:tab w:val="left" w:pos="720"/>
              </w:tabs>
              <w:spacing w:after="120"/>
              <w:jc w:val="both"/>
              <w:rPr>
                <w:b/>
                <w:noProof/>
                <w:u w:val="single"/>
              </w:rPr>
            </w:pPr>
            <w:r>
              <w:rPr>
                <w:b/>
                <w:noProof/>
                <w:u w:val="single"/>
              </w:rPr>
              <w:t>Main RSB considerations</w:t>
            </w:r>
          </w:p>
        </w:tc>
        <w:tc>
          <w:tcPr>
            <w:tcW w:w="4472" w:type="dxa"/>
            <w:tcBorders>
              <w:top w:val="single" w:sz="4" w:space="0" w:color="auto"/>
              <w:left w:val="single" w:sz="4" w:space="0" w:color="auto"/>
              <w:bottom w:val="single" w:sz="4" w:space="0" w:color="auto"/>
              <w:right w:val="single" w:sz="4" w:space="0" w:color="auto"/>
            </w:tcBorders>
            <w:hideMark/>
          </w:tcPr>
          <w:p w:rsidR="003E180D" w:rsidRDefault="003E180D" w:rsidP="0088305C">
            <w:pPr>
              <w:tabs>
                <w:tab w:val="left" w:pos="720"/>
              </w:tabs>
              <w:spacing w:after="120"/>
              <w:jc w:val="both"/>
              <w:rPr>
                <w:b/>
                <w:noProof/>
                <w:szCs w:val="24"/>
                <w:u w:val="single"/>
              </w:rPr>
            </w:pPr>
            <w:r>
              <w:rPr>
                <w:b/>
                <w:noProof/>
                <w:u w:val="single"/>
              </w:rPr>
              <w:t>Response</w:t>
            </w:r>
          </w:p>
        </w:tc>
      </w:tr>
      <w:tr w:rsidR="003E180D" w:rsidTr="0088305C">
        <w:tc>
          <w:tcPr>
            <w:tcW w:w="4361" w:type="dxa"/>
            <w:tcBorders>
              <w:top w:val="single" w:sz="4" w:space="0" w:color="auto"/>
              <w:left w:val="single" w:sz="4" w:space="0" w:color="auto"/>
              <w:bottom w:val="single" w:sz="4" w:space="0" w:color="auto"/>
              <w:right w:val="single" w:sz="4" w:space="0" w:color="auto"/>
            </w:tcBorders>
          </w:tcPr>
          <w:p w:rsidR="003E180D" w:rsidRDefault="003E180D" w:rsidP="0088305C">
            <w:pPr>
              <w:tabs>
                <w:tab w:val="left" w:pos="720"/>
              </w:tabs>
              <w:spacing w:after="120"/>
              <w:jc w:val="both"/>
              <w:rPr>
                <w:noProof/>
              </w:rPr>
            </w:pPr>
            <w:r>
              <w:rPr>
                <w:noProof/>
              </w:rPr>
              <w:t>The Board acknowledges efforts to quantify impacts of the policy options, and takes note of planned clarifications to the draft report.</w:t>
            </w:r>
          </w:p>
          <w:p w:rsidR="003E180D" w:rsidRDefault="003E180D" w:rsidP="0088305C">
            <w:pPr>
              <w:tabs>
                <w:tab w:val="left" w:pos="720"/>
              </w:tabs>
              <w:spacing w:after="120"/>
              <w:jc w:val="both"/>
              <w:rPr>
                <w:noProof/>
                <w:highlight w:val="yellow"/>
              </w:rPr>
            </w:pPr>
            <w:r>
              <w:rPr>
                <w:noProof/>
              </w:rPr>
              <w:t xml:space="preserve">However, the Board gives a negative opinion, because the report contains important shortcomings that need to be addressed particularly with respect to the following key aspects:  </w:t>
            </w:r>
          </w:p>
        </w:tc>
        <w:tc>
          <w:tcPr>
            <w:tcW w:w="4472" w:type="dxa"/>
            <w:tcBorders>
              <w:top w:val="single" w:sz="4" w:space="0" w:color="auto"/>
              <w:left w:val="single" w:sz="4" w:space="0" w:color="auto"/>
              <w:bottom w:val="single" w:sz="4" w:space="0" w:color="auto"/>
              <w:right w:val="single" w:sz="4" w:space="0" w:color="auto"/>
            </w:tcBorders>
          </w:tcPr>
          <w:p w:rsidR="003E180D" w:rsidRDefault="003E180D" w:rsidP="0088305C">
            <w:pPr>
              <w:tabs>
                <w:tab w:val="left" w:pos="720"/>
              </w:tabs>
              <w:spacing w:after="120"/>
              <w:jc w:val="both"/>
              <w:rPr>
                <w:noProof/>
                <w:highlight w:val="yellow"/>
              </w:rPr>
            </w:pPr>
          </w:p>
        </w:tc>
      </w:tr>
      <w:tr w:rsidR="003E180D" w:rsidTr="0088305C">
        <w:tc>
          <w:tcPr>
            <w:tcW w:w="4361" w:type="dxa"/>
            <w:tcBorders>
              <w:top w:val="single" w:sz="4" w:space="0" w:color="auto"/>
              <w:left w:val="single" w:sz="4" w:space="0" w:color="auto"/>
              <w:bottom w:val="single" w:sz="4" w:space="0" w:color="auto"/>
              <w:right w:val="single" w:sz="4" w:space="0" w:color="auto"/>
            </w:tcBorders>
          </w:tcPr>
          <w:p w:rsidR="003E180D" w:rsidRDefault="003E180D" w:rsidP="0088305C">
            <w:pPr>
              <w:tabs>
                <w:tab w:val="left" w:pos="720"/>
              </w:tabs>
              <w:spacing w:after="120"/>
              <w:jc w:val="both"/>
              <w:rPr>
                <w:noProof/>
                <w:highlight w:val="yellow"/>
              </w:rPr>
            </w:pPr>
            <w:r>
              <w:rPr>
                <w:noProof/>
              </w:rPr>
              <w:t>(1)</w:t>
            </w:r>
            <w:r>
              <w:rPr>
                <w:noProof/>
              </w:rPr>
              <w:tab/>
              <w:t>The options seek to correct market failures that allegedly lead HDV producers to underinvest in fuel efficiency and emissions reduction. The report does not convincingly establish the scale and relevance of such market failures.</w:t>
            </w:r>
          </w:p>
        </w:tc>
        <w:tc>
          <w:tcPr>
            <w:tcW w:w="4472" w:type="dxa"/>
            <w:tcBorders>
              <w:top w:val="single" w:sz="4" w:space="0" w:color="auto"/>
              <w:left w:val="single" w:sz="4" w:space="0" w:color="auto"/>
              <w:bottom w:val="single" w:sz="4" w:space="0" w:color="auto"/>
              <w:right w:val="single" w:sz="4" w:space="0" w:color="auto"/>
            </w:tcBorders>
          </w:tcPr>
          <w:p w:rsidR="003E180D" w:rsidRDefault="003E180D" w:rsidP="0088305C">
            <w:pPr>
              <w:tabs>
                <w:tab w:val="left" w:pos="720"/>
              </w:tabs>
              <w:spacing w:after="120"/>
              <w:jc w:val="both"/>
              <w:rPr>
                <w:noProof/>
              </w:rPr>
            </w:pPr>
            <w:r>
              <w:rPr>
                <w:noProof/>
              </w:rPr>
              <w:t xml:space="preserve">The description of the barriers hindering the uptake of more fuel-efficient technologies and their relevance, as presented in section 2.2.2 of the report, has been revised, clarified and expanded. </w:t>
            </w:r>
          </w:p>
          <w:p w:rsidR="003E180D" w:rsidRDefault="003E180D" w:rsidP="0088305C">
            <w:pPr>
              <w:tabs>
                <w:tab w:val="left" w:pos="720"/>
              </w:tabs>
              <w:spacing w:after="120"/>
              <w:jc w:val="both"/>
              <w:rPr>
                <w:noProof/>
              </w:rPr>
            </w:pPr>
            <w:r>
              <w:rPr>
                <w:noProof/>
              </w:rPr>
              <w:t xml:space="preserve">The different causes have been described in section 2.2.2. The first key issue is that market players do not take into account environmental benefits for society to the extent they do not enter their profit calculations as costs and benefits are not directly priced into the market. </w:t>
            </w:r>
          </w:p>
          <w:p w:rsidR="003E180D" w:rsidRDefault="003E180D" w:rsidP="0088305C">
            <w:pPr>
              <w:tabs>
                <w:tab w:val="left" w:pos="720"/>
              </w:tabs>
              <w:spacing w:after="120"/>
              <w:jc w:val="both"/>
              <w:rPr>
                <w:noProof/>
              </w:rPr>
            </w:pPr>
            <w:r>
              <w:rPr>
                <w:noProof/>
              </w:rPr>
              <w:t>Next to this, there is imperfect and information asymmetry. Sellers know better than buyers the potential of fuel-saving technologies. Buyers of lorries find it difficult differentiating fuel savings resulting from individual technologies. Furthermore, t</w:t>
            </w:r>
            <w:r>
              <w:rPr>
                <w:noProof/>
                <w:szCs w:val="24"/>
              </w:rPr>
              <w:t xml:space="preserve">he net savings of those individual technologies will be perceived as rather modest, as most of them do not save more than about 0.5% of the total operating costs. If transport operators want to reap the full benefits, they will have to select a number of technologies at the same time, which makes the purchasing decision more complex. As a result, the market penetration of </w:t>
            </w:r>
            <w:r>
              <w:rPr>
                <w:noProof/>
              </w:rPr>
              <w:t>such readily available technologies is limited, despite their considerable net savings over time.</w:t>
            </w:r>
          </w:p>
          <w:p w:rsidR="003E180D" w:rsidRDefault="003E180D" w:rsidP="0088305C">
            <w:pPr>
              <w:tabs>
                <w:tab w:val="left" w:pos="720"/>
              </w:tabs>
              <w:spacing w:after="120"/>
              <w:jc w:val="both"/>
              <w:rPr>
                <w:noProof/>
              </w:rPr>
            </w:pPr>
            <w:r>
              <w:rPr>
                <w:noProof/>
              </w:rPr>
              <w:t xml:space="preserve">The availability of VECTO data from 2019 will help addressing asymmetries but is unlikely to be sufficient to close them as the access to this technical informal will not be automatic and will remain complex for transport operators which are mainly SMEs. This is confirmed by the experience in the US. </w:t>
            </w:r>
          </w:p>
          <w:p w:rsidR="003E180D" w:rsidRDefault="003E180D" w:rsidP="0088305C">
            <w:pPr>
              <w:tabs>
                <w:tab w:val="left" w:pos="720"/>
              </w:tabs>
              <w:spacing w:after="120"/>
              <w:jc w:val="both"/>
              <w:rPr>
                <w:noProof/>
              </w:rPr>
            </w:pPr>
            <w:r>
              <w:rPr>
                <w:noProof/>
              </w:rPr>
              <w:t xml:space="preserve">The barrier on asymmetry of information also results in an 'adverse selection' problem. </w:t>
            </w:r>
          </w:p>
          <w:p w:rsidR="003E180D" w:rsidRDefault="003E180D" w:rsidP="0088305C">
            <w:pPr>
              <w:tabs>
                <w:tab w:val="left" w:pos="720"/>
              </w:tabs>
              <w:spacing w:after="120"/>
              <w:jc w:val="both"/>
              <w:rPr>
                <w:noProof/>
              </w:rPr>
            </w:pPr>
            <w:r>
              <w:rPr>
                <w:noProof/>
              </w:rPr>
              <w:t xml:space="preserve">These issues are enhanced by the concentrated market situation on the side of the manufacturers, </w:t>
            </w:r>
            <w:r>
              <w:rPr>
                <w:noProof/>
                <w:szCs w:val="24"/>
              </w:rPr>
              <w:t>which contributes to low competitive pressure</w:t>
            </w:r>
            <w:r>
              <w:rPr>
                <w:noProof/>
              </w:rPr>
              <w:t>.</w:t>
            </w:r>
          </w:p>
          <w:p w:rsidR="003E180D" w:rsidRDefault="003E180D" w:rsidP="0088305C">
            <w:pPr>
              <w:tabs>
                <w:tab w:val="left" w:pos="720"/>
              </w:tabs>
              <w:spacing w:after="120"/>
              <w:jc w:val="both"/>
              <w:rPr>
                <w:noProof/>
              </w:rPr>
            </w:pPr>
            <w:r>
              <w:rPr>
                <w:noProof/>
                <w:szCs w:val="24"/>
              </w:rPr>
              <w:t>Furthermore, the market providing transport services is very competitive, and it is likely that a part of the fuels savings is passed through via a reduction of freight cost to the final customer of transport services. Because of that, transport operators will be uncertain to what extent purchasing a highly fuel efficient truck will translate into a higher income for them.</w:t>
            </w:r>
          </w:p>
          <w:p w:rsidR="003E180D" w:rsidRDefault="003E180D" w:rsidP="0088305C">
            <w:pPr>
              <w:tabs>
                <w:tab w:val="left" w:pos="720"/>
              </w:tabs>
              <w:spacing w:after="120"/>
              <w:jc w:val="both"/>
              <w:rPr>
                <w:noProof/>
                <w:highlight w:val="yellow"/>
              </w:rPr>
            </w:pPr>
            <w:r>
              <w:rPr>
                <w:noProof/>
              </w:rPr>
              <w:t>The US experience shows that despite convincing evidence of underinvestment in fuel-efficient technologies, empirical evidence for its drivers is more difficult to establish.</w:t>
            </w:r>
          </w:p>
        </w:tc>
      </w:tr>
    </w:tbl>
    <w:p w:rsidR="003E180D" w:rsidRDefault="003E180D" w:rsidP="003E180D">
      <w:pPr>
        <w:rPr>
          <w:noProof/>
        </w:rPr>
      </w:pPr>
      <w:r>
        <w:rPr>
          <w:noProof/>
        </w:rPr>
        <w:br w:type="page"/>
      </w:r>
    </w:p>
    <w:tbl>
      <w:tblPr>
        <w:tblStyle w:val="TableFPB3"/>
        <w:tblW w:w="0" w:type="auto"/>
        <w:tblLook w:val="04A0" w:firstRow="1" w:lastRow="0" w:firstColumn="1" w:lastColumn="0" w:noHBand="0" w:noVBand="1"/>
      </w:tblPr>
      <w:tblGrid>
        <w:gridCol w:w="4361"/>
        <w:gridCol w:w="4472"/>
      </w:tblGrid>
      <w:tr w:rsidR="003E180D" w:rsidTr="0088305C">
        <w:tc>
          <w:tcPr>
            <w:tcW w:w="4361" w:type="dxa"/>
            <w:tcBorders>
              <w:top w:val="single" w:sz="4" w:space="0" w:color="auto"/>
              <w:left w:val="single" w:sz="4" w:space="0" w:color="auto"/>
              <w:bottom w:val="single" w:sz="4" w:space="0" w:color="auto"/>
              <w:right w:val="single" w:sz="4" w:space="0" w:color="auto"/>
            </w:tcBorders>
          </w:tcPr>
          <w:p w:rsidR="003E180D" w:rsidRDefault="003E180D" w:rsidP="0088305C">
            <w:pPr>
              <w:tabs>
                <w:tab w:val="left" w:pos="720"/>
              </w:tabs>
              <w:spacing w:after="120"/>
              <w:jc w:val="both"/>
              <w:rPr>
                <w:noProof/>
                <w:highlight w:val="yellow"/>
              </w:rPr>
            </w:pPr>
            <w:r>
              <w:rPr>
                <w:noProof/>
              </w:rPr>
              <w:t>(2)</w:t>
            </w:r>
            <w:r>
              <w:rPr>
                <w:noProof/>
              </w:rPr>
              <w:tab/>
              <w:t>The report downplays uncertainties about capabilities and costs of technologies to increase fuel efficiency. It does not assess how these uncertainties affect the choice of fuel efficiency targets, or whether these targets should be voluntary or mandatory.</w:t>
            </w:r>
          </w:p>
        </w:tc>
        <w:tc>
          <w:tcPr>
            <w:tcW w:w="4472" w:type="dxa"/>
            <w:tcBorders>
              <w:top w:val="single" w:sz="4" w:space="0" w:color="auto"/>
              <w:left w:val="single" w:sz="4" w:space="0" w:color="auto"/>
              <w:bottom w:val="single" w:sz="4" w:space="0" w:color="auto"/>
              <w:right w:val="single" w:sz="4" w:space="0" w:color="auto"/>
            </w:tcBorders>
          </w:tcPr>
          <w:p w:rsidR="003E180D" w:rsidRDefault="003E180D" w:rsidP="0088305C">
            <w:pPr>
              <w:tabs>
                <w:tab w:val="left" w:pos="720"/>
              </w:tabs>
              <w:spacing w:after="120"/>
              <w:jc w:val="both"/>
              <w:rPr>
                <w:noProof/>
              </w:rPr>
            </w:pPr>
            <w:r>
              <w:rPr>
                <w:noProof/>
              </w:rPr>
              <w:t>On these points, the report has been revised and the analysis expanded in several places.</w:t>
            </w:r>
          </w:p>
          <w:p w:rsidR="003E180D" w:rsidRDefault="003E180D" w:rsidP="0088305C">
            <w:pPr>
              <w:tabs>
                <w:tab w:val="left" w:pos="720"/>
              </w:tabs>
              <w:spacing w:after="120"/>
              <w:jc w:val="both"/>
              <w:rPr>
                <w:noProof/>
              </w:rPr>
            </w:pPr>
            <w:r>
              <w:rPr>
                <w:noProof/>
              </w:rPr>
              <w:t>The newly-added Table 1 provides an overview of technologies for reducing CO</w:t>
            </w:r>
            <w:r>
              <w:rPr>
                <w:noProof/>
                <w:vertAlign w:val="subscript"/>
              </w:rPr>
              <w:t>2</w:t>
            </w:r>
            <w:r>
              <w:rPr>
                <w:noProof/>
              </w:rPr>
              <w:t xml:space="preserve"> emissions, grouping them into five categories according to their current and future market penetration, and constraints for their widespread deployment.</w:t>
            </w:r>
          </w:p>
          <w:p w:rsidR="003E180D" w:rsidRDefault="003E180D" w:rsidP="0088305C">
            <w:pPr>
              <w:tabs>
                <w:tab w:val="left" w:pos="720"/>
              </w:tabs>
              <w:spacing w:after="120"/>
              <w:jc w:val="both"/>
              <w:rPr>
                <w:noProof/>
              </w:rPr>
            </w:pPr>
            <w:r>
              <w:rPr>
                <w:noProof/>
              </w:rPr>
              <w:t xml:space="preserve">As illustrated in the newly-added Table 2 and Figure 4, the first key finding is that a series of cost-effective technologies are readily available, but still have a limited market penetration, despite their low costs and the high net savings they deliver. Other technologies will become soon readily available. Together, these technologies would yield emission reductions of up to 15-20% within the 2025 time frame. </w:t>
            </w:r>
          </w:p>
          <w:p w:rsidR="003E180D" w:rsidRDefault="003E180D" w:rsidP="0088305C">
            <w:pPr>
              <w:tabs>
                <w:tab w:val="left" w:pos="720"/>
              </w:tabs>
              <w:spacing w:after="120"/>
              <w:jc w:val="both"/>
              <w:rPr>
                <w:noProof/>
              </w:rPr>
            </w:pPr>
            <w:r>
              <w:rPr>
                <w:noProof/>
              </w:rPr>
              <w:t xml:space="preserve">On the other hand, the time frame for the widespread market penetration of more prospective technologies and alternative powertrains, which are less mature, as well as their cost saving potential, is more uncertain. </w:t>
            </w:r>
          </w:p>
          <w:p w:rsidR="003E180D" w:rsidRDefault="003E180D" w:rsidP="0088305C">
            <w:pPr>
              <w:tabs>
                <w:tab w:val="left" w:pos="720"/>
              </w:tabs>
              <w:spacing w:after="120"/>
              <w:jc w:val="both"/>
              <w:rPr>
                <w:noProof/>
              </w:rPr>
            </w:pPr>
            <w:r>
              <w:rPr>
                <w:noProof/>
              </w:rPr>
              <w:t xml:space="preserve">Section 7 has also been expended to provide more information on the associated uncertainties on a range of options. </w:t>
            </w:r>
          </w:p>
          <w:p w:rsidR="003E180D" w:rsidRDefault="003E180D" w:rsidP="0088305C">
            <w:pPr>
              <w:tabs>
                <w:tab w:val="left" w:pos="720"/>
              </w:tabs>
              <w:spacing w:after="120"/>
              <w:jc w:val="both"/>
              <w:rPr>
                <w:noProof/>
              </w:rPr>
            </w:pPr>
            <w:r>
              <w:rPr>
                <w:noProof/>
              </w:rPr>
              <w:t>Furthermore, the revised Sections 5.1.5, 6.2.5 and 7 discuss the pros and cons of making a target for 2030 mandatory as opposed to aspirational.</w:t>
            </w:r>
          </w:p>
          <w:p w:rsidR="003E180D" w:rsidRDefault="003E180D" w:rsidP="0088305C">
            <w:pPr>
              <w:tabs>
                <w:tab w:val="left" w:pos="720"/>
              </w:tabs>
              <w:spacing w:after="120"/>
              <w:jc w:val="both"/>
              <w:rPr>
                <w:noProof/>
                <w:highlight w:val="yellow"/>
              </w:rPr>
            </w:pPr>
            <w:r>
              <w:rPr>
                <w:noProof/>
              </w:rPr>
              <w:t>The option of setting only voluntary or aspirational targets is reflected in the baseline option for the target levels, as experience with a voluntary approach in the light-duty vehicles sector has proven that this does not result in higher emission reductions than what could be expected as a result of “autonomous improvements”.</w:t>
            </w:r>
          </w:p>
        </w:tc>
      </w:tr>
      <w:tr w:rsidR="003E180D" w:rsidTr="0088305C">
        <w:tc>
          <w:tcPr>
            <w:tcW w:w="4361" w:type="dxa"/>
            <w:tcBorders>
              <w:top w:val="single" w:sz="4" w:space="0" w:color="auto"/>
              <w:left w:val="single" w:sz="4" w:space="0" w:color="auto"/>
              <w:bottom w:val="single" w:sz="4" w:space="0" w:color="auto"/>
              <w:right w:val="single" w:sz="4" w:space="0" w:color="auto"/>
            </w:tcBorders>
            <w:hideMark/>
          </w:tcPr>
          <w:p w:rsidR="003E180D" w:rsidRDefault="003E180D" w:rsidP="0088305C">
            <w:pPr>
              <w:tabs>
                <w:tab w:val="left" w:pos="720"/>
              </w:tabs>
              <w:spacing w:after="120"/>
              <w:jc w:val="both"/>
              <w:rPr>
                <w:b/>
                <w:noProof/>
                <w:u w:val="single"/>
              </w:rPr>
            </w:pPr>
            <w:r>
              <w:rPr>
                <w:b/>
                <w:noProof/>
                <w:u w:val="single"/>
              </w:rPr>
              <w:t>Further RSB considerations and adjustment requirements</w:t>
            </w:r>
          </w:p>
        </w:tc>
        <w:tc>
          <w:tcPr>
            <w:tcW w:w="4472" w:type="dxa"/>
            <w:tcBorders>
              <w:top w:val="single" w:sz="4" w:space="0" w:color="auto"/>
              <w:left w:val="single" w:sz="4" w:space="0" w:color="auto"/>
              <w:bottom w:val="single" w:sz="4" w:space="0" w:color="auto"/>
              <w:right w:val="single" w:sz="4" w:space="0" w:color="auto"/>
            </w:tcBorders>
            <w:hideMark/>
          </w:tcPr>
          <w:p w:rsidR="003E180D" w:rsidRDefault="003E180D" w:rsidP="0088305C">
            <w:pPr>
              <w:tabs>
                <w:tab w:val="left" w:pos="720"/>
              </w:tabs>
              <w:spacing w:after="120"/>
              <w:jc w:val="both"/>
              <w:rPr>
                <w:b/>
                <w:noProof/>
                <w:szCs w:val="24"/>
                <w:u w:val="single"/>
              </w:rPr>
            </w:pPr>
            <w:r>
              <w:rPr>
                <w:b/>
                <w:noProof/>
                <w:u w:val="single"/>
              </w:rPr>
              <w:t>Response</w:t>
            </w:r>
          </w:p>
        </w:tc>
      </w:tr>
      <w:tr w:rsidR="003E180D" w:rsidTr="0088305C">
        <w:tc>
          <w:tcPr>
            <w:tcW w:w="4361" w:type="dxa"/>
            <w:tcBorders>
              <w:top w:val="single" w:sz="4" w:space="0" w:color="auto"/>
              <w:left w:val="single" w:sz="4" w:space="0" w:color="auto"/>
              <w:bottom w:val="single" w:sz="4" w:space="0" w:color="auto"/>
              <w:right w:val="single" w:sz="4" w:space="0" w:color="auto"/>
            </w:tcBorders>
          </w:tcPr>
          <w:p w:rsidR="003E180D" w:rsidRDefault="003E180D" w:rsidP="0088305C">
            <w:pPr>
              <w:tabs>
                <w:tab w:val="left" w:pos="720"/>
              </w:tabs>
              <w:spacing w:after="120"/>
              <w:jc w:val="both"/>
              <w:rPr>
                <w:noProof/>
                <w:highlight w:val="yellow"/>
              </w:rPr>
            </w:pPr>
            <w:r>
              <w:rPr>
                <w:noProof/>
              </w:rPr>
              <w:t>(1) The report should more clearly present the Commission’s proposed strategy to reduce CO2 emissions from Heavy Duty Vehicles by 2030. The overview should explain why and how the initiative’s scope may evolve. It should explain the sequence of various measures, including external ones that would allow an extension of the scope. It should clarify the purposes of the mid-term review.</w:t>
            </w:r>
          </w:p>
        </w:tc>
        <w:tc>
          <w:tcPr>
            <w:tcW w:w="4472" w:type="dxa"/>
            <w:tcBorders>
              <w:top w:val="single" w:sz="4" w:space="0" w:color="auto"/>
              <w:left w:val="single" w:sz="4" w:space="0" w:color="auto"/>
              <w:bottom w:val="single" w:sz="4" w:space="0" w:color="auto"/>
              <w:right w:val="single" w:sz="4" w:space="0" w:color="auto"/>
            </w:tcBorders>
          </w:tcPr>
          <w:p w:rsidR="003E180D" w:rsidRDefault="003E180D" w:rsidP="0088305C">
            <w:pPr>
              <w:tabs>
                <w:tab w:val="left" w:pos="720"/>
              </w:tabs>
              <w:spacing w:after="120"/>
              <w:jc w:val="both"/>
              <w:rPr>
                <w:noProof/>
              </w:rPr>
            </w:pPr>
            <w:r>
              <w:rPr>
                <w:noProof/>
              </w:rPr>
              <w:t>The Commission’s past and future work on measures to reduce CO</w:t>
            </w:r>
            <w:r>
              <w:rPr>
                <w:noProof/>
                <w:vertAlign w:val="subscript"/>
              </w:rPr>
              <w:t>2</w:t>
            </w:r>
            <w:r>
              <w:rPr>
                <w:noProof/>
              </w:rPr>
              <w:t xml:space="preserve"> emissions from Heavy Duty Vehicles by 2030 is further explained in Section 1.4 of the report. </w:t>
            </w:r>
          </w:p>
          <w:p w:rsidR="003E180D" w:rsidRDefault="003E180D" w:rsidP="0088305C">
            <w:pPr>
              <w:tabs>
                <w:tab w:val="left" w:pos="720"/>
              </w:tabs>
              <w:spacing w:after="120"/>
              <w:jc w:val="both"/>
              <w:rPr>
                <w:noProof/>
              </w:rPr>
            </w:pPr>
            <w:r>
              <w:rPr>
                <w:noProof/>
              </w:rPr>
              <w:t xml:space="preserve">The initiatives for extending the scope have been further elaborated in Section 5.1.1. </w:t>
            </w:r>
          </w:p>
          <w:p w:rsidR="003E180D" w:rsidRDefault="003E180D" w:rsidP="0088305C">
            <w:pPr>
              <w:tabs>
                <w:tab w:val="left" w:pos="720"/>
              </w:tabs>
              <w:spacing w:after="120"/>
              <w:jc w:val="both"/>
              <w:rPr>
                <w:noProof/>
              </w:rPr>
            </w:pPr>
            <w:r>
              <w:rPr>
                <w:noProof/>
              </w:rPr>
              <w:t>This work is further detailed in the dedicated Annex 8.</w:t>
            </w:r>
          </w:p>
          <w:p w:rsidR="003E180D" w:rsidRDefault="003E180D" w:rsidP="0088305C">
            <w:pPr>
              <w:tabs>
                <w:tab w:val="left" w:pos="720"/>
              </w:tabs>
              <w:spacing w:after="120"/>
              <w:jc w:val="both"/>
              <w:rPr>
                <w:noProof/>
              </w:rPr>
            </w:pPr>
            <w:r>
              <w:rPr>
                <w:noProof/>
              </w:rPr>
              <w:t>The purposes of the mid-term review are threefold:</w:t>
            </w:r>
          </w:p>
          <w:p w:rsidR="003E180D" w:rsidRDefault="003E180D" w:rsidP="0088305C">
            <w:pPr>
              <w:tabs>
                <w:tab w:val="left" w:pos="720"/>
              </w:tabs>
              <w:spacing w:after="120"/>
              <w:jc w:val="both"/>
              <w:rPr>
                <w:noProof/>
              </w:rPr>
            </w:pPr>
            <w:r>
              <w:rPr>
                <w:noProof/>
              </w:rPr>
              <w:t>•</w:t>
            </w:r>
            <w:r>
              <w:rPr>
                <w:noProof/>
              </w:rPr>
              <w:tab/>
              <w:t>establish or confirm the 2030 targets for the vehicle groups covered by the first phase of the CO</w:t>
            </w:r>
            <w:r>
              <w:rPr>
                <w:noProof/>
                <w:vertAlign w:val="subscript"/>
              </w:rPr>
              <w:t>2</w:t>
            </w:r>
            <w:r>
              <w:rPr>
                <w:noProof/>
              </w:rPr>
              <w:t xml:space="preserve"> standards;</w:t>
            </w:r>
          </w:p>
          <w:p w:rsidR="003E180D" w:rsidRDefault="003E180D" w:rsidP="0088305C">
            <w:pPr>
              <w:tabs>
                <w:tab w:val="left" w:pos="720"/>
              </w:tabs>
              <w:spacing w:after="120"/>
              <w:jc w:val="both"/>
              <w:rPr>
                <w:noProof/>
              </w:rPr>
            </w:pPr>
            <w:r>
              <w:rPr>
                <w:noProof/>
              </w:rPr>
              <w:t>•</w:t>
            </w:r>
            <w:r>
              <w:rPr>
                <w:noProof/>
              </w:rPr>
              <w:tab/>
              <w:t>extend the scope to other groups of HDVs, taking account of the updates of VECTO and the Certification Regulation;</w:t>
            </w:r>
          </w:p>
          <w:p w:rsidR="003E180D" w:rsidRDefault="003E180D" w:rsidP="0088305C">
            <w:pPr>
              <w:tabs>
                <w:tab w:val="left" w:pos="720"/>
              </w:tabs>
              <w:spacing w:after="120"/>
              <w:jc w:val="both"/>
              <w:rPr>
                <w:noProof/>
              </w:rPr>
            </w:pPr>
            <w:r>
              <w:rPr>
                <w:noProof/>
              </w:rPr>
              <w:t>•</w:t>
            </w:r>
            <w:r>
              <w:rPr>
                <w:noProof/>
              </w:rPr>
              <w:tab/>
              <w:t>review the modalities for implementation.</w:t>
            </w:r>
          </w:p>
          <w:p w:rsidR="003E180D" w:rsidRDefault="003E180D" w:rsidP="0088305C">
            <w:pPr>
              <w:tabs>
                <w:tab w:val="left" w:pos="720"/>
              </w:tabs>
              <w:spacing w:after="120"/>
              <w:jc w:val="both"/>
              <w:rPr>
                <w:noProof/>
                <w:highlight w:val="yellow"/>
              </w:rPr>
            </w:pPr>
            <w:r>
              <w:rPr>
                <w:noProof/>
              </w:rPr>
              <w:t>This is further detailed in Section 5.1.5</w:t>
            </w:r>
          </w:p>
        </w:tc>
      </w:tr>
      <w:tr w:rsidR="003E180D" w:rsidTr="0088305C">
        <w:tc>
          <w:tcPr>
            <w:tcW w:w="4361" w:type="dxa"/>
            <w:tcBorders>
              <w:top w:val="single" w:sz="4" w:space="0" w:color="auto"/>
              <w:left w:val="single" w:sz="4" w:space="0" w:color="auto"/>
              <w:bottom w:val="single" w:sz="4" w:space="0" w:color="auto"/>
              <w:right w:val="single" w:sz="4" w:space="0" w:color="auto"/>
            </w:tcBorders>
          </w:tcPr>
          <w:p w:rsidR="003E180D" w:rsidRDefault="003E180D" w:rsidP="0088305C">
            <w:pPr>
              <w:tabs>
                <w:tab w:val="left" w:pos="720"/>
              </w:tabs>
              <w:spacing w:after="120"/>
              <w:jc w:val="both"/>
              <w:rPr>
                <w:noProof/>
              </w:rPr>
            </w:pPr>
            <w:r>
              <w:rPr>
                <w:noProof/>
              </w:rPr>
              <w:t>(2) The problem definition section should do more to establish that HDV owners currently underinvest in fuel-saving technologies. The report's current explanations for this market failure are not convincing in view of the report’s assumptions on the market structure in trucking and vehicle manufacturing. The behaviour of market participants rather seems to suggest doubts about how effectively technological innovations will deliver fuel savings and at what cost, and thus provide a sufficient return on additional investments in technology. Evidence to support this latter explanation comes from the stakeholder consultations and the backing of the VECTO system presented in annexes.</w:t>
            </w:r>
          </w:p>
        </w:tc>
        <w:tc>
          <w:tcPr>
            <w:tcW w:w="4472" w:type="dxa"/>
            <w:tcBorders>
              <w:top w:val="single" w:sz="4" w:space="0" w:color="auto"/>
              <w:left w:val="single" w:sz="4" w:space="0" w:color="auto"/>
              <w:bottom w:val="single" w:sz="4" w:space="0" w:color="auto"/>
              <w:right w:val="single" w:sz="4" w:space="0" w:color="auto"/>
            </w:tcBorders>
          </w:tcPr>
          <w:p w:rsidR="003E180D" w:rsidRDefault="003E180D" w:rsidP="0088305C">
            <w:pPr>
              <w:tabs>
                <w:tab w:val="left" w:pos="720"/>
              </w:tabs>
              <w:spacing w:after="120"/>
              <w:jc w:val="both"/>
              <w:rPr>
                <w:noProof/>
              </w:rPr>
            </w:pPr>
            <w:r>
              <w:rPr>
                <w:noProof/>
              </w:rPr>
              <w:t xml:space="preserve">Section 2 of the report has been thoroughly revised on this point, after revisiting existing literature and considering in particular the US experience in this area. This includes the newly added Table 2. </w:t>
            </w:r>
          </w:p>
          <w:p w:rsidR="003E180D" w:rsidRDefault="003E180D" w:rsidP="0088305C">
            <w:pPr>
              <w:tabs>
                <w:tab w:val="left" w:pos="720"/>
              </w:tabs>
              <w:spacing w:after="120"/>
              <w:jc w:val="both"/>
              <w:rPr>
                <w:noProof/>
              </w:rPr>
            </w:pPr>
            <w:r>
              <w:rPr>
                <w:noProof/>
              </w:rPr>
              <w:t>The text now indicates which are the main causes for the underinvestment. Also, the role of information asymmetries resulting in underinvestment has been further highlighted.</w:t>
            </w:r>
          </w:p>
          <w:p w:rsidR="003E180D" w:rsidRDefault="003E180D" w:rsidP="0088305C">
            <w:pPr>
              <w:tabs>
                <w:tab w:val="left" w:pos="720"/>
              </w:tabs>
              <w:spacing w:after="120"/>
              <w:jc w:val="both"/>
              <w:rPr>
                <w:noProof/>
                <w:highlight w:val="yellow"/>
              </w:rPr>
            </w:pPr>
            <w:r>
              <w:rPr>
                <w:noProof/>
              </w:rPr>
              <w:t xml:space="preserve">US experience confirms that there is ample evidence of underinvestment, but the empirical evidence for its drivers is more difficult to establish. </w:t>
            </w:r>
          </w:p>
        </w:tc>
      </w:tr>
      <w:tr w:rsidR="003E180D" w:rsidTr="0088305C">
        <w:tc>
          <w:tcPr>
            <w:tcW w:w="4361" w:type="dxa"/>
            <w:tcBorders>
              <w:top w:val="single" w:sz="4" w:space="0" w:color="auto"/>
              <w:left w:val="single" w:sz="4" w:space="0" w:color="auto"/>
              <w:bottom w:val="single" w:sz="4" w:space="0" w:color="auto"/>
              <w:right w:val="single" w:sz="4" w:space="0" w:color="auto"/>
            </w:tcBorders>
          </w:tcPr>
          <w:p w:rsidR="003E180D" w:rsidRDefault="003E180D" w:rsidP="0088305C">
            <w:pPr>
              <w:tabs>
                <w:tab w:val="left" w:pos="720"/>
              </w:tabs>
              <w:spacing w:after="120"/>
              <w:jc w:val="both"/>
              <w:rPr>
                <w:noProof/>
              </w:rPr>
            </w:pPr>
            <w:r>
              <w:rPr>
                <w:noProof/>
              </w:rPr>
              <w:t>(3) The report should spell out uncertainties surrounding the basic parameters of the initiative. It should consider these uncertainties when analysing the large net savings gains and comparing options. Doing so would clarify potential risks surrounding the political choice of setting target HDV CO2 emission reductions. Similarly, the report should discuss the pros and cons of making a target for 2030 mandatory as opposed to aspirational.</w:t>
            </w:r>
          </w:p>
        </w:tc>
        <w:tc>
          <w:tcPr>
            <w:tcW w:w="4472" w:type="dxa"/>
            <w:tcBorders>
              <w:top w:val="single" w:sz="4" w:space="0" w:color="auto"/>
              <w:left w:val="single" w:sz="4" w:space="0" w:color="auto"/>
              <w:bottom w:val="single" w:sz="4" w:space="0" w:color="auto"/>
              <w:right w:val="single" w:sz="4" w:space="0" w:color="auto"/>
            </w:tcBorders>
          </w:tcPr>
          <w:p w:rsidR="003E180D" w:rsidRDefault="003E180D" w:rsidP="0088305C">
            <w:pPr>
              <w:tabs>
                <w:tab w:val="left" w:pos="720"/>
              </w:tabs>
              <w:spacing w:after="120"/>
              <w:jc w:val="both"/>
              <w:rPr>
                <w:noProof/>
              </w:rPr>
            </w:pPr>
            <w:r>
              <w:rPr>
                <w:noProof/>
              </w:rPr>
              <w:t>The newly-added Table 1 provides an overview of technologies for reducing CO</w:t>
            </w:r>
            <w:r>
              <w:rPr>
                <w:noProof/>
                <w:vertAlign w:val="subscript"/>
              </w:rPr>
              <w:t>2</w:t>
            </w:r>
            <w:r>
              <w:rPr>
                <w:noProof/>
              </w:rPr>
              <w:t xml:space="preserve"> emissions, grouped according to their current and future market penetration, and constraints for their widespread deployment.</w:t>
            </w:r>
          </w:p>
          <w:p w:rsidR="003E180D" w:rsidRDefault="003E180D" w:rsidP="0088305C">
            <w:pPr>
              <w:tabs>
                <w:tab w:val="left" w:pos="720"/>
              </w:tabs>
              <w:spacing w:after="120"/>
              <w:jc w:val="both"/>
              <w:rPr>
                <w:noProof/>
              </w:rPr>
            </w:pPr>
            <w:r>
              <w:rPr>
                <w:noProof/>
              </w:rPr>
              <w:t>Based on this analysis, the report distinguishes two main categories of technologies.</w:t>
            </w:r>
          </w:p>
          <w:p w:rsidR="003E180D" w:rsidRDefault="003E180D" w:rsidP="0088305C">
            <w:pPr>
              <w:tabs>
                <w:tab w:val="left" w:pos="720"/>
              </w:tabs>
              <w:spacing w:after="120"/>
              <w:jc w:val="both"/>
              <w:rPr>
                <w:noProof/>
              </w:rPr>
            </w:pPr>
            <w:r>
              <w:rPr>
                <w:noProof/>
              </w:rPr>
              <w:t>On the one hand, there is a series of readily available technologies, for which the emission reduction performance and costs are well established and which can deliver CO</w:t>
            </w:r>
            <w:r>
              <w:rPr>
                <w:noProof/>
                <w:vertAlign w:val="subscript"/>
              </w:rPr>
              <w:t>2</w:t>
            </w:r>
            <w:r>
              <w:rPr>
                <w:noProof/>
              </w:rPr>
              <w:t xml:space="preserve"> savings up to 20% in the short term.</w:t>
            </w:r>
          </w:p>
          <w:p w:rsidR="003E180D" w:rsidRDefault="003E180D" w:rsidP="0088305C">
            <w:pPr>
              <w:tabs>
                <w:tab w:val="left" w:pos="720"/>
              </w:tabs>
              <w:spacing w:after="120"/>
              <w:jc w:val="both"/>
              <w:rPr>
                <w:noProof/>
              </w:rPr>
            </w:pPr>
            <w:r>
              <w:rPr>
                <w:noProof/>
              </w:rPr>
              <w:t>Other technologies are less mature and their widespread deployment less certain. Uncertainties are higher with regards to these technologies.</w:t>
            </w:r>
          </w:p>
          <w:p w:rsidR="003E180D" w:rsidRDefault="003E180D" w:rsidP="0088305C">
            <w:pPr>
              <w:tabs>
                <w:tab w:val="left" w:pos="720"/>
              </w:tabs>
              <w:spacing w:after="120"/>
              <w:jc w:val="both"/>
              <w:rPr>
                <w:noProof/>
              </w:rPr>
            </w:pPr>
            <w:r>
              <w:rPr>
                <w:noProof/>
              </w:rPr>
              <w:t xml:space="preserve">The link between these technologies and the target levels and impacts is described in Sections 5.1.4 and 6.2.4, respectively. </w:t>
            </w:r>
          </w:p>
          <w:p w:rsidR="003E180D" w:rsidRDefault="003E180D" w:rsidP="0088305C">
            <w:pPr>
              <w:tabs>
                <w:tab w:val="left" w:pos="720"/>
              </w:tabs>
              <w:spacing w:after="120"/>
              <w:jc w:val="both"/>
              <w:rPr>
                <w:noProof/>
                <w:highlight w:val="yellow"/>
              </w:rPr>
            </w:pPr>
            <w:r>
              <w:rPr>
                <w:noProof/>
                <w:szCs w:val="24"/>
              </w:rPr>
              <w:t>Section 7 and Annex 3.2 provides for a summary of the costs, benefits and associated uncertainties of the range of options considered.</w:t>
            </w:r>
            <w:r>
              <w:rPr>
                <w:noProof/>
              </w:rPr>
              <w:t xml:space="preserve"> Text has been added to sections 5.1.5, 6.2.5 and 7, discussing the pros and cons of making a target for 2030 mandatory as opposed to aspirational.</w:t>
            </w:r>
          </w:p>
        </w:tc>
      </w:tr>
      <w:tr w:rsidR="003E180D" w:rsidTr="0088305C">
        <w:tc>
          <w:tcPr>
            <w:tcW w:w="4361" w:type="dxa"/>
            <w:tcBorders>
              <w:top w:val="single" w:sz="4" w:space="0" w:color="auto"/>
              <w:left w:val="single" w:sz="4" w:space="0" w:color="auto"/>
              <w:bottom w:val="single" w:sz="4" w:space="0" w:color="auto"/>
              <w:right w:val="single" w:sz="4" w:space="0" w:color="auto"/>
            </w:tcBorders>
          </w:tcPr>
          <w:p w:rsidR="003E180D" w:rsidRDefault="003E180D" w:rsidP="0088305C">
            <w:pPr>
              <w:tabs>
                <w:tab w:val="left" w:pos="720"/>
              </w:tabs>
              <w:spacing w:after="120"/>
              <w:jc w:val="both"/>
              <w:rPr>
                <w:noProof/>
              </w:rPr>
            </w:pPr>
            <w:r>
              <w:rPr>
                <w:noProof/>
              </w:rPr>
              <w:t>(4) The report should better reflect the positions of all different stakeholder groups. This applies especially to the position of HDV manufacturers, who would seem to prefer an overall approach to emission reduction that does not impose emission reduction standards. These manufacturers may not agree with the initiative’s expectations about the costs and benefits of the technological advances. The report should clarify how the initiative takes their concerns into consideration.</w:t>
            </w:r>
          </w:p>
        </w:tc>
        <w:tc>
          <w:tcPr>
            <w:tcW w:w="4472" w:type="dxa"/>
            <w:tcBorders>
              <w:top w:val="single" w:sz="4" w:space="0" w:color="auto"/>
              <w:left w:val="single" w:sz="4" w:space="0" w:color="auto"/>
              <w:bottom w:val="single" w:sz="4" w:space="0" w:color="auto"/>
              <w:right w:val="single" w:sz="4" w:space="0" w:color="auto"/>
            </w:tcBorders>
          </w:tcPr>
          <w:p w:rsidR="003E180D" w:rsidRDefault="003E180D" w:rsidP="0088305C">
            <w:pPr>
              <w:tabs>
                <w:tab w:val="left" w:pos="720"/>
              </w:tabs>
              <w:spacing w:after="120"/>
              <w:jc w:val="both"/>
              <w:rPr>
                <w:noProof/>
              </w:rPr>
            </w:pPr>
            <w:r>
              <w:rPr>
                <w:noProof/>
              </w:rPr>
              <w:t>In addition to the overview in Annex 2, information about stakeholders’ views has been added, e.g. in Sections 2.1.3, 2.4, 3.3, 5.1.4, 5.2 and 5.4.3.</w:t>
            </w:r>
          </w:p>
          <w:p w:rsidR="003E180D" w:rsidRDefault="003E180D" w:rsidP="0088305C">
            <w:pPr>
              <w:tabs>
                <w:tab w:val="left" w:pos="720"/>
              </w:tabs>
              <w:spacing w:after="120"/>
              <w:jc w:val="both"/>
              <w:rPr>
                <w:noProof/>
                <w:highlight w:val="yellow"/>
              </w:rPr>
            </w:pPr>
            <w:r>
              <w:rPr>
                <w:noProof/>
              </w:rPr>
              <w:t xml:space="preserve">In Section 6.1, it has been clarified how the use of the “high” cost curves relates to the concerns expressed by stakeholders from the automotive manufacturing sector, reflecting the </w:t>
            </w:r>
            <w:r>
              <w:rPr>
                <w:noProof/>
                <w:szCs w:val="24"/>
              </w:rPr>
              <w:t>uncertainties over the costs and availability of new technologies for 2030</w:t>
            </w:r>
            <w:r>
              <w:rPr>
                <w:noProof/>
              </w:rPr>
              <w:t>.</w:t>
            </w:r>
          </w:p>
        </w:tc>
      </w:tr>
      <w:tr w:rsidR="003E180D" w:rsidTr="0088305C">
        <w:tc>
          <w:tcPr>
            <w:tcW w:w="4361" w:type="dxa"/>
            <w:tcBorders>
              <w:top w:val="single" w:sz="4" w:space="0" w:color="auto"/>
              <w:left w:val="single" w:sz="4" w:space="0" w:color="auto"/>
              <w:bottom w:val="single" w:sz="4" w:space="0" w:color="auto"/>
              <w:right w:val="single" w:sz="4" w:space="0" w:color="auto"/>
            </w:tcBorders>
          </w:tcPr>
          <w:p w:rsidR="003E180D" w:rsidRDefault="003E180D" w:rsidP="0088305C">
            <w:pPr>
              <w:tabs>
                <w:tab w:val="left" w:pos="720"/>
              </w:tabs>
              <w:spacing w:after="120"/>
              <w:jc w:val="both"/>
              <w:rPr>
                <w:noProof/>
              </w:rPr>
            </w:pPr>
            <w:r>
              <w:rPr>
                <w:noProof/>
              </w:rPr>
              <w:t>(5) The initiative aims to preserve the competitiveness of the EU HDV manufacturers, but the report does not explain how effective the options would be in achieving this objective.</w:t>
            </w:r>
          </w:p>
        </w:tc>
        <w:tc>
          <w:tcPr>
            <w:tcW w:w="4472" w:type="dxa"/>
            <w:tcBorders>
              <w:top w:val="single" w:sz="4" w:space="0" w:color="auto"/>
              <w:left w:val="single" w:sz="4" w:space="0" w:color="auto"/>
              <w:bottom w:val="single" w:sz="4" w:space="0" w:color="auto"/>
              <w:right w:val="single" w:sz="4" w:space="0" w:color="auto"/>
            </w:tcBorders>
          </w:tcPr>
          <w:p w:rsidR="003E180D" w:rsidRDefault="003E180D" w:rsidP="0088305C">
            <w:pPr>
              <w:tabs>
                <w:tab w:val="left" w:pos="720"/>
              </w:tabs>
              <w:spacing w:after="120"/>
              <w:jc w:val="both"/>
              <w:rPr>
                <w:noProof/>
                <w:szCs w:val="24"/>
              </w:rPr>
            </w:pPr>
            <w:r>
              <w:rPr>
                <w:noProof/>
              </w:rPr>
              <w:t xml:space="preserve">As clarified in Section 2.1.3 of the report, the </w:t>
            </w:r>
            <w:r>
              <w:rPr>
                <w:noProof/>
                <w:szCs w:val="24"/>
              </w:rPr>
              <w:t xml:space="preserve">focus of the third problem identified is on the risk for EU manufacturers to lag behind in terms of innovation in new technologies and hence to lose global technological leadership. </w:t>
            </w:r>
          </w:p>
          <w:p w:rsidR="003E180D" w:rsidRDefault="003E180D" w:rsidP="0088305C">
            <w:pPr>
              <w:tabs>
                <w:tab w:val="left" w:pos="720"/>
              </w:tabs>
              <w:spacing w:after="120"/>
              <w:jc w:val="both"/>
              <w:rPr>
                <w:noProof/>
                <w:highlight w:val="yellow"/>
              </w:rPr>
            </w:pPr>
            <w:r>
              <w:rPr>
                <w:noProof/>
              </w:rPr>
              <w:t>In Section 6, this aspect has been considered where relevant and a new Section 6.2.4.2.7 has been added to illustrate the impact of the target level options on innovation and technological leadership. Section 7 has also been further elaborated on this point.</w:t>
            </w:r>
          </w:p>
        </w:tc>
      </w:tr>
    </w:tbl>
    <w:p w:rsidR="003E180D" w:rsidRDefault="003E180D" w:rsidP="003E180D">
      <w:pPr>
        <w:pStyle w:val="Text2"/>
        <w:spacing w:before="240"/>
        <w:ind w:left="0"/>
        <w:rPr>
          <w:noProof/>
        </w:rPr>
      </w:pPr>
    </w:p>
    <w:p w:rsidR="003E180D" w:rsidRDefault="003E180D" w:rsidP="003E180D">
      <w:pPr>
        <w:rPr>
          <w:rFonts w:eastAsia="Times New Roman" w:cs="Times New Roman"/>
          <w:noProof/>
          <w:szCs w:val="20"/>
        </w:rPr>
      </w:pPr>
      <w:r>
        <w:rPr>
          <w:noProof/>
        </w:rPr>
        <w:br w:type="page"/>
      </w:r>
    </w:p>
    <w:p w:rsidR="003E180D" w:rsidRDefault="003E180D" w:rsidP="003E180D">
      <w:pPr>
        <w:pStyle w:val="Text2"/>
        <w:spacing w:before="240"/>
        <w:ind w:left="0"/>
        <w:rPr>
          <w:noProof/>
          <w:szCs w:val="24"/>
        </w:rPr>
      </w:pPr>
      <w:r>
        <w:rPr>
          <w:noProof/>
        </w:rPr>
        <w:t xml:space="preserve">The Board received a revised draft version of the present impact assessment report on 11 April 2018 and issued a positive opinion on </w:t>
      </w:r>
      <w:r>
        <w:rPr>
          <w:noProof/>
          <w:szCs w:val="24"/>
        </w:rPr>
        <w:t>19 April</w:t>
      </w:r>
      <w:r>
        <w:rPr>
          <w:noProof/>
        </w:rPr>
        <w:t xml:space="preserve"> 2018. </w:t>
      </w:r>
    </w:p>
    <w:p w:rsidR="003E180D" w:rsidRDefault="003E180D" w:rsidP="003E180D">
      <w:pPr>
        <w:pStyle w:val="Text2"/>
        <w:ind w:left="0"/>
        <w:rPr>
          <w:noProof/>
        </w:rPr>
      </w:pPr>
      <w:r>
        <w:rPr>
          <w:noProof/>
        </w:rPr>
        <w:t>The Board made the following recommendations, which were addressed in the revised impact assessment report as indicated below.</w:t>
      </w:r>
    </w:p>
    <w:tbl>
      <w:tblPr>
        <w:tblStyle w:val="TableFPB3"/>
        <w:tblW w:w="0" w:type="auto"/>
        <w:tblLook w:val="04A0" w:firstRow="1" w:lastRow="0" w:firstColumn="1" w:lastColumn="0" w:noHBand="0" w:noVBand="1"/>
      </w:tblPr>
      <w:tblGrid>
        <w:gridCol w:w="4361"/>
        <w:gridCol w:w="4472"/>
      </w:tblGrid>
      <w:tr w:rsidR="003E180D" w:rsidTr="0088305C">
        <w:tc>
          <w:tcPr>
            <w:tcW w:w="4361" w:type="dxa"/>
            <w:tcBorders>
              <w:top w:val="single" w:sz="4" w:space="0" w:color="auto"/>
              <w:left w:val="single" w:sz="4" w:space="0" w:color="auto"/>
              <w:bottom w:val="single" w:sz="4" w:space="0" w:color="auto"/>
              <w:right w:val="single" w:sz="4" w:space="0" w:color="auto"/>
            </w:tcBorders>
            <w:hideMark/>
          </w:tcPr>
          <w:p w:rsidR="003E180D" w:rsidRDefault="003E180D" w:rsidP="0088305C">
            <w:pPr>
              <w:tabs>
                <w:tab w:val="left" w:pos="720"/>
              </w:tabs>
              <w:spacing w:after="120"/>
              <w:jc w:val="both"/>
              <w:rPr>
                <w:b/>
                <w:noProof/>
                <w:u w:val="single"/>
              </w:rPr>
            </w:pPr>
            <w:r>
              <w:rPr>
                <w:b/>
                <w:noProof/>
                <w:u w:val="single"/>
              </w:rPr>
              <w:t>Main RSB considerations</w:t>
            </w:r>
          </w:p>
        </w:tc>
        <w:tc>
          <w:tcPr>
            <w:tcW w:w="4472" w:type="dxa"/>
            <w:tcBorders>
              <w:top w:val="single" w:sz="4" w:space="0" w:color="auto"/>
              <w:left w:val="single" w:sz="4" w:space="0" w:color="auto"/>
              <w:bottom w:val="single" w:sz="4" w:space="0" w:color="auto"/>
              <w:right w:val="single" w:sz="4" w:space="0" w:color="auto"/>
            </w:tcBorders>
            <w:hideMark/>
          </w:tcPr>
          <w:p w:rsidR="003E180D" w:rsidRDefault="003E180D" w:rsidP="0088305C">
            <w:pPr>
              <w:tabs>
                <w:tab w:val="left" w:pos="720"/>
              </w:tabs>
              <w:spacing w:after="120"/>
              <w:jc w:val="both"/>
              <w:rPr>
                <w:b/>
                <w:noProof/>
                <w:szCs w:val="24"/>
                <w:u w:val="single"/>
              </w:rPr>
            </w:pPr>
            <w:r>
              <w:rPr>
                <w:b/>
                <w:noProof/>
                <w:u w:val="single"/>
              </w:rPr>
              <w:t>Response</w:t>
            </w:r>
          </w:p>
        </w:tc>
      </w:tr>
      <w:tr w:rsidR="003E180D" w:rsidTr="0088305C">
        <w:tc>
          <w:tcPr>
            <w:tcW w:w="4361" w:type="dxa"/>
            <w:tcBorders>
              <w:top w:val="single" w:sz="4" w:space="0" w:color="auto"/>
              <w:left w:val="single" w:sz="4" w:space="0" w:color="auto"/>
              <w:bottom w:val="single" w:sz="4" w:space="0" w:color="auto"/>
              <w:right w:val="single" w:sz="4" w:space="0" w:color="auto"/>
            </w:tcBorders>
          </w:tcPr>
          <w:p w:rsidR="003E180D" w:rsidRDefault="003E180D" w:rsidP="0088305C">
            <w:pPr>
              <w:tabs>
                <w:tab w:val="left" w:pos="720"/>
              </w:tabs>
              <w:spacing w:after="120"/>
              <w:jc w:val="both"/>
              <w:rPr>
                <w:noProof/>
              </w:rPr>
            </w:pPr>
            <w:r>
              <w:rPr>
                <w:noProof/>
              </w:rPr>
              <w:t xml:space="preserve">The Board acknowledges the clarifications to the draft report, in particular on market information asymmetries and uncertainties related to technical progress. </w:t>
            </w:r>
          </w:p>
          <w:p w:rsidR="003E180D" w:rsidRDefault="003E180D" w:rsidP="0088305C">
            <w:pPr>
              <w:tabs>
                <w:tab w:val="left" w:pos="720"/>
              </w:tabs>
              <w:spacing w:after="120"/>
              <w:jc w:val="both"/>
              <w:rPr>
                <w:noProof/>
                <w:highlight w:val="yellow"/>
                <w:u w:val="single"/>
              </w:rPr>
            </w:pPr>
            <w:r>
              <w:rPr>
                <w:noProof/>
              </w:rPr>
              <w:t>The Board gives a positive opinion, with a recommendation to further improve the report with respect to the following key aspect:</w:t>
            </w:r>
          </w:p>
        </w:tc>
        <w:tc>
          <w:tcPr>
            <w:tcW w:w="4472" w:type="dxa"/>
            <w:tcBorders>
              <w:top w:val="single" w:sz="4" w:space="0" w:color="auto"/>
              <w:left w:val="single" w:sz="4" w:space="0" w:color="auto"/>
              <w:bottom w:val="single" w:sz="4" w:space="0" w:color="auto"/>
              <w:right w:val="single" w:sz="4" w:space="0" w:color="auto"/>
            </w:tcBorders>
          </w:tcPr>
          <w:p w:rsidR="003E180D" w:rsidRDefault="003E180D" w:rsidP="0088305C">
            <w:pPr>
              <w:tabs>
                <w:tab w:val="left" w:pos="720"/>
              </w:tabs>
              <w:spacing w:after="120"/>
              <w:jc w:val="both"/>
              <w:rPr>
                <w:noProof/>
                <w:highlight w:val="yellow"/>
                <w:u w:val="single"/>
              </w:rPr>
            </w:pPr>
          </w:p>
        </w:tc>
      </w:tr>
      <w:tr w:rsidR="003E180D" w:rsidTr="0088305C">
        <w:tc>
          <w:tcPr>
            <w:tcW w:w="4361" w:type="dxa"/>
            <w:tcBorders>
              <w:top w:val="single" w:sz="4" w:space="0" w:color="auto"/>
              <w:left w:val="single" w:sz="4" w:space="0" w:color="auto"/>
              <w:bottom w:val="single" w:sz="4" w:space="0" w:color="auto"/>
              <w:right w:val="single" w:sz="4" w:space="0" w:color="auto"/>
            </w:tcBorders>
          </w:tcPr>
          <w:p w:rsidR="003E180D" w:rsidRDefault="003E180D" w:rsidP="0088305C">
            <w:pPr>
              <w:tabs>
                <w:tab w:val="left" w:pos="720"/>
              </w:tabs>
              <w:spacing w:after="120"/>
              <w:jc w:val="both"/>
              <w:rPr>
                <w:noProof/>
              </w:rPr>
            </w:pPr>
            <w:r>
              <w:rPr>
                <w:noProof/>
              </w:rPr>
              <w:t>The report could better explain what causes inertia of the trucking industry in developing new fuel saving technologies and how market uncertainties lead transport operators to underinvest in these technologies.</w:t>
            </w:r>
          </w:p>
        </w:tc>
        <w:tc>
          <w:tcPr>
            <w:tcW w:w="4472" w:type="dxa"/>
            <w:tcBorders>
              <w:top w:val="single" w:sz="4" w:space="0" w:color="auto"/>
              <w:left w:val="single" w:sz="4" w:space="0" w:color="auto"/>
              <w:bottom w:val="single" w:sz="4" w:space="0" w:color="auto"/>
              <w:right w:val="single" w:sz="4" w:space="0" w:color="auto"/>
            </w:tcBorders>
          </w:tcPr>
          <w:p w:rsidR="003E180D" w:rsidRDefault="003E180D" w:rsidP="0088305C">
            <w:pPr>
              <w:tabs>
                <w:tab w:val="left" w:pos="720"/>
              </w:tabs>
              <w:spacing w:after="120"/>
              <w:jc w:val="both"/>
              <w:rPr>
                <w:noProof/>
              </w:rPr>
            </w:pPr>
            <w:r>
              <w:rPr>
                <w:noProof/>
              </w:rPr>
              <w:t xml:space="preserve">The revised report contains an additional box in section 2.2.2 related to the drivers for inertia in the HDV sector. The box provides more specific information and explains more clearly the causes of such inertia. </w:t>
            </w:r>
          </w:p>
          <w:p w:rsidR="003E180D" w:rsidRDefault="003E180D" w:rsidP="0088305C">
            <w:pPr>
              <w:tabs>
                <w:tab w:val="left" w:pos="720"/>
              </w:tabs>
              <w:spacing w:after="120"/>
              <w:jc w:val="both"/>
              <w:rPr>
                <w:noProof/>
              </w:rPr>
            </w:pPr>
            <w:r>
              <w:rPr>
                <w:noProof/>
              </w:rPr>
              <w:t xml:space="preserve">This concerns firstly the structure of the market where sellers offer packages of additional technologies generally as ‘premium’ options and not as standard technologies. It is a profitable strategy that allows sellers to charge more to "premium customers". As such, market forces are not likely to incentivise manufacturers to promote technologies: their products would may not be bought by buyers with a short-term cost awareness, and also the margins they make on premium buyers would shrink. Furthermore, the absence of a regulatory framework creates uncertainties for the required investments from manufacturers in new technologies. </w:t>
            </w:r>
          </w:p>
          <w:p w:rsidR="003E180D" w:rsidRDefault="003E180D" w:rsidP="0088305C">
            <w:pPr>
              <w:tabs>
                <w:tab w:val="left" w:pos="720"/>
              </w:tabs>
              <w:spacing w:after="120"/>
              <w:jc w:val="both"/>
              <w:rPr>
                <w:noProof/>
                <w:color w:val="000000" w:themeColor="text1"/>
              </w:rPr>
            </w:pPr>
            <w:r>
              <w:rPr>
                <w:noProof/>
              </w:rPr>
              <w:t>This situation is likely to persist in the existing concentrated market structure. The market is indeed very concentrated on the side of the HDV manufacturers, which</w:t>
            </w:r>
            <w:r>
              <w:rPr>
                <w:noProof/>
                <w:szCs w:val="24"/>
              </w:rPr>
              <w:t xml:space="preserve"> contributes to low competitive pressure. </w:t>
            </w:r>
            <w:r>
              <w:rPr>
                <w:noProof/>
                <w:color w:val="000000" w:themeColor="text1"/>
                <w:szCs w:val="24"/>
              </w:rPr>
              <w:t xml:space="preserve">In contrast, the </w:t>
            </w:r>
            <w:r>
              <w:rPr>
                <w:noProof/>
                <w:color w:val="000000" w:themeColor="text1"/>
              </w:rPr>
              <w:t>majority of freight operators are small businesses working on tight margins.</w:t>
            </w:r>
          </w:p>
          <w:p w:rsidR="003E180D" w:rsidRDefault="003E180D" w:rsidP="0088305C">
            <w:pPr>
              <w:tabs>
                <w:tab w:val="left" w:pos="720"/>
              </w:tabs>
              <w:spacing w:after="120"/>
              <w:jc w:val="both"/>
              <w:rPr>
                <w:noProof/>
                <w:color w:val="000000" w:themeColor="text1"/>
              </w:rPr>
            </w:pPr>
            <w:r>
              <w:rPr>
                <w:noProof/>
                <w:color w:val="000000" w:themeColor="text1"/>
              </w:rPr>
              <w:t>The box also clarifies that a second driver is the presence of market uncertainties. Transport operators have difficulties with assessing fuel savings resulting from technology adoption. Other considerations are the widespread perception of transport operators that operational measures such as driver training are sufficient to reduce fuel consumption and that the first user might not be able to charge a premium when selling second-hand.</w:t>
            </w:r>
          </w:p>
          <w:p w:rsidR="003E180D" w:rsidRDefault="003E180D" w:rsidP="0088305C">
            <w:pPr>
              <w:tabs>
                <w:tab w:val="left" w:pos="720"/>
              </w:tabs>
              <w:spacing w:after="120"/>
              <w:jc w:val="both"/>
              <w:rPr>
                <w:noProof/>
                <w:color w:val="000000" w:themeColor="text1"/>
              </w:rPr>
            </w:pPr>
            <w:r>
              <w:rPr>
                <w:noProof/>
                <w:color w:val="000000" w:themeColor="text1"/>
              </w:rPr>
              <w:t xml:space="preserve">Section 7 has also been revised to consider the effectiveness of the various options, regarding the </w:t>
            </w:r>
            <w:r>
              <w:rPr>
                <w:noProof/>
              </w:rPr>
              <w:t>target levels and the timing,</w:t>
            </w:r>
            <w:r>
              <w:rPr>
                <w:noProof/>
                <w:color w:val="000000" w:themeColor="text1"/>
              </w:rPr>
              <w:t xml:space="preserve"> in addressing </w:t>
            </w:r>
            <w:r>
              <w:rPr>
                <w:noProof/>
                <w:szCs w:val="24"/>
              </w:rPr>
              <w:t>the market uncertainties and inertia in the HDV market</w:t>
            </w:r>
            <w:r>
              <w:rPr>
                <w:noProof/>
              </w:rPr>
              <w:t xml:space="preserve">. </w:t>
            </w:r>
          </w:p>
        </w:tc>
      </w:tr>
      <w:tr w:rsidR="003E180D" w:rsidTr="0088305C">
        <w:tc>
          <w:tcPr>
            <w:tcW w:w="4361" w:type="dxa"/>
            <w:tcBorders>
              <w:top w:val="single" w:sz="4" w:space="0" w:color="auto"/>
              <w:left w:val="single" w:sz="4" w:space="0" w:color="auto"/>
              <w:bottom w:val="single" w:sz="4" w:space="0" w:color="auto"/>
              <w:right w:val="single" w:sz="4" w:space="0" w:color="auto"/>
            </w:tcBorders>
            <w:hideMark/>
          </w:tcPr>
          <w:p w:rsidR="003E180D" w:rsidRDefault="003E180D" w:rsidP="0088305C">
            <w:pPr>
              <w:tabs>
                <w:tab w:val="left" w:pos="720"/>
              </w:tabs>
              <w:spacing w:after="120"/>
              <w:rPr>
                <w:b/>
                <w:noProof/>
                <w:u w:val="single"/>
              </w:rPr>
            </w:pPr>
            <w:bookmarkStart w:id="57" w:name="_Toc510692161"/>
            <w:bookmarkStart w:id="58" w:name="_Toc510708091"/>
            <w:bookmarkStart w:id="59" w:name="_Toc510711793"/>
            <w:bookmarkStart w:id="60" w:name="_Toc510714215"/>
            <w:bookmarkStart w:id="61" w:name="_Toc476144665"/>
            <w:bookmarkStart w:id="62" w:name="_Toc496688606"/>
            <w:bookmarkStart w:id="63" w:name="_Toc507493373"/>
            <w:bookmarkStart w:id="64" w:name="_Toc507496399"/>
            <w:bookmarkStart w:id="65" w:name="_Toc507512097"/>
            <w:bookmarkStart w:id="66" w:name="_Toc507517561"/>
            <w:bookmarkStart w:id="67" w:name="_Toc508124764"/>
            <w:bookmarkStart w:id="68" w:name="_Toc508126129"/>
            <w:bookmarkStart w:id="69" w:name="_Toc508127500"/>
            <w:bookmarkStart w:id="70" w:name="_Toc508127853"/>
            <w:bookmarkStart w:id="71" w:name="_Toc508129627"/>
            <w:bookmarkStart w:id="72" w:name="_Toc508181018"/>
            <w:bookmarkStart w:id="73" w:name="_Toc508186611"/>
            <w:bookmarkStart w:id="74" w:name="_Toc510708092"/>
            <w:bookmarkEnd w:id="57"/>
            <w:bookmarkEnd w:id="58"/>
            <w:bookmarkEnd w:id="59"/>
            <w:bookmarkEnd w:id="60"/>
            <w:r>
              <w:rPr>
                <w:b/>
                <w:noProof/>
                <w:u w:val="single"/>
              </w:rPr>
              <w:t xml:space="preserve">Further considerations and recommendations for improvement </w:t>
            </w:r>
          </w:p>
        </w:tc>
        <w:tc>
          <w:tcPr>
            <w:tcW w:w="4472" w:type="dxa"/>
            <w:tcBorders>
              <w:top w:val="single" w:sz="4" w:space="0" w:color="auto"/>
              <w:left w:val="single" w:sz="4" w:space="0" w:color="auto"/>
              <w:bottom w:val="single" w:sz="4" w:space="0" w:color="auto"/>
              <w:right w:val="single" w:sz="4" w:space="0" w:color="auto"/>
            </w:tcBorders>
            <w:hideMark/>
          </w:tcPr>
          <w:p w:rsidR="003E180D" w:rsidRDefault="003E180D" w:rsidP="0088305C">
            <w:pPr>
              <w:tabs>
                <w:tab w:val="left" w:pos="720"/>
              </w:tabs>
              <w:spacing w:after="120"/>
              <w:rPr>
                <w:b/>
                <w:noProof/>
                <w:szCs w:val="24"/>
                <w:u w:val="single"/>
              </w:rPr>
            </w:pPr>
            <w:r>
              <w:rPr>
                <w:b/>
                <w:noProof/>
                <w:u w:val="single"/>
              </w:rPr>
              <w:t>Response</w:t>
            </w:r>
          </w:p>
        </w:tc>
      </w:tr>
      <w:tr w:rsidR="003E180D" w:rsidTr="0088305C">
        <w:tc>
          <w:tcPr>
            <w:tcW w:w="4361" w:type="dxa"/>
            <w:tcBorders>
              <w:top w:val="single" w:sz="4" w:space="0" w:color="auto"/>
              <w:left w:val="single" w:sz="4" w:space="0" w:color="auto"/>
              <w:bottom w:val="single" w:sz="4" w:space="0" w:color="auto"/>
              <w:right w:val="single" w:sz="4" w:space="0" w:color="auto"/>
            </w:tcBorders>
          </w:tcPr>
          <w:p w:rsidR="003E180D" w:rsidRDefault="003E180D" w:rsidP="0088305C">
            <w:pPr>
              <w:tabs>
                <w:tab w:val="left" w:pos="720"/>
              </w:tabs>
              <w:spacing w:after="120"/>
              <w:jc w:val="both"/>
              <w:rPr>
                <w:noProof/>
                <w:highlight w:val="yellow"/>
              </w:rPr>
            </w:pPr>
            <w:r>
              <w:rPr>
                <w:noProof/>
              </w:rPr>
              <w:t>(1) The revised report better presents the Commission's strategy to reduce CO2 emissions from HDVs by 2030. Information about this could usefully be consolidated and presented upfront. The report could better highlight the importance of earlier work, e.g. on measuring, certification, monitoring and reporting, for regulating CO2 emissions in the HDV sector.</w:t>
            </w:r>
          </w:p>
        </w:tc>
        <w:tc>
          <w:tcPr>
            <w:tcW w:w="4472" w:type="dxa"/>
            <w:tcBorders>
              <w:top w:val="single" w:sz="4" w:space="0" w:color="auto"/>
              <w:left w:val="single" w:sz="4" w:space="0" w:color="auto"/>
              <w:bottom w:val="single" w:sz="4" w:space="0" w:color="auto"/>
              <w:right w:val="single" w:sz="4" w:space="0" w:color="auto"/>
            </w:tcBorders>
          </w:tcPr>
          <w:p w:rsidR="003E180D" w:rsidRDefault="003E180D" w:rsidP="0088305C">
            <w:pPr>
              <w:tabs>
                <w:tab w:val="left" w:pos="720"/>
              </w:tabs>
              <w:spacing w:after="120"/>
              <w:jc w:val="both"/>
              <w:rPr>
                <w:noProof/>
              </w:rPr>
            </w:pPr>
            <w:r>
              <w:rPr>
                <w:noProof/>
              </w:rPr>
              <w:t>The revised report adds and explains upfront, in section 1.4, the 2014 Commission's Strategy for reducing HDVs fuel consumption and CO</w:t>
            </w:r>
            <w:r>
              <w:rPr>
                <w:noProof/>
                <w:vertAlign w:val="subscript"/>
              </w:rPr>
              <w:t>2</w:t>
            </w:r>
            <w:r>
              <w:rPr>
                <w:noProof/>
              </w:rPr>
              <w:t xml:space="preserve"> emissions. The Strategy provided the basis for the action taken to address CO</w:t>
            </w:r>
            <w:r>
              <w:rPr>
                <w:noProof/>
                <w:vertAlign w:val="subscript"/>
              </w:rPr>
              <w:t>2</w:t>
            </w:r>
            <w:r>
              <w:rPr>
                <w:noProof/>
              </w:rPr>
              <w:t xml:space="preserve"> emissions from this sector. </w:t>
            </w:r>
          </w:p>
          <w:p w:rsidR="003E180D" w:rsidRDefault="003E180D" w:rsidP="0088305C">
            <w:pPr>
              <w:tabs>
                <w:tab w:val="left" w:pos="720"/>
              </w:tabs>
              <w:spacing w:after="120"/>
              <w:jc w:val="both"/>
              <w:rPr>
                <w:noProof/>
              </w:rPr>
            </w:pPr>
            <w:r>
              <w:rPr>
                <w:noProof/>
              </w:rPr>
              <w:t xml:space="preserve">The section also presents more clearly the work carried out as a follow-up to the Strategy in the form of the development of VECTO simulation tool, the adoption of the Certification Regulation and the preparation of the Monitoring and Reporting Regulations. </w:t>
            </w:r>
          </w:p>
          <w:p w:rsidR="003E180D" w:rsidRDefault="003E180D" w:rsidP="0088305C">
            <w:pPr>
              <w:tabs>
                <w:tab w:val="left" w:pos="720"/>
              </w:tabs>
              <w:spacing w:after="120"/>
              <w:jc w:val="both"/>
              <w:rPr>
                <w:noProof/>
                <w:highlight w:val="yellow"/>
              </w:rPr>
            </w:pPr>
            <w:r>
              <w:rPr>
                <w:noProof/>
              </w:rPr>
              <w:t>The revised section also underlines the importance of this earlier work which is a pre-requisite for regulating CO</w:t>
            </w:r>
            <w:r>
              <w:rPr>
                <w:noProof/>
                <w:vertAlign w:val="subscript"/>
              </w:rPr>
              <w:t>2</w:t>
            </w:r>
            <w:r>
              <w:rPr>
                <w:noProof/>
              </w:rPr>
              <w:t xml:space="preserve"> emissions from HDVs, while improving the transparency and information on emissions and fuel consumption. </w:t>
            </w:r>
          </w:p>
        </w:tc>
      </w:tr>
      <w:tr w:rsidR="003E180D" w:rsidTr="0088305C">
        <w:tc>
          <w:tcPr>
            <w:tcW w:w="4361" w:type="dxa"/>
            <w:tcBorders>
              <w:top w:val="single" w:sz="4" w:space="0" w:color="auto"/>
              <w:left w:val="single" w:sz="4" w:space="0" w:color="auto"/>
              <w:bottom w:val="single" w:sz="4" w:space="0" w:color="auto"/>
              <w:right w:val="single" w:sz="4" w:space="0" w:color="auto"/>
            </w:tcBorders>
          </w:tcPr>
          <w:p w:rsidR="003E180D" w:rsidRDefault="003E180D" w:rsidP="0088305C">
            <w:pPr>
              <w:pStyle w:val="Default"/>
              <w:jc w:val="both"/>
              <w:rPr>
                <w:noProof/>
                <w:sz w:val="23"/>
                <w:szCs w:val="23"/>
              </w:rPr>
            </w:pPr>
            <w:r>
              <w:rPr>
                <w:noProof/>
                <w:sz w:val="23"/>
                <w:szCs w:val="23"/>
              </w:rPr>
              <w:t xml:space="preserve">(2) The revised report adds information on basic assumptions behind the calculations on expected savings. The report sees major untapped opportunities in fuel saving technical progress in the vehicle industry and in cost reduction by trucking companies. It could better explain what causes inertia on the side of the trucking industry in developing fuel saving new technologies, and how transport market uncertainties lead operators to underinvest in new low emission technologies. </w:t>
            </w:r>
          </w:p>
          <w:p w:rsidR="003E180D" w:rsidRDefault="003E180D" w:rsidP="0088305C">
            <w:pPr>
              <w:tabs>
                <w:tab w:val="left" w:pos="720"/>
              </w:tabs>
              <w:spacing w:after="120"/>
              <w:jc w:val="both"/>
              <w:rPr>
                <w:noProof/>
              </w:rPr>
            </w:pPr>
            <w:r>
              <w:rPr>
                <w:noProof/>
                <w:sz w:val="23"/>
                <w:szCs w:val="23"/>
              </w:rPr>
              <w:t xml:space="preserve">The Board takes note of the quantification of the various costs and benefits associated with the different target level options of this initiative, as assessed in the report considered by the Board and summarised in the attached quantification tables. </w:t>
            </w:r>
          </w:p>
        </w:tc>
        <w:tc>
          <w:tcPr>
            <w:tcW w:w="4472" w:type="dxa"/>
            <w:tcBorders>
              <w:top w:val="single" w:sz="4" w:space="0" w:color="auto"/>
              <w:left w:val="single" w:sz="4" w:space="0" w:color="auto"/>
              <w:bottom w:val="single" w:sz="4" w:space="0" w:color="auto"/>
              <w:right w:val="single" w:sz="4" w:space="0" w:color="auto"/>
            </w:tcBorders>
          </w:tcPr>
          <w:p w:rsidR="003E180D" w:rsidRDefault="003E180D" w:rsidP="0088305C">
            <w:pPr>
              <w:tabs>
                <w:tab w:val="left" w:pos="720"/>
              </w:tabs>
              <w:spacing w:after="120"/>
              <w:jc w:val="both"/>
              <w:rPr>
                <w:noProof/>
                <w:highlight w:val="yellow"/>
              </w:rPr>
            </w:pPr>
            <w:r>
              <w:rPr>
                <w:noProof/>
              </w:rPr>
              <w:t>See reply above under the main RSB consideration.</w:t>
            </w:r>
          </w:p>
        </w:tc>
      </w:tr>
    </w:tbl>
    <w:p w:rsidR="003E180D" w:rsidRDefault="003E180D" w:rsidP="003E180D">
      <w:pPr>
        <w:pStyle w:val="Text2"/>
        <w:spacing w:after="120"/>
        <w:ind w:left="0"/>
        <w:rPr>
          <w:noProof/>
        </w:rPr>
      </w:pPr>
    </w:p>
    <w:p w:rsidR="003E180D" w:rsidRDefault="003E180D" w:rsidP="003E180D">
      <w:pPr>
        <w:pStyle w:val="Heading2"/>
        <w:numPr>
          <w:ilvl w:val="1"/>
          <w:numId w:val="22"/>
        </w:numPr>
        <w:spacing w:before="240" w:after="240"/>
        <w:rPr>
          <w:noProof/>
        </w:rPr>
      </w:pPr>
      <w:bookmarkStart w:id="75" w:name="_Toc514328788"/>
      <w:r>
        <w:rPr>
          <w:noProof/>
        </w:rPr>
        <w:t>External expertise</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3E180D" w:rsidRDefault="003E180D" w:rsidP="003E180D">
      <w:pPr>
        <w:pStyle w:val="Text2"/>
        <w:spacing w:after="120"/>
        <w:ind w:left="0"/>
        <w:rPr>
          <w:noProof/>
          <w:szCs w:val="24"/>
        </w:rPr>
      </w:pPr>
      <w:r>
        <w:rPr>
          <w:noProof/>
          <w:szCs w:val="24"/>
        </w:rPr>
        <w:t>Further information was gathered through support studies commissioned from external contractors</w:t>
      </w:r>
      <w:r>
        <w:rPr>
          <w:rStyle w:val="FootnoteReference"/>
          <w:noProof/>
          <w:szCs w:val="24"/>
        </w:rPr>
        <w:footnoteReference w:id="2"/>
      </w:r>
      <w:r>
        <w:rPr>
          <w:noProof/>
          <w:szCs w:val="24"/>
        </w:rPr>
        <w:t xml:space="preserve"> and involving the JRC</w:t>
      </w:r>
      <w:r>
        <w:rPr>
          <w:rStyle w:val="FootnoteReference"/>
          <w:noProof/>
          <w:szCs w:val="24"/>
        </w:rPr>
        <w:footnoteReference w:id="3"/>
      </w:r>
      <w:r>
        <w:rPr>
          <w:noProof/>
          <w:szCs w:val="24"/>
        </w:rPr>
        <w:t>, in particular addressing the following issues:</w:t>
      </w:r>
    </w:p>
    <w:p w:rsidR="003E180D" w:rsidRDefault="003E180D" w:rsidP="003E180D">
      <w:pPr>
        <w:pStyle w:val="Text2"/>
        <w:numPr>
          <w:ilvl w:val="0"/>
          <w:numId w:val="10"/>
        </w:numPr>
        <w:spacing w:after="120"/>
        <w:rPr>
          <w:noProof/>
          <w:szCs w:val="24"/>
        </w:rPr>
      </w:pPr>
      <w:r>
        <w:rPr>
          <w:noProof/>
          <w:szCs w:val="24"/>
        </w:rPr>
        <w:t>the available technologies that can be deployed in the relevant time period to reduce new HDV CO</w:t>
      </w:r>
      <w:r>
        <w:rPr>
          <w:noProof/>
          <w:szCs w:val="24"/>
          <w:vertAlign w:val="subscript"/>
        </w:rPr>
        <w:t>2</w:t>
      </w:r>
      <w:r>
        <w:rPr>
          <w:noProof/>
          <w:szCs w:val="24"/>
        </w:rPr>
        <w:t xml:space="preserve"> emissions, as well as their effectiveness and cost; </w:t>
      </w:r>
    </w:p>
    <w:p w:rsidR="003E180D" w:rsidRDefault="003E180D" w:rsidP="003E180D">
      <w:pPr>
        <w:pStyle w:val="Text2"/>
        <w:numPr>
          <w:ilvl w:val="0"/>
          <w:numId w:val="10"/>
        </w:numPr>
        <w:spacing w:after="120"/>
        <w:rPr>
          <w:noProof/>
          <w:szCs w:val="24"/>
        </w:rPr>
      </w:pPr>
      <w:r>
        <w:rPr>
          <w:noProof/>
          <w:szCs w:val="24"/>
        </w:rPr>
        <w:t>elements potentially impacting industrial competitiveness and employment;</w:t>
      </w:r>
    </w:p>
    <w:p w:rsidR="003E180D" w:rsidRDefault="003E180D" w:rsidP="003E180D">
      <w:pPr>
        <w:pStyle w:val="Text2"/>
        <w:numPr>
          <w:ilvl w:val="0"/>
          <w:numId w:val="10"/>
        </w:numPr>
        <w:spacing w:after="120"/>
        <w:rPr>
          <w:noProof/>
          <w:szCs w:val="24"/>
        </w:rPr>
      </w:pPr>
      <w:r>
        <w:rPr>
          <w:noProof/>
          <w:szCs w:val="24"/>
        </w:rPr>
        <w:t>the impact of different regulatory approaches, regulatory metrics and possible design elements (modalities);</w:t>
      </w:r>
    </w:p>
    <w:p w:rsidR="003E180D" w:rsidRDefault="003E180D" w:rsidP="003E180D">
      <w:pPr>
        <w:pStyle w:val="Text2"/>
        <w:numPr>
          <w:ilvl w:val="0"/>
          <w:numId w:val="10"/>
        </w:numPr>
        <w:spacing w:after="120"/>
        <w:rPr>
          <w:noProof/>
          <w:szCs w:val="24"/>
        </w:rPr>
      </w:pPr>
      <w:r>
        <w:rPr>
          <w:noProof/>
          <w:szCs w:val="24"/>
        </w:rPr>
        <w:t>impacts on GHG and pollutant emissions.</w:t>
      </w:r>
    </w:p>
    <w:p w:rsidR="003E180D" w:rsidRDefault="003E180D" w:rsidP="003E180D">
      <w:pPr>
        <w:rPr>
          <w:rFonts w:eastAsia="Times New Roman" w:cs="Times New Roman"/>
          <w:b/>
          <w:smallCaps/>
          <w:noProof/>
          <w:szCs w:val="24"/>
        </w:rPr>
      </w:pPr>
      <w:bookmarkStart w:id="76" w:name="_Toc507490800"/>
      <w:bookmarkStart w:id="77" w:name="_Toc507490947"/>
      <w:bookmarkStart w:id="78" w:name="_Toc507491085"/>
      <w:bookmarkStart w:id="79" w:name="_Toc507492022"/>
      <w:bookmarkStart w:id="80" w:name="_Toc507492322"/>
      <w:bookmarkStart w:id="81" w:name="_Toc507492465"/>
      <w:bookmarkStart w:id="82" w:name="_Toc507492323"/>
      <w:bookmarkStart w:id="83" w:name="_Toc507492466"/>
      <w:bookmarkStart w:id="84" w:name="_Toc507492324"/>
      <w:bookmarkStart w:id="85" w:name="_Toc507492467"/>
      <w:bookmarkStart w:id="86" w:name="_Toc507493374"/>
      <w:bookmarkStart w:id="87" w:name="_Toc507496400"/>
      <w:bookmarkStart w:id="88" w:name="_Toc507512098"/>
      <w:bookmarkStart w:id="89" w:name="_Toc507517562"/>
      <w:bookmarkStart w:id="90" w:name="_Toc508124765"/>
      <w:bookmarkStart w:id="91" w:name="_Toc508126130"/>
      <w:bookmarkStart w:id="92" w:name="_Toc508127501"/>
      <w:bookmarkStart w:id="93" w:name="_Toc508127854"/>
      <w:bookmarkStart w:id="94" w:name="_Toc508129628"/>
      <w:bookmarkStart w:id="95" w:name="_Toc508181019"/>
      <w:bookmarkStart w:id="96" w:name="_Toc508186612"/>
      <w:bookmarkStart w:id="97" w:name="_Toc510708093"/>
      <w:bookmarkEnd w:id="2"/>
      <w:bookmarkEnd w:id="3"/>
      <w:bookmarkEnd w:id="76"/>
      <w:bookmarkEnd w:id="77"/>
      <w:bookmarkEnd w:id="78"/>
      <w:bookmarkEnd w:id="79"/>
      <w:bookmarkEnd w:id="80"/>
      <w:bookmarkEnd w:id="81"/>
      <w:bookmarkEnd w:id="82"/>
      <w:bookmarkEnd w:id="83"/>
      <w:bookmarkEnd w:id="84"/>
      <w:bookmarkEnd w:id="85"/>
      <w:r>
        <w:rPr>
          <w:noProof/>
        </w:rPr>
        <w:br w:type="page"/>
      </w:r>
    </w:p>
    <w:p w:rsidR="003E180D" w:rsidRDefault="003E180D" w:rsidP="003E180D">
      <w:pPr>
        <w:pStyle w:val="Heading1"/>
        <w:numPr>
          <w:ilvl w:val="0"/>
          <w:numId w:val="22"/>
        </w:numPr>
        <w:rPr>
          <w:noProof/>
        </w:rPr>
      </w:pPr>
      <w:bookmarkStart w:id="98" w:name="_Toc514328789"/>
      <w:r>
        <w:rPr>
          <w:noProof/>
        </w:rPr>
        <w:t>Annex 2: Stakeholder consultation</w:t>
      </w:r>
      <w:bookmarkEnd w:id="86"/>
      <w:bookmarkEnd w:id="87"/>
      <w:bookmarkEnd w:id="88"/>
      <w:bookmarkEnd w:id="89"/>
      <w:bookmarkEnd w:id="90"/>
      <w:bookmarkEnd w:id="91"/>
      <w:bookmarkEnd w:id="92"/>
      <w:bookmarkEnd w:id="93"/>
      <w:bookmarkEnd w:id="94"/>
      <w:bookmarkEnd w:id="95"/>
      <w:bookmarkEnd w:id="96"/>
      <w:bookmarkEnd w:id="97"/>
      <w:bookmarkEnd w:id="98"/>
    </w:p>
    <w:p w:rsidR="003E180D" w:rsidRDefault="003E180D" w:rsidP="003E180D">
      <w:pPr>
        <w:pStyle w:val="Heading2"/>
        <w:numPr>
          <w:ilvl w:val="1"/>
          <w:numId w:val="22"/>
        </w:numPr>
        <w:spacing w:before="240" w:after="240"/>
        <w:rPr>
          <w:noProof/>
        </w:rPr>
      </w:pPr>
      <w:bookmarkStart w:id="99" w:name="_Toc507493375"/>
      <w:bookmarkStart w:id="100" w:name="_Toc507496401"/>
      <w:bookmarkStart w:id="101" w:name="_Toc507512099"/>
      <w:bookmarkStart w:id="102" w:name="_Toc507517563"/>
      <w:bookmarkStart w:id="103" w:name="_Toc508124766"/>
      <w:bookmarkStart w:id="104" w:name="_Toc508126131"/>
      <w:bookmarkStart w:id="105" w:name="_Toc508127502"/>
      <w:bookmarkStart w:id="106" w:name="_Toc508127855"/>
      <w:bookmarkStart w:id="107" w:name="_Toc508129629"/>
      <w:bookmarkStart w:id="108" w:name="_Toc508181020"/>
      <w:bookmarkStart w:id="109" w:name="_Toc508186613"/>
      <w:bookmarkStart w:id="110" w:name="_Toc510708094"/>
      <w:bookmarkStart w:id="111" w:name="_Toc514328790"/>
      <w:r>
        <w:rPr>
          <w:noProof/>
        </w:rPr>
        <w:t>Introduction</w:t>
      </w:r>
      <w:bookmarkEnd w:id="99"/>
      <w:bookmarkEnd w:id="100"/>
      <w:bookmarkEnd w:id="101"/>
      <w:bookmarkEnd w:id="102"/>
      <w:bookmarkEnd w:id="103"/>
      <w:bookmarkEnd w:id="104"/>
      <w:bookmarkEnd w:id="105"/>
      <w:bookmarkEnd w:id="106"/>
      <w:bookmarkEnd w:id="107"/>
      <w:bookmarkEnd w:id="108"/>
      <w:bookmarkEnd w:id="109"/>
      <w:bookmarkEnd w:id="110"/>
      <w:bookmarkEnd w:id="111"/>
    </w:p>
    <w:p w:rsidR="003E180D" w:rsidRDefault="003E180D" w:rsidP="003E180D">
      <w:pPr>
        <w:spacing w:after="120" w:line="240" w:lineRule="auto"/>
        <w:jc w:val="both"/>
        <w:rPr>
          <w:rFonts w:eastAsia="Times New Roman" w:cs="Times New Roman"/>
          <w:noProof/>
          <w:szCs w:val="24"/>
        </w:rPr>
      </w:pPr>
      <w:r>
        <w:rPr>
          <w:rFonts w:eastAsia="Times New Roman" w:cs="Times New Roman"/>
          <w:noProof/>
          <w:szCs w:val="24"/>
        </w:rPr>
        <w:t>Stakeholders' views have been an important element of input to the preparation of legislative action in the area of CO</w:t>
      </w:r>
      <w:r>
        <w:rPr>
          <w:rFonts w:eastAsia="Times New Roman" w:cs="Times New Roman"/>
          <w:noProof/>
          <w:szCs w:val="24"/>
          <w:vertAlign w:val="subscript"/>
        </w:rPr>
        <w:t>2</w:t>
      </w:r>
      <w:r>
        <w:rPr>
          <w:rFonts w:eastAsia="Times New Roman" w:cs="Times New Roman"/>
          <w:noProof/>
          <w:szCs w:val="24"/>
        </w:rPr>
        <w:t xml:space="preserve"> emissions from Heavy Duty Vehicles (HDVs). The main purpose of the consultation was to verify the accuracy of the information available to the Commission and to enhance its understanding of the views of stakeholders with regard to different aspects of the possible future regulatory framework on CO</w:t>
      </w:r>
      <w:r>
        <w:rPr>
          <w:rFonts w:eastAsia="Times New Roman" w:cs="Times New Roman"/>
          <w:noProof/>
          <w:szCs w:val="24"/>
          <w:vertAlign w:val="subscript"/>
        </w:rPr>
        <w:t>2</w:t>
      </w:r>
      <w:r>
        <w:rPr>
          <w:rFonts w:eastAsia="Times New Roman" w:cs="Times New Roman"/>
          <w:noProof/>
          <w:szCs w:val="24"/>
        </w:rPr>
        <w:t xml:space="preserve"> emissions from HDVs.</w:t>
      </w:r>
    </w:p>
    <w:p w:rsidR="003E180D" w:rsidRDefault="003E180D" w:rsidP="003E180D">
      <w:pPr>
        <w:spacing w:after="120" w:line="240" w:lineRule="auto"/>
        <w:jc w:val="both"/>
        <w:rPr>
          <w:rFonts w:eastAsia="Times New Roman" w:cs="Times New Roman"/>
          <w:noProof/>
          <w:szCs w:val="24"/>
        </w:rPr>
      </w:pPr>
      <w:r>
        <w:rPr>
          <w:rFonts w:eastAsia="Times New Roman" w:cs="Times New Roman"/>
          <w:noProof/>
          <w:szCs w:val="24"/>
        </w:rPr>
        <w:t xml:space="preserve">A mapping of stakeholders at the initial stages of the impact assessment allowed identifying the following relevant stakeholder groups: </w:t>
      </w:r>
    </w:p>
    <w:p w:rsidR="003E180D" w:rsidRDefault="003E180D" w:rsidP="003E180D">
      <w:pPr>
        <w:numPr>
          <w:ilvl w:val="0"/>
          <w:numId w:val="12"/>
        </w:numPr>
        <w:spacing w:after="120" w:line="240" w:lineRule="auto"/>
        <w:jc w:val="both"/>
        <w:rPr>
          <w:rFonts w:eastAsia="Times New Roman" w:cs="Times New Roman"/>
          <w:noProof/>
          <w:szCs w:val="24"/>
        </w:rPr>
      </w:pPr>
      <w:r>
        <w:rPr>
          <w:rFonts w:eastAsia="Times New Roman" w:cs="Times New Roman"/>
          <w:noProof/>
          <w:szCs w:val="24"/>
        </w:rPr>
        <w:t>Member States (national, regional authorities)</w:t>
      </w:r>
    </w:p>
    <w:p w:rsidR="003E180D" w:rsidRDefault="003E180D" w:rsidP="003E180D">
      <w:pPr>
        <w:numPr>
          <w:ilvl w:val="0"/>
          <w:numId w:val="12"/>
        </w:numPr>
        <w:spacing w:after="120" w:line="240" w:lineRule="auto"/>
        <w:jc w:val="both"/>
        <w:rPr>
          <w:rFonts w:eastAsia="Times New Roman" w:cs="Times New Roman"/>
          <w:noProof/>
          <w:szCs w:val="24"/>
        </w:rPr>
      </w:pPr>
      <w:r>
        <w:rPr>
          <w:rFonts w:eastAsia="Times New Roman" w:cs="Times New Roman"/>
          <w:noProof/>
          <w:szCs w:val="24"/>
        </w:rPr>
        <w:t>Individual vehicle manufacturers and associations of vehicle manufacturers</w:t>
      </w:r>
    </w:p>
    <w:p w:rsidR="003E180D" w:rsidRDefault="003E180D" w:rsidP="003E180D">
      <w:pPr>
        <w:numPr>
          <w:ilvl w:val="0"/>
          <w:numId w:val="12"/>
        </w:numPr>
        <w:spacing w:after="120" w:line="240" w:lineRule="auto"/>
        <w:jc w:val="both"/>
        <w:rPr>
          <w:rFonts w:eastAsia="Times New Roman" w:cs="Times New Roman"/>
          <w:noProof/>
          <w:szCs w:val="24"/>
        </w:rPr>
      </w:pPr>
      <w:r>
        <w:rPr>
          <w:rFonts w:eastAsia="Times New Roman" w:cs="Times New Roman"/>
          <w:noProof/>
          <w:szCs w:val="24"/>
        </w:rPr>
        <w:t>Automotive component suppliers and their associations</w:t>
      </w:r>
    </w:p>
    <w:p w:rsidR="003E180D" w:rsidRDefault="003E180D" w:rsidP="003E180D">
      <w:pPr>
        <w:numPr>
          <w:ilvl w:val="0"/>
          <w:numId w:val="12"/>
        </w:numPr>
        <w:spacing w:after="120" w:line="240" w:lineRule="auto"/>
        <w:jc w:val="both"/>
        <w:rPr>
          <w:rFonts w:eastAsia="Times New Roman" w:cs="Times New Roman"/>
          <w:noProof/>
          <w:szCs w:val="24"/>
        </w:rPr>
      </w:pPr>
      <w:r>
        <w:rPr>
          <w:rFonts w:eastAsia="Times New Roman" w:cs="Times New Roman"/>
          <w:noProof/>
          <w:szCs w:val="24"/>
        </w:rPr>
        <w:t>Vehicle fleet operators and their associations</w:t>
      </w:r>
    </w:p>
    <w:p w:rsidR="003E180D" w:rsidRDefault="003E180D" w:rsidP="003E180D">
      <w:pPr>
        <w:numPr>
          <w:ilvl w:val="0"/>
          <w:numId w:val="12"/>
        </w:numPr>
        <w:spacing w:after="120" w:line="240" w:lineRule="auto"/>
        <w:jc w:val="both"/>
        <w:rPr>
          <w:rFonts w:eastAsia="Times New Roman" w:cs="Times New Roman"/>
          <w:noProof/>
          <w:szCs w:val="24"/>
        </w:rPr>
      </w:pPr>
      <w:r>
        <w:rPr>
          <w:rFonts w:eastAsia="Times New Roman" w:cs="Times New Roman"/>
          <w:noProof/>
          <w:szCs w:val="24"/>
        </w:rPr>
        <w:t>Environmental non-governmental organisations</w:t>
      </w:r>
    </w:p>
    <w:p w:rsidR="003E180D" w:rsidRDefault="003E180D" w:rsidP="003E180D">
      <w:pPr>
        <w:numPr>
          <w:ilvl w:val="0"/>
          <w:numId w:val="12"/>
        </w:numPr>
        <w:spacing w:after="120" w:line="240" w:lineRule="auto"/>
        <w:jc w:val="both"/>
        <w:rPr>
          <w:rFonts w:eastAsia="Times New Roman" w:cs="Times New Roman"/>
          <w:noProof/>
          <w:szCs w:val="24"/>
        </w:rPr>
      </w:pPr>
      <w:r>
        <w:rPr>
          <w:rFonts w:eastAsia="Times New Roman" w:cs="Times New Roman"/>
          <w:noProof/>
          <w:szCs w:val="24"/>
        </w:rPr>
        <w:t xml:space="preserve">Federations or associations of fuel and manufacturing industries </w:t>
      </w:r>
    </w:p>
    <w:p w:rsidR="003E180D" w:rsidRDefault="003E180D" w:rsidP="003E180D">
      <w:pPr>
        <w:numPr>
          <w:ilvl w:val="0"/>
          <w:numId w:val="12"/>
        </w:numPr>
        <w:spacing w:after="120" w:line="240" w:lineRule="auto"/>
        <w:jc w:val="both"/>
        <w:rPr>
          <w:rFonts w:eastAsia="Times New Roman" w:cs="Times New Roman"/>
          <w:noProof/>
          <w:szCs w:val="24"/>
        </w:rPr>
      </w:pPr>
      <w:r>
        <w:rPr>
          <w:rFonts w:eastAsia="Times New Roman" w:cs="Times New Roman"/>
          <w:noProof/>
          <w:szCs w:val="24"/>
        </w:rPr>
        <w:t>Transport and logistics federations or associations</w:t>
      </w:r>
    </w:p>
    <w:p w:rsidR="003E180D" w:rsidRDefault="003E180D" w:rsidP="003E180D">
      <w:pPr>
        <w:numPr>
          <w:ilvl w:val="0"/>
          <w:numId w:val="12"/>
        </w:numPr>
        <w:spacing w:after="120" w:line="240" w:lineRule="auto"/>
        <w:jc w:val="both"/>
        <w:rPr>
          <w:rFonts w:eastAsia="Times New Roman" w:cs="Times New Roman"/>
          <w:noProof/>
          <w:szCs w:val="24"/>
        </w:rPr>
      </w:pPr>
      <w:r>
        <w:rPr>
          <w:rFonts w:eastAsia="Times New Roman" w:cs="Times New Roman"/>
          <w:noProof/>
          <w:szCs w:val="24"/>
        </w:rPr>
        <w:t>Purchaser and user organisations (leasing companies, drivers associations, consumer groups, etc.)</w:t>
      </w:r>
    </w:p>
    <w:p w:rsidR="003E180D" w:rsidRDefault="003E180D" w:rsidP="003E180D">
      <w:pPr>
        <w:numPr>
          <w:ilvl w:val="0"/>
          <w:numId w:val="12"/>
        </w:numPr>
        <w:spacing w:after="120" w:line="240" w:lineRule="auto"/>
        <w:jc w:val="both"/>
        <w:rPr>
          <w:rFonts w:eastAsia="Times New Roman" w:cs="Times New Roman"/>
          <w:noProof/>
          <w:szCs w:val="24"/>
        </w:rPr>
      </w:pPr>
      <w:r>
        <w:rPr>
          <w:rFonts w:eastAsia="Times New Roman" w:cs="Times New Roman"/>
          <w:noProof/>
          <w:szCs w:val="24"/>
        </w:rPr>
        <w:t>Social partners</w:t>
      </w:r>
    </w:p>
    <w:p w:rsidR="003E180D" w:rsidRDefault="003E180D" w:rsidP="003E180D">
      <w:pPr>
        <w:spacing w:after="120" w:line="240" w:lineRule="auto"/>
        <w:jc w:val="both"/>
        <w:rPr>
          <w:rFonts w:eastAsia="Times New Roman" w:cs="Times New Roman"/>
          <w:noProof/>
          <w:szCs w:val="24"/>
        </w:rPr>
      </w:pPr>
      <w:r>
        <w:rPr>
          <w:rFonts w:eastAsia="Times New Roman" w:cs="Times New Roman"/>
          <w:noProof/>
          <w:szCs w:val="24"/>
        </w:rPr>
        <w:t>The Commission sought feedback from stakeholders through the following elements:</w:t>
      </w:r>
    </w:p>
    <w:p w:rsidR="003E180D" w:rsidRDefault="003E180D" w:rsidP="003E180D">
      <w:pPr>
        <w:numPr>
          <w:ilvl w:val="0"/>
          <w:numId w:val="13"/>
        </w:numPr>
        <w:spacing w:after="120" w:line="240" w:lineRule="auto"/>
        <w:jc w:val="both"/>
        <w:rPr>
          <w:rFonts w:eastAsia="Times New Roman" w:cs="Times New Roman"/>
          <w:noProof/>
          <w:szCs w:val="24"/>
        </w:rPr>
      </w:pPr>
      <w:r>
        <w:rPr>
          <w:rFonts w:eastAsia="Times New Roman" w:cs="Times New Roman"/>
          <w:noProof/>
          <w:szCs w:val="24"/>
        </w:rPr>
        <w:t>a public on-line consultation (20 November 2017 until 29 January 2018)</w:t>
      </w:r>
    </w:p>
    <w:p w:rsidR="003E180D" w:rsidRDefault="003E180D" w:rsidP="003E180D">
      <w:pPr>
        <w:numPr>
          <w:ilvl w:val="0"/>
          <w:numId w:val="13"/>
        </w:numPr>
        <w:spacing w:after="120" w:line="240" w:lineRule="auto"/>
        <w:jc w:val="both"/>
        <w:rPr>
          <w:rFonts w:eastAsia="Times New Roman" w:cs="Times New Roman"/>
          <w:noProof/>
          <w:szCs w:val="24"/>
        </w:rPr>
      </w:pPr>
      <w:r>
        <w:rPr>
          <w:rFonts w:eastAsia="Times New Roman" w:cs="Times New Roman"/>
          <w:noProof/>
          <w:szCs w:val="24"/>
        </w:rPr>
        <w:t xml:space="preserve">a stakeholder workshop (16 January 2018); </w:t>
      </w:r>
    </w:p>
    <w:p w:rsidR="003E180D" w:rsidRDefault="003E180D" w:rsidP="003E180D">
      <w:pPr>
        <w:numPr>
          <w:ilvl w:val="0"/>
          <w:numId w:val="13"/>
        </w:numPr>
        <w:spacing w:after="120" w:line="240" w:lineRule="auto"/>
        <w:jc w:val="both"/>
        <w:rPr>
          <w:rFonts w:eastAsia="Times New Roman" w:cs="Times New Roman"/>
          <w:noProof/>
          <w:szCs w:val="24"/>
        </w:rPr>
      </w:pPr>
      <w:r>
        <w:rPr>
          <w:rFonts w:eastAsia="Times New Roman" w:cs="Times New Roman"/>
          <w:noProof/>
          <w:szCs w:val="24"/>
        </w:rPr>
        <w:t>meetings with relevant industry associations representing vehicle manufacturers, components and materials suppliers, fuel suppliers.</w:t>
      </w:r>
    </w:p>
    <w:p w:rsidR="003E180D" w:rsidRDefault="003E180D" w:rsidP="003E180D">
      <w:pPr>
        <w:numPr>
          <w:ilvl w:val="0"/>
          <w:numId w:val="13"/>
        </w:numPr>
        <w:spacing w:after="120" w:line="240" w:lineRule="auto"/>
        <w:jc w:val="both"/>
        <w:rPr>
          <w:rFonts w:eastAsia="Times New Roman" w:cs="Times New Roman"/>
          <w:noProof/>
          <w:szCs w:val="24"/>
        </w:rPr>
      </w:pPr>
      <w:r>
        <w:rPr>
          <w:rFonts w:eastAsia="Times New Roman" w:cs="Times New Roman"/>
          <w:noProof/>
          <w:szCs w:val="24"/>
        </w:rPr>
        <w:t>meetings with Member State authorities, vehicle manufacturers, suppliers, social partners and NGOs;</w:t>
      </w:r>
    </w:p>
    <w:p w:rsidR="003E180D" w:rsidRDefault="003E180D" w:rsidP="003E180D">
      <w:pPr>
        <w:numPr>
          <w:ilvl w:val="0"/>
          <w:numId w:val="13"/>
        </w:numPr>
        <w:spacing w:after="120" w:line="240" w:lineRule="auto"/>
        <w:jc w:val="both"/>
        <w:rPr>
          <w:rFonts w:eastAsia="Times New Roman" w:cs="Times New Roman"/>
          <w:noProof/>
          <w:szCs w:val="24"/>
        </w:rPr>
      </w:pPr>
      <w:r>
        <w:rPr>
          <w:rFonts w:eastAsia="Times New Roman" w:cs="Times New Roman"/>
          <w:noProof/>
          <w:szCs w:val="24"/>
        </w:rPr>
        <w:t>position papers submitted by stakeholders or Member States.</w:t>
      </w:r>
    </w:p>
    <w:p w:rsidR="003E180D" w:rsidRDefault="003E180D" w:rsidP="003E180D">
      <w:pPr>
        <w:spacing w:after="240" w:line="240" w:lineRule="auto"/>
        <w:jc w:val="both"/>
        <w:rPr>
          <w:rFonts w:eastAsia="Times New Roman" w:cs="Times New Roman"/>
          <w:noProof/>
          <w:szCs w:val="24"/>
        </w:rPr>
      </w:pPr>
      <w:r>
        <w:rPr>
          <w:rFonts w:eastAsia="Times New Roman" w:cs="Times New Roman"/>
          <w:noProof/>
          <w:szCs w:val="24"/>
        </w:rPr>
        <w:t xml:space="preserve">The feedback received at the stakeholder event organised on 16 January 2018 was generally in line with stakeholders' views as submitted to the public consultation. </w:t>
      </w:r>
    </w:p>
    <w:p w:rsidR="003E180D" w:rsidRDefault="003E180D" w:rsidP="003E180D">
      <w:pPr>
        <w:pStyle w:val="Heading2"/>
        <w:numPr>
          <w:ilvl w:val="1"/>
          <w:numId w:val="22"/>
        </w:numPr>
        <w:spacing w:before="240" w:after="240"/>
        <w:rPr>
          <w:noProof/>
        </w:rPr>
      </w:pPr>
      <w:bookmarkStart w:id="112" w:name="_Toc507493376"/>
      <w:bookmarkStart w:id="113" w:name="_Toc507496402"/>
      <w:bookmarkStart w:id="114" w:name="_Toc507512100"/>
      <w:bookmarkStart w:id="115" w:name="_Toc507517564"/>
      <w:bookmarkStart w:id="116" w:name="_Toc508124767"/>
      <w:bookmarkStart w:id="117" w:name="_Toc508126132"/>
      <w:bookmarkStart w:id="118" w:name="_Toc508127503"/>
      <w:bookmarkStart w:id="119" w:name="_Toc508127856"/>
      <w:bookmarkStart w:id="120" w:name="_Toc508129630"/>
      <w:bookmarkStart w:id="121" w:name="_Toc508181021"/>
      <w:bookmarkStart w:id="122" w:name="_Toc508186614"/>
      <w:bookmarkStart w:id="123" w:name="_Toc510708095"/>
      <w:bookmarkStart w:id="124" w:name="_Toc514328791"/>
      <w:r>
        <w:rPr>
          <w:noProof/>
        </w:rPr>
        <w:t>Public consultation</w:t>
      </w:r>
      <w:bookmarkEnd w:id="112"/>
      <w:bookmarkEnd w:id="113"/>
      <w:bookmarkEnd w:id="114"/>
      <w:bookmarkEnd w:id="115"/>
      <w:bookmarkEnd w:id="116"/>
      <w:bookmarkEnd w:id="117"/>
      <w:bookmarkEnd w:id="118"/>
      <w:bookmarkEnd w:id="119"/>
      <w:bookmarkEnd w:id="120"/>
      <w:bookmarkEnd w:id="121"/>
      <w:bookmarkEnd w:id="122"/>
      <w:bookmarkEnd w:id="123"/>
      <w:bookmarkEnd w:id="124"/>
    </w:p>
    <w:p w:rsidR="003E180D" w:rsidRDefault="003E180D" w:rsidP="003E180D">
      <w:pPr>
        <w:pStyle w:val="Heading3"/>
        <w:numPr>
          <w:ilvl w:val="2"/>
          <w:numId w:val="22"/>
        </w:numPr>
        <w:spacing w:before="240" w:after="120"/>
        <w:rPr>
          <w:noProof/>
        </w:rPr>
      </w:pPr>
      <w:bookmarkStart w:id="125" w:name="_Toc507493377"/>
      <w:bookmarkStart w:id="126" w:name="_Toc507496403"/>
      <w:bookmarkStart w:id="127" w:name="_Toc507512101"/>
      <w:bookmarkStart w:id="128" w:name="_Toc507517565"/>
      <w:bookmarkStart w:id="129" w:name="_Toc508124768"/>
      <w:bookmarkStart w:id="130" w:name="_Toc508126133"/>
      <w:bookmarkStart w:id="131" w:name="_Toc508127504"/>
      <w:bookmarkStart w:id="132" w:name="_Toc508127857"/>
      <w:bookmarkStart w:id="133" w:name="_Toc508129631"/>
      <w:bookmarkStart w:id="134" w:name="_Toc508181022"/>
      <w:bookmarkStart w:id="135" w:name="_Toc508186615"/>
      <w:bookmarkStart w:id="136" w:name="_Toc510708096"/>
      <w:bookmarkStart w:id="137" w:name="_Toc514328792"/>
      <w:r>
        <w:rPr>
          <w:noProof/>
        </w:rPr>
        <w:t>Process and quantitative results</w:t>
      </w:r>
      <w:bookmarkEnd w:id="125"/>
      <w:bookmarkEnd w:id="126"/>
      <w:bookmarkEnd w:id="127"/>
      <w:bookmarkEnd w:id="128"/>
      <w:bookmarkEnd w:id="129"/>
      <w:bookmarkEnd w:id="130"/>
      <w:bookmarkEnd w:id="131"/>
      <w:bookmarkEnd w:id="132"/>
      <w:bookmarkEnd w:id="133"/>
      <w:bookmarkEnd w:id="134"/>
      <w:bookmarkEnd w:id="135"/>
      <w:bookmarkEnd w:id="136"/>
      <w:bookmarkEnd w:id="137"/>
      <w:r>
        <w:rPr>
          <w:noProof/>
        </w:rPr>
        <w:t xml:space="preserve"> </w:t>
      </w:r>
    </w:p>
    <w:p w:rsidR="003E180D" w:rsidRDefault="003E180D" w:rsidP="003E180D">
      <w:pPr>
        <w:spacing w:after="120" w:line="240" w:lineRule="auto"/>
        <w:jc w:val="both"/>
        <w:rPr>
          <w:rFonts w:cs="Times New Roman"/>
          <w:noProof/>
          <w:szCs w:val="24"/>
        </w:rPr>
      </w:pPr>
      <w:r>
        <w:rPr>
          <w:rFonts w:cs="Times New Roman"/>
          <w:noProof/>
          <w:szCs w:val="24"/>
        </w:rPr>
        <w:t>An on-line public consultation was carried out between 20 November 2017 and 29 January 2018 on the EU Survey website</w:t>
      </w:r>
      <w:r>
        <w:rPr>
          <w:rStyle w:val="FootnoteReference"/>
          <w:rFonts w:cs="Times New Roman"/>
          <w:noProof/>
          <w:szCs w:val="24"/>
        </w:rPr>
        <w:footnoteReference w:id="4"/>
      </w:r>
      <w:r>
        <w:rPr>
          <w:rFonts w:cs="Times New Roman"/>
          <w:noProof/>
          <w:szCs w:val="24"/>
        </w:rPr>
        <w:t>. The consultation addressed the following key issues, reflecting the key elements of the impact assessment:</w:t>
      </w:r>
    </w:p>
    <w:p w:rsidR="003E180D" w:rsidRDefault="003E180D" w:rsidP="003E180D">
      <w:pPr>
        <w:pStyle w:val="ListParagraph"/>
        <w:numPr>
          <w:ilvl w:val="0"/>
          <w:numId w:val="14"/>
        </w:numPr>
        <w:spacing w:after="120" w:line="240" w:lineRule="auto"/>
        <w:contextualSpacing w:val="0"/>
        <w:jc w:val="both"/>
        <w:rPr>
          <w:rFonts w:cs="Times New Roman"/>
          <w:noProof/>
          <w:szCs w:val="24"/>
        </w:rPr>
      </w:pPr>
      <w:r>
        <w:rPr>
          <w:rFonts w:cs="Times New Roman"/>
          <w:noProof/>
          <w:szCs w:val="24"/>
        </w:rPr>
        <w:t>Main problem to be addressed</w:t>
      </w:r>
    </w:p>
    <w:p w:rsidR="003E180D" w:rsidRDefault="003E180D" w:rsidP="003E180D">
      <w:pPr>
        <w:pStyle w:val="ListParagraph"/>
        <w:numPr>
          <w:ilvl w:val="0"/>
          <w:numId w:val="14"/>
        </w:numPr>
        <w:spacing w:after="120" w:line="240" w:lineRule="auto"/>
        <w:contextualSpacing w:val="0"/>
        <w:jc w:val="both"/>
        <w:rPr>
          <w:rFonts w:cs="Times New Roman"/>
          <w:noProof/>
          <w:szCs w:val="24"/>
        </w:rPr>
      </w:pPr>
      <w:r>
        <w:rPr>
          <w:rFonts w:cs="Times New Roman"/>
          <w:noProof/>
          <w:szCs w:val="24"/>
        </w:rPr>
        <w:t>The need for EU action</w:t>
      </w:r>
    </w:p>
    <w:p w:rsidR="003E180D" w:rsidRDefault="003E180D" w:rsidP="003E180D">
      <w:pPr>
        <w:pStyle w:val="ListParagraph"/>
        <w:numPr>
          <w:ilvl w:val="0"/>
          <w:numId w:val="14"/>
        </w:numPr>
        <w:spacing w:after="120" w:line="240" w:lineRule="auto"/>
        <w:contextualSpacing w:val="0"/>
        <w:jc w:val="both"/>
        <w:rPr>
          <w:rFonts w:cs="Times New Roman"/>
          <w:noProof/>
          <w:szCs w:val="24"/>
        </w:rPr>
      </w:pPr>
      <w:r>
        <w:rPr>
          <w:rFonts w:cs="Times New Roman"/>
          <w:noProof/>
          <w:szCs w:val="24"/>
        </w:rPr>
        <w:t>Main policy objectives</w:t>
      </w:r>
    </w:p>
    <w:p w:rsidR="003E180D" w:rsidRDefault="003E180D" w:rsidP="003E180D">
      <w:pPr>
        <w:pStyle w:val="ListParagraph"/>
        <w:numPr>
          <w:ilvl w:val="0"/>
          <w:numId w:val="14"/>
        </w:numPr>
        <w:spacing w:after="120" w:line="240" w:lineRule="auto"/>
        <w:contextualSpacing w:val="0"/>
        <w:jc w:val="both"/>
        <w:rPr>
          <w:rFonts w:cs="Times New Roman"/>
          <w:noProof/>
          <w:szCs w:val="24"/>
        </w:rPr>
      </w:pPr>
      <w:r>
        <w:rPr>
          <w:rFonts w:cs="Times New Roman"/>
          <w:noProof/>
          <w:szCs w:val="24"/>
        </w:rPr>
        <w:t>Form that action should take to reduce HDV CO</w:t>
      </w:r>
      <w:r>
        <w:rPr>
          <w:rFonts w:cs="Times New Roman"/>
          <w:noProof/>
          <w:szCs w:val="24"/>
          <w:vertAlign w:val="subscript"/>
        </w:rPr>
        <w:t>2</w:t>
      </w:r>
      <w:r>
        <w:rPr>
          <w:rFonts w:cs="Times New Roman"/>
          <w:noProof/>
          <w:szCs w:val="24"/>
        </w:rPr>
        <w:t xml:space="preserve"> emissions</w:t>
      </w:r>
    </w:p>
    <w:p w:rsidR="003E180D" w:rsidRDefault="003E180D" w:rsidP="003E180D">
      <w:pPr>
        <w:pStyle w:val="ListParagraph"/>
        <w:numPr>
          <w:ilvl w:val="0"/>
          <w:numId w:val="14"/>
        </w:numPr>
        <w:spacing w:after="120" w:line="240" w:lineRule="auto"/>
        <w:contextualSpacing w:val="0"/>
        <w:jc w:val="both"/>
        <w:rPr>
          <w:rFonts w:cs="Times New Roman"/>
          <w:noProof/>
          <w:szCs w:val="24"/>
        </w:rPr>
      </w:pPr>
      <w:r>
        <w:rPr>
          <w:rFonts w:cs="Times New Roman"/>
          <w:noProof/>
          <w:szCs w:val="24"/>
        </w:rPr>
        <w:t>Options to consider for regulating CO</w:t>
      </w:r>
      <w:r>
        <w:rPr>
          <w:rFonts w:cs="Times New Roman"/>
          <w:noProof/>
          <w:szCs w:val="24"/>
          <w:vertAlign w:val="subscript"/>
        </w:rPr>
        <w:t>2</w:t>
      </w:r>
      <w:r>
        <w:rPr>
          <w:rFonts w:cs="Times New Roman"/>
          <w:noProof/>
          <w:szCs w:val="24"/>
        </w:rPr>
        <w:t xml:space="preserve"> emissions of HDV</w:t>
      </w:r>
    </w:p>
    <w:p w:rsidR="003E180D" w:rsidRDefault="003E180D" w:rsidP="003E180D">
      <w:pPr>
        <w:pStyle w:val="ListParagraph"/>
        <w:numPr>
          <w:ilvl w:val="0"/>
          <w:numId w:val="14"/>
        </w:numPr>
        <w:spacing w:after="120" w:line="240" w:lineRule="auto"/>
        <w:contextualSpacing w:val="0"/>
        <w:jc w:val="both"/>
        <w:rPr>
          <w:rFonts w:cs="Times New Roman"/>
          <w:noProof/>
          <w:szCs w:val="24"/>
        </w:rPr>
      </w:pPr>
      <w:r>
        <w:rPr>
          <w:rFonts w:cs="Times New Roman"/>
          <w:noProof/>
          <w:szCs w:val="24"/>
        </w:rPr>
        <w:t>Governance - HDV CO</w:t>
      </w:r>
      <w:r>
        <w:rPr>
          <w:rFonts w:cs="Times New Roman"/>
          <w:noProof/>
          <w:szCs w:val="24"/>
          <w:vertAlign w:val="subscript"/>
        </w:rPr>
        <w:t>2</w:t>
      </w:r>
      <w:r>
        <w:rPr>
          <w:rFonts w:cs="Times New Roman"/>
          <w:noProof/>
          <w:szCs w:val="24"/>
        </w:rPr>
        <w:t xml:space="preserve"> certification and real driving emissions</w:t>
      </w:r>
    </w:p>
    <w:p w:rsidR="003E180D" w:rsidRDefault="003E180D" w:rsidP="003E180D">
      <w:pPr>
        <w:spacing w:after="120" w:line="240" w:lineRule="auto"/>
        <w:jc w:val="both"/>
        <w:rPr>
          <w:rFonts w:cs="Times New Roman"/>
          <w:noProof/>
          <w:szCs w:val="24"/>
        </w:rPr>
      </w:pPr>
      <w:r>
        <w:rPr>
          <w:rFonts w:cs="Times New Roman"/>
          <w:noProof/>
          <w:szCs w:val="24"/>
        </w:rPr>
        <w:t xml:space="preserve">The results of the public consultation are presented below for each key element. The replies are differentiated across stakeholder groups and summarised as factually as possible. The summary considers diverging views between or within stakeholder groups. </w:t>
      </w:r>
    </w:p>
    <w:p w:rsidR="003E180D" w:rsidRDefault="003E180D" w:rsidP="003E180D">
      <w:pPr>
        <w:spacing w:after="120" w:line="240" w:lineRule="auto"/>
        <w:jc w:val="both"/>
        <w:rPr>
          <w:rFonts w:cs="Times New Roman"/>
          <w:noProof/>
          <w:szCs w:val="24"/>
        </w:rPr>
      </w:pPr>
      <w:r>
        <w:rPr>
          <w:rFonts w:cs="Times New Roman"/>
          <w:noProof/>
          <w:szCs w:val="24"/>
        </w:rPr>
        <w:t>The consultation received 88 replies in total. Most responses were received from professional organisations (37 or 42%) followed by private enterprises (19 or 22%). Civil society organisations submitted 11 replies (13%) and public authorities and individuals (8 or 9% each). Three replies (3%) were received from research institutions. Two “other” submissions were submitted by a Horizon 2020 research project and a public enterprise.</w:t>
      </w:r>
      <w:r>
        <w:rPr>
          <w:rStyle w:val="FootnoteReference"/>
          <w:rFonts w:cs="Times New Roman"/>
          <w:noProof/>
          <w:szCs w:val="24"/>
        </w:rPr>
        <w:t xml:space="preserve"> </w:t>
      </w:r>
      <w:r>
        <w:rPr>
          <w:rStyle w:val="FootnoteReference"/>
          <w:rFonts w:cs="Times New Roman"/>
          <w:noProof/>
          <w:szCs w:val="24"/>
        </w:rPr>
        <w:footnoteReference w:id="5"/>
      </w:r>
    </w:p>
    <w:p w:rsidR="003E180D" w:rsidRDefault="003E180D" w:rsidP="003E180D">
      <w:pPr>
        <w:spacing w:after="120" w:line="240" w:lineRule="auto"/>
        <w:jc w:val="both"/>
        <w:rPr>
          <w:rFonts w:cs="Times New Roman"/>
          <w:noProof/>
          <w:szCs w:val="24"/>
        </w:rPr>
      </w:pPr>
      <w:r>
        <w:rPr>
          <w:rFonts w:cs="Times New Roman"/>
          <w:noProof/>
          <w:szCs w:val="24"/>
        </w:rPr>
        <w:t xml:space="preserve">Professional organisations comprised national and EU level associations representing mainly vehicle manufacturers, fuel industry and logistics operators. Private enterprises included mainly automotive component suppliers and vehicle manufacturers. Civil society organisations included environmental and/or transport NGOs. Public authorities included national and regional ministries as well as one city council. </w:t>
      </w:r>
      <w:r>
        <w:rPr>
          <w:rFonts w:cs="Times New Roman"/>
          <w:noProof/>
          <w:szCs w:val="24"/>
        </w:rPr>
        <w:fldChar w:fldCharType="begin"/>
      </w:r>
      <w:r>
        <w:rPr>
          <w:rFonts w:cs="Times New Roman"/>
          <w:noProof/>
          <w:szCs w:val="24"/>
        </w:rPr>
        <w:instrText xml:space="preserve"> REF _Ref484780273 \h  \* MERGEFORMAT </w:instrText>
      </w:r>
      <w:r>
        <w:rPr>
          <w:rFonts w:cs="Times New Roman"/>
          <w:noProof/>
          <w:szCs w:val="24"/>
        </w:rPr>
      </w:r>
      <w:r>
        <w:rPr>
          <w:rFonts w:cs="Times New Roman"/>
          <w:noProof/>
          <w:szCs w:val="24"/>
        </w:rPr>
        <w:fldChar w:fldCharType="separate"/>
      </w:r>
      <w:r>
        <w:rPr>
          <w:rFonts w:cs="Times New Roman"/>
          <w:noProof/>
          <w:szCs w:val="24"/>
        </w:rPr>
        <w:t>Table 1</w:t>
      </w:r>
      <w:r>
        <w:rPr>
          <w:rFonts w:cs="Times New Roman"/>
          <w:noProof/>
          <w:szCs w:val="24"/>
        </w:rPr>
        <w:fldChar w:fldCharType="end"/>
      </w:r>
      <w:r>
        <w:rPr>
          <w:rFonts w:cs="Times New Roman"/>
          <w:noProof/>
          <w:szCs w:val="24"/>
        </w:rPr>
        <w:t xml:space="preserve"> summarises the distribution of respondents by category. </w:t>
      </w:r>
    </w:p>
    <w:p w:rsidR="003E180D" w:rsidRDefault="003E180D" w:rsidP="003E180D">
      <w:pPr>
        <w:pStyle w:val="Caption"/>
        <w:keepNext/>
        <w:rPr>
          <w:noProof/>
        </w:rPr>
      </w:pPr>
      <w:bookmarkStart w:id="138" w:name="_Ref484780273"/>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38"/>
      <w:r>
        <w:rPr>
          <w:noProof/>
        </w:rPr>
        <w:t>: Distribution of respondents by category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363"/>
        <w:gridCol w:w="2834"/>
      </w:tblGrid>
      <w:tr w:rsidR="003E180D" w:rsidTr="0088305C">
        <w:trPr>
          <w:trHeight w:val="255"/>
          <w:tblHeader/>
          <w:jc w:val="center"/>
        </w:trPr>
        <w:tc>
          <w:tcPr>
            <w:tcW w:w="3936" w:type="dxa"/>
            <w:noWrap/>
          </w:tcPr>
          <w:p w:rsidR="003E180D" w:rsidRDefault="003E180D" w:rsidP="0088305C">
            <w:pPr>
              <w:spacing w:after="60"/>
              <w:rPr>
                <w:rFonts w:cs="Times New Roman"/>
                <w:b/>
                <w:noProof/>
                <w:szCs w:val="24"/>
              </w:rPr>
            </w:pPr>
            <w:r>
              <w:rPr>
                <w:rFonts w:cs="Times New Roman"/>
                <w:b/>
                <w:noProof/>
                <w:szCs w:val="24"/>
              </w:rPr>
              <w:t>Category</w:t>
            </w:r>
          </w:p>
        </w:tc>
        <w:tc>
          <w:tcPr>
            <w:tcW w:w="1363" w:type="dxa"/>
            <w:noWrap/>
          </w:tcPr>
          <w:p w:rsidR="003E180D" w:rsidRDefault="003E180D" w:rsidP="0088305C">
            <w:pPr>
              <w:spacing w:after="60"/>
              <w:jc w:val="center"/>
              <w:rPr>
                <w:rFonts w:cs="Times New Roman"/>
                <w:noProof/>
                <w:szCs w:val="24"/>
              </w:rPr>
            </w:pPr>
            <w:r>
              <w:rPr>
                <w:rFonts w:cs="Times New Roman"/>
                <w:noProof/>
                <w:szCs w:val="24"/>
              </w:rPr>
              <w:t>Number of respondents</w:t>
            </w:r>
          </w:p>
        </w:tc>
        <w:tc>
          <w:tcPr>
            <w:tcW w:w="2834" w:type="dxa"/>
            <w:noWrap/>
          </w:tcPr>
          <w:p w:rsidR="003E180D" w:rsidRDefault="003E180D" w:rsidP="0088305C">
            <w:pPr>
              <w:spacing w:after="60"/>
              <w:jc w:val="center"/>
              <w:rPr>
                <w:rFonts w:cs="Times New Roman"/>
                <w:noProof/>
                <w:szCs w:val="24"/>
              </w:rPr>
            </w:pPr>
            <w:r>
              <w:rPr>
                <w:rFonts w:cs="Times New Roman"/>
                <w:noProof/>
                <w:szCs w:val="24"/>
              </w:rPr>
              <w:t>Percentage of total number of respondents</w:t>
            </w:r>
          </w:p>
        </w:tc>
      </w:tr>
      <w:tr w:rsidR="003E180D" w:rsidTr="0088305C">
        <w:trPr>
          <w:trHeight w:val="255"/>
          <w:jc w:val="center"/>
        </w:trPr>
        <w:tc>
          <w:tcPr>
            <w:tcW w:w="3936" w:type="dxa"/>
            <w:shd w:val="clear" w:color="auto" w:fill="auto"/>
            <w:noWrap/>
          </w:tcPr>
          <w:p w:rsidR="003E180D" w:rsidRDefault="003E180D" w:rsidP="0088305C">
            <w:pPr>
              <w:spacing w:after="60"/>
              <w:rPr>
                <w:rFonts w:cs="Times New Roman"/>
                <w:noProof/>
                <w:szCs w:val="24"/>
              </w:rPr>
            </w:pPr>
            <w:r>
              <w:rPr>
                <w:rFonts w:cs="Times New Roman"/>
                <w:noProof/>
                <w:szCs w:val="24"/>
              </w:rPr>
              <w:t>Academic / Research institution</w:t>
            </w:r>
          </w:p>
        </w:tc>
        <w:tc>
          <w:tcPr>
            <w:tcW w:w="1363" w:type="dxa"/>
            <w:shd w:val="clear" w:color="auto" w:fill="auto"/>
            <w:noWrap/>
          </w:tcPr>
          <w:p w:rsidR="003E180D" w:rsidRDefault="003E180D" w:rsidP="0088305C">
            <w:pPr>
              <w:spacing w:after="60"/>
              <w:jc w:val="center"/>
              <w:rPr>
                <w:rFonts w:cs="Times New Roman"/>
                <w:noProof/>
                <w:szCs w:val="24"/>
              </w:rPr>
            </w:pPr>
            <w:r>
              <w:rPr>
                <w:rFonts w:cs="Times New Roman"/>
                <w:noProof/>
                <w:szCs w:val="24"/>
              </w:rPr>
              <w:t>3</w:t>
            </w:r>
          </w:p>
        </w:tc>
        <w:tc>
          <w:tcPr>
            <w:tcW w:w="2834" w:type="dxa"/>
            <w:shd w:val="clear" w:color="auto" w:fill="auto"/>
            <w:noWrap/>
          </w:tcPr>
          <w:p w:rsidR="003E180D" w:rsidRDefault="003E180D" w:rsidP="0088305C">
            <w:pPr>
              <w:spacing w:after="60"/>
              <w:jc w:val="center"/>
              <w:rPr>
                <w:rFonts w:cs="Times New Roman"/>
                <w:noProof/>
                <w:szCs w:val="24"/>
              </w:rPr>
            </w:pPr>
            <w:r>
              <w:rPr>
                <w:rFonts w:cs="Times New Roman"/>
                <w:noProof/>
                <w:szCs w:val="24"/>
              </w:rPr>
              <w:t>3%</w:t>
            </w:r>
          </w:p>
        </w:tc>
      </w:tr>
      <w:tr w:rsidR="003E180D" w:rsidTr="0088305C">
        <w:trPr>
          <w:trHeight w:val="255"/>
          <w:jc w:val="center"/>
        </w:trPr>
        <w:tc>
          <w:tcPr>
            <w:tcW w:w="3936" w:type="dxa"/>
            <w:noWrap/>
            <w:hideMark/>
          </w:tcPr>
          <w:p w:rsidR="003E180D" w:rsidRDefault="003E180D" w:rsidP="0088305C">
            <w:pPr>
              <w:spacing w:after="60"/>
              <w:rPr>
                <w:rFonts w:cs="Times New Roman"/>
                <w:noProof/>
                <w:szCs w:val="24"/>
              </w:rPr>
            </w:pPr>
            <w:r>
              <w:rPr>
                <w:rFonts w:cs="Times New Roman"/>
                <w:noProof/>
                <w:szCs w:val="24"/>
              </w:rPr>
              <w:t>Civil society organisation</w:t>
            </w:r>
          </w:p>
        </w:tc>
        <w:tc>
          <w:tcPr>
            <w:tcW w:w="1363" w:type="dxa"/>
            <w:noWrap/>
            <w:hideMark/>
          </w:tcPr>
          <w:p w:rsidR="003E180D" w:rsidRDefault="003E180D" w:rsidP="0088305C">
            <w:pPr>
              <w:spacing w:after="60"/>
              <w:jc w:val="center"/>
              <w:rPr>
                <w:rFonts w:cs="Times New Roman"/>
                <w:noProof/>
                <w:szCs w:val="24"/>
              </w:rPr>
            </w:pPr>
            <w:r>
              <w:rPr>
                <w:rFonts w:cs="Times New Roman"/>
                <w:noProof/>
                <w:szCs w:val="24"/>
              </w:rPr>
              <w:t>11</w:t>
            </w:r>
          </w:p>
        </w:tc>
        <w:tc>
          <w:tcPr>
            <w:tcW w:w="2834" w:type="dxa"/>
            <w:noWrap/>
            <w:hideMark/>
          </w:tcPr>
          <w:p w:rsidR="003E180D" w:rsidRDefault="003E180D" w:rsidP="0088305C">
            <w:pPr>
              <w:spacing w:after="60"/>
              <w:jc w:val="center"/>
              <w:rPr>
                <w:rFonts w:cs="Times New Roman"/>
                <w:noProof/>
                <w:szCs w:val="24"/>
              </w:rPr>
            </w:pPr>
            <w:r>
              <w:rPr>
                <w:rFonts w:cs="Times New Roman"/>
                <w:noProof/>
                <w:szCs w:val="24"/>
              </w:rPr>
              <w:t>13%</w:t>
            </w:r>
          </w:p>
        </w:tc>
      </w:tr>
      <w:tr w:rsidR="003E180D" w:rsidTr="0088305C">
        <w:trPr>
          <w:trHeight w:val="255"/>
          <w:jc w:val="center"/>
        </w:trPr>
        <w:tc>
          <w:tcPr>
            <w:tcW w:w="3936" w:type="dxa"/>
            <w:noWrap/>
            <w:hideMark/>
          </w:tcPr>
          <w:p w:rsidR="003E180D" w:rsidRDefault="003E180D" w:rsidP="0088305C">
            <w:pPr>
              <w:spacing w:after="60"/>
              <w:rPr>
                <w:rFonts w:cs="Times New Roman"/>
                <w:noProof/>
                <w:szCs w:val="24"/>
              </w:rPr>
            </w:pPr>
            <w:r>
              <w:rPr>
                <w:rFonts w:cs="Times New Roman"/>
                <w:noProof/>
                <w:szCs w:val="24"/>
              </w:rPr>
              <w:t>Individual / private person</w:t>
            </w:r>
          </w:p>
        </w:tc>
        <w:tc>
          <w:tcPr>
            <w:tcW w:w="1363" w:type="dxa"/>
            <w:noWrap/>
            <w:hideMark/>
          </w:tcPr>
          <w:p w:rsidR="003E180D" w:rsidRDefault="003E180D" w:rsidP="0088305C">
            <w:pPr>
              <w:spacing w:after="60"/>
              <w:jc w:val="center"/>
              <w:rPr>
                <w:rFonts w:cs="Times New Roman"/>
                <w:noProof/>
                <w:szCs w:val="24"/>
              </w:rPr>
            </w:pPr>
            <w:r>
              <w:rPr>
                <w:rFonts w:cs="Times New Roman"/>
                <w:noProof/>
                <w:szCs w:val="24"/>
              </w:rPr>
              <w:t>8</w:t>
            </w:r>
          </w:p>
        </w:tc>
        <w:tc>
          <w:tcPr>
            <w:tcW w:w="2834" w:type="dxa"/>
            <w:noWrap/>
            <w:hideMark/>
          </w:tcPr>
          <w:p w:rsidR="003E180D" w:rsidRDefault="003E180D" w:rsidP="0088305C">
            <w:pPr>
              <w:spacing w:after="60"/>
              <w:jc w:val="center"/>
              <w:rPr>
                <w:rFonts w:cs="Times New Roman"/>
                <w:noProof/>
                <w:szCs w:val="24"/>
              </w:rPr>
            </w:pPr>
            <w:r>
              <w:rPr>
                <w:rFonts w:cs="Times New Roman"/>
                <w:noProof/>
                <w:szCs w:val="24"/>
              </w:rPr>
              <w:t>9%</w:t>
            </w:r>
          </w:p>
        </w:tc>
      </w:tr>
      <w:tr w:rsidR="003E180D" w:rsidTr="0088305C">
        <w:trPr>
          <w:trHeight w:val="255"/>
          <w:jc w:val="center"/>
        </w:trPr>
        <w:tc>
          <w:tcPr>
            <w:tcW w:w="3936" w:type="dxa"/>
            <w:noWrap/>
            <w:hideMark/>
          </w:tcPr>
          <w:p w:rsidR="003E180D" w:rsidRDefault="003E180D" w:rsidP="0088305C">
            <w:pPr>
              <w:spacing w:after="60"/>
              <w:rPr>
                <w:rFonts w:cs="Times New Roman"/>
                <w:noProof/>
                <w:szCs w:val="24"/>
              </w:rPr>
            </w:pPr>
            <w:r>
              <w:rPr>
                <w:rFonts w:cs="Times New Roman"/>
                <w:noProof/>
                <w:szCs w:val="24"/>
              </w:rPr>
              <w:t>International organisation</w:t>
            </w:r>
          </w:p>
        </w:tc>
        <w:tc>
          <w:tcPr>
            <w:tcW w:w="1363" w:type="dxa"/>
            <w:noWrap/>
            <w:hideMark/>
          </w:tcPr>
          <w:p w:rsidR="003E180D" w:rsidRDefault="003E180D" w:rsidP="0088305C">
            <w:pPr>
              <w:spacing w:after="60"/>
              <w:jc w:val="center"/>
              <w:rPr>
                <w:rFonts w:cs="Times New Roman"/>
                <w:noProof/>
                <w:szCs w:val="24"/>
              </w:rPr>
            </w:pPr>
            <w:r>
              <w:rPr>
                <w:rFonts w:cs="Times New Roman"/>
                <w:noProof/>
                <w:szCs w:val="24"/>
              </w:rPr>
              <w:t>0</w:t>
            </w:r>
          </w:p>
        </w:tc>
        <w:tc>
          <w:tcPr>
            <w:tcW w:w="2834" w:type="dxa"/>
            <w:noWrap/>
            <w:hideMark/>
          </w:tcPr>
          <w:p w:rsidR="003E180D" w:rsidRDefault="003E180D" w:rsidP="0088305C">
            <w:pPr>
              <w:spacing w:after="60"/>
              <w:jc w:val="center"/>
              <w:rPr>
                <w:rFonts w:cs="Times New Roman"/>
                <w:noProof/>
                <w:szCs w:val="24"/>
              </w:rPr>
            </w:pPr>
            <w:r>
              <w:rPr>
                <w:rFonts w:cs="Times New Roman"/>
                <w:noProof/>
                <w:szCs w:val="24"/>
              </w:rPr>
              <w:t>0%</w:t>
            </w:r>
          </w:p>
        </w:tc>
      </w:tr>
      <w:tr w:rsidR="003E180D" w:rsidTr="0088305C">
        <w:trPr>
          <w:trHeight w:val="255"/>
          <w:jc w:val="center"/>
        </w:trPr>
        <w:tc>
          <w:tcPr>
            <w:tcW w:w="3936" w:type="dxa"/>
            <w:noWrap/>
            <w:hideMark/>
          </w:tcPr>
          <w:p w:rsidR="003E180D" w:rsidRDefault="003E180D" w:rsidP="0088305C">
            <w:pPr>
              <w:spacing w:after="60"/>
              <w:rPr>
                <w:rFonts w:cs="Times New Roman"/>
                <w:noProof/>
                <w:szCs w:val="24"/>
              </w:rPr>
            </w:pPr>
            <w:r>
              <w:rPr>
                <w:rFonts w:cs="Times New Roman"/>
                <w:noProof/>
                <w:szCs w:val="24"/>
              </w:rPr>
              <w:t>Private enterprise</w:t>
            </w:r>
          </w:p>
        </w:tc>
        <w:tc>
          <w:tcPr>
            <w:tcW w:w="1363" w:type="dxa"/>
            <w:noWrap/>
            <w:hideMark/>
          </w:tcPr>
          <w:p w:rsidR="003E180D" w:rsidRDefault="003E180D" w:rsidP="0088305C">
            <w:pPr>
              <w:spacing w:after="60"/>
              <w:jc w:val="center"/>
              <w:rPr>
                <w:rFonts w:cs="Times New Roman"/>
                <w:noProof/>
                <w:szCs w:val="24"/>
              </w:rPr>
            </w:pPr>
            <w:r>
              <w:rPr>
                <w:rFonts w:cs="Times New Roman"/>
                <w:noProof/>
                <w:szCs w:val="24"/>
              </w:rPr>
              <w:t>19</w:t>
            </w:r>
          </w:p>
        </w:tc>
        <w:tc>
          <w:tcPr>
            <w:tcW w:w="2834" w:type="dxa"/>
            <w:noWrap/>
            <w:hideMark/>
          </w:tcPr>
          <w:p w:rsidR="003E180D" w:rsidRDefault="003E180D" w:rsidP="0088305C">
            <w:pPr>
              <w:spacing w:after="60"/>
              <w:jc w:val="center"/>
              <w:rPr>
                <w:rFonts w:cs="Times New Roman"/>
                <w:noProof/>
                <w:szCs w:val="24"/>
              </w:rPr>
            </w:pPr>
            <w:r>
              <w:rPr>
                <w:rFonts w:cs="Times New Roman"/>
                <w:noProof/>
                <w:szCs w:val="24"/>
              </w:rPr>
              <w:t>22%</w:t>
            </w:r>
          </w:p>
        </w:tc>
      </w:tr>
      <w:tr w:rsidR="003E180D" w:rsidTr="0088305C">
        <w:trPr>
          <w:trHeight w:val="255"/>
          <w:jc w:val="center"/>
        </w:trPr>
        <w:tc>
          <w:tcPr>
            <w:tcW w:w="3936" w:type="dxa"/>
            <w:noWrap/>
            <w:hideMark/>
          </w:tcPr>
          <w:p w:rsidR="003E180D" w:rsidRDefault="003E180D" w:rsidP="0088305C">
            <w:pPr>
              <w:spacing w:after="60"/>
              <w:rPr>
                <w:rFonts w:cs="Times New Roman"/>
                <w:noProof/>
                <w:szCs w:val="24"/>
              </w:rPr>
            </w:pPr>
            <w:r>
              <w:rPr>
                <w:rFonts w:cs="Times New Roman"/>
                <w:noProof/>
                <w:szCs w:val="24"/>
              </w:rPr>
              <w:t>Professional organisation</w:t>
            </w:r>
          </w:p>
        </w:tc>
        <w:tc>
          <w:tcPr>
            <w:tcW w:w="1363" w:type="dxa"/>
            <w:noWrap/>
            <w:hideMark/>
          </w:tcPr>
          <w:p w:rsidR="003E180D" w:rsidRDefault="003E180D" w:rsidP="0088305C">
            <w:pPr>
              <w:spacing w:after="60"/>
              <w:jc w:val="center"/>
              <w:rPr>
                <w:rFonts w:cs="Times New Roman"/>
                <w:noProof/>
                <w:szCs w:val="24"/>
              </w:rPr>
            </w:pPr>
            <w:r>
              <w:rPr>
                <w:rFonts w:cs="Times New Roman"/>
                <w:noProof/>
                <w:szCs w:val="24"/>
              </w:rPr>
              <w:t>37</w:t>
            </w:r>
          </w:p>
        </w:tc>
        <w:tc>
          <w:tcPr>
            <w:tcW w:w="2834" w:type="dxa"/>
            <w:noWrap/>
            <w:hideMark/>
          </w:tcPr>
          <w:p w:rsidR="003E180D" w:rsidRDefault="003E180D" w:rsidP="0088305C">
            <w:pPr>
              <w:spacing w:after="60"/>
              <w:jc w:val="center"/>
              <w:rPr>
                <w:rFonts w:cs="Times New Roman"/>
                <w:noProof/>
                <w:szCs w:val="24"/>
              </w:rPr>
            </w:pPr>
            <w:r>
              <w:rPr>
                <w:rFonts w:cs="Times New Roman"/>
                <w:noProof/>
                <w:szCs w:val="24"/>
              </w:rPr>
              <w:t>42%</w:t>
            </w:r>
          </w:p>
        </w:tc>
      </w:tr>
      <w:tr w:rsidR="003E180D" w:rsidTr="0088305C">
        <w:trPr>
          <w:trHeight w:val="255"/>
          <w:jc w:val="center"/>
        </w:trPr>
        <w:tc>
          <w:tcPr>
            <w:tcW w:w="3936" w:type="dxa"/>
            <w:noWrap/>
            <w:hideMark/>
          </w:tcPr>
          <w:p w:rsidR="003E180D" w:rsidRDefault="003E180D" w:rsidP="0088305C">
            <w:pPr>
              <w:spacing w:after="60"/>
              <w:rPr>
                <w:rFonts w:cs="Times New Roman"/>
                <w:noProof/>
                <w:szCs w:val="24"/>
              </w:rPr>
            </w:pPr>
            <w:r>
              <w:rPr>
                <w:rFonts w:cs="Times New Roman"/>
                <w:noProof/>
                <w:szCs w:val="24"/>
              </w:rPr>
              <w:t>Public authority</w:t>
            </w:r>
          </w:p>
        </w:tc>
        <w:tc>
          <w:tcPr>
            <w:tcW w:w="1363" w:type="dxa"/>
            <w:noWrap/>
            <w:hideMark/>
          </w:tcPr>
          <w:p w:rsidR="003E180D" w:rsidRDefault="003E180D" w:rsidP="0088305C">
            <w:pPr>
              <w:spacing w:after="60"/>
              <w:jc w:val="center"/>
              <w:rPr>
                <w:rFonts w:cs="Times New Roman"/>
                <w:noProof/>
                <w:szCs w:val="24"/>
              </w:rPr>
            </w:pPr>
            <w:r>
              <w:rPr>
                <w:rFonts w:cs="Times New Roman"/>
                <w:noProof/>
                <w:szCs w:val="24"/>
              </w:rPr>
              <w:t>8</w:t>
            </w:r>
          </w:p>
        </w:tc>
        <w:tc>
          <w:tcPr>
            <w:tcW w:w="2834" w:type="dxa"/>
            <w:noWrap/>
            <w:hideMark/>
          </w:tcPr>
          <w:p w:rsidR="003E180D" w:rsidRDefault="003E180D" w:rsidP="0088305C">
            <w:pPr>
              <w:spacing w:after="60"/>
              <w:jc w:val="center"/>
              <w:rPr>
                <w:rFonts w:cs="Times New Roman"/>
                <w:noProof/>
                <w:szCs w:val="24"/>
              </w:rPr>
            </w:pPr>
            <w:r>
              <w:rPr>
                <w:rFonts w:cs="Times New Roman"/>
                <w:noProof/>
                <w:szCs w:val="24"/>
              </w:rPr>
              <w:t>9%</w:t>
            </w:r>
          </w:p>
        </w:tc>
      </w:tr>
      <w:tr w:rsidR="003E180D" w:rsidTr="0088305C">
        <w:trPr>
          <w:trHeight w:val="255"/>
          <w:jc w:val="center"/>
        </w:trPr>
        <w:tc>
          <w:tcPr>
            <w:tcW w:w="3936" w:type="dxa"/>
            <w:noWrap/>
            <w:hideMark/>
          </w:tcPr>
          <w:p w:rsidR="003E180D" w:rsidRDefault="003E180D" w:rsidP="0088305C">
            <w:pPr>
              <w:spacing w:after="60"/>
              <w:rPr>
                <w:rFonts w:cs="Times New Roman"/>
                <w:noProof/>
                <w:szCs w:val="24"/>
              </w:rPr>
            </w:pPr>
            <w:r>
              <w:rPr>
                <w:rFonts w:cs="Times New Roman"/>
                <w:noProof/>
                <w:szCs w:val="24"/>
              </w:rPr>
              <w:t>Other</w:t>
            </w:r>
          </w:p>
        </w:tc>
        <w:tc>
          <w:tcPr>
            <w:tcW w:w="1363" w:type="dxa"/>
            <w:noWrap/>
            <w:hideMark/>
          </w:tcPr>
          <w:p w:rsidR="003E180D" w:rsidRDefault="003E180D" w:rsidP="0088305C">
            <w:pPr>
              <w:spacing w:after="60"/>
              <w:jc w:val="center"/>
              <w:rPr>
                <w:rFonts w:cs="Times New Roman"/>
                <w:noProof/>
                <w:szCs w:val="24"/>
              </w:rPr>
            </w:pPr>
            <w:r>
              <w:rPr>
                <w:rFonts w:cs="Times New Roman"/>
                <w:noProof/>
                <w:szCs w:val="24"/>
              </w:rPr>
              <w:t>2</w:t>
            </w:r>
          </w:p>
        </w:tc>
        <w:tc>
          <w:tcPr>
            <w:tcW w:w="2834" w:type="dxa"/>
            <w:noWrap/>
            <w:hideMark/>
          </w:tcPr>
          <w:p w:rsidR="003E180D" w:rsidRDefault="003E180D" w:rsidP="0088305C">
            <w:pPr>
              <w:spacing w:after="60"/>
              <w:jc w:val="center"/>
              <w:rPr>
                <w:rFonts w:cs="Times New Roman"/>
                <w:noProof/>
                <w:szCs w:val="24"/>
              </w:rPr>
            </w:pPr>
            <w:r>
              <w:rPr>
                <w:rFonts w:cs="Times New Roman"/>
                <w:noProof/>
                <w:szCs w:val="24"/>
              </w:rPr>
              <w:t>2%</w:t>
            </w:r>
          </w:p>
        </w:tc>
      </w:tr>
      <w:tr w:rsidR="003E180D" w:rsidTr="0088305C">
        <w:trPr>
          <w:trHeight w:val="255"/>
          <w:jc w:val="center"/>
        </w:trPr>
        <w:tc>
          <w:tcPr>
            <w:tcW w:w="3936" w:type="dxa"/>
            <w:noWrap/>
            <w:hideMark/>
          </w:tcPr>
          <w:p w:rsidR="003E180D" w:rsidRDefault="003E180D" w:rsidP="0088305C">
            <w:pPr>
              <w:spacing w:after="60"/>
              <w:rPr>
                <w:rFonts w:cs="Times New Roman"/>
                <w:b/>
                <w:noProof/>
                <w:szCs w:val="24"/>
              </w:rPr>
            </w:pPr>
            <w:r>
              <w:rPr>
                <w:rFonts w:cs="Times New Roman"/>
                <w:b/>
                <w:noProof/>
                <w:szCs w:val="24"/>
              </w:rPr>
              <w:t>Total</w:t>
            </w:r>
          </w:p>
        </w:tc>
        <w:tc>
          <w:tcPr>
            <w:tcW w:w="1363" w:type="dxa"/>
            <w:noWrap/>
            <w:hideMark/>
          </w:tcPr>
          <w:p w:rsidR="003E180D" w:rsidRDefault="003E180D" w:rsidP="0088305C">
            <w:pPr>
              <w:spacing w:after="60"/>
              <w:jc w:val="center"/>
              <w:rPr>
                <w:rFonts w:cs="Times New Roman"/>
                <w:b/>
                <w:noProof/>
                <w:szCs w:val="24"/>
              </w:rPr>
            </w:pPr>
            <w:r>
              <w:rPr>
                <w:rFonts w:cs="Times New Roman"/>
                <w:b/>
                <w:noProof/>
                <w:szCs w:val="24"/>
              </w:rPr>
              <w:t>88</w:t>
            </w:r>
          </w:p>
        </w:tc>
        <w:tc>
          <w:tcPr>
            <w:tcW w:w="2834" w:type="dxa"/>
            <w:noWrap/>
            <w:hideMark/>
          </w:tcPr>
          <w:p w:rsidR="003E180D" w:rsidRDefault="003E180D" w:rsidP="0088305C">
            <w:pPr>
              <w:spacing w:after="60"/>
              <w:jc w:val="center"/>
              <w:rPr>
                <w:rFonts w:cs="Times New Roman"/>
                <w:b/>
                <w:noProof/>
                <w:szCs w:val="24"/>
              </w:rPr>
            </w:pPr>
            <w:r>
              <w:rPr>
                <w:rFonts w:cs="Times New Roman"/>
                <w:b/>
                <w:noProof/>
                <w:szCs w:val="24"/>
              </w:rPr>
              <w:t>100%</w:t>
            </w:r>
          </w:p>
        </w:tc>
      </w:tr>
    </w:tbl>
    <w:p w:rsidR="003E180D" w:rsidRDefault="003E180D" w:rsidP="003E180D">
      <w:pPr>
        <w:spacing w:before="240" w:after="120" w:line="240" w:lineRule="auto"/>
        <w:jc w:val="both"/>
        <w:rPr>
          <w:rFonts w:cs="Times New Roman"/>
          <w:noProof/>
          <w:szCs w:val="24"/>
        </w:rPr>
      </w:pPr>
      <w:r>
        <w:rPr>
          <w:rFonts w:cs="Times New Roman"/>
          <w:noProof/>
          <w:szCs w:val="24"/>
        </w:rPr>
        <w:t>Most responses were submitted from stakeholders based in Belgium (22), followed by Germany (17), the United Kingdom and Sweden (7 each), the Netherlands (6), Denmark (5), France (4) as well as Spain, Italy, Hungary, Finland (3 each) and Poland, Czech Republic (2 each) and Austria, Ireland, Portugal (1 each). Three responses were received from stakeholders that were based outside the EU: Canada (1), Norway (1), and the United States (1).</w:t>
      </w:r>
    </w:p>
    <w:p w:rsidR="003E180D" w:rsidRDefault="003E180D" w:rsidP="003E180D">
      <w:pPr>
        <w:pStyle w:val="Heading3"/>
        <w:numPr>
          <w:ilvl w:val="2"/>
          <w:numId w:val="22"/>
        </w:numPr>
        <w:spacing w:before="240" w:after="120"/>
        <w:rPr>
          <w:noProof/>
        </w:rPr>
      </w:pPr>
      <w:bookmarkStart w:id="139" w:name="_Toc507493378"/>
      <w:bookmarkStart w:id="140" w:name="_Toc507496404"/>
      <w:bookmarkStart w:id="141" w:name="_Toc507512102"/>
      <w:bookmarkStart w:id="142" w:name="_Toc507517566"/>
      <w:bookmarkStart w:id="143" w:name="_Toc508124769"/>
      <w:bookmarkStart w:id="144" w:name="_Toc508126134"/>
      <w:bookmarkStart w:id="145" w:name="_Toc508127505"/>
      <w:bookmarkStart w:id="146" w:name="_Toc508127858"/>
      <w:bookmarkStart w:id="147" w:name="_Toc508129632"/>
      <w:bookmarkStart w:id="148" w:name="_Toc508181023"/>
      <w:bookmarkStart w:id="149" w:name="_Toc508186616"/>
      <w:bookmarkStart w:id="150" w:name="_Toc510708097"/>
      <w:bookmarkStart w:id="151" w:name="_Toc514328793"/>
      <w:r>
        <w:rPr>
          <w:noProof/>
        </w:rPr>
        <w:t>Replies to key issues</w:t>
      </w:r>
      <w:bookmarkEnd w:id="139"/>
      <w:bookmarkEnd w:id="140"/>
      <w:bookmarkEnd w:id="141"/>
      <w:bookmarkEnd w:id="142"/>
      <w:bookmarkEnd w:id="143"/>
      <w:bookmarkEnd w:id="144"/>
      <w:bookmarkEnd w:id="145"/>
      <w:bookmarkEnd w:id="146"/>
      <w:bookmarkEnd w:id="147"/>
      <w:bookmarkEnd w:id="148"/>
      <w:bookmarkEnd w:id="149"/>
      <w:bookmarkEnd w:id="150"/>
      <w:bookmarkEnd w:id="151"/>
    </w:p>
    <w:p w:rsidR="003E180D" w:rsidRDefault="003E180D" w:rsidP="003E180D">
      <w:pPr>
        <w:spacing w:after="120" w:line="240" w:lineRule="auto"/>
        <w:jc w:val="both"/>
        <w:rPr>
          <w:rFonts w:cs="Times New Roman"/>
          <w:i/>
          <w:noProof/>
          <w:szCs w:val="24"/>
        </w:rPr>
      </w:pPr>
      <w:r>
        <w:rPr>
          <w:rFonts w:cs="Times New Roman"/>
          <w:i/>
          <w:noProof/>
          <w:szCs w:val="24"/>
        </w:rPr>
        <w:t>Main problem to be addressed</w:t>
      </w:r>
    </w:p>
    <w:p w:rsidR="003E180D" w:rsidRDefault="003E180D" w:rsidP="003E180D">
      <w:pPr>
        <w:spacing w:after="120" w:line="240" w:lineRule="auto"/>
        <w:jc w:val="both"/>
        <w:rPr>
          <w:rFonts w:cs="Times New Roman"/>
          <w:noProof/>
          <w:szCs w:val="24"/>
        </w:rPr>
      </w:pPr>
      <w:r>
        <w:rPr>
          <w:rFonts w:cs="Times New Roman"/>
          <w:noProof/>
          <w:szCs w:val="24"/>
        </w:rPr>
        <w:t xml:space="preserve">Concerning the main problem to be addressed, </w:t>
      </w:r>
      <w:r>
        <w:rPr>
          <w:rFonts w:cs="Times New Roman"/>
          <w:b/>
          <w:noProof/>
          <w:szCs w:val="24"/>
        </w:rPr>
        <w:t>the majority of stakeholders considered the growing GHG emissions from the HDV sector as “very important” or “important”</w:t>
      </w:r>
      <w:r>
        <w:rPr>
          <w:rFonts w:cs="Times New Roman"/>
          <w:noProof/>
          <w:szCs w:val="24"/>
        </w:rPr>
        <w:t xml:space="preserve">. It was considered “very important” by all civil society organisations and all public authorities as well as professional organisations representing the fuels industry. Professional organisations representing manufacturers and component suppliers considered this problem mostly “important”, whereas the increasing competitiveness challenges for vehicle manufacturers was considered by them as “very important”. Few stakeholders across all stakeholder groups considered the fact that transport operators and their clients miss out on possible fuel savings and reduced fuel bills as more important in comparison to the other two problems. </w:t>
      </w:r>
    </w:p>
    <w:p w:rsidR="003E180D" w:rsidRDefault="003E180D" w:rsidP="003E180D">
      <w:pPr>
        <w:spacing w:after="120" w:line="240" w:lineRule="auto"/>
        <w:jc w:val="both"/>
        <w:rPr>
          <w:rFonts w:cs="Times New Roman"/>
          <w:noProof/>
          <w:szCs w:val="24"/>
        </w:rPr>
      </w:pPr>
      <w:r>
        <w:rPr>
          <w:rFonts w:cs="Times New Roman"/>
          <w:noProof/>
          <w:szCs w:val="24"/>
        </w:rPr>
        <w:t>When asked if other key problems should be addressed, stakeholders representing the gas sector pointed to risks related to high levels of air pollutants such as NO</w:t>
      </w:r>
      <w:r>
        <w:rPr>
          <w:rFonts w:cs="Times New Roman"/>
          <w:noProof/>
          <w:szCs w:val="24"/>
          <w:vertAlign w:val="subscript"/>
        </w:rPr>
        <w:t>x</w:t>
      </w:r>
      <w:r>
        <w:rPr>
          <w:rFonts w:cs="Times New Roman"/>
          <w:noProof/>
          <w:szCs w:val="24"/>
        </w:rPr>
        <w:t xml:space="preserve"> and PM. A few stakeholders representing vehicle manufacturer associations underlined the importance of a credible baseline for CO</w:t>
      </w:r>
      <w:r>
        <w:rPr>
          <w:rFonts w:cs="Times New Roman"/>
          <w:noProof/>
          <w:szCs w:val="24"/>
          <w:vertAlign w:val="subscript"/>
        </w:rPr>
        <w:t>2</w:t>
      </w:r>
      <w:r>
        <w:rPr>
          <w:rFonts w:cs="Times New Roman"/>
          <w:noProof/>
          <w:szCs w:val="24"/>
        </w:rPr>
        <w:t xml:space="preserve"> limits based on VECTO as well as the need for an integrated approach that looks also at the efficient use of HDVs. One civil society organisation pointed to the need to decrease traffic.</w:t>
      </w:r>
    </w:p>
    <w:p w:rsidR="003E180D" w:rsidRDefault="003E180D" w:rsidP="003E180D">
      <w:pPr>
        <w:spacing w:after="120" w:line="240" w:lineRule="auto"/>
        <w:jc w:val="both"/>
        <w:rPr>
          <w:rFonts w:cs="Times New Roman"/>
          <w:i/>
          <w:noProof/>
          <w:szCs w:val="24"/>
        </w:rPr>
      </w:pPr>
      <w:r>
        <w:rPr>
          <w:rFonts w:cs="Times New Roman"/>
          <w:i/>
          <w:noProof/>
          <w:szCs w:val="24"/>
        </w:rPr>
        <w:t>The need for EU action</w:t>
      </w:r>
    </w:p>
    <w:p w:rsidR="003E180D" w:rsidRDefault="003E180D" w:rsidP="003E180D">
      <w:pPr>
        <w:spacing w:after="120" w:line="240" w:lineRule="auto"/>
        <w:jc w:val="both"/>
        <w:rPr>
          <w:rFonts w:cs="Times New Roman"/>
          <w:noProof/>
          <w:szCs w:val="24"/>
        </w:rPr>
      </w:pPr>
      <w:r>
        <w:rPr>
          <w:rFonts w:cs="Times New Roman"/>
          <w:noProof/>
          <w:szCs w:val="24"/>
        </w:rPr>
        <w:t>While more stakeholders considered it likely rather than unlikely that Member States would individually implement legislation to reduce HDV CO</w:t>
      </w:r>
      <w:r>
        <w:rPr>
          <w:rFonts w:cs="Times New Roman"/>
          <w:noProof/>
          <w:szCs w:val="24"/>
          <w:vertAlign w:val="subscript"/>
        </w:rPr>
        <w:t>2</w:t>
      </w:r>
      <w:r>
        <w:rPr>
          <w:rFonts w:cs="Times New Roman"/>
          <w:noProof/>
          <w:szCs w:val="24"/>
        </w:rPr>
        <w:t xml:space="preserve"> emissions in the absence of EU action, a considerable number of respondents were neutral on that point. However, a clear majority of all respondents across all stakeholder groups expect that</w:t>
      </w:r>
      <w:r>
        <w:rPr>
          <w:rFonts w:cs="Times New Roman"/>
          <w:b/>
          <w:noProof/>
          <w:szCs w:val="24"/>
        </w:rPr>
        <w:t xml:space="preserve"> national legislation would lead to market fragmentation and higher costs </w:t>
      </w:r>
      <w:r>
        <w:rPr>
          <w:rFonts w:cs="Times New Roman"/>
          <w:noProof/>
          <w:szCs w:val="24"/>
        </w:rPr>
        <w:t>(78% of all replies) and that</w:t>
      </w:r>
      <w:r>
        <w:rPr>
          <w:rFonts w:cs="Times New Roman"/>
          <w:b/>
          <w:noProof/>
          <w:szCs w:val="24"/>
        </w:rPr>
        <w:t xml:space="preserve"> Member States would have difficulty to achieve the necessary reductions to meet EU climate goals </w:t>
      </w:r>
      <w:r>
        <w:rPr>
          <w:rFonts w:cs="Times New Roman"/>
          <w:noProof/>
          <w:szCs w:val="24"/>
        </w:rPr>
        <w:t>(73% of all replies). Concerning other potential effects in the absence of EU action, several stakeholders representing different sectors pointed to possible negative consequences at the international level, e.g. barriers to trade, EU’s loss of technological leadership, and non-EU Member States that follow EU level action would also not take action to reduce HDV CO</w:t>
      </w:r>
      <w:r>
        <w:rPr>
          <w:rFonts w:cs="Times New Roman"/>
          <w:noProof/>
          <w:szCs w:val="24"/>
          <w:vertAlign w:val="subscript"/>
        </w:rPr>
        <w:t>2</w:t>
      </w:r>
      <w:r>
        <w:rPr>
          <w:rFonts w:cs="Times New Roman"/>
          <w:noProof/>
          <w:szCs w:val="24"/>
        </w:rPr>
        <w:t xml:space="preserve"> emissions.</w:t>
      </w:r>
    </w:p>
    <w:p w:rsidR="003E180D" w:rsidRDefault="003E180D" w:rsidP="003E180D">
      <w:pPr>
        <w:spacing w:after="120" w:line="240" w:lineRule="auto"/>
        <w:jc w:val="both"/>
        <w:rPr>
          <w:rFonts w:cs="Times New Roman"/>
          <w:i/>
          <w:noProof/>
          <w:szCs w:val="24"/>
        </w:rPr>
      </w:pPr>
      <w:r>
        <w:rPr>
          <w:rFonts w:cs="Times New Roman"/>
          <w:i/>
          <w:noProof/>
          <w:szCs w:val="24"/>
        </w:rPr>
        <w:t>Main policy objectives</w:t>
      </w:r>
    </w:p>
    <w:p w:rsidR="003E180D" w:rsidRDefault="003E180D" w:rsidP="003E180D">
      <w:pPr>
        <w:spacing w:after="120" w:line="240" w:lineRule="auto"/>
        <w:jc w:val="both"/>
        <w:rPr>
          <w:rFonts w:cs="Times New Roman"/>
          <w:noProof/>
          <w:szCs w:val="24"/>
        </w:rPr>
      </w:pPr>
      <w:r>
        <w:rPr>
          <w:rFonts w:cs="Times New Roman"/>
          <w:b/>
          <w:noProof/>
          <w:szCs w:val="24"/>
        </w:rPr>
        <w:t>Reducing the climate impact of HDVs was clearly identified as the main policy objective</w:t>
      </w:r>
      <w:r>
        <w:rPr>
          <w:rFonts w:cs="Times New Roman"/>
          <w:noProof/>
          <w:szCs w:val="24"/>
        </w:rPr>
        <w:t xml:space="preserve"> </w:t>
      </w:r>
      <w:r>
        <w:rPr>
          <w:rFonts w:cs="Times New Roman"/>
          <w:b/>
          <w:noProof/>
          <w:szCs w:val="24"/>
        </w:rPr>
        <w:t>by all stakeholder groups</w:t>
      </w:r>
      <w:r>
        <w:rPr>
          <w:rFonts w:cs="Times New Roman"/>
          <w:noProof/>
          <w:szCs w:val="24"/>
        </w:rPr>
        <w:t xml:space="preserve"> (“very important” in 78% of all replies; “important” in 16% of all replies). The second most important policy objective across all stakeholder groups was to facilitate a reduction in the total cost of ownership for transport operators (“very important” in 48% or all replies; “important” in 31% of all replies). The policy objective to contribute to the improvement of the competitiveness of the European HDV and component manufacturers was considered highly important by the majority of stakeholders (“very important” in 32% or all replies; “important” in 41% of all replies). In terms of other key objectives, some stakeholders representing the gas sector referred to the promotion of alternative powertrains and alternative fuels. Some vehicle manufacturer associations underlined the need for a stable legislative framework, whereas a logistics operators association and a vehicle manufacturers association suggested increased market transparency as a key policy objective.</w:t>
      </w:r>
    </w:p>
    <w:p w:rsidR="003E180D" w:rsidRDefault="003E180D" w:rsidP="003E180D">
      <w:pPr>
        <w:spacing w:after="120" w:line="240" w:lineRule="auto"/>
        <w:jc w:val="both"/>
        <w:rPr>
          <w:rFonts w:cs="Times New Roman"/>
          <w:i/>
          <w:noProof/>
          <w:szCs w:val="24"/>
        </w:rPr>
      </w:pPr>
      <w:r>
        <w:rPr>
          <w:rFonts w:cs="Times New Roman"/>
          <w:i/>
          <w:noProof/>
          <w:szCs w:val="24"/>
        </w:rPr>
        <w:t>Form that action should take to reduce HDV CO</w:t>
      </w:r>
      <w:r>
        <w:rPr>
          <w:rFonts w:cs="Times New Roman"/>
          <w:i/>
          <w:noProof/>
          <w:szCs w:val="24"/>
          <w:vertAlign w:val="subscript"/>
        </w:rPr>
        <w:t>2</w:t>
      </w:r>
      <w:r>
        <w:rPr>
          <w:rFonts w:cs="Times New Roman"/>
          <w:i/>
          <w:noProof/>
          <w:szCs w:val="24"/>
        </w:rPr>
        <w:t xml:space="preserve"> emissions</w:t>
      </w:r>
    </w:p>
    <w:p w:rsidR="003E180D" w:rsidRDefault="003E180D" w:rsidP="003E180D">
      <w:pPr>
        <w:spacing w:after="120" w:line="240" w:lineRule="auto"/>
        <w:jc w:val="both"/>
        <w:rPr>
          <w:rFonts w:cs="Times New Roman"/>
          <w:noProof/>
          <w:szCs w:val="24"/>
        </w:rPr>
      </w:pPr>
      <w:r>
        <w:rPr>
          <w:rFonts w:cs="Times New Roman"/>
          <w:noProof/>
          <w:szCs w:val="24"/>
        </w:rPr>
        <w:t>When asked, by order of importance, which were their preferred options to reduce CO</w:t>
      </w:r>
      <w:r>
        <w:rPr>
          <w:rFonts w:cs="Times New Roman"/>
          <w:noProof/>
          <w:szCs w:val="24"/>
          <w:vertAlign w:val="subscript"/>
        </w:rPr>
        <w:t>2</w:t>
      </w:r>
      <w:r>
        <w:rPr>
          <w:rFonts w:cs="Times New Roman"/>
          <w:noProof/>
          <w:szCs w:val="24"/>
        </w:rPr>
        <w:t xml:space="preserve"> emission from new HDVs and to contribute to the 2030 energy and climate targets, </w:t>
      </w:r>
      <w:r>
        <w:rPr>
          <w:rFonts w:cs="Times New Roman"/>
          <w:b/>
          <w:noProof/>
          <w:szCs w:val="24"/>
        </w:rPr>
        <w:t>the preferred option across all stakeholders was legislation setting HDV CO</w:t>
      </w:r>
      <w:r>
        <w:rPr>
          <w:rFonts w:cs="Times New Roman"/>
          <w:b/>
          <w:noProof/>
          <w:szCs w:val="24"/>
          <w:vertAlign w:val="subscript"/>
        </w:rPr>
        <w:t>2</w:t>
      </w:r>
      <w:r>
        <w:rPr>
          <w:rFonts w:cs="Times New Roman"/>
          <w:b/>
          <w:noProof/>
          <w:szCs w:val="24"/>
        </w:rPr>
        <w:t xml:space="preserve"> emission targets at EU level</w:t>
      </w:r>
      <w:r>
        <w:rPr>
          <w:rFonts w:cs="Times New Roman"/>
          <w:noProof/>
          <w:szCs w:val="24"/>
        </w:rPr>
        <w:t xml:space="preserve"> (1</w:t>
      </w:r>
      <w:r>
        <w:rPr>
          <w:rFonts w:cs="Times New Roman"/>
          <w:noProof/>
          <w:szCs w:val="24"/>
          <w:vertAlign w:val="superscript"/>
        </w:rPr>
        <w:t>st</w:t>
      </w:r>
      <w:r>
        <w:rPr>
          <w:rFonts w:cs="Times New Roman"/>
          <w:noProof/>
          <w:szCs w:val="24"/>
        </w:rPr>
        <w:t xml:space="preserve"> priority for 45% of all respondents and 2</w:t>
      </w:r>
      <w:r>
        <w:rPr>
          <w:rFonts w:cs="Times New Roman"/>
          <w:noProof/>
          <w:szCs w:val="24"/>
          <w:vertAlign w:val="superscript"/>
        </w:rPr>
        <w:t>nd</w:t>
      </w:r>
      <w:r>
        <w:rPr>
          <w:rFonts w:cs="Times New Roman"/>
          <w:noProof/>
          <w:szCs w:val="24"/>
        </w:rPr>
        <w:t xml:space="preserve"> priority for 23% of all respondents). </w:t>
      </w:r>
    </w:p>
    <w:p w:rsidR="003E180D" w:rsidRDefault="003E180D" w:rsidP="003E180D">
      <w:pPr>
        <w:spacing w:after="120" w:line="240" w:lineRule="auto"/>
        <w:jc w:val="both"/>
        <w:rPr>
          <w:rFonts w:cs="Times New Roman"/>
          <w:noProof/>
          <w:szCs w:val="24"/>
        </w:rPr>
      </w:pPr>
      <w:r>
        <w:rPr>
          <w:rFonts w:cs="Times New Roman"/>
          <w:noProof/>
          <w:szCs w:val="24"/>
        </w:rPr>
        <w:t>However, while all civil society organisations favour binding HDV CO</w:t>
      </w:r>
      <w:r>
        <w:rPr>
          <w:rFonts w:cs="Times New Roman"/>
          <w:noProof/>
          <w:szCs w:val="24"/>
          <w:vertAlign w:val="subscript"/>
        </w:rPr>
        <w:t>2</w:t>
      </w:r>
      <w:r>
        <w:rPr>
          <w:rFonts w:cs="Times New Roman"/>
          <w:noProof/>
          <w:szCs w:val="24"/>
        </w:rPr>
        <w:t xml:space="preserve"> targets at EU level, </w:t>
      </w:r>
      <w:r>
        <w:rPr>
          <w:rFonts w:cs="Times New Roman"/>
          <w:b/>
          <w:noProof/>
          <w:szCs w:val="24"/>
        </w:rPr>
        <w:t>some stakeholders representing vehicle manufacturers and automotive suppliers preferred other policy options</w:t>
      </w:r>
      <w:r>
        <w:rPr>
          <w:rFonts w:cs="Times New Roman"/>
          <w:noProof/>
          <w:szCs w:val="24"/>
        </w:rPr>
        <w:t xml:space="preserve"> via a comprehensive approach including legislation defining a CO</w:t>
      </w:r>
      <w:r>
        <w:rPr>
          <w:rFonts w:cs="Times New Roman"/>
          <w:noProof/>
          <w:szCs w:val="24"/>
          <w:vertAlign w:val="subscript"/>
        </w:rPr>
        <w:t>2</w:t>
      </w:r>
      <w:r>
        <w:rPr>
          <w:rFonts w:cs="Times New Roman"/>
          <w:noProof/>
          <w:szCs w:val="24"/>
        </w:rPr>
        <w:t xml:space="preserve"> labelling scheme at EU level, inclusion of the transport sector in the EU Emissions Trading Scheme, other incentives such as fuel taxes at national level, or CO</w:t>
      </w:r>
      <w:r>
        <w:rPr>
          <w:rFonts w:cs="Times New Roman"/>
          <w:noProof/>
          <w:szCs w:val="24"/>
          <w:vertAlign w:val="subscript"/>
        </w:rPr>
        <w:t>2</w:t>
      </w:r>
      <w:r>
        <w:rPr>
          <w:rFonts w:cs="Times New Roman"/>
          <w:noProof/>
          <w:szCs w:val="24"/>
        </w:rPr>
        <w:t xml:space="preserve"> based road charging. </w:t>
      </w:r>
    </w:p>
    <w:p w:rsidR="003E180D" w:rsidRDefault="003E180D" w:rsidP="003E180D">
      <w:pPr>
        <w:spacing w:after="120" w:line="240" w:lineRule="auto"/>
        <w:jc w:val="both"/>
        <w:rPr>
          <w:rFonts w:cs="Times New Roman"/>
          <w:noProof/>
          <w:szCs w:val="24"/>
        </w:rPr>
      </w:pPr>
      <w:r>
        <w:rPr>
          <w:noProof/>
          <w:lang w:val="en-US"/>
        </w:rPr>
        <w:t>While the setting up of CO</w:t>
      </w:r>
      <w:r>
        <w:rPr>
          <w:noProof/>
          <w:vertAlign w:val="subscript"/>
          <w:lang w:val="en-US"/>
        </w:rPr>
        <w:t>2</w:t>
      </w:r>
      <w:r>
        <w:rPr>
          <w:noProof/>
          <w:lang w:val="en-US"/>
        </w:rPr>
        <w:t xml:space="preserve"> emission standards for HDVs is not the preferred option expressed by manufacturers, they have proposed to implement 2025 and 2030 CO</w:t>
      </w:r>
      <w:r>
        <w:rPr>
          <w:noProof/>
          <w:vertAlign w:val="subscript"/>
          <w:lang w:val="en-US"/>
        </w:rPr>
        <w:t>2</w:t>
      </w:r>
      <w:r>
        <w:rPr>
          <w:noProof/>
          <w:lang w:val="en-US"/>
        </w:rPr>
        <w:t xml:space="preserve"> emission targets at the lower range of the options considered.</w:t>
      </w:r>
    </w:p>
    <w:p w:rsidR="003E180D" w:rsidRDefault="003E180D" w:rsidP="003E180D">
      <w:pPr>
        <w:spacing w:after="120" w:line="240" w:lineRule="auto"/>
        <w:jc w:val="both"/>
        <w:rPr>
          <w:rFonts w:cs="Times New Roman"/>
          <w:noProof/>
          <w:szCs w:val="24"/>
          <w:lang w:val="en-US"/>
        </w:rPr>
      </w:pPr>
      <w:r>
        <w:rPr>
          <w:rFonts w:cs="Times New Roman"/>
          <w:noProof/>
          <w:szCs w:val="24"/>
        </w:rPr>
        <w:t xml:space="preserve">It is to be noted that </w:t>
      </w:r>
      <w:r>
        <w:rPr>
          <w:rFonts w:cs="Times New Roman"/>
          <w:noProof/>
          <w:szCs w:val="24"/>
          <w:lang w:val="en-US"/>
        </w:rPr>
        <w:t>manufacturers of light- and heavy-duty vehicles have a similar attitude and are generally reluctant to the setting of overly ambitious emission performance standards. Nevertheless CO</w:t>
      </w:r>
      <w:r>
        <w:rPr>
          <w:rFonts w:cs="Times New Roman"/>
          <w:noProof/>
          <w:szCs w:val="24"/>
          <w:vertAlign w:val="subscript"/>
          <w:lang w:val="en-US"/>
        </w:rPr>
        <w:t>2</w:t>
      </w:r>
      <w:r>
        <w:rPr>
          <w:rFonts w:cs="Times New Roman"/>
          <w:noProof/>
          <w:szCs w:val="24"/>
          <w:lang w:val="en-US"/>
        </w:rPr>
        <w:t xml:space="preserve"> emission standards for cars and vans have been introduced worldwide and the effect of these standards on the environment and for final consumers have been positive. </w:t>
      </w:r>
    </w:p>
    <w:p w:rsidR="003E180D" w:rsidRDefault="003E180D" w:rsidP="003E180D">
      <w:pPr>
        <w:spacing w:after="120" w:line="240" w:lineRule="auto"/>
        <w:jc w:val="both"/>
        <w:rPr>
          <w:rFonts w:cs="Times New Roman"/>
          <w:noProof/>
          <w:szCs w:val="24"/>
          <w:lang w:val="en-US"/>
        </w:rPr>
      </w:pPr>
      <w:r>
        <w:rPr>
          <w:rFonts w:cs="Times New Roman"/>
          <w:noProof/>
          <w:szCs w:val="24"/>
          <w:lang w:val="en-US"/>
        </w:rPr>
        <w:t xml:space="preserve">In view of these positive developments in the light-duty sector, </w:t>
      </w:r>
      <w:r>
        <w:rPr>
          <w:rFonts w:cs="Times New Roman"/>
          <w:noProof/>
          <w:szCs w:val="24"/>
        </w:rPr>
        <w:t xml:space="preserve">significant markets such as the US, Canada, China, Japan, India and Mexico have in recent years implemented fuel consumption and/or emission standards for HDVs. </w:t>
      </w:r>
    </w:p>
    <w:p w:rsidR="003E180D" w:rsidRDefault="003E180D" w:rsidP="003E180D">
      <w:pPr>
        <w:spacing w:after="120" w:line="240" w:lineRule="auto"/>
        <w:jc w:val="both"/>
        <w:rPr>
          <w:rFonts w:cs="Times New Roman"/>
          <w:noProof/>
          <w:szCs w:val="24"/>
        </w:rPr>
      </w:pPr>
      <w:r>
        <w:rPr>
          <w:rFonts w:cs="Times New Roman"/>
          <w:b/>
          <w:noProof/>
          <w:szCs w:val="24"/>
        </w:rPr>
        <w:t>The least preferred option (except for “no action”) across all stakeholder groups was a voluntary agreement with industry,</w:t>
      </w:r>
      <w:r>
        <w:rPr>
          <w:rFonts w:cs="Times New Roman"/>
          <w:noProof/>
          <w:szCs w:val="24"/>
        </w:rPr>
        <w:t xml:space="preserve"> followed by Member State actions to influence vehicle choice and use in other ways such as labelling schemes based on VECTO or best practice dissemination.</w:t>
      </w:r>
    </w:p>
    <w:p w:rsidR="003E180D" w:rsidRDefault="003E180D" w:rsidP="003E180D">
      <w:pPr>
        <w:spacing w:after="120" w:line="240" w:lineRule="auto"/>
        <w:jc w:val="both"/>
        <w:rPr>
          <w:rFonts w:cs="Times New Roman"/>
          <w:i/>
          <w:noProof/>
          <w:szCs w:val="24"/>
        </w:rPr>
      </w:pPr>
      <w:r>
        <w:rPr>
          <w:rFonts w:cs="Times New Roman"/>
          <w:i/>
          <w:noProof/>
          <w:szCs w:val="24"/>
        </w:rPr>
        <w:t>Options to consider for regulating CO</w:t>
      </w:r>
      <w:r>
        <w:rPr>
          <w:rFonts w:cs="Times New Roman"/>
          <w:i/>
          <w:noProof/>
          <w:szCs w:val="24"/>
          <w:vertAlign w:val="subscript"/>
        </w:rPr>
        <w:t>2</w:t>
      </w:r>
      <w:r>
        <w:rPr>
          <w:rFonts w:cs="Times New Roman"/>
          <w:i/>
          <w:noProof/>
          <w:szCs w:val="24"/>
        </w:rPr>
        <w:t xml:space="preserve"> emissions of HDV</w:t>
      </w:r>
    </w:p>
    <w:p w:rsidR="003E180D" w:rsidRDefault="003E180D" w:rsidP="003E180D">
      <w:pPr>
        <w:spacing w:after="120" w:line="240" w:lineRule="auto"/>
        <w:jc w:val="both"/>
        <w:rPr>
          <w:rFonts w:cs="Times New Roman"/>
          <w:noProof/>
          <w:szCs w:val="24"/>
          <w:u w:val="single"/>
        </w:rPr>
      </w:pPr>
      <w:r>
        <w:rPr>
          <w:rFonts w:cs="Times New Roman"/>
          <w:noProof/>
          <w:szCs w:val="24"/>
          <w:u w:val="single"/>
        </w:rPr>
        <w:t>Basic regulatory approach</w:t>
      </w:r>
    </w:p>
    <w:p w:rsidR="003E180D" w:rsidRDefault="003E180D" w:rsidP="003E180D">
      <w:pPr>
        <w:spacing w:after="120" w:line="240" w:lineRule="auto"/>
        <w:jc w:val="both"/>
        <w:rPr>
          <w:rFonts w:cs="Times New Roman"/>
          <w:noProof/>
          <w:szCs w:val="24"/>
        </w:rPr>
      </w:pPr>
      <w:r>
        <w:rPr>
          <w:rFonts w:cs="Times New Roman"/>
          <w:noProof/>
          <w:szCs w:val="24"/>
        </w:rPr>
        <w:t xml:space="preserve">Across all stakeholder groups there was a </w:t>
      </w:r>
      <w:r>
        <w:rPr>
          <w:rFonts w:cs="Times New Roman"/>
          <w:b/>
          <w:noProof/>
          <w:szCs w:val="24"/>
        </w:rPr>
        <w:t>clear preference for CO</w:t>
      </w:r>
      <w:r>
        <w:rPr>
          <w:rFonts w:cs="Times New Roman"/>
          <w:b/>
          <w:noProof/>
          <w:szCs w:val="24"/>
          <w:vertAlign w:val="subscript"/>
        </w:rPr>
        <w:t>2</w:t>
      </w:r>
      <w:r>
        <w:rPr>
          <w:rFonts w:cs="Times New Roman"/>
          <w:b/>
          <w:noProof/>
          <w:szCs w:val="24"/>
        </w:rPr>
        <w:t xml:space="preserve"> emission standards for the whole vehicle based on VECTO simulations</w:t>
      </w:r>
      <w:r>
        <w:rPr>
          <w:rFonts w:cs="Times New Roman"/>
          <w:noProof/>
          <w:szCs w:val="24"/>
        </w:rPr>
        <w:t xml:space="preserve"> (1</w:t>
      </w:r>
      <w:r>
        <w:rPr>
          <w:rFonts w:cs="Times New Roman"/>
          <w:noProof/>
          <w:szCs w:val="24"/>
          <w:vertAlign w:val="superscript"/>
        </w:rPr>
        <w:t>st</w:t>
      </w:r>
      <w:r>
        <w:rPr>
          <w:rFonts w:cs="Times New Roman"/>
          <w:noProof/>
          <w:szCs w:val="24"/>
        </w:rPr>
        <w:t xml:space="preserve"> preference in 49% of all replies; 2</w:t>
      </w:r>
      <w:r>
        <w:rPr>
          <w:rFonts w:cs="Times New Roman"/>
          <w:noProof/>
          <w:szCs w:val="24"/>
          <w:vertAlign w:val="superscript"/>
        </w:rPr>
        <w:t>nd</w:t>
      </w:r>
      <w:r>
        <w:rPr>
          <w:rFonts w:cs="Times New Roman"/>
          <w:noProof/>
          <w:szCs w:val="24"/>
        </w:rPr>
        <w:t xml:space="preserve"> preference in 34% of all replies) except for a </w:t>
      </w:r>
      <w:r>
        <w:rPr>
          <w:rFonts w:cs="Times New Roman"/>
          <w:b/>
          <w:noProof/>
          <w:szCs w:val="24"/>
        </w:rPr>
        <w:t>civil society organisation which preferred separate CO</w:t>
      </w:r>
      <w:r>
        <w:rPr>
          <w:rFonts w:cs="Times New Roman"/>
          <w:b/>
          <w:noProof/>
          <w:szCs w:val="24"/>
          <w:vertAlign w:val="subscript"/>
        </w:rPr>
        <w:t>2</w:t>
      </w:r>
      <w:r>
        <w:rPr>
          <w:rFonts w:cs="Times New Roman"/>
          <w:b/>
          <w:noProof/>
          <w:szCs w:val="24"/>
        </w:rPr>
        <w:t xml:space="preserve"> emission standards for engines and complete vehicles</w:t>
      </w:r>
      <w:r>
        <w:rPr>
          <w:rFonts w:cs="Times New Roman"/>
          <w:noProof/>
          <w:szCs w:val="24"/>
        </w:rPr>
        <w:t>. Stakeholders preferring a whole-vehicle approach underlined the importance of addressing the problem holistically in order to exploit the most cost-effective CO</w:t>
      </w:r>
      <w:r>
        <w:rPr>
          <w:rFonts w:cs="Times New Roman"/>
          <w:noProof/>
          <w:szCs w:val="24"/>
          <w:vertAlign w:val="subscript"/>
        </w:rPr>
        <w:t>2</w:t>
      </w:r>
      <w:r>
        <w:rPr>
          <w:rFonts w:cs="Times New Roman"/>
          <w:noProof/>
          <w:szCs w:val="24"/>
        </w:rPr>
        <w:t xml:space="preserve"> reduction potential of a vehicle. Civil society organisation referred to the limited regulatory burden for engine standards and the high emission reduction potential. </w:t>
      </w:r>
      <w:r>
        <w:rPr>
          <w:rFonts w:cs="Times New Roman"/>
          <w:b/>
          <w:noProof/>
          <w:szCs w:val="24"/>
        </w:rPr>
        <w:t>CO</w:t>
      </w:r>
      <w:r>
        <w:rPr>
          <w:rFonts w:cs="Times New Roman"/>
          <w:b/>
          <w:noProof/>
          <w:szCs w:val="24"/>
          <w:vertAlign w:val="subscript"/>
        </w:rPr>
        <w:t>2</w:t>
      </w:r>
      <w:r>
        <w:rPr>
          <w:rFonts w:cs="Times New Roman"/>
          <w:b/>
          <w:noProof/>
          <w:szCs w:val="24"/>
        </w:rPr>
        <w:t xml:space="preserve"> emission standards defined for the engines only was the least preferred option. </w:t>
      </w:r>
      <w:r>
        <w:rPr>
          <w:rFonts w:cs="Times New Roman"/>
          <w:noProof/>
          <w:szCs w:val="24"/>
        </w:rPr>
        <w:t>In support of this option it was argued that it would allow also covering vocational vehicles which would not be possible under whole-vehicle standards due to the complexity of these vehicles. As regards other possible options for the basic regulatory approach, stakeholders from the gas sector argued for a Well-To-Wheel approach and several civil society organisations were in favour of a zero-emission vehicle mandate or benchmark.</w:t>
      </w:r>
    </w:p>
    <w:p w:rsidR="003E180D" w:rsidRDefault="003E180D" w:rsidP="003E180D">
      <w:pPr>
        <w:spacing w:after="120" w:line="240" w:lineRule="auto"/>
        <w:jc w:val="both"/>
        <w:rPr>
          <w:rFonts w:cs="Times New Roman"/>
          <w:noProof/>
          <w:szCs w:val="24"/>
          <w:u w:val="single"/>
        </w:rPr>
      </w:pPr>
      <w:r>
        <w:rPr>
          <w:rFonts w:cs="Times New Roman"/>
          <w:noProof/>
          <w:szCs w:val="24"/>
          <w:u w:val="single"/>
        </w:rPr>
        <w:t>Types of targets</w:t>
      </w:r>
    </w:p>
    <w:p w:rsidR="003E180D" w:rsidRDefault="003E180D" w:rsidP="003E180D">
      <w:pPr>
        <w:spacing w:after="120" w:line="240" w:lineRule="auto"/>
        <w:jc w:val="both"/>
        <w:rPr>
          <w:rFonts w:cs="Times New Roman"/>
          <w:noProof/>
          <w:szCs w:val="24"/>
        </w:rPr>
      </w:pPr>
      <w:r>
        <w:rPr>
          <w:rFonts w:cs="Times New Roman"/>
          <w:b/>
          <w:noProof/>
          <w:szCs w:val="24"/>
        </w:rPr>
        <w:t>Average targets per vehicle group on the basis of the vehicles placed on the market by each manufacturer</w:t>
      </w:r>
      <w:r>
        <w:rPr>
          <w:rFonts w:cs="Times New Roman"/>
          <w:noProof/>
          <w:szCs w:val="24"/>
        </w:rPr>
        <w:t>, i.e. a similar approach as for cars and light commercial vehicles, was the first preference by the majority of stakeholders across all stakeholder groups (66% of all replies). Targets at the level of each individual vehicle where CO</w:t>
      </w:r>
      <w:r>
        <w:rPr>
          <w:rFonts w:cs="Times New Roman"/>
          <w:noProof/>
          <w:szCs w:val="24"/>
          <w:vertAlign w:val="subscript"/>
        </w:rPr>
        <w:t>2</w:t>
      </w:r>
      <w:r>
        <w:rPr>
          <w:rFonts w:cs="Times New Roman"/>
          <w:noProof/>
          <w:szCs w:val="24"/>
        </w:rPr>
        <w:t xml:space="preserve"> emissions would be limited at the level of individual vehicles/engines was the second preferred option. Several stakeholders justified their preference by considering vehicle specific targets as too complex and highlighting the advantage of more flexibility for manufacturers when targets are set for vehicle groups. A few stakeholders argued that real freight efficiency should be taken into account when setting targets.</w:t>
      </w:r>
    </w:p>
    <w:p w:rsidR="003E180D" w:rsidRDefault="003E180D" w:rsidP="003E180D">
      <w:pPr>
        <w:spacing w:after="120" w:line="240" w:lineRule="auto"/>
        <w:jc w:val="both"/>
        <w:rPr>
          <w:rFonts w:cs="Times New Roman"/>
          <w:noProof/>
          <w:szCs w:val="24"/>
          <w:u w:val="single"/>
        </w:rPr>
      </w:pPr>
      <w:r>
        <w:rPr>
          <w:rFonts w:cs="Times New Roman"/>
          <w:noProof/>
          <w:szCs w:val="24"/>
          <w:u w:val="single"/>
        </w:rPr>
        <w:t>Timing of the targets</w:t>
      </w:r>
    </w:p>
    <w:p w:rsidR="003E180D" w:rsidRDefault="003E180D" w:rsidP="003E180D">
      <w:pPr>
        <w:spacing w:after="120" w:line="240" w:lineRule="auto"/>
        <w:jc w:val="both"/>
        <w:rPr>
          <w:rFonts w:cs="Times New Roman"/>
          <w:noProof/>
          <w:szCs w:val="24"/>
        </w:rPr>
      </w:pPr>
      <w:r>
        <w:rPr>
          <w:rFonts w:cs="Times New Roman"/>
          <w:b/>
          <w:noProof/>
          <w:szCs w:val="24"/>
        </w:rPr>
        <w:t>A strong majority across all stakeholder groups preferred fixed dates for applicable targets</w:t>
      </w:r>
      <w:r>
        <w:rPr>
          <w:rFonts w:cs="Times New Roman"/>
          <w:noProof/>
          <w:szCs w:val="24"/>
        </w:rPr>
        <w:t xml:space="preserve"> (1</w:t>
      </w:r>
      <w:r>
        <w:rPr>
          <w:rFonts w:cs="Times New Roman"/>
          <w:noProof/>
          <w:szCs w:val="24"/>
          <w:vertAlign w:val="superscript"/>
        </w:rPr>
        <w:t>st</w:t>
      </w:r>
      <w:r>
        <w:rPr>
          <w:rFonts w:cs="Times New Roman"/>
          <w:noProof/>
          <w:szCs w:val="24"/>
        </w:rPr>
        <w:t xml:space="preserve"> preference: 66% of all replies) instead of annual reduction targets (1</w:t>
      </w:r>
      <w:r>
        <w:rPr>
          <w:rFonts w:cs="Times New Roman"/>
          <w:noProof/>
          <w:szCs w:val="24"/>
          <w:vertAlign w:val="superscript"/>
        </w:rPr>
        <w:t>st</w:t>
      </w:r>
      <w:r>
        <w:rPr>
          <w:rFonts w:cs="Times New Roman"/>
          <w:noProof/>
          <w:szCs w:val="24"/>
        </w:rPr>
        <w:t xml:space="preserve"> preference: 14% of all replies). Stakeholders justified their preference referring to the need for planning certainty, the necessary lead time for industry to develop the technology taking account of the long product cycle for HDVs.</w:t>
      </w:r>
    </w:p>
    <w:p w:rsidR="003E180D" w:rsidRDefault="003E180D" w:rsidP="003E180D">
      <w:pPr>
        <w:spacing w:after="120" w:line="240" w:lineRule="auto"/>
        <w:jc w:val="both"/>
        <w:rPr>
          <w:rFonts w:cs="Times New Roman"/>
          <w:noProof/>
          <w:szCs w:val="24"/>
          <w:u w:val="single"/>
        </w:rPr>
      </w:pPr>
      <w:r>
        <w:rPr>
          <w:rFonts w:cs="Times New Roman"/>
          <w:noProof/>
          <w:szCs w:val="24"/>
          <w:u w:val="single"/>
        </w:rPr>
        <w:t>Setting quantitative targets</w:t>
      </w:r>
    </w:p>
    <w:p w:rsidR="003E180D" w:rsidRDefault="003E180D" w:rsidP="003E180D">
      <w:pPr>
        <w:spacing w:after="120" w:line="240" w:lineRule="auto"/>
        <w:jc w:val="both"/>
        <w:rPr>
          <w:rFonts w:cs="Times New Roman"/>
          <w:noProof/>
          <w:szCs w:val="24"/>
        </w:rPr>
      </w:pPr>
      <w:r>
        <w:rPr>
          <w:rFonts w:cs="Times New Roman"/>
          <w:b/>
          <w:noProof/>
          <w:szCs w:val="24"/>
        </w:rPr>
        <w:t>The majority across all stakeholder groups was of the opinion that targets should be defined ex-ante by the legislation by relative technology improvements over some baseline</w:t>
      </w:r>
      <w:r>
        <w:rPr>
          <w:rFonts w:cs="Times New Roman"/>
          <w:noProof/>
          <w:szCs w:val="24"/>
        </w:rPr>
        <w:t xml:space="preserve"> as is done for cars and vans (1</w:t>
      </w:r>
      <w:r>
        <w:rPr>
          <w:rFonts w:cs="Times New Roman"/>
          <w:noProof/>
          <w:szCs w:val="24"/>
          <w:vertAlign w:val="superscript"/>
        </w:rPr>
        <w:t>st</w:t>
      </w:r>
      <w:r>
        <w:rPr>
          <w:rFonts w:cs="Times New Roman"/>
          <w:noProof/>
          <w:szCs w:val="24"/>
        </w:rPr>
        <w:t xml:space="preserve"> preference: 66% of all replies). Only very few stakeholders from all stakeholder groups except civil society organisations and logistics operators prefer target setting on the basis of the performance of a certain percentile of best performing vehicles in a certain year (“top runner” approach) with a minimum yearly target (1</w:t>
      </w:r>
      <w:r>
        <w:rPr>
          <w:rFonts w:cs="Times New Roman"/>
          <w:noProof/>
          <w:szCs w:val="24"/>
          <w:vertAlign w:val="superscript"/>
        </w:rPr>
        <w:t>st</w:t>
      </w:r>
      <w:r>
        <w:rPr>
          <w:rFonts w:cs="Times New Roman"/>
          <w:noProof/>
          <w:szCs w:val="24"/>
        </w:rPr>
        <w:t xml:space="preserve"> preference: 11%). Arguments put forward against the “top runner” approach were that it would not be in line with a technology neutral approach, that “top runner” vehicles would not be representative of the total market and that overall such an approach would be less ambitious.</w:t>
      </w:r>
    </w:p>
    <w:p w:rsidR="003E180D" w:rsidRDefault="003E180D" w:rsidP="003E180D">
      <w:pPr>
        <w:spacing w:after="120" w:line="240" w:lineRule="auto"/>
        <w:jc w:val="both"/>
        <w:rPr>
          <w:rFonts w:cs="Times New Roman"/>
          <w:noProof/>
          <w:szCs w:val="24"/>
          <w:u w:val="single"/>
        </w:rPr>
      </w:pPr>
      <w:r>
        <w:rPr>
          <w:rFonts w:cs="Times New Roman"/>
          <w:noProof/>
          <w:szCs w:val="24"/>
          <w:u w:val="single"/>
        </w:rPr>
        <w:t>Scope of the legislation</w:t>
      </w:r>
    </w:p>
    <w:p w:rsidR="003E180D" w:rsidRDefault="003E180D" w:rsidP="003E180D">
      <w:pPr>
        <w:spacing w:after="120" w:line="240" w:lineRule="auto"/>
        <w:jc w:val="both"/>
        <w:rPr>
          <w:rFonts w:cs="Times New Roman"/>
          <w:noProof/>
          <w:szCs w:val="24"/>
        </w:rPr>
      </w:pPr>
      <w:r>
        <w:rPr>
          <w:rFonts w:cs="Times New Roman"/>
          <w:noProof/>
          <w:szCs w:val="24"/>
        </w:rPr>
        <w:t xml:space="preserve">There was </w:t>
      </w:r>
      <w:r>
        <w:rPr>
          <w:rFonts w:cs="Times New Roman"/>
          <w:b/>
          <w:noProof/>
          <w:szCs w:val="24"/>
        </w:rPr>
        <w:t>no clear preference across stakeholder groups</w:t>
      </w:r>
      <w:r>
        <w:rPr>
          <w:rFonts w:cs="Times New Roman"/>
          <w:noProof/>
          <w:szCs w:val="24"/>
        </w:rPr>
        <w:t xml:space="preserve"> on the scope of the legislation. Overall the preferred option was that certain vocational vehicles are excluded from the first regulatory step (1</w:t>
      </w:r>
      <w:r>
        <w:rPr>
          <w:rFonts w:cs="Times New Roman"/>
          <w:noProof/>
          <w:szCs w:val="24"/>
          <w:vertAlign w:val="superscript"/>
        </w:rPr>
        <w:t>st</w:t>
      </w:r>
      <w:r>
        <w:rPr>
          <w:rFonts w:cs="Times New Roman"/>
          <w:noProof/>
          <w:szCs w:val="24"/>
        </w:rPr>
        <w:t xml:space="preserve"> preference: 42% of all replies; 2</w:t>
      </w:r>
      <w:r>
        <w:rPr>
          <w:rFonts w:cs="Times New Roman"/>
          <w:noProof/>
          <w:szCs w:val="24"/>
          <w:vertAlign w:val="superscript"/>
        </w:rPr>
        <w:t>nd</w:t>
      </w:r>
      <w:r>
        <w:rPr>
          <w:rFonts w:cs="Times New Roman"/>
          <w:noProof/>
          <w:szCs w:val="24"/>
        </w:rPr>
        <w:t xml:space="preserve"> preference: 15%). However, considering both the 1</w:t>
      </w:r>
      <w:r>
        <w:rPr>
          <w:rFonts w:cs="Times New Roman"/>
          <w:noProof/>
          <w:szCs w:val="24"/>
          <w:vertAlign w:val="superscript"/>
        </w:rPr>
        <w:t>st</w:t>
      </w:r>
      <w:r>
        <w:rPr>
          <w:rFonts w:cs="Times New Roman"/>
          <w:noProof/>
          <w:szCs w:val="24"/>
        </w:rPr>
        <w:t xml:space="preserve"> and 2</w:t>
      </w:r>
      <w:r>
        <w:rPr>
          <w:rFonts w:cs="Times New Roman"/>
          <w:noProof/>
          <w:szCs w:val="24"/>
          <w:vertAlign w:val="superscript"/>
        </w:rPr>
        <w:t>nd</w:t>
      </w:r>
      <w:r>
        <w:rPr>
          <w:rFonts w:cs="Times New Roman"/>
          <w:noProof/>
          <w:szCs w:val="24"/>
        </w:rPr>
        <w:t xml:space="preserve"> preference, separate targets for vocational vehicles within the 4 main vehicle groups, on the basis of VECTO urban, municipal and construction mission profiles was the preferred option (1</w:t>
      </w:r>
      <w:r>
        <w:rPr>
          <w:rFonts w:cs="Times New Roman"/>
          <w:noProof/>
          <w:szCs w:val="24"/>
          <w:vertAlign w:val="superscript"/>
        </w:rPr>
        <w:t>st</w:t>
      </w:r>
      <w:r>
        <w:rPr>
          <w:rFonts w:cs="Times New Roman"/>
          <w:noProof/>
          <w:szCs w:val="24"/>
        </w:rPr>
        <w:t xml:space="preserve"> preference: 26% of all replies; 2</w:t>
      </w:r>
      <w:r>
        <w:rPr>
          <w:rFonts w:cs="Times New Roman"/>
          <w:noProof/>
          <w:szCs w:val="24"/>
          <w:vertAlign w:val="superscript"/>
        </w:rPr>
        <w:t>nd</w:t>
      </w:r>
      <w:r>
        <w:rPr>
          <w:rFonts w:cs="Times New Roman"/>
          <w:noProof/>
          <w:szCs w:val="24"/>
        </w:rPr>
        <w:t xml:space="preserve"> preference: 53%). While civil society organisations prefer the latter approach pointing to the risk of loopholes when certain vehicles are excluded from the scope, vehicle manufacturers and component suppliers prefer the former approach underlining the specificity of vocational vehicles.</w:t>
      </w:r>
    </w:p>
    <w:p w:rsidR="003E180D" w:rsidRDefault="003E180D" w:rsidP="003E180D">
      <w:pPr>
        <w:spacing w:after="120" w:line="240" w:lineRule="auto"/>
        <w:jc w:val="both"/>
        <w:rPr>
          <w:rFonts w:cs="Times New Roman"/>
          <w:noProof/>
          <w:szCs w:val="24"/>
          <w:u w:val="single"/>
        </w:rPr>
      </w:pPr>
      <w:r>
        <w:rPr>
          <w:rFonts w:cs="Times New Roman"/>
          <w:noProof/>
          <w:szCs w:val="24"/>
          <w:u w:val="single"/>
        </w:rPr>
        <w:t>Metric for expressing the target</w:t>
      </w:r>
    </w:p>
    <w:p w:rsidR="003E180D" w:rsidRDefault="003E180D" w:rsidP="003E180D">
      <w:pPr>
        <w:spacing w:after="120" w:line="240" w:lineRule="auto"/>
        <w:jc w:val="both"/>
        <w:rPr>
          <w:rFonts w:cs="Times New Roman"/>
          <w:noProof/>
          <w:szCs w:val="24"/>
        </w:rPr>
      </w:pPr>
      <w:r>
        <w:rPr>
          <w:rFonts w:cs="Times New Roman"/>
          <w:noProof/>
          <w:szCs w:val="24"/>
        </w:rPr>
        <w:t xml:space="preserve">Overall and in particular among stakeholders representing vehicle manufacturers, automotive component suppliers as well as representatives of the gas sector, </w:t>
      </w:r>
      <w:r>
        <w:rPr>
          <w:rFonts w:cs="Times New Roman"/>
          <w:b/>
          <w:noProof/>
          <w:szCs w:val="24"/>
        </w:rPr>
        <w:t>the preferred option for expressing the targets was the metric in terms of g CO</w:t>
      </w:r>
      <w:r>
        <w:rPr>
          <w:rFonts w:cs="Times New Roman"/>
          <w:b/>
          <w:noProof/>
          <w:szCs w:val="24"/>
          <w:vertAlign w:val="subscript"/>
        </w:rPr>
        <w:t>2</w:t>
      </w:r>
      <w:r>
        <w:rPr>
          <w:rFonts w:cs="Times New Roman"/>
          <w:b/>
          <w:noProof/>
          <w:szCs w:val="24"/>
        </w:rPr>
        <w:t>/tkm</w:t>
      </w:r>
      <w:r>
        <w:rPr>
          <w:rFonts w:cs="Times New Roman"/>
          <w:noProof/>
          <w:szCs w:val="24"/>
        </w:rPr>
        <w:t xml:space="preserve">. The main argument put forward in support of this approach was that it would provide for a better incentive for efficiency improvements since it includes a load related element in the metric reflecting the utilisation of the vehicle. By contrast, </w:t>
      </w:r>
      <w:r>
        <w:rPr>
          <w:rFonts w:cs="Times New Roman"/>
          <w:b/>
          <w:noProof/>
          <w:szCs w:val="24"/>
        </w:rPr>
        <w:t>most civil society organisations preferred expressing the targets in g CO</w:t>
      </w:r>
      <w:r>
        <w:rPr>
          <w:rFonts w:cs="Times New Roman"/>
          <w:b/>
          <w:noProof/>
          <w:szCs w:val="24"/>
          <w:vertAlign w:val="subscript"/>
        </w:rPr>
        <w:t>2</w:t>
      </w:r>
      <w:r>
        <w:rPr>
          <w:rFonts w:cs="Times New Roman"/>
          <w:b/>
          <w:noProof/>
          <w:szCs w:val="24"/>
        </w:rPr>
        <w:t>/km</w:t>
      </w:r>
      <w:r>
        <w:rPr>
          <w:rFonts w:cs="Times New Roman"/>
          <w:noProof/>
          <w:szCs w:val="24"/>
        </w:rPr>
        <w:t>. This option was considered more appropriate since manufacturers have no influence on the usage of the vehicles and the weight of the goods transported. Some suggested that default payloads should be part of the new regulatory framework. Stakeholders from the logistics sector and public authorities had mixed views on this. Other options put forward by stakeholders arguing in favour of engine standards was the metric g CO</w:t>
      </w:r>
      <w:r>
        <w:rPr>
          <w:rFonts w:cs="Times New Roman"/>
          <w:noProof/>
          <w:szCs w:val="24"/>
          <w:vertAlign w:val="subscript"/>
        </w:rPr>
        <w:t>2</w:t>
      </w:r>
      <w:r>
        <w:rPr>
          <w:rFonts w:cs="Times New Roman"/>
          <w:noProof/>
          <w:szCs w:val="24"/>
        </w:rPr>
        <w:t>/kWh. Some stakeholders referred to g CO</w:t>
      </w:r>
      <w:r>
        <w:rPr>
          <w:rFonts w:cs="Times New Roman"/>
          <w:noProof/>
          <w:szCs w:val="24"/>
          <w:vertAlign w:val="subscript"/>
        </w:rPr>
        <w:t>2</w:t>
      </w:r>
      <w:r>
        <w:rPr>
          <w:rFonts w:cs="Times New Roman"/>
          <w:noProof/>
          <w:szCs w:val="24"/>
        </w:rPr>
        <w:t>/passenger km for busses.</w:t>
      </w:r>
    </w:p>
    <w:p w:rsidR="003E180D" w:rsidRDefault="003E180D" w:rsidP="003E180D">
      <w:pPr>
        <w:spacing w:after="120" w:line="240" w:lineRule="auto"/>
        <w:jc w:val="both"/>
        <w:rPr>
          <w:rFonts w:cs="Times New Roman"/>
          <w:noProof/>
          <w:szCs w:val="24"/>
          <w:u w:val="single"/>
        </w:rPr>
      </w:pPr>
      <w:r>
        <w:rPr>
          <w:rFonts w:cs="Times New Roman"/>
          <w:noProof/>
          <w:szCs w:val="24"/>
          <w:u w:val="single"/>
        </w:rPr>
        <w:t>Mission profiles</w:t>
      </w:r>
    </w:p>
    <w:p w:rsidR="003E180D" w:rsidRDefault="003E180D" w:rsidP="003E180D">
      <w:pPr>
        <w:spacing w:after="120" w:line="240" w:lineRule="auto"/>
        <w:jc w:val="both"/>
        <w:rPr>
          <w:rFonts w:cs="Times New Roman"/>
          <w:noProof/>
          <w:szCs w:val="24"/>
        </w:rPr>
      </w:pPr>
      <w:r>
        <w:rPr>
          <w:rFonts w:cs="Times New Roman"/>
          <w:noProof/>
          <w:szCs w:val="24"/>
        </w:rPr>
        <w:t xml:space="preserve">Respondents did not show a strong preference on how the different mission profiles used in the VECTO simulation should be used for target setting. </w:t>
      </w:r>
      <w:r>
        <w:rPr>
          <w:rFonts w:cs="Times New Roman"/>
          <w:b/>
          <w:noProof/>
          <w:szCs w:val="24"/>
        </w:rPr>
        <w:t>Across stakeholder groups there was a slight majority in favour of comparing the targets with a weighted average of the mission profiles</w:t>
      </w:r>
      <w:r>
        <w:rPr>
          <w:rFonts w:cs="Times New Roman"/>
          <w:noProof/>
          <w:szCs w:val="24"/>
        </w:rPr>
        <w:t xml:space="preserve"> (35 positive replies, 22 negative replies). Some stakeholders in favour of this option argued that this approach would allow for taking account of different driving patterns and payloads. This option was followed by the option to define targets for each mission profile separately (32 positive replies, 31 negative replies) with some respondents arguing that this would contribute to transparency. Applying all four mission profiles to all HDVs was the least preferred option (27 positive replies, 36 negative replies).</w:t>
      </w:r>
    </w:p>
    <w:p w:rsidR="003E180D" w:rsidRDefault="003E180D" w:rsidP="003E180D">
      <w:pPr>
        <w:spacing w:after="120" w:line="240" w:lineRule="auto"/>
        <w:jc w:val="both"/>
        <w:rPr>
          <w:rFonts w:cs="Times New Roman"/>
          <w:noProof/>
          <w:szCs w:val="24"/>
          <w:u w:val="single"/>
        </w:rPr>
      </w:pPr>
      <w:r>
        <w:rPr>
          <w:rFonts w:cs="Times New Roman"/>
          <w:noProof/>
          <w:szCs w:val="24"/>
          <w:u w:val="single"/>
        </w:rPr>
        <w:t>Utility parameter</w:t>
      </w:r>
    </w:p>
    <w:p w:rsidR="003E180D" w:rsidRDefault="003E180D" w:rsidP="003E180D">
      <w:pPr>
        <w:spacing w:after="120" w:line="240" w:lineRule="auto"/>
        <w:jc w:val="both"/>
        <w:rPr>
          <w:rFonts w:cs="Times New Roman"/>
          <w:noProof/>
          <w:szCs w:val="24"/>
        </w:rPr>
      </w:pPr>
      <w:r>
        <w:rPr>
          <w:rFonts w:cs="Times New Roman"/>
          <w:b/>
          <w:noProof/>
          <w:szCs w:val="24"/>
        </w:rPr>
        <w:t>Vehicle manufacturers and automotive component suppliers were mostly in favour of using a utility parameter for defining future targets.</w:t>
      </w:r>
      <w:r>
        <w:rPr>
          <w:rFonts w:cs="Times New Roman"/>
          <w:noProof/>
          <w:szCs w:val="24"/>
        </w:rPr>
        <w:t xml:space="preserve"> More specifically, some of the stakeholders suggested to use  cabin size/length and engine power as utility parameter. By contrast, </w:t>
      </w:r>
      <w:r>
        <w:rPr>
          <w:rFonts w:cs="Times New Roman"/>
          <w:b/>
          <w:noProof/>
          <w:szCs w:val="24"/>
        </w:rPr>
        <w:t>civil society organisations were against the use of a utility parameter</w:t>
      </w:r>
      <w:r>
        <w:rPr>
          <w:rFonts w:cs="Times New Roman"/>
          <w:noProof/>
          <w:szCs w:val="24"/>
        </w:rPr>
        <w:t xml:space="preserve">. Stakeholders representing logistics operators and the gas sector were neutral on this issue.  </w:t>
      </w:r>
    </w:p>
    <w:p w:rsidR="003E180D" w:rsidRDefault="003E180D" w:rsidP="003E180D">
      <w:pPr>
        <w:spacing w:after="120" w:line="240" w:lineRule="auto"/>
        <w:jc w:val="both"/>
        <w:rPr>
          <w:rFonts w:cs="Times New Roman"/>
          <w:noProof/>
          <w:szCs w:val="24"/>
          <w:u w:val="single"/>
        </w:rPr>
      </w:pPr>
      <w:r>
        <w:rPr>
          <w:rFonts w:cs="Times New Roman"/>
          <w:noProof/>
          <w:szCs w:val="24"/>
          <w:u w:val="single"/>
        </w:rPr>
        <w:t>Cost-effective implementation</w:t>
      </w:r>
    </w:p>
    <w:p w:rsidR="003E180D" w:rsidRDefault="003E180D" w:rsidP="003E180D">
      <w:pPr>
        <w:spacing w:after="120" w:line="240" w:lineRule="auto"/>
        <w:jc w:val="both"/>
        <w:rPr>
          <w:rFonts w:cs="Times New Roman"/>
          <w:noProof/>
          <w:szCs w:val="24"/>
        </w:rPr>
      </w:pPr>
      <w:r>
        <w:rPr>
          <w:rFonts w:cs="Times New Roman"/>
          <w:b/>
          <w:noProof/>
          <w:szCs w:val="24"/>
        </w:rPr>
        <w:t>The majority of stakeholders across all stakeholder groups was in favour of all proposed options</w:t>
      </w:r>
      <w:r>
        <w:rPr>
          <w:rFonts w:cs="Times New Roman"/>
          <w:noProof/>
          <w:szCs w:val="24"/>
        </w:rPr>
        <w:t xml:space="preserve"> (pooling, banking and borrowing, trading, transfer of credits between vehicle groups) to support the cost-effective implementation of the targets. Some argued that a credit system is necessary since not all technologies can be fitted in all vehicle categories and such system would therefore allow for cost-effective target compliance. However, </w:t>
      </w:r>
      <w:r>
        <w:rPr>
          <w:rFonts w:cs="Times New Roman"/>
          <w:b/>
          <w:noProof/>
          <w:szCs w:val="24"/>
        </w:rPr>
        <w:t>civil society organisations supported trading only</w:t>
      </w:r>
      <w:r>
        <w:rPr>
          <w:rFonts w:cs="Times New Roman"/>
          <w:noProof/>
          <w:szCs w:val="24"/>
        </w:rPr>
        <w:t xml:space="preserve"> and argued that the other options may undermine the legislation if, for example, manufacturers would invest in efficiency improvements in one vehicle category only.</w:t>
      </w:r>
    </w:p>
    <w:p w:rsidR="003E180D" w:rsidRDefault="003E180D" w:rsidP="003E180D">
      <w:pPr>
        <w:spacing w:after="120" w:line="240" w:lineRule="auto"/>
        <w:jc w:val="both"/>
        <w:rPr>
          <w:rFonts w:cs="Times New Roman"/>
          <w:noProof/>
          <w:szCs w:val="24"/>
          <w:u w:val="single"/>
        </w:rPr>
      </w:pPr>
      <w:r>
        <w:rPr>
          <w:rFonts w:cs="Times New Roman"/>
          <w:noProof/>
          <w:szCs w:val="24"/>
          <w:u w:val="single"/>
        </w:rPr>
        <w:t>Governance - HDV CO</w:t>
      </w:r>
      <w:r>
        <w:rPr>
          <w:rFonts w:cs="Times New Roman"/>
          <w:noProof/>
          <w:szCs w:val="24"/>
          <w:u w:val="single"/>
          <w:vertAlign w:val="subscript"/>
        </w:rPr>
        <w:t>2</w:t>
      </w:r>
      <w:r>
        <w:rPr>
          <w:rFonts w:cs="Times New Roman"/>
          <w:noProof/>
          <w:szCs w:val="24"/>
          <w:u w:val="single"/>
        </w:rPr>
        <w:t xml:space="preserve"> certification and real driving emissions</w:t>
      </w:r>
    </w:p>
    <w:p w:rsidR="003E180D" w:rsidRDefault="003E180D" w:rsidP="003E180D">
      <w:pPr>
        <w:spacing w:after="120" w:line="240" w:lineRule="auto"/>
        <w:jc w:val="both"/>
        <w:rPr>
          <w:noProof/>
        </w:rPr>
      </w:pPr>
      <w:r>
        <w:rPr>
          <w:rFonts w:cs="Times New Roman"/>
          <w:b/>
          <w:noProof/>
          <w:szCs w:val="24"/>
        </w:rPr>
        <w:t>A clear majority across all stakeholder groups was of the opinion that it would be important to develop processes assessing the certified CO</w:t>
      </w:r>
      <w:r>
        <w:rPr>
          <w:rFonts w:cs="Times New Roman"/>
          <w:b/>
          <w:noProof/>
          <w:szCs w:val="24"/>
          <w:vertAlign w:val="subscript"/>
        </w:rPr>
        <w:t>2</w:t>
      </w:r>
      <w:r>
        <w:rPr>
          <w:rFonts w:cs="Times New Roman"/>
          <w:b/>
          <w:noProof/>
          <w:szCs w:val="24"/>
        </w:rPr>
        <w:t xml:space="preserve"> emissions against real driving emissions</w:t>
      </w:r>
      <w:r>
        <w:rPr>
          <w:rFonts w:cs="Times New Roman"/>
          <w:noProof/>
          <w:szCs w:val="24"/>
        </w:rPr>
        <w:t xml:space="preserve"> (68% of all replies). Only some automotive component suppliers and vehicle manufacturers were either neutral or explicitly against. They emphasised the specific characteristics of lorries making real-driving tests difficult. However, most automotive component suppliers and vehicle manufacturers were against – or to a lesser extent neutral – the introduction of an ex-post feedback mechanism requiring compliance of the certified CO</w:t>
      </w:r>
      <w:r>
        <w:rPr>
          <w:rFonts w:cs="Times New Roman"/>
          <w:noProof/>
          <w:szCs w:val="24"/>
          <w:vertAlign w:val="subscript"/>
        </w:rPr>
        <w:t>2</w:t>
      </w:r>
      <w:r>
        <w:rPr>
          <w:rFonts w:cs="Times New Roman"/>
          <w:noProof/>
          <w:szCs w:val="24"/>
        </w:rPr>
        <w:t xml:space="preserve"> emissions with real-driving emissions. Such an ex-post feedback mechanism was supported by logistics operators, vehicle fleet operators, and civil society organisations.</w:t>
      </w:r>
    </w:p>
    <w:p w:rsidR="003E180D" w:rsidRDefault="003E180D" w:rsidP="003E180D">
      <w:pPr>
        <w:pStyle w:val="Heading2"/>
        <w:numPr>
          <w:ilvl w:val="1"/>
          <w:numId w:val="22"/>
        </w:numPr>
        <w:spacing w:before="240" w:after="240"/>
        <w:rPr>
          <w:noProof/>
        </w:rPr>
      </w:pPr>
      <w:bookmarkStart w:id="152" w:name="_Toc507493379"/>
      <w:bookmarkStart w:id="153" w:name="_Toc507496405"/>
      <w:bookmarkStart w:id="154" w:name="_Toc507512103"/>
      <w:bookmarkStart w:id="155" w:name="_Toc507517567"/>
      <w:bookmarkStart w:id="156" w:name="_Toc508124770"/>
      <w:bookmarkStart w:id="157" w:name="_Toc508126135"/>
      <w:bookmarkStart w:id="158" w:name="_Toc508127506"/>
      <w:bookmarkStart w:id="159" w:name="_Toc508127859"/>
      <w:bookmarkStart w:id="160" w:name="_Toc508129633"/>
      <w:bookmarkStart w:id="161" w:name="_Toc508181024"/>
      <w:bookmarkStart w:id="162" w:name="_Toc508186617"/>
      <w:bookmarkStart w:id="163" w:name="_Toc510708098"/>
      <w:bookmarkStart w:id="164" w:name="_Toc514328794"/>
      <w:r>
        <w:rPr>
          <w:noProof/>
        </w:rPr>
        <w:t>Use of the stakeholder input for the impact assessment</w:t>
      </w:r>
      <w:bookmarkEnd w:id="152"/>
      <w:bookmarkEnd w:id="153"/>
      <w:bookmarkEnd w:id="154"/>
      <w:bookmarkEnd w:id="155"/>
      <w:bookmarkEnd w:id="156"/>
      <w:bookmarkEnd w:id="157"/>
      <w:bookmarkEnd w:id="158"/>
      <w:bookmarkEnd w:id="159"/>
      <w:bookmarkEnd w:id="160"/>
      <w:bookmarkEnd w:id="161"/>
      <w:bookmarkEnd w:id="162"/>
      <w:bookmarkEnd w:id="163"/>
      <w:bookmarkEnd w:id="164"/>
      <w:r>
        <w:rPr>
          <w:noProof/>
        </w:rPr>
        <w:t xml:space="preserve"> </w:t>
      </w:r>
    </w:p>
    <w:p w:rsidR="003E180D" w:rsidRDefault="003E180D" w:rsidP="003E180D">
      <w:pPr>
        <w:spacing w:after="120" w:line="240" w:lineRule="auto"/>
        <w:jc w:val="both"/>
        <w:rPr>
          <w:noProof/>
          <w:szCs w:val="24"/>
        </w:rPr>
      </w:pPr>
      <w:r>
        <w:rPr>
          <w:rFonts w:cs="Times New Roman"/>
          <w:noProof/>
          <w:szCs w:val="24"/>
        </w:rPr>
        <w:t>Stakeholder input received during the stakeholder consultation was an important tool during the impact assessment. The results from the analysis of the stakeholder input have been used to develop and assess the policy options. Statements or positions brought forward by certain stakeholders have been clearly highlighted as such</w:t>
      </w:r>
      <w:bookmarkStart w:id="165" w:name="_Toc496688619"/>
      <w:r>
        <w:rPr>
          <w:noProof/>
          <w:szCs w:val="24"/>
        </w:rPr>
        <w:t>.</w:t>
      </w:r>
    </w:p>
    <w:p w:rsidR="003E180D" w:rsidRDefault="003E180D" w:rsidP="003E180D">
      <w:pPr>
        <w:spacing w:after="120" w:line="240" w:lineRule="auto"/>
        <w:jc w:val="both"/>
        <w:rPr>
          <w:rFonts w:eastAsia="Times New Roman" w:cs="Times New Roman"/>
          <w:b/>
          <w:smallCaps/>
          <w:noProof/>
          <w:szCs w:val="24"/>
        </w:rPr>
      </w:pPr>
      <w:r>
        <w:rPr>
          <w:noProof/>
          <w:szCs w:val="24"/>
        </w:rPr>
        <w:br w:type="page"/>
      </w:r>
    </w:p>
    <w:p w:rsidR="003E180D" w:rsidRDefault="003E180D" w:rsidP="003E180D">
      <w:pPr>
        <w:pStyle w:val="Heading1"/>
        <w:numPr>
          <w:ilvl w:val="0"/>
          <w:numId w:val="22"/>
        </w:numPr>
        <w:rPr>
          <w:noProof/>
        </w:rPr>
      </w:pPr>
      <w:bookmarkStart w:id="166" w:name="_Toc507493380"/>
      <w:bookmarkStart w:id="167" w:name="_Toc507496406"/>
      <w:bookmarkStart w:id="168" w:name="_Toc507512104"/>
      <w:bookmarkStart w:id="169" w:name="_Toc507517568"/>
      <w:bookmarkStart w:id="170" w:name="_Toc508124771"/>
      <w:bookmarkStart w:id="171" w:name="_Toc508126136"/>
      <w:bookmarkStart w:id="172" w:name="_Toc508127507"/>
      <w:bookmarkStart w:id="173" w:name="_Toc508127860"/>
      <w:bookmarkStart w:id="174" w:name="_Toc508129634"/>
      <w:bookmarkStart w:id="175" w:name="_Toc508181025"/>
      <w:bookmarkStart w:id="176" w:name="_Toc508186618"/>
      <w:bookmarkStart w:id="177" w:name="_Toc510708099"/>
      <w:bookmarkStart w:id="178" w:name="_Toc514328795"/>
      <w:r>
        <w:rPr>
          <w:noProof/>
        </w:rPr>
        <w:t xml:space="preserve">Annex 3: </w:t>
      </w:r>
      <w:r>
        <w:rPr>
          <w:bCs/>
          <w:noProof/>
        </w:rPr>
        <w:t>Who</w:t>
      </w:r>
      <w:r>
        <w:rPr>
          <w:noProof/>
        </w:rPr>
        <w:t xml:space="preserve"> is affected by the initiative and how</w:t>
      </w:r>
      <w:bookmarkEnd w:id="166"/>
      <w:bookmarkEnd w:id="167"/>
      <w:bookmarkEnd w:id="168"/>
      <w:bookmarkEnd w:id="169"/>
      <w:bookmarkEnd w:id="170"/>
      <w:bookmarkEnd w:id="171"/>
      <w:bookmarkEnd w:id="172"/>
      <w:bookmarkEnd w:id="173"/>
      <w:bookmarkEnd w:id="174"/>
      <w:bookmarkEnd w:id="175"/>
      <w:bookmarkEnd w:id="176"/>
      <w:bookmarkEnd w:id="177"/>
      <w:bookmarkEnd w:id="178"/>
    </w:p>
    <w:p w:rsidR="003E180D" w:rsidRDefault="003E180D" w:rsidP="003E180D">
      <w:pPr>
        <w:pStyle w:val="Heading2"/>
        <w:numPr>
          <w:ilvl w:val="1"/>
          <w:numId w:val="22"/>
        </w:numPr>
        <w:spacing w:before="240" w:after="240"/>
        <w:rPr>
          <w:noProof/>
        </w:rPr>
      </w:pPr>
      <w:bookmarkStart w:id="179" w:name="_Toc508124772"/>
      <w:bookmarkStart w:id="180" w:name="_Toc508126137"/>
      <w:bookmarkStart w:id="181" w:name="_Toc508127508"/>
      <w:bookmarkStart w:id="182" w:name="_Toc508127861"/>
      <w:bookmarkStart w:id="183" w:name="_Toc508129635"/>
      <w:bookmarkStart w:id="184" w:name="_Toc508181026"/>
      <w:bookmarkStart w:id="185" w:name="_Toc508186619"/>
      <w:bookmarkStart w:id="186" w:name="_Toc510708100"/>
      <w:bookmarkStart w:id="187" w:name="_Toc514328796"/>
      <w:r>
        <w:rPr>
          <w:noProof/>
        </w:rPr>
        <w:t>Practical implications of the initiative</w:t>
      </w:r>
      <w:bookmarkEnd w:id="179"/>
      <w:bookmarkEnd w:id="180"/>
      <w:bookmarkEnd w:id="181"/>
      <w:bookmarkEnd w:id="182"/>
      <w:bookmarkEnd w:id="183"/>
      <w:bookmarkEnd w:id="184"/>
      <w:bookmarkEnd w:id="185"/>
      <w:bookmarkEnd w:id="186"/>
      <w:bookmarkEnd w:id="187"/>
    </w:p>
    <w:p w:rsidR="003E180D" w:rsidRDefault="003E180D" w:rsidP="003E180D">
      <w:pPr>
        <w:spacing w:after="120" w:line="240" w:lineRule="auto"/>
        <w:rPr>
          <w:noProof/>
          <w:lang w:eastAsia="en-GB"/>
        </w:rPr>
      </w:pPr>
      <w:r>
        <w:rPr>
          <w:noProof/>
          <w:lang w:eastAsia="en-GB"/>
        </w:rPr>
        <w:t>The following key target groups of this initiative have been identified.</w:t>
      </w:r>
    </w:p>
    <w:p w:rsidR="003E180D" w:rsidRDefault="003E180D" w:rsidP="003E180D">
      <w:pPr>
        <w:numPr>
          <w:ilvl w:val="0"/>
          <w:numId w:val="19"/>
        </w:numPr>
        <w:spacing w:after="120" w:line="240" w:lineRule="auto"/>
        <w:jc w:val="both"/>
        <w:rPr>
          <w:noProof/>
          <w:lang w:eastAsia="en-GB"/>
        </w:rPr>
      </w:pPr>
      <w:r>
        <w:rPr>
          <w:rFonts w:cs="Times New Roman"/>
          <w:noProof/>
          <w:szCs w:val="24"/>
          <w:lang w:eastAsia="en-GB"/>
        </w:rPr>
        <w:t xml:space="preserve">HDV manufacturers </w:t>
      </w:r>
    </w:p>
    <w:p w:rsidR="003E180D" w:rsidRDefault="003E180D" w:rsidP="003E180D">
      <w:pPr>
        <w:numPr>
          <w:ilvl w:val="0"/>
          <w:numId w:val="19"/>
        </w:numPr>
        <w:spacing w:after="120" w:line="240" w:lineRule="auto"/>
        <w:jc w:val="both"/>
        <w:rPr>
          <w:noProof/>
          <w:lang w:eastAsia="en-GB"/>
        </w:rPr>
      </w:pPr>
      <w:r>
        <w:rPr>
          <w:noProof/>
          <w:lang w:eastAsia="en-GB"/>
        </w:rPr>
        <w:t>Suppliers of components and materials from which vehicles are constructed</w:t>
      </w:r>
    </w:p>
    <w:p w:rsidR="003E180D" w:rsidRDefault="003E180D" w:rsidP="003E180D">
      <w:pPr>
        <w:numPr>
          <w:ilvl w:val="0"/>
          <w:numId w:val="19"/>
        </w:numPr>
        <w:spacing w:after="120" w:line="240" w:lineRule="auto"/>
        <w:jc w:val="both"/>
        <w:rPr>
          <w:noProof/>
          <w:lang w:eastAsia="en-GB"/>
        </w:rPr>
      </w:pPr>
      <w:r>
        <w:rPr>
          <w:noProof/>
          <w:lang w:eastAsia="en-GB"/>
        </w:rPr>
        <w:t xml:space="preserve">HDV </w:t>
      </w:r>
      <w:r>
        <w:rPr>
          <w:rFonts w:cs="Times New Roman"/>
          <w:noProof/>
          <w:szCs w:val="24"/>
          <w:lang w:eastAsia="en-GB"/>
        </w:rPr>
        <w:t>users</w:t>
      </w:r>
      <w:r>
        <w:rPr>
          <w:noProof/>
          <w:lang w:eastAsia="en-GB"/>
        </w:rPr>
        <w:t xml:space="preserve"> (transport operators)</w:t>
      </w:r>
    </w:p>
    <w:p w:rsidR="003E180D" w:rsidRDefault="003E180D" w:rsidP="003E180D">
      <w:pPr>
        <w:numPr>
          <w:ilvl w:val="0"/>
          <w:numId w:val="19"/>
        </w:numPr>
        <w:spacing w:after="120" w:line="240" w:lineRule="auto"/>
        <w:jc w:val="both"/>
        <w:rPr>
          <w:noProof/>
          <w:lang w:eastAsia="en-GB"/>
        </w:rPr>
      </w:pPr>
      <w:r>
        <w:rPr>
          <w:noProof/>
          <w:lang w:eastAsia="en-GB"/>
        </w:rPr>
        <w:t xml:space="preserve">Suppliers of fuels  </w:t>
      </w:r>
    </w:p>
    <w:p w:rsidR="003E180D" w:rsidRDefault="003E180D" w:rsidP="003E180D">
      <w:pPr>
        <w:numPr>
          <w:ilvl w:val="0"/>
          <w:numId w:val="19"/>
        </w:numPr>
        <w:spacing w:after="120" w:line="240" w:lineRule="auto"/>
        <w:jc w:val="both"/>
        <w:rPr>
          <w:noProof/>
          <w:lang w:eastAsia="en-GB"/>
        </w:rPr>
      </w:pPr>
      <w:r>
        <w:rPr>
          <w:noProof/>
          <w:lang w:eastAsia="en-GB"/>
        </w:rPr>
        <w:t>Workforce</w:t>
      </w:r>
      <w:r>
        <w:rPr>
          <w:noProof/>
          <w:sz w:val="28"/>
          <w:lang w:eastAsia="en-GB"/>
        </w:rPr>
        <w:t xml:space="preserve"> </w:t>
      </w:r>
      <w:r>
        <w:rPr>
          <w:noProof/>
          <w:lang w:eastAsia="en-GB"/>
        </w:rPr>
        <w:t>in automotive sector</w:t>
      </w:r>
    </w:p>
    <w:p w:rsidR="003E180D" w:rsidRDefault="003E180D" w:rsidP="003E180D">
      <w:pPr>
        <w:numPr>
          <w:ilvl w:val="0"/>
          <w:numId w:val="19"/>
        </w:numPr>
        <w:spacing w:after="120" w:line="240" w:lineRule="auto"/>
        <w:jc w:val="both"/>
        <w:rPr>
          <w:noProof/>
          <w:lang w:eastAsia="en-GB"/>
        </w:rPr>
      </w:pPr>
      <w:r>
        <w:rPr>
          <w:noProof/>
          <w:lang w:eastAsia="en-GB"/>
        </w:rPr>
        <w:t xml:space="preserve">Other users of fuel and oil-related products (e.g. chemical industry, heating) </w:t>
      </w:r>
    </w:p>
    <w:p w:rsidR="003E180D" w:rsidRDefault="003E180D" w:rsidP="003E180D">
      <w:pPr>
        <w:numPr>
          <w:ilvl w:val="0"/>
          <w:numId w:val="19"/>
        </w:numPr>
        <w:spacing w:after="120" w:line="240" w:lineRule="auto"/>
        <w:jc w:val="both"/>
        <w:rPr>
          <w:noProof/>
          <w:lang w:eastAsia="en-GB"/>
        </w:rPr>
      </w:pPr>
      <w:r>
        <w:rPr>
          <w:noProof/>
          <w:lang w:eastAsia="en-GB"/>
        </w:rPr>
        <w:t>Society at large</w:t>
      </w:r>
    </w:p>
    <w:p w:rsidR="003E180D" w:rsidRDefault="003E180D" w:rsidP="003E180D">
      <w:pPr>
        <w:spacing w:after="120" w:line="240" w:lineRule="auto"/>
        <w:jc w:val="both"/>
        <w:rPr>
          <w:noProof/>
        </w:rPr>
      </w:pPr>
      <w:r>
        <w:rPr>
          <w:rFonts w:cs="Times New Roman"/>
          <w:noProof/>
          <w:szCs w:val="24"/>
        </w:rPr>
        <w:fldChar w:fldCharType="begin"/>
      </w:r>
      <w:r>
        <w:rPr>
          <w:noProof/>
        </w:rPr>
        <w:instrText xml:space="preserve"> REF _Ref507430318 \h  \* MERGEFORMAT </w:instrText>
      </w:r>
      <w:r>
        <w:rPr>
          <w:rFonts w:cs="Times New Roman"/>
          <w:noProof/>
          <w:szCs w:val="24"/>
        </w:rPr>
      </w:r>
      <w:r>
        <w:rPr>
          <w:noProof/>
        </w:rPr>
        <w:fldChar w:fldCharType="separate"/>
      </w:r>
      <w:r>
        <w:rPr>
          <w:noProof/>
        </w:rPr>
        <w:t>Table 2</w:t>
      </w:r>
      <w:r>
        <w:rPr>
          <w:rFonts w:cs="Times New Roman"/>
          <w:noProof/>
          <w:szCs w:val="24"/>
        </w:rPr>
        <w:fldChar w:fldCharType="end"/>
      </w:r>
      <w:r>
        <w:rPr>
          <w:rFonts w:cs="Times New Roman"/>
          <w:noProof/>
          <w:szCs w:val="24"/>
        </w:rPr>
        <w:t xml:space="preserve"> </w:t>
      </w:r>
      <w:r>
        <w:rPr>
          <w:noProof/>
        </w:rPr>
        <w:t xml:space="preserve">summarises how these target groups are affected by this policy initiative. In some cases the analysis showed overlaps between identified target groups (e.g. vehicle manufacturers and suppliers of components and materials) as a result of which certain effects may be repeated. </w:t>
      </w:r>
    </w:p>
    <w:p w:rsidR="003E180D" w:rsidRDefault="003E180D" w:rsidP="003E180D">
      <w:pPr>
        <w:pStyle w:val="Caption"/>
        <w:rPr>
          <w:noProof/>
        </w:rPr>
      </w:pPr>
      <w:bookmarkStart w:id="188" w:name="_Ref507430318"/>
      <w:r>
        <w:rPr>
          <w:noProof/>
        </w:rP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188"/>
      <w:r>
        <w:rPr>
          <w:noProof/>
        </w:rPr>
        <w:t>: Overview of how stakeholders are affected by the policy initiative</w:t>
      </w:r>
    </w:p>
    <w:tbl>
      <w:tblPr>
        <w:tblStyle w:val="TableGrid"/>
        <w:tblW w:w="0" w:type="auto"/>
        <w:tblLook w:val="04A0" w:firstRow="1" w:lastRow="0" w:firstColumn="1" w:lastColumn="0" w:noHBand="0" w:noVBand="1"/>
      </w:tblPr>
      <w:tblGrid>
        <w:gridCol w:w="2058"/>
        <w:gridCol w:w="6775"/>
      </w:tblGrid>
      <w:tr w:rsidR="003E180D" w:rsidTr="0088305C">
        <w:tc>
          <w:tcPr>
            <w:tcW w:w="2058" w:type="dxa"/>
          </w:tcPr>
          <w:p w:rsidR="003E180D" w:rsidRDefault="003E180D" w:rsidP="0088305C">
            <w:pPr>
              <w:spacing w:after="120"/>
              <w:rPr>
                <w:b/>
                <w:noProof/>
              </w:rPr>
            </w:pPr>
            <w:r>
              <w:rPr>
                <w:b/>
                <w:noProof/>
              </w:rPr>
              <w:t>Type of stakeholder</w:t>
            </w:r>
          </w:p>
        </w:tc>
        <w:tc>
          <w:tcPr>
            <w:tcW w:w="6775" w:type="dxa"/>
          </w:tcPr>
          <w:p w:rsidR="003E180D" w:rsidRDefault="003E180D" w:rsidP="0088305C">
            <w:pPr>
              <w:spacing w:after="60"/>
              <w:rPr>
                <w:b/>
                <w:noProof/>
              </w:rPr>
            </w:pPr>
            <w:r>
              <w:rPr>
                <w:b/>
                <w:noProof/>
              </w:rPr>
              <w:t>Practical implications</w:t>
            </w:r>
          </w:p>
        </w:tc>
      </w:tr>
      <w:tr w:rsidR="003E180D" w:rsidTr="0088305C">
        <w:tc>
          <w:tcPr>
            <w:tcW w:w="2058" w:type="dxa"/>
          </w:tcPr>
          <w:p w:rsidR="003E180D" w:rsidRDefault="003E180D" w:rsidP="0088305C">
            <w:pPr>
              <w:spacing w:after="120"/>
              <w:rPr>
                <w:b/>
                <w:noProof/>
              </w:rPr>
            </w:pPr>
            <w:r>
              <w:rPr>
                <w:b/>
                <w:noProof/>
              </w:rPr>
              <w:t xml:space="preserve">Vehicle Manufacturers </w:t>
            </w:r>
          </w:p>
        </w:tc>
        <w:tc>
          <w:tcPr>
            <w:tcW w:w="6775" w:type="dxa"/>
          </w:tcPr>
          <w:p w:rsidR="003E180D" w:rsidRDefault="003E180D" w:rsidP="0088305C">
            <w:pPr>
              <w:spacing w:after="60"/>
              <w:rPr>
                <w:noProof/>
                <w:u w:val="single"/>
              </w:rPr>
            </w:pPr>
            <w:r>
              <w:rPr>
                <w:noProof/>
                <w:u w:val="single"/>
              </w:rPr>
              <w:t xml:space="preserve">Investment needs / manufacturing costs </w:t>
            </w:r>
          </w:p>
          <w:p w:rsidR="003E180D" w:rsidRDefault="003E180D" w:rsidP="0088305C">
            <w:pPr>
              <w:spacing w:after="60"/>
              <w:jc w:val="both"/>
              <w:rPr>
                <w:noProof/>
              </w:rPr>
            </w:pPr>
            <w:r>
              <w:rPr>
                <w:noProof/>
              </w:rPr>
              <w:t>CO</w:t>
            </w:r>
            <w:r>
              <w:rPr>
                <w:noProof/>
                <w:vertAlign w:val="subscript"/>
              </w:rPr>
              <w:t>2</w:t>
            </w:r>
            <w:r>
              <w:rPr>
                <w:noProof/>
              </w:rPr>
              <w:t xml:space="preserve"> standards require vehicle manufacturers to reduce CO</w:t>
            </w:r>
            <w:r>
              <w:rPr>
                <w:noProof/>
                <w:vertAlign w:val="subscript"/>
              </w:rPr>
              <w:t>2</w:t>
            </w:r>
            <w:r>
              <w:rPr>
                <w:noProof/>
              </w:rPr>
              <w:t xml:space="preserve"> emissions as a result of which they will have to introduce technical CO</w:t>
            </w:r>
            <w:r>
              <w:rPr>
                <w:noProof/>
                <w:vertAlign w:val="subscript"/>
              </w:rPr>
              <w:t>2</w:t>
            </w:r>
            <w:r>
              <w:rPr>
                <w:noProof/>
              </w:rPr>
              <w:t xml:space="preserve"> reduction measures. In the short-term, this is likely to result in increased production costs and could affect the structure of their product portfolios. As a consequence, they will have increased investment costs for production capacity and new technologies.</w:t>
            </w:r>
          </w:p>
          <w:p w:rsidR="003E180D" w:rsidRDefault="003E180D" w:rsidP="0088305C">
            <w:pPr>
              <w:spacing w:after="60"/>
              <w:jc w:val="both"/>
              <w:rPr>
                <w:noProof/>
                <w:u w:val="single"/>
              </w:rPr>
            </w:pPr>
            <w:r>
              <w:rPr>
                <w:noProof/>
                <w:u w:val="single"/>
              </w:rPr>
              <w:t>Benefits</w:t>
            </w:r>
          </w:p>
          <w:p w:rsidR="003E180D" w:rsidRDefault="003E180D" w:rsidP="0088305C">
            <w:pPr>
              <w:spacing w:after="60"/>
              <w:jc w:val="both"/>
              <w:rPr>
                <w:noProof/>
              </w:rPr>
            </w:pPr>
            <w:r>
              <w:rPr>
                <w:noProof/>
              </w:rPr>
              <w:t xml:space="preserve">As demand for low carbon vehicles is expected to increase throughout the world due to the development of stricter climate change policies, the introduction of standards will spur manufacturers to become more environmentally efficient. That will ensure they remain at the head of technological development, retaining their competitive position in the global automotive sector. </w:t>
            </w:r>
          </w:p>
          <w:p w:rsidR="003E180D" w:rsidRDefault="003E180D" w:rsidP="0088305C">
            <w:pPr>
              <w:spacing w:after="60"/>
              <w:jc w:val="both"/>
              <w:rPr>
                <w:noProof/>
                <w:u w:val="single"/>
              </w:rPr>
            </w:pPr>
            <w:r>
              <w:rPr>
                <w:noProof/>
                <w:u w:val="single"/>
              </w:rPr>
              <w:t>Cost / benefits</w:t>
            </w:r>
          </w:p>
          <w:p w:rsidR="003E180D" w:rsidRDefault="003E180D" w:rsidP="0088305C">
            <w:pPr>
              <w:spacing w:after="60"/>
              <w:jc w:val="both"/>
              <w:rPr>
                <w:noProof/>
              </w:rPr>
            </w:pPr>
            <w:r>
              <w:rPr>
                <w:noProof/>
              </w:rPr>
              <w:t>There would be different impacts on different manufacturers which depend on the actual reduction level required and the current level of investment and focus by the manufacturer on reducing emissions. The introduction of stricter limits can be positive for those HDV manufacturers who can produce more efficient vehicles as this should enable them to retain their technological leadership position. For manufacturers of HDVs who have to implement more measures to reduce emissions, the costs associated are likely to be larger.</w:t>
            </w:r>
          </w:p>
        </w:tc>
      </w:tr>
    </w:tbl>
    <w:p w:rsidR="003E180D" w:rsidRDefault="003E180D" w:rsidP="003E180D">
      <w:pPr>
        <w:rPr>
          <w:noProof/>
        </w:rPr>
      </w:pPr>
      <w:r>
        <w:rPr>
          <w:noProof/>
        </w:rPr>
        <w:br w:type="page"/>
      </w:r>
    </w:p>
    <w:tbl>
      <w:tblPr>
        <w:tblStyle w:val="TableGrid"/>
        <w:tblW w:w="0" w:type="auto"/>
        <w:tblLook w:val="04A0" w:firstRow="1" w:lastRow="0" w:firstColumn="1" w:lastColumn="0" w:noHBand="0" w:noVBand="1"/>
      </w:tblPr>
      <w:tblGrid>
        <w:gridCol w:w="2058"/>
        <w:gridCol w:w="6775"/>
      </w:tblGrid>
      <w:tr w:rsidR="003E180D" w:rsidTr="0088305C">
        <w:tc>
          <w:tcPr>
            <w:tcW w:w="2058" w:type="dxa"/>
          </w:tcPr>
          <w:p w:rsidR="003E180D" w:rsidRDefault="003E180D" w:rsidP="0088305C">
            <w:pPr>
              <w:spacing w:after="120"/>
              <w:rPr>
                <w:b/>
                <w:noProof/>
              </w:rPr>
            </w:pPr>
            <w:r>
              <w:rPr>
                <w:b/>
                <w:noProof/>
              </w:rPr>
              <w:t>Suppliers of components and materials from which vehicles are constructed</w:t>
            </w:r>
          </w:p>
        </w:tc>
        <w:tc>
          <w:tcPr>
            <w:tcW w:w="6775" w:type="dxa"/>
          </w:tcPr>
          <w:p w:rsidR="003E180D" w:rsidRDefault="003E180D" w:rsidP="0088305C">
            <w:pPr>
              <w:spacing w:after="60"/>
              <w:rPr>
                <w:noProof/>
                <w:u w:val="single"/>
              </w:rPr>
            </w:pPr>
            <w:r>
              <w:rPr>
                <w:noProof/>
                <w:u w:val="single"/>
              </w:rPr>
              <w:t>Investment costs / new technologies</w:t>
            </w:r>
          </w:p>
          <w:p w:rsidR="003E180D" w:rsidRDefault="003E180D" w:rsidP="0088305C">
            <w:pPr>
              <w:spacing w:after="60"/>
              <w:jc w:val="both"/>
              <w:rPr>
                <w:noProof/>
              </w:rPr>
            </w:pPr>
            <w:r>
              <w:rPr>
                <w:noProof/>
              </w:rPr>
              <w:t xml:space="preserve">Technological advances aimed at improving fuel efficiency will entail costs in research and development as well as in adapting manufacturing processes. </w:t>
            </w:r>
          </w:p>
          <w:p w:rsidR="003E180D" w:rsidRDefault="003E180D" w:rsidP="0088305C">
            <w:pPr>
              <w:spacing w:after="60"/>
              <w:jc w:val="both"/>
              <w:rPr>
                <w:noProof/>
                <w:u w:val="single"/>
              </w:rPr>
            </w:pPr>
            <w:r>
              <w:rPr>
                <w:noProof/>
                <w:u w:val="single"/>
              </w:rPr>
              <w:t>Benefits</w:t>
            </w:r>
          </w:p>
          <w:p w:rsidR="003E180D" w:rsidRDefault="003E180D" w:rsidP="0088305C">
            <w:pPr>
              <w:spacing w:after="60"/>
              <w:jc w:val="both"/>
              <w:rPr>
                <w:noProof/>
              </w:rPr>
            </w:pPr>
            <w:r>
              <w:rPr>
                <w:noProof/>
              </w:rPr>
              <w:t xml:space="preserve">The competitive position of European component suppliers relative to non-EU competitors might be improved by the introduction of legislative measures to reduce HDV emissions. If EU measures and targets are more ambitious than those in other countries the technology readiness of European companies may be expected to stay ahead that of suppliers based in other countries. </w:t>
            </w:r>
          </w:p>
          <w:p w:rsidR="003E180D" w:rsidRDefault="003E180D" w:rsidP="0088305C">
            <w:pPr>
              <w:spacing w:after="60"/>
              <w:jc w:val="both"/>
              <w:rPr>
                <w:noProof/>
              </w:rPr>
            </w:pPr>
            <w:r>
              <w:rPr>
                <w:noProof/>
              </w:rPr>
              <w:t>Requirements leading to the uptake of additional technologies  may create extra business activity for suppliers in these sectors. In particular suppliers for more fuel-efficient technologies will largely benefit.</w:t>
            </w:r>
          </w:p>
        </w:tc>
      </w:tr>
      <w:tr w:rsidR="003E180D" w:rsidTr="0088305C">
        <w:tc>
          <w:tcPr>
            <w:tcW w:w="2058" w:type="dxa"/>
          </w:tcPr>
          <w:p w:rsidR="003E180D" w:rsidRDefault="003E180D" w:rsidP="0088305C">
            <w:pPr>
              <w:spacing w:after="120"/>
              <w:rPr>
                <w:b/>
                <w:noProof/>
              </w:rPr>
            </w:pPr>
            <w:r>
              <w:rPr>
                <w:b/>
                <w:noProof/>
              </w:rPr>
              <w:t xml:space="preserve">HDV Users </w:t>
            </w:r>
          </w:p>
          <w:p w:rsidR="003E180D" w:rsidRDefault="003E180D" w:rsidP="0088305C">
            <w:pPr>
              <w:spacing w:after="120"/>
              <w:rPr>
                <w:b/>
                <w:noProof/>
              </w:rPr>
            </w:pPr>
            <w:r>
              <w:rPr>
                <w:b/>
                <w:noProof/>
              </w:rPr>
              <w:t>(Transport Operators)</w:t>
            </w:r>
          </w:p>
        </w:tc>
        <w:tc>
          <w:tcPr>
            <w:tcW w:w="6775" w:type="dxa"/>
          </w:tcPr>
          <w:p w:rsidR="003E180D" w:rsidRDefault="003E180D" w:rsidP="0088305C">
            <w:pPr>
              <w:spacing w:after="60"/>
              <w:rPr>
                <w:noProof/>
                <w:u w:val="single"/>
              </w:rPr>
            </w:pPr>
            <w:r>
              <w:rPr>
                <w:noProof/>
                <w:u w:val="single"/>
              </w:rPr>
              <w:t>Transport costs/prices</w:t>
            </w:r>
          </w:p>
          <w:p w:rsidR="003E180D" w:rsidRDefault="003E180D" w:rsidP="0088305C">
            <w:pPr>
              <w:spacing w:after="60"/>
              <w:jc w:val="both"/>
              <w:rPr>
                <w:i/>
                <w:noProof/>
              </w:rPr>
            </w:pPr>
            <w:r>
              <w:rPr>
                <w:noProof/>
              </w:rPr>
              <w:t xml:space="preserve">The use of technology to reduce GHG emissions has a cost which is expected to be passed on to the vehicle purchaser. The purchase cost for new more fuel-efficient HDVs is expected to be higher compared to less fuel-efficient vehicles. </w:t>
            </w:r>
          </w:p>
          <w:p w:rsidR="003E180D" w:rsidRDefault="003E180D" w:rsidP="0088305C">
            <w:pPr>
              <w:spacing w:after="60"/>
              <w:jc w:val="both"/>
              <w:rPr>
                <w:i/>
                <w:noProof/>
                <w:u w:val="single"/>
              </w:rPr>
            </w:pPr>
            <w:r>
              <w:rPr>
                <w:noProof/>
                <w:u w:val="single"/>
              </w:rPr>
              <w:t>Benefits</w:t>
            </w:r>
          </w:p>
          <w:p w:rsidR="003E180D" w:rsidRDefault="003E180D" w:rsidP="0088305C">
            <w:pPr>
              <w:spacing w:after="60"/>
              <w:jc w:val="both"/>
              <w:rPr>
                <w:noProof/>
              </w:rPr>
            </w:pPr>
            <w:r>
              <w:rPr>
                <w:noProof/>
              </w:rPr>
              <w:t>Reducing the vehicle's CO</w:t>
            </w:r>
            <w:r>
              <w:rPr>
                <w:noProof/>
                <w:vertAlign w:val="subscript"/>
              </w:rPr>
              <w:t>2</w:t>
            </w:r>
            <w:r>
              <w:rPr>
                <w:noProof/>
              </w:rPr>
              <w:t xml:space="preserve"> emissions will reduce the energy required and in turn increase fuel cost savings for transport operators. Over the vehicles' lifetime, operational cost savings will compensate the higher procurement costs.  </w:t>
            </w:r>
          </w:p>
          <w:p w:rsidR="003E180D" w:rsidRDefault="003E180D" w:rsidP="0088305C">
            <w:pPr>
              <w:spacing w:after="60"/>
              <w:jc w:val="both"/>
              <w:rPr>
                <w:i/>
                <w:noProof/>
              </w:rPr>
            </w:pPr>
            <w:r>
              <w:rPr>
                <w:noProof/>
                <w:szCs w:val="24"/>
              </w:rPr>
              <w:t>If benefits are passed through, lower freight costs could increase overall demand for road freight transport. Depending on the scale of the efficiency improvement, the related benefits and costs, and the level of the pass through this rebound effect could reduce the overall gains in emission reductions from efficiency improvements.</w:t>
            </w:r>
          </w:p>
        </w:tc>
      </w:tr>
      <w:tr w:rsidR="003E180D" w:rsidTr="0088305C">
        <w:tc>
          <w:tcPr>
            <w:tcW w:w="2058" w:type="dxa"/>
          </w:tcPr>
          <w:p w:rsidR="003E180D" w:rsidRDefault="003E180D" w:rsidP="0088305C">
            <w:pPr>
              <w:rPr>
                <w:b/>
                <w:noProof/>
              </w:rPr>
            </w:pPr>
            <w:r>
              <w:rPr>
                <w:b/>
                <w:noProof/>
              </w:rPr>
              <w:t xml:space="preserve">Suppliers of fuels </w:t>
            </w:r>
          </w:p>
          <w:p w:rsidR="003E180D" w:rsidRDefault="003E180D" w:rsidP="0088305C">
            <w:pPr>
              <w:spacing w:after="120"/>
              <w:rPr>
                <w:b/>
                <w:noProof/>
              </w:rPr>
            </w:pPr>
          </w:p>
        </w:tc>
        <w:tc>
          <w:tcPr>
            <w:tcW w:w="6775" w:type="dxa"/>
          </w:tcPr>
          <w:p w:rsidR="003E180D" w:rsidRDefault="003E180D" w:rsidP="0088305C">
            <w:pPr>
              <w:spacing w:after="60"/>
              <w:jc w:val="both"/>
              <w:rPr>
                <w:noProof/>
                <w:u w:val="single"/>
              </w:rPr>
            </w:pPr>
            <w:r>
              <w:rPr>
                <w:noProof/>
                <w:u w:val="single"/>
              </w:rPr>
              <w:t>Adjustment costs</w:t>
            </w:r>
          </w:p>
          <w:p w:rsidR="003E180D" w:rsidRDefault="003E180D" w:rsidP="0088305C">
            <w:pPr>
              <w:spacing w:after="60"/>
              <w:jc w:val="both"/>
              <w:rPr>
                <w:noProof/>
              </w:rPr>
            </w:pPr>
            <w:r>
              <w:rPr>
                <w:noProof/>
              </w:rPr>
              <w:t xml:space="preserve">Suppliers of conventional fuels are affected by reduced demand leading to less utilisation of existing infrastructure and possible decrease in revenues.. </w:t>
            </w:r>
          </w:p>
          <w:p w:rsidR="003E180D" w:rsidRDefault="003E180D" w:rsidP="0088305C">
            <w:pPr>
              <w:spacing w:after="60"/>
              <w:jc w:val="both"/>
              <w:rPr>
                <w:noProof/>
                <w:u w:val="single"/>
              </w:rPr>
            </w:pPr>
            <w:r>
              <w:rPr>
                <w:noProof/>
                <w:u w:val="single"/>
              </w:rPr>
              <w:t>Investment needs/Benefits</w:t>
            </w:r>
          </w:p>
          <w:p w:rsidR="003E180D" w:rsidRDefault="003E180D" w:rsidP="0088305C">
            <w:pPr>
              <w:spacing w:after="60"/>
              <w:jc w:val="both"/>
              <w:rPr>
                <w:noProof/>
              </w:rPr>
            </w:pPr>
            <w:r>
              <w:rPr>
                <w:noProof/>
              </w:rPr>
              <w:t>If the deployment of vehicles supplied with alternative energy sources lifts up, this may potentially increase the need for other types of infrastructure and create new business opportunities in the medium to long-run.</w:t>
            </w:r>
          </w:p>
        </w:tc>
      </w:tr>
      <w:tr w:rsidR="003E180D" w:rsidTr="0088305C">
        <w:tc>
          <w:tcPr>
            <w:tcW w:w="2058" w:type="dxa"/>
            <w:shd w:val="clear" w:color="auto" w:fill="auto"/>
          </w:tcPr>
          <w:p w:rsidR="003E180D" w:rsidRDefault="003E180D" w:rsidP="0088305C">
            <w:pPr>
              <w:rPr>
                <w:b/>
                <w:noProof/>
              </w:rPr>
            </w:pPr>
            <w:r>
              <w:rPr>
                <w:b/>
                <w:noProof/>
              </w:rPr>
              <w:t>Workforce</w:t>
            </w:r>
            <w:r>
              <w:rPr>
                <w:rFonts w:eastAsiaTheme="minorHAnsi"/>
                <w:b/>
                <w:noProof/>
              </w:rPr>
              <w:t xml:space="preserve"> </w:t>
            </w:r>
            <w:r>
              <w:rPr>
                <w:b/>
                <w:noProof/>
              </w:rPr>
              <w:t>in automotive sector</w:t>
            </w:r>
          </w:p>
        </w:tc>
        <w:tc>
          <w:tcPr>
            <w:tcW w:w="6775" w:type="dxa"/>
          </w:tcPr>
          <w:p w:rsidR="003E180D" w:rsidRDefault="003E180D" w:rsidP="0088305C">
            <w:pPr>
              <w:widowControl w:val="0"/>
              <w:spacing w:after="60"/>
              <w:jc w:val="both"/>
              <w:rPr>
                <w:noProof/>
                <w:highlight w:val="green"/>
              </w:rPr>
            </w:pPr>
            <w:r>
              <w:rPr>
                <w:noProof/>
              </w:rPr>
              <w:t>The production and maintenance of vehicles with new, fuel-efficient technologies will pose challenges to the workforce in the automotive sector including manufacturers and component suppliers as well as repair and maintenance businesses. The workforce will need additional and/or different skills ("upskilling" and "reskilling") to deal with new components and manufacturing processes.</w:t>
            </w:r>
          </w:p>
        </w:tc>
      </w:tr>
      <w:tr w:rsidR="003E180D" w:rsidTr="0088305C">
        <w:tc>
          <w:tcPr>
            <w:tcW w:w="2058" w:type="dxa"/>
            <w:shd w:val="clear" w:color="auto" w:fill="auto"/>
          </w:tcPr>
          <w:p w:rsidR="003E180D" w:rsidRDefault="003E180D" w:rsidP="0088305C">
            <w:pPr>
              <w:rPr>
                <w:b/>
                <w:noProof/>
              </w:rPr>
            </w:pPr>
            <w:r>
              <w:rPr>
                <w:b/>
                <w:noProof/>
              </w:rPr>
              <w:t xml:space="preserve">Other users of fuel and oil-related products (e.g. chemical industry, heating) </w:t>
            </w:r>
          </w:p>
          <w:p w:rsidR="003E180D" w:rsidRDefault="003E180D" w:rsidP="0088305C">
            <w:pPr>
              <w:spacing w:after="120"/>
              <w:rPr>
                <w:b/>
                <w:noProof/>
              </w:rPr>
            </w:pPr>
          </w:p>
        </w:tc>
        <w:tc>
          <w:tcPr>
            <w:tcW w:w="6775" w:type="dxa"/>
          </w:tcPr>
          <w:p w:rsidR="003E180D" w:rsidRDefault="003E180D" w:rsidP="0088305C">
            <w:pPr>
              <w:spacing w:after="120"/>
              <w:rPr>
                <w:noProof/>
                <w:u w:val="single"/>
              </w:rPr>
            </w:pPr>
            <w:r>
              <w:rPr>
                <w:noProof/>
                <w:u w:val="single"/>
              </w:rPr>
              <w:t>Benefits from reduced oil prices</w:t>
            </w:r>
          </w:p>
          <w:p w:rsidR="003E180D" w:rsidRDefault="003E180D" w:rsidP="0088305C">
            <w:pPr>
              <w:spacing w:after="60"/>
              <w:jc w:val="both"/>
              <w:rPr>
                <w:noProof/>
                <w:highlight w:val="green"/>
              </w:rPr>
            </w:pPr>
            <w:r>
              <w:rPr>
                <w:noProof/>
              </w:rPr>
              <w:t>Other users of fuel and oil-related products (e.g. chemical industry, heating) are expected to benefit from lower prices if demand from the transport sector decreases. Sectors other than transport that emit GHGs will avoid demands to further reduce emissions to compensate for increased transport emissions. In so far as these sectors are exposed to competition, this will be important for their competitiveness.</w:t>
            </w:r>
          </w:p>
        </w:tc>
      </w:tr>
      <w:tr w:rsidR="003E180D" w:rsidTr="0088305C">
        <w:tc>
          <w:tcPr>
            <w:tcW w:w="2058" w:type="dxa"/>
            <w:shd w:val="clear" w:color="auto" w:fill="auto"/>
          </w:tcPr>
          <w:p w:rsidR="003E180D" w:rsidRDefault="003E180D" w:rsidP="0088305C">
            <w:pPr>
              <w:rPr>
                <w:b/>
                <w:noProof/>
              </w:rPr>
            </w:pPr>
            <w:r>
              <w:rPr>
                <w:b/>
                <w:noProof/>
              </w:rPr>
              <w:t>Society at large</w:t>
            </w:r>
          </w:p>
        </w:tc>
        <w:tc>
          <w:tcPr>
            <w:tcW w:w="6775" w:type="dxa"/>
          </w:tcPr>
          <w:p w:rsidR="003E180D" w:rsidRDefault="003E180D" w:rsidP="0088305C">
            <w:pPr>
              <w:rPr>
                <w:noProof/>
                <w:u w:val="single"/>
              </w:rPr>
            </w:pPr>
            <w:r>
              <w:rPr>
                <w:noProof/>
                <w:u w:val="single"/>
              </w:rPr>
              <w:t xml:space="preserve">Benefits </w:t>
            </w:r>
          </w:p>
          <w:p w:rsidR="003E180D" w:rsidRDefault="003E180D" w:rsidP="0088305C">
            <w:pPr>
              <w:spacing w:after="60"/>
              <w:rPr>
                <w:noProof/>
              </w:rPr>
            </w:pPr>
            <w:r>
              <w:rPr>
                <w:noProof/>
              </w:rPr>
              <w:t>Citizens will benefit from better air quality and less associated health problems due to reduced air pollutant emissions.</w:t>
            </w:r>
          </w:p>
        </w:tc>
      </w:tr>
    </w:tbl>
    <w:p w:rsidR="003E180D" w:rsidRDefault="003E180D" w:rsidP="003E180D">
      <w:pPr>
        <w:rPr>
          <w:rFonts w:cs="Times New Roman"/>
          <w:b/>
          <w:noProof/>
          <w:szCs w:val="24"/>
        </w:rPr>
      </w:pPr>
    </w:p>
    <w:p w:rsidR="003E180D" w:rsidRDefault="003E180D" w:rsidP="003E180D">
      <w:pPr>
        <w:pStyle w:val="Heading2"/>
        <w:numPr>
          <w:ilvl w:val="1"/>
          <w:numId w:val="22"/>
        </w:numPr>
        <w:spacing w:before="240" w:after="240"/>
        <w:rPr>
          <w:noProof/>
        </w:rPr>
      </w:pPr>
      <w:bookmarkStart w:id="189" w:name="_Toc508124773"/>
      <w:bookmarkStart w:id="190" w:name="_Toc508126138"/>
      <w:bookmarkStart w:id="191" w:name="_Toc508127509"/>
      <w:bookmarkStart w:id="192" w:name="_Toc508127862"/>
      <w:bookmarkStart w:id="193" w:name="_Toc508129636"/>
      <w:bookmarkStart w:id="194" w:name="_Toc508181027"/>
      <w:bookmarkStart w:id="195" w:name="_Toc508186620"/>
      <w:bookmarkStart w:id="196" w:name="_Toc510708101"/>
      <w:bookmarkStart w:id="197" w:name="_Toc514328797"/>
      <w:r>
        <w:rPr>
          <w:noProof/>
        </w:rPr>
        <w:t>Summary of costs and benefits</w:t>
      </w:r>
      <w:bookmarkEnd w:id="189"/>
      <w:bookmarkEnd w:id="190"/>
      <w:r>
        <w:rPr>
          <w:noProof/>
        </w:rPr>
        <w:t xml:space="preserve"> of the different EU fleet-wide CO</w:t>
      </w:r>
      <w:r>
        <w:rPr>
          <w:noProof/>
          <w:vertAlign w:val="subscript"/>
        </w:rPr>
        <w:t>2</w:t>
      </w:r>
      <w:r>
        <w:rPr>
          <w:noProof/>
        </w:rPr>
        <w:t xml:space="preserve"> target level options</w:t>
      </w:r>
      <w:bookmarkEnd w:id="191"/>
      <w:bookmarkEnd w:id="192"/>
      <w:bookmarkEnd w:id="193"/>
      <w:bookmarkEnd w:id="194"/>
      <w:bookmarkEnd w:id="195"/>
      <w:bookmarkEnd w:id="196"/>
      <w:bookmarkEnd w:id="197"/>
    </w:p>
    <w:p w:rsidR="003E180D" w:rsidRDefault="003E180D" w:rsidP="003E180D">
      <w:pPr>
        <w:pStyle w:val="Text2"/>
        <w:ind w:left="0"/>
        <w:rPr>
          <w:noProof/>
        </w:rPr>
      </w:pPr>
      <w:r>
        <w:rPr>
          <w:noProof/>
        </w:rPr>
        <w:fldChar w:fldCharType="begin"/>
      </w:r>
      <w:r>
        <w:rPr>
          <w:noProof/>
        </w:rPr>
        <w:instrText xml:space="preserve"> REF _Ref511918373 \h </w:instrText>
      </w:r>
      <w:r>
        <w:rPr>
          <w:noProof/>
        </w:rPr>
      </w:r>
      <w:r>
        <w:rPr>
          <w:noProof/>
        </w:rPr>
        <w:fldChar w:fldCharType="separate"/>
      </w:r>
      <w:r>
        <w:rPr>
          <w:noProof/>
        </w:rPr>
        <w:t>Table 3</w:t>
      </w:r>
      <w:r>
        <w:rPr>
          <w:noProof/>
        </w:rPr>
        <w:fldChar w:fldCharType="end"/>
      </w:r>
      <w:r>
        <w:rPr>
          <w:noProof/>
        </w:rPr>
        <w:t xml:space="preserve"> shows a summary of the main costs and benefits of the different target level options as compared to the corresponding baseline scenario, using the following variables:</w:t>
      </w:r>
    </w:p>
    <w:p w:rsidR="003E180D" w:rsidRDefault="003E180D" w:rsidP="003E180D">
      <w:pPr>
        <w:pStyle w:val="Text2"/>
        <w:numPr>
          <w:ilvl w:val="0"/>
          <w:numId w:val="21"/>
        </w:numPr>
        <w:rPr>
          <w:noProof/>
        </w:rPr>
      </w:pPr>
      <w:r>
        <w:rPr>
          <w:b/>
          <w:noProof/>
        </w:rPr>
        <w:t>Net savings per “average” vehicle:</w:t>
      </w:r>
      <w:r>
        <w:rPr>
          <w:noProof/>
        </w:rPr>
        <w:t xml:space="preserve"> Difference between the fuel savings and the manufacturing costs (see Section 6.2.4.2.2 and Section 6.2.4.2.3 of the Impact Assessment); </w:t>
      </w:r>
    </w:p>
    <w:p w:rsidR="003E180D" w:rsidRDefault="003E180D" w:rsidP="003E180D">
      <w:pPr>
        <w:pStyle w:val="Text2"/>
        <w:numPr>
          <w:ilvl w:val="0"/>
          <w:numId w:val="21"/>
        </w:numPr>
        <w:rPr>
          <w:noProof/>
        </w:rPr>
      </w:pPr>
      <w:r>
        <w:rPr>
          <w:b/>
          <w:noProof/>
        </w:rPr>
        <w:t>Manufacturing costs per “average” vehicle:</w:t>
      </w:r>
      <w:r>
        <w:rPr>
          <w:noProof/>
        </w:rPr>
        <w:t xml:space="preserve"> Additional manufacturing costs in order to reach the targets (equal to the capital costs under a societal perspective (see Section 6.2.4.2.1 of the Impact Assessment); </w:t>
      </w:r>
    </w:p>
    <w:p w:rsidR="003E180D" w:rsidRDefault="003E180D" w:rsidP="003E180D">
      <w:pPr>
        <w:pStyle w:val="Text2"/>
        <w:numPr>
          <w:ilvl w:val="0"/>
          <w:numId w:val="21"/>
        </w:numPr>
        <w:rPr>
          <w:noProof/>
        </w:rPr>
      </w:pPr>
      <w:r>
        <w:rPr>
          <w:b/>
          <w:noProof/>
        </w:rPr>
        <w:t>Avoided CO</w:t>
      </w:r>
      <w:r>
        <w:rPr>
          <w:b/>
          <w:noProof/>
          <w:vertAlign w:val="subscript"/>
        </w:rPr>
        <w:t>2</w:t>
      </w:r>
      <w:r>
        <w:rPr>
          <w:b/>
          <w:noProof/>
        </w:rPr>
        <w:t xml:space="preserve"> costs per “average” vehicle:</w:t>
      </w:r>
      <w:r>
        <w:rPr>
          <w:noProof/>
        </w:rPr>
        <w:t xml:space="preserve"> The avoided CO</w:t>
      </w:r>
      <w:r>
        <w:rPr>
          <w:noProof/>
          <w:vertAlign w:val="subscript"/>
        </w:rPr>
        <w:t>2</w:t>
      </w:r>
      <w:r>
        <w:rPr>
          <w:noProof/>
        </w:rPr>
        <w:t xml:space="preserve"> cost is based on the Update of the External Costs of Transport, with a value of 70 €/tonCO</w:t>
      </w:r>
      <w:r>
        <w:rPr>
          <w:noProof/>
          <w:vertAlign w:val="subscript"/>
        </w:rPr>
        <w:t>2</w:t>
      </w:r>
      <w:r>
        <w:rPr>
          <w:noProof/>
        </w:rPr>
        <w:t xml:space="preserve"> for external costs of climate change, averaged over the period 2030-2045</w:t>
      </w:r>
      <w:r>
        <w:rPr>
          <w:rStyle w:val="FootnoteReference"/>
          <w:noProof/>
        </w:rPr>
        <w:footnoteReference w:id="6"/>
      </w:r>
      <w:r>
        <w:rPr>
          <w:noProof/>
        </w:rPr>
        <w:t xml:space="preserve"> </w:t>
      </w:r>
    </w:p>
    <w:p w:rsidR="003E180D" w:rsidRDefault="003E180D" w:rsidP="003E180D">
      <w:pPr>
        <w:pStyle w:val="Text2"/>
        <w:numPr>
          <w:ilvl w:val="0"/>
          <w:numId w:val="21"/>
        </w:numPr>
        <w:rPr>
          <w:noProof/>
        </w:rPr>
      </w:pPr>
      <w:r>
        <w:rPr>
          <w:b/>
          <w:noProof/>
        </w:rPr>
        <w:t xml:space="preserve">NOx reduction: </w:t>
      </w:r>
      <w:r>
        <w:rPr>
          <w:noProof/>
        </w:rPr>
        <w:t>NO</w:t>
      </w:r>
      <w:r>
        <w:rPr>
          <w:noProof/>
          <w:vertAlign w:val="subscript"/>
        </w:rPr>
        <w:t>x</w:t>
      </w:r>
      <w:r>
        <w:rPr>
          <w:noProof/>
        </w:rPr>
        <w:t xml:space="preserve"> emissions (in ktons NO</w:t>
      </w:r>
      <w:r>
        <w:rPr>
          <w:noProof/>
          <w:vertAlign w:val="subscript"/>
        </w:rPr>
        <w:t>x</w:t>
      </w:r>
      <w:r>
        <w:rPr>
          <w:noProof/>
        </w:rPr>
        <w:t xml:space="preserve">) from road transport with respect to the baseline (see Section 6.2.4.4.3 of the Impact Assessment); </w:t>
      </w:r>
    </w:p>
    <w:p w:rsidR="003E180D" w:rsidRDefault="003E180D" w:rsidP="003E180D">
      <w:pPr>
        <w:pStyle w:val="Text2"/>
        <w:numPr>
          <w:ilvl w:val="0"/>
          <w:numId w:val="21"/>
        </w:numPr>
        <w:rPr>
          <w:noProof/>
        </w:rPr>
      </w:pPr>
      <w:r>
        <w:rPr>
          <w:b/>
          <w:noProof/>
        </w:rPr>
        <w:t xml:space="preserve">PM reduction: </w:t>
      </w:r>
      <w:r>
        <w:rPr>
          <w:noProof/>
        </w:rPr>
        <w:t>Particulate matter emissions (in ktons PM</w:t>
      </w:r>
      <w:r>
        <w:rPr>
          <w:noProof/>
          <w:vertAlign w:val="subscript"/>
        </w:rPr>
        <w:t>2.5</w:t>
      </w:r>
      <w:r>
        <w:rPr>
          <w:noProof/>
        </w:rPr>
        <w:t xml:space="preserve">) from road transport with respect to the baseline (see Section 6.2.4.4.3 of the Impact Assessment); </w:t>
      </w:r>
    </w:p>
    <w:p w:rsidR="003E180D" w:rsidRDefault="003E180D" w:rsidP="003E180D">
      <w:pPr>
        <w:pStyle w:val="Text2"/>
        <w:numPr>
          <w:ilvl w:val="0"/>
          <w:numId w:val="21"/>
        </w:numPr>
        <w:rPr>
          <w:noProof/>
        </w:rPr>
      </w:pPr>
      <w:r>
        <w:rPr>
          <w:b/>
          <w:noProof/>
        </w:rPr>
        <w:t xml:space="preserve">GDP: </w:t>
      </w:r>
      <w:r>
        <w:rPr>
          <w:noProof/>
        </w:rPr>
        <w:t xml:space="preserve">Change of Gross Domestic Product in 2025 and 2030 with respect to the baseline (see Section 6.2.4.2.6 of the Impact Assessment); </w:t>
      </w:r>
    </w:p>
    <w:p w:rsidR="003E180D" w:rsidRDefault="003E180D" w:rsidP="003E180D">
      <w:pPr>
        <w:pStyle w:val="Text2"/>
        <w:numPr>
          <w:ilvl w:val="0"/>
          <w:numId w:val="21"/>
        </w:numPr>
        <w:rPr>
          <w:noProof/>
        </w:rPr>
      </w:pPr>
      <w:r>
        <w:rPr>
          <w:b/>
          <w:noProof/>
        </w:rPr>
        <w:t xml:space="preserve">Employment: </w:t>
      </w:r>
      <w:r>
        <w:rPr>
          <w:noProof/>
        </w:rPr>
        <w:t>Change of number of persons employed in the EU-28 in 2025 and 2030, expressed in percentage with respect to the baseline (see Section 6.2.4.2.6 of the Impact Assessment) .</w:t>
      </w:r>
    </w:p>
    <w:p w:rsidR="003E180D" w:rsidRDefault="003E180D" w:rsidP="003E180D">
      <w:pPr>
        <w:pStyle w:val="Text2"/>
        <w:ind w:left="0"/>
        <w:rPr>
          <w:noProof/>
        </w:rPr>
      </w:pPr>
      <w:r>
        <w:rPr>
          <w:noProof/>
        </w:rPr>
        <w:t>"n.a." indicates that the data were not available from the analysis.</w:t>
      </w:r>
    </w:p>
    <w:p w:rsidR="003E180D" w:rsidRDefault="003E180D" w:rsidP="003E180D">
      <w:pPr>
        <w:pStyle w:val="Text2"/>
        <w:rPr>
          <w:noProof/>
        </w:rPr>
        <w:sectPr w:rsidR="003E180D">
          <w:headerReference w:type="even" r:id="rId19"/>
          <w:headerReference w:type="default" r:id="rId20"/>
          <w:footerReference w:type="even" r:id="rId21"/>
          <w:footerReference w:type="default" r:id="rId22"/>
          <w:headerReference w:type="first" r:id="rId23"/>
          <w:footerReference w:type="first" r:id="rId24"/>
          <w:pgSz w:w="11906" w:h="16838"/>
          <w:pgMar w:top="1021" w:right="1701" w:bottom="1021" w:left="1588" w:header="601" w:footer="1077" w:gutter="0"/>
          <w:cols w:space="720"/>
          <w:docGrid w:linePitch="326"/>
        </w:sectPr>
      </w:pPr>
    </w:p>
    <w:p w:rsidR="003E180D" w:rsidRDefault="003E180D" w:rsidP="003E180D">
      <w:pPr>
        <w:pStyle w:val="Caption"/>
        <w:keepNext/>
        <w:jc w:val="both"/>
        <w:rPr>
          <w:rFonts w:cstheme="minorBidi"/>
          <w:b w:val="0"/>
          <w:noProof/>
          <w:szCs w:val="22"/>
        </w:rPr>
      </w:pPr>
      <w:bookmarkStart w:id="198" w:name="_Ref511918373"/>
      <w:bookmarkStart w:id="199" w:name="_Toc508127510"/>
      <w:bookmarkStart w:id="200" w:name="_Toc508127863"/>
      <w:r>
        <w:rPr>
          <w:noProof/>
        </w:rP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bookmarkEnd w:id="198"/>
      <w:r>
        <w:rPr>
          <w:noProof/>
        </w:rPr>
        <w:t>: Summary of costs and benefits of different target level</w:t>
      </w:r>
      <w:bookmarkEnd w:id="199"/>
      <w:bookmarkEnd w:id="200"/>
      <w:r>
        <w:rPr>
          <w:noProof/>
        </w:rPr>
        <w:t xml:space="preserve"> options for the base and high cost assumptions</w:t>
      </w:r>
    </w:p>
    <w:tbl>
      <w:tblPr>
        <w:tblW w:w="14884" w:type="dxa"/>
        <w:tblInd w:w="75" w:type="dxa"/>
        <w:tblCellMar>
          <w:left w:w="70" w:type="dxa"/>
          <w:right w:w="70" w:type="dxa"/>
        </w:tblCellMar>
        <w:tblLook w:val="04A0" w:firstRow="1" w:lastRow="0" w:firstColumn="1" w:lastColumn="0" w:noHBand="0" w:noVBand="1"/>
      </w:tblPr>
      <w:tblGrid>
        <w:gridCol w:w="1933"/>
        <w:gridCol w:w="2439"/>
        <w:gridCol w:w="1309"/>
        <w:gridCol w:w="1249"/>
        <w:gridCol w:w="1250"/>
        <w:gridCol w:w="1243"/>
        <w:gridCol w:w="1349"/>
        <w:gridCol w:w="1130"/>
        <w:gridCol w:w="1418"/>
        <w:gridCol w:w="1564"/>
      </w:tblGrid>
      <w:tr w:rsidR="003E180D" w:rsidTr="0088305C">
        <w:trPr>
          <w:trHeight w:val="346"/>
        </w:trPr>
        <w:tc>
          <w:tcPr>
            <w:tcW w:w="1933" w:type="dxa"/>
            <w:vMerge w:val="restart"/>
            <w:tcBorders>
              <w:top w:val="single" w:sz="4" w:space="0" w:color="auto"/>
              <w:left w:val="single" w:sz="4" w:space="0" w:color="auto"/>
              <w:bottom w:val="single" w:sz="4" w:space="0" w:color="000000"/>
              <w:right w:val="double" w:sz="6" w:space="0" w:color="3F3F3F"/>
            </w:tcBorders>
            <w:shd w:val="clear" w:color="000000" w:fill="FFFFFF"/>
            <w:noWrap/>
            <w:vAlign w:val="center"/>
            <w:hideMark/>
          </w:tcPr>
          <w:p w:rsidR="003E180D" w:rsidRDefault="003E180D" w:rsidP="0088305C">
            <w:pPr>
              <w:spacing w:after="0" w:line="240" w:lineRule="auto"/>
              <w:jc w:val="center"/>
              <w:rPr>
                <w:rFonts w:eastAsia="Times New Roman" w:cs="Times New Roman"/>
                <w:b/>
                <w:bCs/>
                <w:noProof/>
                <w:color w:val="000000"/>
                <w:szCs w:val="24"/>
                <w:lang w:val="en-US" w:eastAsia="fr-BE"/>
              </w:rPr>
            </w:pPr>
            <w:bookmarkStart w:id="201" w:name="_Toc508127864"/>
            <w:bookmarkEnd w:id="201"/>
            <w:r>
              <w:rPr>
                <w:rFonts w:eastAsia="Times New Roman" w:cs="Times New Roman"/>
                <w:b/>
                <w:bCs/>
                <w:noProof/>
                <w:color w:val="000000"/>
                <w:szCs w:val="24"/>
                <w:lang w:val="en-US" w:eastAsia="fr-BE"/>
              </w:rPr>
              <w:t xml:space="preserve">2025 </w:t>
            </w:r>
            <w:r>
              <w:rPr>
                <w:rFonts w:eastAsia="Times New Roman" w:cs="Times New Roman"/>
                <w:b/>
                <w:bCs/>
                <w:noProof/>
                <w:color w:val="000000"/>
                <w:szCs w:val="24"/>
                <w:lang w:val="en-US" w:eastAsia="fr-BE"/>
              </w:rPr>
              <w:br/>
              <w:t>Base cost assumptions</w:t>
            </w:r>
          </w:p>
        </w:tc>
        <w:tc>
          <w:tcPr>
            <w:tcW w:w="2439" w:type="dxa"/>
            <w:vMerge w:val="restart"/>
            <w:tcBorders>
              <w:top w:val="double" w:sz="6" w:space="0" w:color="3F3F3F"/>
              <w:left w:val="double" w:sz="6" w:space="0" w:color="3F3F3F"/>
              <w:bottom w:val="double" w:sz="6" w:space="0" w:color="3F3F3F"/>
              <w:right w:val="double" w:sz="6" w:space="0" w:color="3F3F3F"/>
            </w:tcBorders>
            <w:shd w:val="clear" w:color="000000" w:fill="A5A5A5"/>
            <w:noWrap/>
            <w:vAlign w:val="center"/>
            <w:hideMark/>
          </w:tcPr>
          <w:p w:rsidR="003E180D" w:rsidRDefault="003E180D" w:rsidP="0088305C">
            <w:pPr>
              <w:spacing w:after="0" w:line="240" w:lineRule="auto"/>
              <w:jc w:val="center"/>
              <w:rPr>
                <w:rFonts w:eastAsia="Times New Roman" w:cs="Times New Roman"/>
                <w:b/>
                <w:bCs/>
                <w:noProof/>
                <w:color w:val="FFFFFF"/>
                <w:szCs w:val="24"/>
                <w:lang w:val="en-US" w:eastAsia="fr-BE"/>
              </w:rPr>
            </w:pPr>
            <w:r>
              <w:rPr>
                <w:rFonts w:eastAsia="Times New Roman" w:cs="Times New Roman"/>
                <w:b/>
                <w:bCs/>
                <w:noProof/>
                <w:color w:val="FFFFFF"/>
                <w:szCs w:val="24"/>
                <w:lang w:val="en-US" w:eastAsia="fr-BE"/>
              </w:rPr>
              <w:t>Costs</w:t>
            </w:r>
          </w:p>
        </w:tc>
        <w:tc>
          <w:tcPr>
            <w:tcW w:w="10512" w:type="dxa"/>
            <w:gridSpan w:val="8"/>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3E180D" w:rsidRDefault="003E180D" w:rsidP="0088305C">
            <w:pPr>
              <w:spacing w:after="0" w:line="240" w:lineRule="auto"/>
              <w:jc w:val="center"/>
              <w:rPr>
                <w:rFonts w:eastAsia="Times New Roman" w:cs="Times New Roman"/>
                <w:b/>
                <w:bCs/>
                <w:noProof/>
                <w:color w:val="FFFFFF"/>
                <w:szCs w:val="24"/>
                <w:lang w:val="en-US" w:eastAsia="fr-BE"/>
              </w:rPr>
            </w:pPr>
            <w:r>
              <w:rPr>
                <w:rFonts w:eastAsia="Times New Roman" w:cs="Times New Roman"/>
                <w:b/>
                <w:bCs/>
                <w:noProof/>
                <w:color w:val="FFFFFF"/>
                <w:szCs w:val="24"/>
                <w:lang w:val="en-US" w:eastAsia="fr-BE"/>
              </w:rPr>
              <w:t>Benefits</w:t>
            </w:r>
          </w:p>
        </w:tc>
      </w:tr>
      <w:tr w:rsidR="003E180D" w:rsidTr="0088305C">
        <w:trPr>
          <w:trHeight w:val="330"/>
        </w:trPr>
        <w:tc>
          <w:tcPr>
            <w:tcW w:w="1933" w:type="dxa"/>
            <w:vMerge/>
            <w:tcBorders>
              <w:top w:val="single" w:sz="4" w:space="0" w:color="auto"/>
              <w:left w:val="single" w:sz="4" w:space="0" w:color="auto"/>
              <w:bottom w:val="single" w:sz="4" w:space="0" w:color="000000"/>
              <w:right w:val="double" w:sz="6" w:space="0" w:color="3F3F3F"/>
            </w:tcBorders>
            <w:vAlign w:val="center"/>
            <w:hideMark/>
          </w:tcPr>
          <w:p w:rsidR="003E180D" w:rsidRDefault="003E180D" w:rsidP="0088305C">
            <w:pPr>
              <w:spacing w:after="0" w:line="240" w:lineRule="auto"/>
              <w:rPr>
                <w:rFonts w:eastAsia="Times New Roman" w:cs="Times New Roman"/>
                <w:b/>
                <w:bCs/>
                <w:noProof/>
                <w:color w:val="000000"/>
                <w:szCs w:val="24"/>
                <w:lang w:val="en-US" w:eastAsia="fr-BE"/>
              </w:rPr>
            </w:pPr>
          </w:p>
        </w:tc>
        <w:tc>
          <w:tcPr>
            <w:tcW w:w="2439" w:type="dxa"/>
            <w:vMerge/>
            <w:tcBorders>
              <w:top w:val="double" w:sz="6" w:space="0" w:color="3F3F3F"/>
              <w:left w:val="double" w:sz="6" w:space="0" w:color="3F3F3F"/>
              <w:bottom w:val="double" w:sz="6" w:space="0" w:color="3F3F3F"/>
              <w:right w:val="double" w:sz="6" w:space="0" w:color="3F3F3F"/>
            </w:tcBorders>
            <w:vAlign w:val="center"/>
            <w:hideMark/>
          </w:tcPr>
          <w:p w:rsidR="003E180D" w:rsidRDefault="003E180D" w:rsidP="0088305C">
            <w:pPr>
              <w:spacing w:after="0" w:line="240" w:lineRule="auto"/>
              <w:jc w:val="center"/>
              <w:rPr>
                <w:rFonts w:eastAsia="Times New Roman" w:cs="Times New Roman"/>
                <w:b/>
                <w:bCs/>
                <w:noProof/>
                <w:color w:val="FFFFFF"/>
                <w:szCs w:val="24"/>
                <w:lang w:val="en-US" w:eastAsia="fr-BE"/>
              </w:rPr>
            </w:pPr>
          </w:p>
        </w:tc>
        <w:tc>
          <w:tcPr>
            <w:tcW w:w="3808" w:type="dxa"/>
            <w:gridSpan w:val="3"/>
            <w:tcBorders>
              <w:top w:val="nil"/>
              <w:left w:val="nil"/>
              <w:bottom w:val="double" w:sz="6" w:space="0" w:color="3F3F3F"/>
              <w:right w:val="double" w:sz="6" w:space="0" w:color="3F3F3F"/>
            </w:tcBorders>
            <w:shd w:val="clear" w:color="000000" w:fill="A5A5A5"/>
            <w:noWrap/>
            <w:vAlign w:val="center"/>
            <w:hideMark/>
          </w:tcPr>
          <w:p w:rsidR="003E180D" w:rsidRDefault="003E180D" w:rsidP="0088305C">
            <w:pPr>
              <w:spacing w:after="0" w:line="240" w:lineRule="auto"/>
              <w:jc w:val="center"/>
              <w:rPr>
                <w:rFonts w:eastAsia="Times New Roman" w:cs="Times New Roman"/>
                <w:b/>
                <w:bCs/>
                <w:noProof/>
                <w:color w:val="FFFFFF"/>
                <w:szCs w:val="24"/>
                <w:lang w:val="en-US" w:eastAsia="fr-BE"/>
              </w:rPr>
            </w:pPr>
            <w:r>
              <w:rPr>
                <w:rFonts w:eastAsia="Times New Roman" w:cs="Times New Roman"/>
                <w:b/>
                <w:bCs/>
                <w:noProof/>
                <w:color w:val="FFFFFF"/>
                <w:szCs w:val="24"/>
                <w:lang w:val="en-US" w:eastAsia="fr-BE"/>
              </w:rPr>
              <w:t>Net Savings</w:t>
            </w:r>
          </w:p>
        </w:tc>
        <w:tc>
          <w:tcPr>
            <w:tcW w:w="3722" w:type="dxa"/>
            <w:gridSpan w:val="3"/>
            <w:tcBorders>
              <w:top w:val="nil"/>
              <w:left w:val="nil"/>
              <w:bottom w:val="double" w:sz="6" w:space="0" w:color="3F3F3F"/>
              <w:right w:val="nil"/>
            </w:tcBorders>
            <w:shd w:val="clear" w:color="000000" w:fill="A5A5A5"/>
            <w:noWrap/>
            <w:vAlign w:val="center"/>
            <w:hideMark/>
          </w:tcPr>
          <w:p w:rsidR="003E180D" w:rsidRDefault="003E180D" w:rsidP="0088305C">
            <w:pPr>
              <w:spacing w:after="0" w:line="240" w:lineRule="auto"/>
              <w:jc w:val="center"/>
              <w:rPr>
                <w:rFonts w:eastAsia="Times New Roman" w:cs="Times New Roman"/>
                <w:b/>
                <w:bCs/>
                <w:noProof/>
                <w:color w:val="FFFFFF"/>
                <w:szCs w:val="24"/>
                <w:lang w:val="en-US" w:eastAsia="fr-BE"/>
              </w:rPr>
            </w:pPr>
            <w:r>
              <w:rPr>
                <w:rFonts w:eastAsia="Times New Roman" w:cs="Times New Roman"/>
                <w:b/>
                <w:bCs/>
                <w:noProof/>
                <w:color w:val="FFFFFF"/>
                <w:szCs w:val="24"/>
                <w:lang w:val="en-US" w:eastAsia="fr-BE"/>
              </w:rPr>
              <w:t>Environmental</w:t>
            </w:r>
          </w:p>
        </w:tc>
        <w:tc>
          <w:tcPr>
            <w:tcW w:w="2982" w:type="dxa"/>
            <w:gridSpan w:val="2"/>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3E180D" w:rsidRDefault="003E180D" w:rsidP="0088305C">
            <w:pPr>
              <w:spacing w:after="0" w:line="240" w:lineRule="auto"/>
              <w:jc w:val="center"/>
              <w:rPr>
                <w:rFonts w:eastAsia="Times New Roman" w:cs="Times New Roman"/>
                <w:b/>
                <w:bCs/>
                <w:noProof/>
                <w:color w:val="FFFFFF"/>
                <w:szCs w:val="24"/>
                <w:lang w:val="en-US" w:eastAsia="fr-BE"/>
              </w:rPr>
            </w:pPr>
            <w:r>
              <w:rPr>
                <w:rFonts w:eastAsia="Times New Roman" w:cs="Times New Roman"/>
                <w:b/>
                <w:bCs/>
                <w:noProof/>
                <w:color w:val="FFFFFF"/>
                <w:szCs w:val="24"/>
                <w:lang w:val="en-US" w:eastAsia="fr-BE"/>
              </w:rPr>
              <w:t>Macro-economic</w:t>
            </w:r>
          </w:p>
        </w:tc>
      </w:tr>
      <w:tr w:rsidR="003E180D" w:rsidTr="0088305C">
        <w:trPr>
          <w:trHeight w:val="1038"/>
        </w:trPr>
        <w:tc>
          <w:tcPr>
            <w:tcW w:w="1933" w:type="dxa"/>
            <w:tcBorders>
              <w:top w:val="single" w:sz="4" w:space="0" w:color="7F7F7F"/>
              <w:left w:val="single" w:sz="4" w:space="0" w:color="7F7F7F"/>
              <w:bottom w:val="single" w:sz="4" w:space="0" w:color="7F7F7F"/>
              <w:right w:val="single" w:sz="4" w:space="0" w:color="7F7F7F"/>
            </w:tcBorders>
            <w:shd w:val="clear" w:color="000000" w:fill="F2F2F2"/>
            <w:noWrap/>
            <w:vAlign w:val="center"/>
            <w:hideMark/>
          </w:tcPr>
          <w:p w:rsidR="003E180D" w:rsidRDefault="003E180D" w:rsidP="0088305C">
            <w:pPr>
              <w:spacing w:after="0" w:line="240" w:lineRule="auto"/>
              <w:jc w:val="center"/>
              <w:rPr>
                <w:rFonts w:eastAsia="Times New Roman" w:cs="Times New Roman"/>
                <w:bCs/>
                <w:noProof/>
                <w:color w:val="000000" w:themeColor="text1"/>
                <w:szCs w:val="24"/>
                <w:lang w:val="en-US" w:eastAsia="fr-BE"/>
              </w:rPr>
            </w:pPr>
            <w:r>
              <w:rPr>
                <w:rFonts w:eastAsia="Times New Roman" w:cs="Times New Roman"/>
                <w:bCs/>
                <w:noProof/>
                <w:color w:val="000000" w:themeColor="text1"/>
                <w:szCs w:val="24"/>
                <w:lang w:val="en-US" w:eastAsia="fr-BE"/>
              </w:rPr>
              <w:t>Target Level option</w:t>
            </w:r>
          </w:p>
        </w:tc>
        <w:tc>
          <w:tcPr>
            <w:tcW w:w="2439" w:type="dxa"/>
            <w:tcBorders>
              <w:top w:val="single" w:sz="4" w:space="0" w:color="7F7F7F"/>
              <w:left w:val="nil"/>
              <w:bottom w:val="single" w:sz="4" w:space="0" w:color="7F7F7F"/>
              <w:right w:val="single" w:sz="4" w:space="0" w:color="7F7F7F"/>
            </w:tcBorders>
            <w:shd w:val="clear" w:color="000000" w:fill="F2F2F2"/>
            <w:vAlign w:val="center"/>
            <w:hideMark/>
          </w:tcPr>
          <w:p w:rsidR="003E180D" w:rsidRDefault="003E180D" w:rsidP="0088305C">
            <w:pPr>
              <w:spacing w:after="0" w:line="240" w:lineRule="auto"/>
              <w:jc w:val="center"/>
              <w:rPr>
                <w:rFonts w:eastAsia="Times New Roman" w:cs="Times New Roman"/>
                <w:bCs/>
                <w:noProof/>
                <w:color w:val="000000" w:themeColor="text1"/>
                <w:szCs w:val="24"/>
                <w:lang w:val="en-US" w:eastAsia="fr-BE"/>
              </w:rPr>
            </w:pPr>
            <w:r>
              <w:rPr>
                <w:rFonts w:eastAsia="Times New Roman" w:cs="Times New Roman"/>
                <w:bCs/>
                <w:noProof/>
                <w:color w:val="000000" w:themeColor="text1"/>
                <w:szCs w:val="24"/>
                <w:lang w:val="en-US" w:eastAsia="fr-BE"/>
              </w:rPr>
              <w:t xml:space="preserve">Manufacturing costs </w:t>
            </w:r>
            <w:r>
              <w:rPr>
                <w:rFonts w:eastAsia="Times New Roman" w:cs="Times New Roman"/>
                <w:bCs/>
                <w:noProof/>
                <w:color w:val="000000" w:themeColor="text1"/>
                <w:szCs w:val="24"/>
                <w:lang w:val="en-US" w:eastAsia="fr-BE"/>
              </w:rPr>
              <w:br/>
              <w:t>EUR</w:t>
            </w:r>
            <w:r>
              <w:rPr>
                <w:rFonts w:eastAsia="Times New Roman" w:cs="Times New Roman"/>
                <w:noProof/>
                <w:color w:val="000000" w:themeColor="text1"/>
                <w:szCs w:val="24"/>
                <w:lang w:val="en-US" w:eastAsia="fr-BE"/>
              </w:rPr>
              <w:t>/lorry</w:t>
            </w:r>
          </w:p>
        </w:tc>
        <w:tc>
          <w:tcPr>
            <w:tcW w:w="1309" w:type="dxa"/>
            <w:tcBorders>
              <w:top w:val="single" w:sz="4" w:space="0" w:color="7F7F7F"/>
              <w:left w:val="nil"/>
              <w:bottom w:val="single" w:sz="4" w:space="0" w:color="7F7F7F"/>
              <w:right w:val="single" w:sz="4" w:space="0" w:color="7F7F7F"/>
            </w:tcBorders>
            <w:shd w:val="clear" w:color="000000" w:fill="F2F2F2"/>
            <w:vAlign w:val="center"/>
            <w:hideMark/>
          </w:tcPr>
          <w:p w:rsidR="003E180D" w:rsidRDefault="003E180D" w:rsidP="0088305C">
            <w:pPr>
              <w:spacing w:after="0" w:line="240" w:lineRule="auto"/>
              <w:jc w:val="center"/>
              <w:rPr>
                <w:rFonts w:eastAsia="Times New Roman" w:cs="Times New Roman"/>
                <w:bCs/>
                <w:noProof/>
                <w:color w:val="000000" w:themeColor="text1"/>
                <w:szCs w:val="24"/>
                <w:lang w:val="fr-BE" w:eastAsia="fr-BE"/>
              </w:rPr>
            </w:pPr>
            <w:r>
              <w:rPr>
                <w:rFonts w:eastAsia="Times New Roman" w:cs="Times New Roman"/>
                <w:bCs/>
                <w:noProof/>
                <w:color w:val="000000" w:themeColor="text1"/>
                <w:szCs w:val="24"/>
                <w:lang w:val="en-US" w:eastAsia="fr-BE"/>
              </w:rPr>
              <w:t>Societal persp</w:t>
            </w:r>
            <w:r>
              <w:rPr>
                <w:rFonts w:eastAsia="Times New Roman" w:cs="Times New Roman"/>
                <w:bCs/>
                <w:noProof/>
                <w:color w:val="000000" w:themeColor="text1"/>
                <w:szCs w:val="24"/>
                <w:lang w:val="fr-BE" w:eastAsia="fr-BE"/>
              </w:rPr>
              <w:t>ective</w:t>
            </w:r>
            <w:r>
              <w:rPr>
                <w:rFonts w:eastAsia="Times New Roman" w:cs="Times New Roman"/>
                <w:bCs/>
                <w:noProof/>
                <w:color w:val="000000" w:themeColor="text1"/>
                <w:szCs w:val="24"/>
                <w:lang w:val="fr-BE" w:eastAsia="fr-BE"/>
              </w:rPr>
              <w:br/>
              <w:t>EUR</w:t>
            </w:r>
            <w:r>
              <w:rPr>
                <w:rFonts w:eastAsia="Times New Roman" w:cs="Times New Roman"/>
                <w:noProof/>
                <w:color w:val="000000" w:themeColor="text1"/>
                <w:szCs w:val="24"/>
                <w:lang w:val="fr-BE" w:eastAsia="fr-BE"/>
              </w:rPr>
              <w:t>/lorry</w:t>
            </w:r>
          </w:p>
        </w:tc>
        <w:tc>
          <w:tcPr>
            <w:tcW w:w="1249" w:type="dxa"/>
            <w:tcBorders>
              <w:top w:val="single" w:sz="4" w:space="0" w:color="7F7F7F"/>
              <w:left w:val="nil"/>
              <w:bottom w:val="single" w:sz="4" w:space="0" w:color="7F7F7F"/>
              <w:right w:val="single" w:sz="4" w:space="0" w:color="7F7F7F"/>
            </w:tcBorders>
            <w:shd w:val="clear" w:color="000000" w:fill="F2F2F2"/>
            <w:vAlign w:val="center"/>
            <w:hideMark/>
          </w:tcPr>
          <w:p w:rsidR="003E180D" w:rsidRDefault="003E180D" w:rsidP="0088305C">
            <w:pPr>
              <w:spacing w:after="0" w:line="240" w:lineRule="auto"/>
              <w:jc w:val="center"/>
              <w:rPr>
                <w:rFonts w:eastAsia="Times New Roman"/>
                <w:noProof/>
                <w:color w:val="000000" w:themeColor="text1"/>
                <w:lang w:eastAsia="fr-BE"/>
              </w:rPr>
            </w:pPr>
            <w:r>
              <w:rPr>
                <w:rFonts w:eastAsia="Times New Roman"/>
                <w:noProof/>
                <w:color w:val="000000" w:themeColor="text1"/>
                <w:lang w:eastAsia="fr-BE"/>
              </w:rPr>
              <w:t>TCO first use</w:t>
            </w:r>
            <w:r>
              <w:rPr>
                <w:rFonts w:eastAsia="Times New Roman"/>
                <w:noProof/>
                <w:color w:val="000000" w:themeColor="text1"/>
                <w:lang w:eastAsia="fr-BE"/>
              </w:rPr>
              <w:br/>
              <w:t>EUR/lorry</w:t>
            </w:r>
          </w:p>
        </w:tc>
        <w:tc>
          <w:tcPr>
            <w:tcW w:w="1250" w:type="dxa"/>
            <w:tcBorders>
              <w:top w:val="single" w:sz="4" w:space="0" w:color="7F7F7F"/>
              <w:left w:val="nil"/>
              <w:bottom w:val="single" w:sz="4" w:space="0" w:color="7F7F7F"/>
              <w:right w:val="single" w:sz="4" w:space="0" w:color="7F7F7F"/>
            </w:tcBorders>
            <w:shd w:val="clear" w:color="000000" w:fill="F2F2F2"/>
            <w:vAlign w:val="center"/>
            <w:hideMark/>
          </w:tcPr>
          <w:p w:rsidR="003E180D" w:rsidRDefault="003E180D" w:rsidP="0088305C">
            <w:pPr>
              <w:spacing w:after="0" w:line="240" w:lineRule="auto"/>
              <w:jc w:val="center"/>
              <w:rPr>
                <w:rFonts w:eastAsia="Times New Roman" w:cs="Times New Roman"/>
                <w:noProof/>
                <w:color w:val="000000" w:themeColor="text1"/>
                <w:szCs w:val="24"/>
                <w:lang w:eastAsia="fr-BE"/>
              </w:rPr>
            </w:pPr>
            <w:r>
              <w:rPr>
                <w:rFonts w:eastAsia="Times New Roman" w:cs="Times New Roman"/>
                <w:noProof/>
                <w:color w:val="000000" w:themeColor="text1"/>
                <w:szCs w:val="24"/>
                <w:lang w:eastAsia="fr-BE"/>
              </w:rPr>
              <w:t>TCO second use</w:t>
            </w:r>
            <w:r>
              <w:rPr>
                <w:rFonts w:eastAsia="Times New Roman" w:cs="Times New Roman"/>
                <w:noProof/>
                <w:color w:val="000000" w:themeColor="text1"/>
                <w:szCs w:val="24"/>
                <w:lang w:eastAsia="fr-BE"/>
              </w:rPr>
              <w:br/>
              <w:t>EUR/lorry</w:t>
            </w:r>
          </w:p>
        </w:tc>
        <w:tc>
          <w:tcPr>
            <w:tcW w:w="1243" w:type="dxa"/>
            <w:tcBorders>
              <w:top w:val="single" w:sz="4" w:space="0" w:color="7F7F7F"/>
              <w:left w:val="nil"/>
              <w:bottom w:val="nil"/>
              <w:right w:val="single" w:sz="4" w:space="0" w:color="7F7F7F"/>
            </w:tcBorders>
            <w:shd w:val="clear" w:color="000000" w:fill="F2F2F2"/>
            <w:vAlign w:val="center"/>
            <w:hideMark/>
          </w:tcPr>
          <w:p w:rsidR="003E180D" w:rsidRDefault="003E180D" w:rsidP="0088305C">
            <w:pPr>
              <w:spacing w:after="0" w:line="240" w:lineRule="auto"/>
              <w:jc w:val="center"/>
              <w:rPr>
                <w:rFonts w:eastAsia="Times New Roman"/>
                <w:noProof/>
                <w:color w:val="000000" w:themeColor="text1"/>
                <w:lang w:eastAsia="fr-BE"/>
              </w:rPr>
            </w:pPr>
            <w:r>
              <w:rPr>
                <w:rFonts w:eastAsia="Times New Roman"/>
                <w:noProof/>
                <w:color w:val="000000" w:themeColor="text1"/>
                <w:lang w:eastAsia="fr-BE"/>
              </w:rPr>
              <w:t>Avoided CO</w:t>
            </w:r>
            <w:r>
              <w:rPr>
                <w:rFonts w:eastAsia="Times New Roman"/>
                <w:noProof/>
                <w:color w:val="000000" w:themeColor="text1"/>
                <w:vertAlign w:val="subscript"/>
                <w:lang w:eastAsia="fr-BE"/>
              </w:rPr>
              <w:t>2</w:t>
            </w:r>
            <w:r>
              <w:rPr>
                <w:rFonts w:eastAsia="Times New Roman"/>
                <w:noProof/>
                <w:color w:val="000000" w:themeColor="text1"/>
                <w:lang w:eastAsia="fr-BE"/>
              </w:rPr>
              <w:t xml:space="preserve"> costs EUR/lorry</w:t>
            </w:r>
          </w:p>
        </w:tc>
        <w:tc>
          <w:tcPr>
            <w:tcW w:w="1349" w:type="dxa"/>
            <w:tcBorders>
              <w:top w:val="single" w:sz="4" w:space="0" w:color="7F7F7F"/>
              <w:left w:val="nil"/>
              <w:bottom w:val="nil"/>
              <w:right w:val="single" w:sz="4" w:space="0" w:color="7F7F7F"/>
            </w:tcBorders>
            <w:shd w:val="clear" w:color="000000" w:fill="F2F2F2"/>
            <w:vAlign w:val="center"/>
            <w:hideMark/>
          </w:tcPr>
          <w:p w:rsidR="003E180D" w:rsidRDefault="003E180D" w:rsidP="0088305C">
            <w:pPr>
              <w:spacing w:after="0" w:line="240" w:lineRule="auto"/>
              <w:jc w:val="center"/>
              <w:rPr>
                <w:rFonts w:eastAsia="Times New Roman" w:cs="Times New Roman"/>
                <w:bCs/>
                <w:noProof/>
                <w:color w:val="000000" w:themeColor="text1"/>
                <w:szCs w:val="24"/>
                <w:lang w:val="fr-BE" w:eastAsia="fr-BE"/>
              </w:rPr>
            </w:pPr>
            <w:r>
              <w:rPr>
                <w:rFonts w:eastAsia="Times New Roman" w:cs="Times New Roman"/>
                <w:bCs/>
                <w:noProof/>
                <w:color w:val="000000" w:themeColor="text1"/>
                <w:szCs w:val="24"/>
                <w:lang w:val="fr-BE" w:eastAsia="fr-BE"/>
              </w:rPr>
              <w:t>NO</w:t>
            </w:r>
            <w:r>
              <w:rPr>
                <w:rFonts w:eastAsia="Times New Roman" w:cs="Times New Roman"/>
                <w:bCs/>
                <w:noProof/>
                <w:color w:val="000000" w:themeColor="text1"/>
                <w:szCs w:val="24"/>
                <w:vertAlign w:val="subscript"/>
                <w:lang w:val="fr-BE" w:eastAsia="fr-BE"/>
              </w:rPr>
              <w:t>x</w:t>
            </w:r>
            <w:r>
              <w:rPr>
                <w:rFonts w:eastAsia="Times New Roman" w:cs="Times New Roman"/>
                <w:bCs/>
                <w:noProof/>
                <w:color w:val="000000" w:themeColor="text1"/>
                <w:szCs w:val="24"/>
                <w:lang w:val="fr-BE" w:eastAsia="fr-BE"/>
              </w:rPr>
              <w:br/>
              <w:t xml:space="preserve">% </w:t>
            </w:r>
            <w:r>
              <w:rPr>
                <w:rFonts w:eastAsia="Times New Roman" w:cs="Times New Roman"/>
                <w:bCs/>
                <w:noProof/>
                <w:color w:val="000000" w:themeColor="text1"/>
                <w:szCs w:val="24"/>
                <w:lang w:val="fr-BE" w:eastAsia="fr-BE"/>
              </w:rPr>
              <w:br/>
              <w:t>reduction</w:t>
            </w:r>
          </w:p>
        </w:tc>
        <w:tc>
          <w:tcPr>
            <w:tcW w:w="1130" w:type="dxa"/>
            <w:tcBorders>
              <w:top w:val="single" w:sz="4" w:space="0" w:color="7F7F7F"/>
              <w:left w:val="nil"/>
              <w:bottom w:val="nil"/>
              <w:right w:val="single" w:sz="4" w:space="0" w:color="7F7F7F"/>
            </w:tcBorders>
            <w:shd w:val="clear" w:color="000000" w:fill="F2F2F2"/>
            <w:vAlign w:val="center"/>
            <w:hideMark/>
          </w:tcPr>
          <w:p w:rsidR="003E180D" w:rsidRDefault="003E180D" w:rsidP="0088305C">
            <w:pPr>
              <w:spacing w:after="0" w:line="240" w:lineRule="auto"/>
              <w:jc w:val="center"/>
              <w:rPr>
                <w:rFonts w:eastAsia="Times New Roman" w:cs="Times New Roman"/>
                <w:bCs/>
                <w:noProof/>
                <w:color w:val="000000" w:themeColor="text1"/>
                <w:szCs w:val="24"/>
                <w:lang w:val="fr-BE" w:eastAsia="fr-BE"/>
              </w:rPr>
            </w:pPr>
            <w:r>
              <w:rPr>
                <w:rFonts w:eastAsia="Times New Roman" w:cs="Times New Roman"/>
                <w:bCs/>
                <w:noProof/>
                <w:color w:val="000000" w:themeColor="text1"/>
                <w:szCs w:val="24"/>
                <w:lang w:val="fr-BE" w:eastAsia="fr-BE"/>
              </w:rPr>
              <w:t>PM</w:t>
            </w:r>
            <w:r>
              <w:rPr>
                <w:rFonts w:eastAsia="Times New Roman" w:cs="Times New Roman"/>
                <w:bCs/>
                <w:noProof/>
                <w:color w:val="000000" w:themeColor="text1"/>
                <w:szCs w:val="24"/>
                <w:lang w:val="fr-BE" w:eastAsia="fr-BE"/>
              </w:rPr>
              <w:br/>
              <w:t xml:space="preserve">% </w:t>
            </w:r>
            <w:r>
              <w:rPr>
                <w:rFonts w:eastAsia="Times New Roman" w:cs="Times New Roman"/>
                <w:bCs/>
                <w:noProof/>
                <w:color w:val="000000" w:themeColor="text1"/>
                <w:szCs w:val="24"/>
                <w:lang w:val="fr-BE" w:eastAsia="fr-BE"/>
              </w:rPr>
              <w:br/>
              <w:t>reduction</w:t>
            </w:r>
          </w:p>
        </w:tc>
        <w:tc>
          <w:tcPr>
            <w:tcW w:w="1418" w:type="dxa"/>
            <w:tcBorders>
              <w:top w:val="nil"/>
              <w:left w:val="single" w:sz="4" w:space="0" w:color="auto"/>
              <w:bottom w:val="single" w:sz="4" w:space="0" w:color="auto"/>
              <w:right w:val="single" w:sz="4" w:space="0" w:color="auto"/>
            </w:tcBorders>
            <w:shd w:val="clear" w:color="000000" w:fill="F2F2F2"/>
            <w:vAlign w:val="center"/>
            <w:hideMark/>
          </w:tcPr>
          <w:p w:rsidR="003E180D" w:rsidRDefault="003E180D" w:rsidP="0088305C">
            <w:pPr>
              <w:spacing w:after="0" w:line="240" w:lineRule="auto"/>
              <w:jc w:val="center"/>
              <w:rPr>
                <w:rFonts w:eastAsia="Times New Roman" w:cs="Times New Roman"/>
                <w:bCs/>
                <w:noProof/>
                <w:color w:val="000000" w:themeColor="text1"/>
                <w:szCs w:val="24"/>
                <w:lang w:val="fr-BE" w:eastAsia="fr-BE"/>
              </w:rPr>
            </w:pPr>
            <w:r>
              <w:rPr>
                <w:rFonts w:eastAsia="Times New Roman" w:cs="Times New Roman"/>
                <w:bCs/>
                <w:noProof/>
                <w:color w:val="000000" w:themeColor="text1"/>
                <w:szCs w:val="24"/>
                <w:lang w:val="fr-BE" w:eastAsia="fr-BE"/>
              </w:rPr>
              <w:t>GDP</w:t>
            </w:r>
            <w:r>
              <w:rPr>
                <w:rFonts w:eastAsia="Times New Roman" w:cs="Times New Roman"/>
                <w:bCs/>
                <w:noProof/>
                <w:color w:val="000000" w:themeColor="text1"/>
                <w:szCs w:val="24"/>
                <w:lang w:val="fr-BE" w:eastAsia="fr-BE"/>
              </w:rPr>
              <w:br/>
              <w:t xml:space="preserve">% </w:t>
            </w:r>
            <w:r>
              <w:rPr>
                <w:rFonts w:eastAsia="Times New Roman" w:cs="Times New Roman"/>
                <w:bCs/>
                <w:noProof/>
                <w:color w:val="000000" w:themeColor="text1"/>
                <w:szCs w:val="24"/>
                <w:lang w:val="fr-BE" w:eastAsia="fr-BE"/>
              </w:rPr>
              <w:br/>
              <w:t>increase</w:t>
            </w:r>
          </w:p>
        </w:tc>
        <w:tc>
          <w:tcPr>
            <w:tcW w:w="1564" w:type="dxa"/>
            <w:tcBorders>
              <w:top w:val="nil"/>
              <w:left w:val="nil"/>
              <w:bottom w:val="single" w:sz="4" w:space="0" w:color="auto"/>
              <w:right w:val="single" w:sz="4" w:space="0" w:color="auto"/>
            </w:tcBorders>
            <w:shd w:val="clear" w:color="000000" w:fill="F2F2F2"/>
            <w:vAlign w:val="center"/>
            <w:hideMark/>
          </w:tcPr>
          <w:p w:rsidR="003E180D" w:rsidRDefault="003E180D" w:rsidP="0088305C">
            <w:pPr>
              <w:spacing w:after="0" w:line="240" w:lineRule="auto"/>
              <w:jc w:val="center"/>
              <w:rPr>
                <w:rFonts w:eastAsia="Times New Roman" w:cs="Times New Roman"/>
                <w:bCs/>
                <w:noProof/>
                <w:color w:val="000000" w:themeColor="text1"/>
                <w:szCs w:val="24"/>
                <w:lang w:val="fr-BE" w:eastAsia="fr-BE"/>
              </w:rPr>
            </w:pPr>
            <w:r>
              <w:rPr>
                <w:rFonts w:eastAsia="Times New Roman" w:cs="Times New Roman"/>
                <w:bCs/>
                <w:noProof/>
                <w:color w:val="000000" w:themeColor="text1"/>
                <w:szCs w:val="24"/>
                <w:lang w:val="fr-BE" w:eastAsia="fr-BE"/>
              </w:rPr>
              <w:t>Employment</w:t>
            </w:r>
            <w:r>
              <w:rPr>
                <w:rFonts w:eastAsia="Times New Roman" w:cs="Times New Roman"/>
                <w:bCs/>
                <w:noProof/>
                <w:color w:val="000000" w:themeColor="text1"/>
                <w:szCs w:val="24"/>
                <w:lang w:val="fr-BE" w:eastAsia="fr-BE"/>
              </w:rPr>
              <w:br/>
              <w:t xml:space="preserve">% </w:t>
            </w:r>
            <w:r>
              <w:rPr>
                <w:rFonts w:eastAsia="Times New Roman" w:cs="Times New Roman"/>
                <w:bCs/>
                <w:noProof/>
                <w:color w:val="000000" w:themeColor="text1"/>
                <w:szCs w:val="24"/>
                <w:lang w:val="fr-BE" w:eastAsia="fr-BE"/>
              </w:rPr>
              <w:br/>
              <w:t>increase</w:t>
            </w:r>
          </w:p>
        </w:tc>
      </w:tr>
      <w:tr w:rsidR="003E180D" w:rsidTr="0088305C">
        <w:trPr>
          <w:trHeight w:val="340"/>
        </w:trPr>
        <w:tc>
          <w:tcPr>
            <w:tcW w:w="19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TL20</w:t>
            </w:r>
          </w:p>
        </w:tc>
        <w:tc>
          <w:tcPr>
            <w:tcW w:w="243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858</w:t>
            </w:r>
          </w:p>
        </w:tc>
        <w:tc>
          <w:tcPr>
            <w:tcW w:w="1309" w:type="dxa"/>
            <w:tcBorders>
              <w:top w:val="single" w:sz="4" w:space="0" w:color="auto"/>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8,137</w:t>
            </w:r>
          </w:p>
        </w:tc>
        <w:tc>
          <w:tcPr>
            <w:tcW w:w="1249" w:type="dxa"/>
            <w:tcBorders>
              <w:top w:val="single" w:sz="4" w:space="0" w:color="auto"/>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7,323</w:t>
            </w:r>
          </w:p>
        </w:tc>
        <w:tc>
          <w:tcPr>
            <w:tcW w:w="1250" w:type="dxa"/>
            <w:tcBorders>
              <w:top w:val="single" w:sz="4" w:space="0" w:color="auto"/>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5,413</w:t>
            </w:r>
          </w:p>
        </w:tc>
        <w:tc>
          <w:tcPr>
            <w:tcW w:w="1243" w:type="dxa"/>
            <w:tcBorders>
              <w:top w:val="single" w:sz="4" w:space="0" w:color="auto"/>
              <w:left w:val="nil"/>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1,240</w:t>
            </w:r>
          </w:p>
        </w:tc>
        <w:tc>
          <w:tcPr>
            <w:tcW w:w="1349" w:type="dxa"/>
            <w:tcBorders>
              <w:top w:val="single" w:sz="4" w:space="0" w:color="auto"/>
              <w:left w:val="nil"/>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-0,3%</w:t>
            </w:r>
          </w:p>
        </w:tc>
        <w:tc>
          <w:tcPr>
            <w:tcW w:w="1130" w:type="dxa"/>
            <w:tcBorders>
              <w:top w:val="single" w:sz="4" w:space="0" w:color="auto"/>
              <w:left w:val="nil"/>
              <w:bottom w:val="single" w:sz="4" w:space="0" w:color="auto"/>
              <w:right w:val="nil"/>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-0,1%</w:t>
            </w:r>
          </w:p>
        </w:tc>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0,00%</w:t>
            </w:r>
          </w:p>
        </w:tc>
        <w:tc>
          <w:tcPr>
            <w:tcW w:w="1564" w:type="dxa"/>
            <w:tcBorders>
              <w:top w:val="nil"/>
              <w:left w:val="nil"/>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0,00%</w:t>
            </w:r>
          </w:p>
        </w:tc>
      </w:tr>
      <w:tr w:rsidR="003E180D" w:rsidTr="0088305C">
        <w:trPr>
          <w:trHeight w:val="340"/>
        </w:trPr>
        <w:tc>
          <w:tcPr>
            <w:tcW w:w="1933" w:type="dxa"/>
            <w:tcBorders>
              <w:top w:val="nil"/>
              <w:left w:val="single" w:sz="4" w:space="0" w:color="auto"/>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cs="Times New Roman"/>
                <w:noProof/>
                <w:color w:val="000000"/>
                <w:sz w:val="22"/>
                <w:lang w:val="fr-BE" w:eastAsia="fr-BE"/>
              </w:rPr>
              <w:t>TL30NL</w:t>
            </w:r>
          </w:p>
        </w:tc>
        <w:tc>
          <w:tcPr>
            <w:tcW w:w="2439" w:type="dxa"/>
            <w:tcBorders>
              <w:top w:val="nil"/>
              <w:left w:val="single" w:sz="4" w:space="0" w:color="auto"/>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1,770</w:t>
            </w:r>
          </w:p>
        </w:tc>
        <w:tc>
          <w:tcPr>
            <w:tcW w:w="1309"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16,627</w:t>
            </w:r>
          </w:p>
        </w:tc>
        <w:tc>
          <w:tcPr>
            <w:tcW w:w="1249"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14,664</w:t>
            </w:r>
          </w:p>
        </w:tc>
        <w:tc>
          <w:tcPr>
            <w:tcW w:w="125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10,846</w:t>
            </w:r>
          </w:p>
        </w:tc>
        <w:tc>
          <w:tcPr>
            <w:tcW w:w="1243" w:type="dxa"/>
            <w:tcBorders>
              <w:top w:val="nil"/>
              <w:left w:val="nil"/>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2,626</w:t>
            </w:r>
          </w:p>
        </w:tc>
        <w:tc>
          <w:tcPr>
            <w:tcW w:w="1349" w:type="dxa"/>
            <w:tcBorders>
              <w:top w:val="nil"/>
              <w:left w:val="nil"/>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-0,4%</w:t>
            </w:r>
          </w:p>
        </w:tc>
        <w:tc>
          <w:tcPr>
            <w:tcW w:w="1130" w:type="dxa"/>
            <w:tcBorders>
              <w:top w:val="nil"/>
              <w:left w:val="nil"/>
              <w:bottom w:val="single" w:sz="4" w:space="0" w:color="auto"/>
              <w:right w:val="nil"/>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-0,1%</w:t>
            </w:r>
          </w:p>
        </w:tc>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0,01%</w:t>
            </w:r>
          </w:p>
        </w:tc>
        <w:tc>
          <w:tcPr>
            <w:tcW w:w="1564" w:type="dxa"/>
            <w:tcBorders>
              <w:top w:val="nil"/>
              <w:left w:val="nil"/>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0,01%</w:t>
            </w:r>
          </w:p>
        </w:tc>
      </w:tr>
      <w:tr w:rsidR="003E180D" w:rsidTr="0088305C">
        <w:trPr>
          <w:trHeight w:val="340"/>
        </w:trPr>
        <w:tc>
          <w:tcPr>
            <w:tcW w:w="1933" w:type="dxa"/>
            <w:tcBorders>
              <w:top w:val="nil"/>
              <w:left w:val="single" w:sz="4" w:space="0" w:color="auto"/>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TL30</w:t>
            </w:r>
          </w:p>
        </w:tc>
        <w:tc>
          <w:tcPr>
            <w:tcW w:w="2439" w:type="dxa"/>
            <w:tcBorders>
              <w:top w:val="nil"/>
              <w:left w:val="single" w:sz="4" w:space="0" w:color="auto"/>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3,088</w:t>
            </w:r>
          </w:p>
        </w:tc>
        <w:tc>
          <w:tcPr>
            <w:tcW w:w="1309"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27,525</w:t>
            </w:r>
          </w:p>
        </w:tc>
        <w:tc>
          <w:tcPr>
            <w:tcW w:w="1249"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23,438</w:t>
            </w:r>
          </w:p>
        </w:tc>
        <w:tc>
          <w:tcPr>
            <w:tcW w:w="125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17,354</w:t>
            </w:r>
          </w:p>
        </w:tc>
        <w:tc>
          <w:tcPr>
            <w:tcW w:w="1243" w:type="dxa"/>
            <w:tcBorders>
              <w:top w:val="nil"/>
              <w:left w:val="nil"/>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4,668</w:t>
            </w:r>
          </w:p>
        </w:tc>
        <w:tc>
          <w:tcPr>
            <w:tcW w:w="1349" w:type="dxa"/>
            <w:tcBorders>
              <w:top w:val="nil"/>
              <w:left w:val="nil"/>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-0,5%</w:t>
            </w:r>
          </w:p>
        </w:tc>
        <w:tc>
          <w:tcPr>
            <w:tcW w:w="1130" w:type="dxa"/>
            <w:tcBorders>
              <w:top w:val="nil"/>
              <w:left w:val="nil"/>
              <w:bottom w:val="single" w:sz="4" w:space="0" w:color="auto"/>
              <w:right w:val="nil"/>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-0,1%</w:t>
            </w:r>
          </w:p>
        </w:tc>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0,02%</w:t>
            </w:r>
          </w:p>
        </w:tc>
        <w:tc>
          <w:tcPr>
            <w:tcW w:w="1564" w:type="dxa"/>
            <w:tcBorders>
              <w:top w:val="nil"/>
              <w:left w:val="nil"/>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0,01%</w:t>
            </w:r>
          </w:p>
        </w:tc>
      </w:tr>
      <w:tr w:rsidR="003E180D" w:rsidTr="0088305C">
        <w:trPr>
          <w:trHeight w:val="340"/>
        </w:trPr>
        <w:tc>
          <w:tcPr>
            <w:tcW w:w="1933" w:type="dxa"/>
            <w:tcBorders>
              <w:top w:val="nil"/>
              <w:left w:val="single" w:sz="4" w:space="0" w:color="auto"/>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TL32</w:t>
            </w:r>
          </w:p>
        </w:tc>
        <w:tc>
          <w:tcPr>
            <w:tcW w:w="2439" w:type="dxa"/>
            <w:tcBorders>
              <w:top w:val="nil"/>
              <w:left w:val="single" w:sz="4" w:space="0" w:color="auto"/>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4,492</w:t>
            </w:r>
          </w:p>
        </w:tc>
        <w:tc>
          <w:tcPr>
            <w:tcW w:w="1309"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34,820</w:t>
            </w:r>
          </w:p>
        </w:tc>
        <w:tc>
          <w:tcPr>
            <w:tcW w:w="1249"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29,659</w:t>
            </w:r>
          </w:p>
        </w:tc>
        <w:tc>
          <w:tcPr>
            <w:tcW w:w="125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21,950</w:t>
            </w:r>
          </w:p>
        </w:tc>
        <w:tc>
          <w:tcPr>
            <w:tcW w:w="1243" w:type="dxa"/>
            <w:tcBorders>
              <w:top w:val="nil"/>
              <w:left w:val="nil"/>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6,054</w:t>
            </w:r>
          </w:p>
        </w:tc>
        <w:tc>
          <w:tcPr>
            <w:tcW w:w="1349" w:type="dxa"/>
            <w:tcBorders>
              <w:top w:val="nil"/>
              <w:left w:val="nil"/>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-0,6%</w:t>
            </w:r>
          </w:p>
        </w:tc>
        <w:tc>
          <w:tcPr>
            <w:tcW w:w="1130" w:type="dxa"/>
            <w:tcBorders>
              <w:top w:val="nil"/>
              <w:left w:val="nil"/>
              <w:bottom w:val="single" w:sz="4" w:space="0" w:color="auto"/>
              <w:right w:val="nil"/>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-0,1%</w:t>
            </w:r>
          </w:p>
        </w:tc>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0,02%</w:t>
            </w:r>
          </w:p>
        </w:tc>
        <w:tc>
          <w:tcPr>
            <w:tcW w:w="1564" w:type="dxa"/>
            <w:tcBorders>
              <w:top w:val="nil"/>
              <w:left w:val="nil"/>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0,02%</w:t>
            </w:r>
          </w:p>
        </w:tc>
      </w:tr>
      <w:tr w:rsidR="003E180D" w:rsidTr="0088305C">
        <w:trPr>
          <w:trHeight w:val="340"/>
        </w:trPr>
        <w:tc>
          <w:tcPr>
            <w:tcW w:w="1933" w:type="dxa"/>
            <w:tcBorders>
              <w:top w:val="nil"/>
              <w:left w:val="single" w:sz="4" w:space="0" w:color="auto"/>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TL35</w:t>
            </w:r>
          </w:p>
        </w:tc>
        <w:tc>
          <w:tcPr>
            <w:tcW w:w="2439" w:type="dxa"/>
            <w:tcBorders>
              <w:top w:val="nil"/>
              <w:left w:val="single" w:sz="4" w:space="0" w:color="auto"/>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7,339</w:t>
            </w:r>
          </w:p>
        </w:tc>
        <w:tc>
          <w:tcPr>
            <w:tcW w:w="1309"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44,200</w:t>
            </w:r>
          </w:p>
        </w:tc>
        <w:tc>
          <w:tcPr>
            <w:tcW w:w="1249"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37,589</w:t>
            </w:r>
          </w:p>
        </w:tc>
        <w:tc>
          <w:tcPr>
            <w:tcW w:w="125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27,794</w:t>
            </w:r>
          </w:p>
        </w:tc>
        <w:tc>
          <w:tcPr>
            <w:tcW w:w="1243" w:type="dxa"/>
            <w:tcBorders>
              <w:top w:val="nil"/>
              <w:left w:val="nil"/>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8,169</w:t>
            </w:r>
          </w:p>
        </w:tc>
        <w:tc>
          <w:tcPr>
            <w:tcW w:w="1349" w:type="dxa"/>
            <w:tcBorders>
              <w:top w:val="nil"/>
              <w:left w:val="nil"/>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-0,8%</w:t>
            </w:r>
          </w:p>
        </w:tc>
        <w:tc>
          <w:tcPr>
            <w:tcW w:w="1130" w:type="dxa"/>
            <w:tcBorders>
              <w:top w:val="nil"/>
              <w:left w:val="nil"/>
              <w:bottom w:val="single" w:sz="4" w:space="0" w:color="auto"/>
              <w:right w:val="nil"/>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-0,1%</w:t>
            </w:r>
          </w:p>
        </w:tc>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0,03%</w:t>
            </w:r>
          </w:p>
        </w:tc>
        <w:tc>
          <w:tcPr>
            <w:tcW w:w="1564" w:type="dxa"/>
            <w:tcBorders>
              <w:top w:val="nil"/>
              <w:left w:val="nil"/>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0,02%</w:t>
            </w:r>
          </w:p>
        </w:tc>
      </w:tr>
    </w:tbl>
    <w:p w:rsidR="003E180D" w:rsidRDefault="003E180D" w:rsidP="003E180D">
      <w:pPr>
        <w:spacing w:after="0"/>
        <w:rPr>
          <w:rFonts w:cs="Times New Roman"/>
          <w:noProof/>
          <w:szCs w:val="24"/>
        </w:rPr>
      </w:pPr>
    </w:p>
    <w:tbl>
      <w:tblPr>
        <w:tblW w:w="14879" w:type="dxa"/>
        <w:tblInd w:w="75" w:type="dxa"/>
        <w:tblLayout w:type="fixed"/>
        <w:tblCellMar>
          <w:left w:w="70" w:type="dxa"/>
          <w:right w:w="70" w:type="dxa"/>
        </w:tblCellMar>
        <w:tblLook w:val="04A0" w:firstRow="1" w:lastRow="0" w:firstColumn="1" w:lastColumn="0" w:noHBand="0" w:noVBand="1"/>
      </w:tblPr>
      <w:tblGrid>
        <w:gridCol w:w="1920"/>
        <w:gridCol w:w="2421"/>
        <w:gridCol w:w="1300"/>
        <w:gridCol w:w="1240"/>
        <w:gridCol w:w="1240"/>
        <w:gridCol w:w="1372"/>
        <w:gridCol w:w="1275"/>
        <w:gridCol w:w="1134"/>
        <w:gridCol w:w="1418"/>
        <w:gridCol w:w="1559"/>
      </w:tblGrid>
      <w:tr w:rsidR="003E180D" w:rsidTr="0088305C">
        <w:trPr>
          <w:trHeight w:val="330"/>
        </w:trPr>
        <w:tc>
          <w:tcPr>
            <w:tcW w:w="1920" w:type="dxa"/>
            <w:vMerge w:val="restart"/>
            <w:tcBorders>
              <w:top w:val="single" w:sz="4" w:space="0" w:color="auto"/>
              <w:left w:val="single" w:sz="4" w:space="0" w:color="auto"/>
              <w:bottom w:val="single" w:sz="4" w:space="0" w:color="000000"/>
              <w:right w:val="double" w:sz="6" w:space="0" w:color="3F3F3F"/>
            </w:tcBorders>
            <w:shd w:val="clear" w:color="000000" w:fill="FFFFFF"/>
            <w:noWrap/>
            <w:vAlign w:val="center"/>
            <w:hideMark/>
          </w:tcPr>
          <w:p w:rsidR="003E180D" w:rsidRDefault="003E180D" w:rsidP="0088305C">
            <w:pPr>
              <w:spacing w:after="0" w:line="240" w:lineRule="auto"/>
              <w:jc w:val="center"/>
              <w:rPr>
                <w:rFonts w:eastAsia="Times New Roman" w:cs="Times New Roman"/>
                <w:b/>
                <w:bCs/>
                <w:noProof/>
                <w:color w:val="000000"/>
                <w:szCs w:val="24"/>
                <w:lang w:val="en-US" w:eastAsia="fr-BE"/>
              </w:rPr>
            </w:pPr>
            <w:r>
              <w:rPr>
                <w:rFonts w:eastAsia="Times New Roman" w:cs="Times New Roman"/>
                <w:b/>
                <w:bCs/>
                <w:noProof/>
                <w:color w:val="000000"/>
                <w:szCs w:val="24"/>
                <w:lang w:val="en-US" w:eastAsia="fr-BE"/>
              </w:rPr>
              <w:t xml:space="preserve">2025 </w:t>
            </w:r>
            <w:r>
              <w:rPr>
                <w:rFonts w:eastAsia="Times New Roman" w:cs="Times New Roman"/>
                <w:b/>
                <w:bCs/>
                <w:noProof/>
                <w:color w:val="000000"/>
                <w:szCs w:val="24"/>
                <w:lang w:val="en-US" w:eastAsia="fr-BE"/>
              </w:rPr>
              <w:br/>
              <w:t>High cost assumptions</w:t>
            </w:r>
          </w:p>
        </w:tc>
        <w:tc>
          <w:tcPr>
            <w:tcW w:w="2421" w:type="dxa"/>
            <w:vMerge w:val="restart"/>
            <w:tcBorders>
              <w:top w:val="double" w:sz="6" w:space="0" w:color="3F3F3F"/>
              <w:left w:val="double" w:sz="6" w:space="0" w:color="3F3F3F"/>
              <w:bottom w:val="double" w:sz="6" w:space="0" w:color="3F3F3F"/>
              <w:right w:val="double" w:sz="6" w:space="0" w:color="3F3F3F"/>
            </w:tcBorders>
            <w:shd w:val="clear" w:color="000000" w:fill="A5A5A5"/>
            <w:noWrap/>
            <w:vAlign w:val="center"/>
            <w:hideMark/>
          </w:tcPr>
          <w:p w:rsidR="003E180D" w:rsidRDefault="003E180D" w:rsidP="0088305C">
            <w:pPr>
              <w:spacing w:after="0" w:line="240" w:lineRule="auto"/>
              <w:jc w:val="center"/>
              <w:rPr>
                <w:rFonts w:eastAsia="Times New Roman" w:cs="Times New Roman"/>
                <w:b/>
                <w:bCs/>
                <w:noProof/>
                <w:color w:val="FFFFFF"/>
                <w:szCs w:val="24"/>
                <w:lang w:val="en-US" w:eastAsia="fr-BE"/>
              </w:rPr>
            </w:pPr>
            <w:r>
              <w:rPr>
                <w:rFonts w:eastAsia="Times New Roman" w:cs="Times New Roman"/>
                <w:b/>
                <w:bCs/>
                <w:noProof/>
                <w:color w:val="FFFFFF"/>
                <w:szCs w:val="24"/>
                <w:lang w:val="en-US" w:eastAsia="fr-BE"/>
              </w:rPr>
              <w:t>Costs</w:t>
            </w:r>
          </w:p>
        </w:tc>
        <w:tc>
          <w:tcPr>
            <w:tcW w:w="10538" w:type="dxa"/>
            <w:gridSpan w:val="8"/>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3E180D" w:rsidRDefault="003E180D" w:rsidP="0088305C">
            <w:pPr>
              <w:spacing w:after="0" w:line="240" w:lineRule="auto"/>
              <w:jc w:val="center"/>
              <w:rPr>
                <w:rFonts w:eastAsia="Times New Roman" w:cs="Times New Roman"/>
                <w:b/>
                <w:bCs/>
                <w:noProof/>
                <w:color w:val="FFFFFF"/>
                <w:szCs w:val="24"/>
                <w:lang w:val="en-US" w:eastAsia="fr-BE"/>
              </w:rPr>
            </w:pPr>
            <w:r>
              <w:rPr>
                <w:rFonts w:eastAsia="Times New Roman" w:cs="Times New Roman"/>
                <w:b/>
                <w:bCs/>
                <w:noProof/>
                <w:color w:val="FFFFFF"/>
                <w:szCs w:val="24"/>
                <w:lang w:val="en-US" w:eastAsia="fr-BE"/>
              </w:rPr>
              <w:t>Benefits</w:t>
            </w:r>
          </w:p>
        </w:tc>
      </w:tr>
      <w:tr w:rsidR="003E180D" w:rsidTr="0088305C">
        <w:trPr>
          <w:trHeight w:val="315"/>
        </w:trPr>
        <w:tc>
          <w:tcPr>
            <w:tcW w:w="1920" w:type="dxa"/>
            <w:vMerge/>
            <w:tcBorders>
              <w:top w:val="single" w:sz="4" w:space="0" w:color="auto"/>
              <w:left w:val="single" w:sz="4" w:space="0" w:color="auto"/>
              <w:bottom w:val="single" w:sz="4" w:space="0" w:color="000000"/>
              <w:right w:val="double" w:sz="6" w:space="0" w:color="3F3F3F"/>
            </w:tcBorders>
            <w:vAlign w:val="center"/>
            <w:hideMark/>
          </w:tcPr>
          <w:p w:rsidR="003E180D" w:rsidRDefault="003E180D" w:rsidP="0088305C">
            <w:pPr>
              <w:spacing w:after="0" w:line="240" w:lineRule="auto"/>
              <w:rPr>
                <w:rFonts w:eastAsia="Times New Roman" w:cs="Times New Roman"/>
                <w:b/>
                <w:bCs/>
                <w:noProof/>
                <w:color w:val="000000"/>
                <w:szCs w:val="24"/>
                <w:lang w:val="en-US" w:eastAsia="fr-BE"/>
              </w:rPr>
            </w:pPr>
          </w:p>
        </w:tc>
        <w:tc>
          <w:tcPr>
            <w:tcW w:w="2421" w:type="dxa"/>
            <w:vMerge/>
            <w:tcBorders>
              <w:top w:val="double" w:sz="6" w:space="0" w:color="3F3F3F"/>
              <w:left w:val="double" w:sz="6" w:space="0" w:color="3F3F3F"/>
              <w:bottom w:val="double" w:sz="6" w:space="0" w:color="3F3F3F"/>
              <w:right w:val="double" w:sz="6" w:space="0" w:color="3F3F3F"/>
            </w:tcBorders>
            <w:vAlign w:val="center"/>
            <w:hideMark/>
          </w:tcPr>
          <w:p w:rsidR="003E180D" w:rsidRDefault="003E180D" w:rsidP="0088305C">
            <w:pPr>
              <w:spacing w:after="0" w:line="240" w:lineRule="auto"/>
              <w:jc w:val="center"/>
              <w:rPr>
                <w:rFonts w:eastAsia="Times New Roman" w:cs="Times New Roman"/>
                <w:b/>
                <w:bCs/>
                <w:noProof/>
                <w:color w:val="FFFFFF"/>
                <w:szCs w:val="24"/>
                <w:lang w:val="en-US" w:eastAsia="fr-BE"/>
              </w:rPr>
            </w:pPr>
          </w:p>
        </w:tc>
        <w:tc>
          <w:tcPr>
            <w:tcW w:w="3780" w:type="dxa"/>
            <w:gridSpan w:val="3"/>
            <w:tcBorders>
              <w:top w:val="nil"/>
              <w:left w:val="nil"/>
              <w:bottom w:val="double" w:sz="6" w:space="0" w:color="3F3F3F"/>
              <w:right w:val="double" w:sz="6" w:space="0" w:color="3F3F3F"/>
            </w:tcBorders>
            <w:shd w:val="clear" w:color="000000" w:fill="A5A5A5"/>
            <w:noWrap/>
            <w:vAlign w:val="center"/>
            <w:hideMark/>
          </w:tcPr>
          <w:p w:rsidR="003E180D" w:rsidRDefault="003E180D" w:rsidP="0088305C">
            <w:pPr>
              <w:spacing w:after="0" w:line="240" w:lineRule="auto"/>
              <w:jc w:val="center"/>
              <w:rPr>
                <w:rFonts w:eastAsia="Times New Roman" w:cs="Times New Roman"/>
                <w:b/>
                <w:bCs/>
                <w:noProof/>
                <w:color w:val="FFFFFF"/>
                <w:szCs w:val="24"/>
                <w:lang w:val="en-US" w:eastAsia="fr-BE"/>
              </w:rPr>
            </w:pPr>
            <w:r>
              <w:rPr>
                <w:rFonts w:eastAsia="Times New Roman" w:cs="Times New Roman"/>
                <w:b/>
                <w:bCs/>
                <w:noProof/>
                <w:color w:val="FFFFFF"/>
                <w:szCs w:val="24"/>
                <w:lang w:val="en-US" w:eastAsia="fr-BE"/>
              </w:rPr>
              <w:t>Net Savings</w:t>
            </w:r>
          </w:p>
        </w:tc>
        <w:tc>
          <w:tcPr>
            <w:tcW w:w="3781" w:type="dxa"/>
            <w:gridSpan w:val="3"/>
            <w:tcBorders>
              <w:top w:val="nil"/>
              <w:left w:val="nil"/>
              <w:bottom w:val="double" w:sz="6" w:space="0" w:color="3F3F3F"/>
              <w:right w:val="nil"/>
            </w:tcBorders>
            <w:shd w:val="clear" w:color="000000" w:fill="A5A5A5"/>
            <w:noWrap/>
            <w:vAlign w:val="center"/>
            <w:hideMark/>
          </w:tcPr>
          <w:p w:rsidR="003E180D" w:rsidRDefault="003E180D" w:rsidP="0088305C">
            <w:pPr>
              <w:spacing w:after="0" w:line="240" w:lineRule="auto"/>
              <w:jc w:val="center"/>
              <w:rPr>
                <w:rFonts w:eastAsia="Times New Roman" w:cs="Times New Roman"/>
                <w:b/>
                <w:bCs/>
                <w:noProof/>
                <w:color w:val="FFFFFF"/>
                <w:szCs w:val="24"/>
                <w:lang w:val="en-US" w:eastAsia="fr-BE"/>
              </w:rPr>
            </w:pPr>
            <w:r>
              <w:rPr>
                <w:rFonts w:eastAsia="Times New Roman" w:cs="Times New Roman"/>
                <w:b/>
                <w:bCs/>
                <w:noProof/>
                <w:color w:val="FFFFFF"/>
                <w:szCs w:val="24"/>
                <w:lang w:val="en-US" w:eastAsia="fr-BE"/>
              </w:rPr>
              <w:t>Environmental</w:t>
            </w:r>
          </w:p>
        </w:tc>
        <w:tc>
          <w:tcPr>
            <w:tcW w:w="2977" w:type="dxa"/>
            <w:gridSpan w:val="2"/>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3E180D" w:rsidRDefault="003E180D" w:rsidP="0088305C">
            <w:pPr>
              <w:spacing w:after="0" w:line="240" w:lineRule="auto"/>
              <w:jc w:val="center"/>
              <w:rPr>
                <w:rFonts w:eastAsia="Times New Roman" w:cs="Times New Roman"/>
                <w:b/>
                <w:bCs/>
                <w:noProof/>
                <w:color w:val="FFFFFF"/>
                <w:szCs w:val="24"/>
                <w:lang w:val="en-US" w:eastAsia="fr-BE"/>
              </w:rPr>
            </w:pPr>
            <w:r>
              <w:rPr>
                <w:rFonts w:eastAsia="Times New Roman" w:cs="Times New Roman"/>
                <w:b/>
                <w:bCs/>
                <w:noProof/>
                <w:color w:val="FFFFFF"/>
                <w:szCs w:val="24"/>
                <w:lang w:val="en-US" w:eastAsia="fr-BE"/>
              </w:rPr>
              <w:t>Macro-economic</w:t>
            </w:r>
          </w:p>
        </w:tc>
      </w:tr>
      <w:tr w:rsidR="003E180D" w:rsidTr="0088305C">
        <w:trPr>
          <w:trHeight w:val="990"/>
        </w:trPr>
        <w:tc>
          <w:tcPr>
            <w:tcW w:w="1920" w:type="dxa"/>
            <w:tcBorders>
              <w:top w:val="single" w:sz="4" w:space="0" w:color="7F7F7F"/>
              <w:left w:val="single" w:sz="4" w:space="0" w:color="7F7F7F"/>
              <w:bottom w:val="single" w:sz="4" w:space="0" w:color="7F7F7F"/>
              <w:right w:val="single" w:sz="4" w:space="0" w:color="7F7F7F"/>
            </w:tcBorders>
            <w:shd w:val="clear" w:color="000000" w:fill="F2F2F2"/>
            <w:noWrap/>
            <w:vAlign w:val="center"/>
            <w:hideMark/>
          </w:tcPr>
          <w:p w:rsidR="003E180D" w:rsidRDefault="003E180D" w:rsidP="0088305C">
            <w:pPr>
              <w:spacing w:after="0" w:line="240" w:lineRule="auto"/>
              <w:jc w:val="center"/>
              <w:rPr>
                <w:rFonts w:eastAsia="Times New Roman" w:cs="Times New Roman"/>
                <w:bCs/>
                <w:noProof/>
                <w:color w:val="000000" w:themeColor="text1"/>
                <w:szCs w:val="24"/>
                <w:lang w:val="en-US" w:eastAsia="fr-BE"/>
              </w:rPr>
            </w:pPr>
            <w:r>
              <w:rPr>
                <w:rFonts w:eastAsia="Times New Roman" w:cs="Times New Roman"/>
                <w:bCs/>
                <w:noProof/>
                <w:color w:val="000000" w:themeColor="text1"/>
                <w:szCs w:val="24"/>
                <w:lang w:val="en-US" w:eastAsia="fr-BE"/>
              </w:rPr>
              <w:t>Target Level option</w:t>
            </w:r>
          </w:p>
        </w:tc>
        <w:tc>
          <w:tcPr>
            <w:tcW w:w="2421" w:type="dxa"/>
            <w:tcBorders>
              <w:top w:val="single" w:sz="4" w:space="0" w:color="7F7F7F"/>
              <w:left w:val="nil"/>
              <w:bottom w:val="single" w:sz="4" w:space="0" w:color="7F7F7F"/>
              <w:right w:val="single" w:sz="4" w:space="0" w:color="7F7F7F"/>
            </w:tcBorders>
            <w:shd w:val="clear" w:color="000000" w:fill="F2F2F2"/>
            <w:vAlign w:val="center"/>
            <w:hideMark/>
          </w:tcPr>
          <w:p w:rsidR="003E180D" w:rsidRDefault="003E180D" w:rsidP="0088305C">
            <w:pPr>
              <w:spacing w:after="0" w:line="240" w:lineRule="auto"/>
              <w:jc w:val="center"/>
              <w:rPr>
                <w:rFonts w:eastAsia="Times New Roman" w:cs="Times New Roman"/>
                <w:bCs/>
                <w:noProof/>
                <w:color w:val="000000" w:themeColor="text1"/>
                <w:szCs w:val="24"/>
                <w:lang w:val="en-US" w:eastAsia="fr-BE"/>
              </w:rPr>
            </w:pPr>
            <w:r>
              <w:rPr>
                <w:rFonts w:eastAsia="Times New Roman" w:cs="Times New Roman"/>
                <w:bCs/>
                <w:noProof/>
                <w:color w:val="000000" w:themeColor="text1"/>
                <w:szCs w:val="24"/>
                <w:lang w:val="en-US" w:eastAsia="fr-BE"/>
              </w:rPr>
              <w:t xml:space="preserve">Manufacturing costs </w:t>
            </w:r>
            <w:r>
              <w:rPr>
                <w:rFonts w:eastAsia="Times New Roman" w:cs="Times New Roman"/>
                <w:bCs/>
                <w:noProof/>
                <w:color w:val="000000" w:themeColor="text1"/>
                <w:szCs w:val="24"/>
                <w:lang w:val="en-US" w:eastAsia="fr-BE"/>
              </w:rPr>
              <w:br/>
              <w:t>EUR</w:t>
            </w:r>
            <w:r>
              <w:rPr>
                <w:rFonts w:eastAsia="Times New Roman" w:cs="Times New Roman"/>
                <w:noProof/>
                <w:color w:val="000000" w:themeColor="text1"/>
                <w:szCs w:val="24"/>
                <w:lang w:val="en-US" w:eastAsia="fr-BE"/>
              </w:rPr>
              <w:t>/lorry</w:t>
            </w:r>
          </w:p>
        </w:tc>
        <w:tc>
          <w:tcPr>
            <w:tcW w:w="1300" w:type="dxa"/>
            <w:tcBorders>
              <w:top w:val="single" w:sz="4" w:space="0" w:color="7F7F7F"/>
              <w:left w:val="nil"/>
              <w:bottom w:val="single" w:sz="4" w:space="0" w:color="7F7F7F"/>
              <w:right w:val="single" w:sz="4" w:space="0" w:color="7F7F7F"/>
            </w:tcBorders>
            <w:shd w:val="clear" w:color="000000" w:fill="F2F2F2"/>
            <w:vAlign w:val="center"/>
            <w:hideMark/>
          </w:tcPr>
          <w:p w:rsidR="003E180D" w:rsidRDefault="003E180D" w:rsidP="0088305C">
            <w:pPr>
              <w:spacing w:after="0" w:line="240" w:lineRule="auto"/>
              <w:jc w:val="center"/>
              <w:rPr>
                <w:rFonts w:eastAsia="Times New Roman" w:cs="Times New Roman"/>
                <w:bCs/>
                <w:noProof/>
                <w:color w:val="000000" w:themeColor="text1"/>
                <w:szCs w:val="24"/>
                <w:lang w:val="fr-BE" w:eastAsia="fr-BE"/>
              </w:rPr>
            </w:pPr>
            <w:r>
              <w:rPr>
                <w:rFonts w:eastAsia="Times New Roman" w:cs="Times New Roman"/>
                <w:bCs/>
                <w:noProof/>
                <w:color w:val="000000" w:themeColor="text1"/>
                <w:szCs w:val="24"/>
                <w:lang w:val="en-US" w:eastAsia="fr-BE"/>
              </w:rPr>
              <w:t>Societal persp</w:t>
            </w:r>
            <w:r>
              <w:rPr>
                <w:rFonts w:eastAsia="Times New Roman" w:cs="Times New Roman"/>
                <w:bCs/>
                <w:noProof/>
                <w:color w:val="000000" w:themeColor="text1"/>
                <w:szCs w:val="24"/>
                <w:lang w:val="fr-BE" w:eastAsia="fr-BE"/>
              </w:rPr>
              <w:t>ective</w:t>
            </w:r>
            <w:r>
              <w:rPr>
                <w:rFonts w:eastAsia="Times New Roman" w:cs="Times New Roman"/>
                <w:bCs/>
                <w:noProof/>
                <w:color w:val="000000" w:themeColor="text1"/>
                <w:szCs w:val="24"/>
                <w:lang w:val="fr-BE" w:eastAsia="fr-BE"/>
              </w:rPr>
              <w:br/>
              <w:t>EUR</w:t>
            </w:r>
            <w:r>
              <w:rPr>
                <w:rFonts w:eastAsia="Times New Roman" w:cs="Times New Roman"/>
                <w:noProof/>
                <w:color w:val="000000" w:themeColor="text1"/>
                <w:szCs w:val="24"/>
                <w:lang w:val="fr-BE" w:eastAsia="fr-BE"/>
              </w:rPr>
              <w:t>/lorry</w:t>
            </w:r>
          </w:p>
        </w:tc>
        <w:tc>
          <w:tcPr>
            <w:tcW w:w="1240" w:type="dxa"/>
            <w:tcBorders>
              <w:top w:val="single" w:sz="4" w:space="0" w:color="7F7F7F"/>
              <w:left w:val="nil"/>
              <w:bottom w:val="single" w:sz="4" w:space="0" w:color="7F7F7F"/>
              <w:right w:val="single" w:sz="4" w:space="0" w:color="7F7F7F"/>
            </w:tcBorders>
            <w:shd w:val="clear" w:color="000000" w:fill="F2F2F2"/>
            <w:vAlign w:val="center"/>
            <w:hideMark/>
          </w:tcPr>
          <w:p w:rsidR="003E180D" w:rsidRDefault="003E180D" w:rsidP="0088305C">
            <w:pPr>
              <w:spacing w:after="0" w:line="240" w:lineRule="auto"/>
              <w:jc w:val="center"/>
              <w:rPr>
                <w:rFonts w:eastAsia="Times New Roman"/>
                <w:noProof/>
                <w:color w:val="000000" w:themeColor="text1"/>
                <w:lang w:eastAsia="fr-BE"/>
              </w:rPr>
            </w:pPr>
            <w:r>
              <w:rPr>
                <w:rFonts w:eastAsia="Times New Roman"/>
                <w:noProof/>
                <w:color w:val="000000" w:themeColor="text1"/>
                <w:lang w:eastAsia="fr-BE"/>
              </w:rPr>
              <w:t>TCO first use</w:t>
            </w:r>
            <w:r>
              <w:rPr>
                <w:rFonts w:eastAsia="Times New Roman"/>
                <w:noProof/>
                <w:color w:val="000000" w:themeColor="text1"/>
                <w:lang w:eastAsia="fr-BE"/>
              </w:rPr>
              <w:br/>
              <w:t>EUR/lorry</w:t>
            </w:r>
          </w:p>
        </w:tc>
        <w:tc>
          <w:tcPr>
            <w:tcW w:w="1240" w:type="dxa"/>
            <w:tcBorders>
              <w:top w:val="single" w:sz="4" w:space="0" w:color="7F7F7F"/>
              <w:left w:val="nil"/>
              <w:bottom w:val="single" w:sz="4" w:space="0" w:color="7F7F7F"/>
              <w:right w:val="single" w:sz="4" w:space="0" w:color="7F7F7F"/>
            </w:tcBorders>
            <w:shd w:val="clear" w:color="000000" w:fill="F2F2F2"/>
            <w:vAlign w:val="center"/>
            <w:hideMark/>
          </w:tcPr>
          <w:p w:rsidR="003E180D" w:rsidRDefault="003E180D" w:rsidP="0088305C">
            <w:pPr>
              <w:spacing w:after="0" w:line="240" w:lineRule="auto"/>
              <w:jc w:val="center"/>
              <w:rPr>
                <w:rFonts w:eastAsia="Times New Roman" w:cs="Times New Roman"/>
                <w:noProof/>
                <w:color w:val="000000" w:themeColor="text1"/>
                <w:szCs w:val="24"/>
                <w:lang w:eastAsia="fr-BE"/>
              </w:rPr>
            </w:pPr>
            <w:r>
              <w:rPr>
                <w:rFonts w:eastAsia="Times New Roman" w:cs="Times New Roman"/>
                <w:noProof/>
                <w:color w:val="000000" w:themeColor="text1"/>
                <w:szCs w:val="24"/>
                <w:lang w:eastAsia="fr-BE"/>
              </w:rPr>
              <w:t>TCO second use</w:t>
            </w:r>
            <w:r>
              <w:rPr>
                <w:rFonts w:eastAsia="Times New Roman" w:cs="Times New Roman"/>
                <w:noProof/>
                <w:color w:val="000000" w:themeColor="text1"/>
                <w:szCs w:val="24"/>
                <w:lang w:eastAsia="fr-BE"/>
              </w:rPr>
              <w:br/>
              <w:t>EUR/lorry</w:t>
            </w:r>
          </w:p>
        </w:tc>
        <w:tc>
          <w:tcPr>
            <w:tcW w:w="1372" w:type="dxa"/>
            <w:tcBorders>
              <w:top w:val="single" w:sz="4" w:space="0" w:color="7F7F7F"/>
              <w:left w:val="nil"/>
              <w:bottom w:val="nil"/>
              <w:right w:val="single" w:sz="4" w:space="0" w:color="7F7F7F"/>
            </w:tcBorders>
            <w:shd w:val="clear" w:color="000000" w:fill="F2F2F2"/>
            <w:vAlign w:val="center"/>
            <w:hideMark/>
          </w:tcPr>
          <w:p w:rsidR="003E180D" w:rsidRDefault="003E180D" w:rsidP="0088305C">
            <w:pPr>
              <w:spacing w:after="0" w:line="240" w:lineRule="auto"/>
              <w:jc w:val="center"/>
              <w:rPr>
                <w:rFonts w:eastAsia="Times New Roman"/>
                <w:noProof/>
                <w:color w:val="000000" w:themeColor="text1"/>
                <w:lang w:eastAsia="fr-BE"/>
              </w:rPr>
            </w:pPr>
            <w:r>
              <w:rPr>
                <w:rFonts w:eastAsia="Times New Roman"/>
                <w:noProof/>
                <w:color w:val="000000" w:themeColor="text1"/>
                <w:lang w:eastAsia="fr-BE"/>
              </w:rPr>
              <w:t>Avoided CO</w:t>
            </w:r>
            <w:r>
              <w:rPr>
                <w:rFonts w:eastAsia="Times New Roman"/>
                <w:noProof/>
                <w:color w:val="000000" w:themeColor="text1"/>
                <w:vertAlign w:val="subscript"/>
                <w:lang w:eastAsia="fr-BE"/>
              </w:rPr>
              <w:t>2</w:t>
            </w:r>
            <w:r>
              <w:rPr>
                <w:rFonts w:eastAsia="Times New Roman"/>
                <w:noProof/>
                <w:color w:val="000000" w:themeColor="text1"/>
                <w:lang w:eastAsia="fr-BE"/>
              </w:rPr>
              <w:t xml:space="preserve"> costs EUR/lorry</w:t>
            </w:r>
          </w:p>
        </w:tc>
        <w:tc>
          <w:tcPr>
            <w:tcW w:w="1275" w:type="dxa"/>
            <w:tcBorders>
              <w:top w:val="single" w:sz="4" w:space="0" w:color="7F7F7F"/>
              <w:left w:val="nil"/>
              <w:bottom w:val="nil"/>
              <w:right w:val="single" w:sz="4" w:space="0" w:color="7F7F7F"/>
            </w:tcBorders>
            <w:shd w:val="clear" w:color="000000" w:fill="F2F2F2"/>
            <w:vAlign w:val="center"/>
            <w:hideMark/>
          </w:tcPr>
          <w:p w:rsidR="003E180D" w:rsidRDefault="003E180D" w:rsidP="0088305C">
            <w:pPr>
              <w:spacing w:after="0" w:line="240" w:lineRule="auto"/>
              <w:jc w:val="center"/>
              <w:rPr>
                <w:rFonts w:eastAsia="Times New Roman" w:cs="Times New Roman"/>
                <w:bCs/>
                <w:noProof/>
                <w:color w:val="000000" w:themeColor="text1"/>
                <w:szCs w:val="24"/>
                <w:lang w:val="fr-BE" w:eastAsia="fr-BE"/>
              </w:rPr>
            </w:pPr>
            <w:r>
              <w:rPr>
                <w:rFonts w:eastAsia="Times New Roman" w:cs="Times New Roman"/>
                <w:bCs/>
                <w:noProof/>
                <w:color w:val="000000" w:themeColor="text1"/>
                <w:szCs w:val="24"/>
                <w:lang w:val="fr-BE" w:eastAsia="fr-BE"/>
              </w:rPr>
              <w:t>NO</w:t>
            </w:r>
            <w:r>
              <w:rPr>
                <w:rFonts w:eastAsia="Times New Roman" w:cs="Times New Roman"/>
                <w:bCs/>
                <w:noProof/>
                <w:color w:val="000000" w:themeColor="text1"/>
                <w:szCs w:val="24"/>
                <w:vertAlign w:val="subscript"/>
                <w:lang w:val="fr-BE" w:eastAsia="fr-BE"/>
              </w:rPr>
              <w:t>x</w:t>
            </w:r>
            <w:r>
              <w:rPr>
                <w:rFonts w:eastAsia="Times New Roman" w:cs="Times New Roman"/>
                <w:bCs/>
                <w:noProof/>
                <w:color w:val="000000" w:themeColor="text1"/>
                <w:szCs w:val="24"/>
                <w:lang w:val="fr-BE" w:eastAsia="fr-BE"/>
              </w:rPr>
              <w:br/>
              <w:t xml:space="preserve">% </w:t>
            </w:r>
            <w:r>
              <w:rPr>
                <w:rFonts w:eastAsia="Times New Roman" w:cs="Times New Roman"/>
                <w:bCs/>
                <w:noProof/>
                <w:color w:val="000000" w:themeColor="text1"/>
                <w:szCs w:val="24"/>
                <w:lang w:val="fr-BE" w:eastAsia="fr-BE"/>
              </w:rPr>
              <w:br/>
              <w:t>reduction</w:t>
            </w:r>
          </w:p>
        </w:tc>
        <w:tc>
          <w:tcPr>
            <w:tcW w:w="1134" w:type="dxa"/>
            <w:tcBorders>
              <w:top w:val="single" w:sz="4" w:space="0" w:color="7F7F7F"/>
              <w:left w:val="nil"/>
              <w:bottom w:val="nil"/>
              <w:right w:val="single" w:sz="4" w:space="0" w:color="7F7F7F"/>
            </w:tcBorders>
            <w:shd w:val="clear" w:color="000000" w:fill="F2F2F2"/>
            <w:vAlign w:val="center"/>
            <w:hideMark/>
          </w:tcPr>
          <w:p w:rsidR="003E180D" w:rsidRDefault="003E180D" w:rsidP="0088305C">
            <w:pPr>
              <w:spacing w:after="0" w:line="240" w:lineRule="auto"/>
              <w:jc w:val="center"/>
              <w:rPr>
                <w:rFonts w:eastAsia="Times New Roman" w:cs="Times New Roman"/>
                <w:bCs/>
                <w:noProof/>
                <w:color w:val="000000" w:themeColor="text1"/>
                <w:szCs w:val="24"/>
                <w:lang w:val="fr-BE" w:eastAsia="fr-BE"/>
              </w:rPr>
            </w:pPr>
            <w:r>
              <w:rPr>
                <w:rFonts w:eastAsia="Times New Roman" w:cs="Times New Roman"/>
                <w:bCs/>
                <w:noProof/>
                <w:color w:val="000000" w:themeColor="text1"/>
                <w:szCs w:val="24"/>
                <w:lang w:val="fr-BE" w:eastAsia="fr-BE"/>
              </w:rPr>
              <w:t>PM</w:t>
            </w:r>
            <w:r>
              <w:rPr>
                <w:rFonts w:eastAsia="Times New Roman" w:cs="Times New Roman"/>
                <w:bCs/>
                <w:noProof/>
                <w:color w:val="000000" w:themeColor="text1"/>
                <w:szCs w:val="24"/>
                <w:lang w:val="fr-BE" w:eastAsia="fr-BE"/>
              </w:rPr>
              <w:br/>
              <w:t xml:space="preserve">% </w:t>
            </w:r>
            <w:r>
              <w:rPr>
                <w:rFonts w:eastAsia="Times New Roman" w:cs="Times New Roman"/>
                <w:bCs/>
                <w:noProof/>
                <w:color w:val="000000" w:themeColor="text1"/>
                <w:szCs w:val="24"/>
                <w:lang w:val="fr-BE" w:eastAsia="fr-BE"/>
              </w:rPr>
              <w:br/>
              <w:t>reduction</w:t>
            </w:r>
          </w:p>
        </w:tc>
        <w:tc>
          <w:tcPr>
            <w:tcW w:w="1418" w:type="dxa"/>
            <w:tcBorders>
              <w:top w:val="nil"/>
              <w:left w:val="single" w:sz="4" w:space="0" w:color="auto"/>
              <w:bottom w:val="single" w:sz="4" w:space="0" w:color="auto"/>
              <w:right w:val="single" w:sz="4" w:space="0" w:color="auto"/>
            </w:tcBorders>
            <w:shd w:val="clear" w:color="000000" w:fill="F2F2F2"/>
            <w:vAlign w:val="center"/>
            <w:hideMark/>
          </w:tcPr>
          <w:p w:rsidR="003E180D" w:rsidRDefault="003E180D" w:rsidP="0088305C">
            <w:pPr>
              <w:spacing w:after="0" w:line="240" w:lineRule="auto"/>
              <w:jc w:val="center"/>
              <w:rPr>
                <w:rFonts w:eastAsia="Times New Roman" w:cs="Times New Roman"/>
                <w:bCs/>
                <w:noProof/>
                <w:color w:val="000000" w:themeColor="text1"/>
                <w:szCs w:val="24"/>
                <w:lang w:val="fr-BE" w:eastAsia="fr-BE"/>
              </w:rPr>
            </w:pPr>
            <w:r>
              <w:rPr>
                <w:rFonts w:eastAsia="Times New Roman" w:cs="Times New Roman"/>
                <w:bCs/>
                <w:noProof/>
                <w:color w:val="000000" w:themeColor="text1"/>
                <w:szCs w:val="24"/>
                <w:lang w:val="fr-BE" w:eastAsia="fr-BE"/>
              </w:rPr>
              <w:t>GDP</w:t>
            </w:r>
            <w:r>
              <w:rPr>
                <w:rFonts w:eastAsia="Times New Roman" w:cs="Times New Roman"/>
                <w:bCs/>
                <w:noProof/>
                <w:color w:val="000000" w:themeColor="text1"/>
                <w:szCs w:val="24"/>
                <w:lang w:val="fr-BE" w:eastAsia="fr-BE"/>
              </w:rPr>
              <w:br/>
              <w:t xml:space="preserve">% </w:t>
            </w:r>
            <w:r>
              <w:rPr>
                <w:rFonts w:eastAsia="Times New Roman" w:cs="Times New Roman"/>
                <w:bCs/>
                <w:noProof/>
                <w:color w:val="000000" w:themeColor="text1"/>
                <w:szCs w:val="24"/>
                <w:lang w:val="fr-BE" w:eastAsia="fr-BE"/>
              </w:rPr>
              <w:br/>
              <w:t>increase</w:t>
            </w:r>
          </w:p>
        </w:tc>
        <w:tc>
          <w:tcPr>
            <w:tcW w:w="1559" w:type="dxa"/>
            <w:tcBorders>
              <w:top w:val="nil"/>
              <w:left w:val="nil"/>
              <w:bottom w:val="single" w:sz="4" w:space="0" w:color="auto"/>
              <w:right w:val="single" w:sz="4" w:space="0" w:color="auto"/>
            </w:tcBorders>
            <w:shd w:val="clear" w:color="000000" w:fill="F2F2F2"/>
            <w:vAlign w:val="center"/>
            <w:hideMark/>
          </w:tcPr>
          <w:p w:rsidR="003E180D" w:rsidRDefault="003E180D" w:rsidP="0088305C">
            <w:pPr>
              <w:spacing w:after="0" w:line="240" w:lineRule="auto"/>
              <w:jc w:val="center"/>
              <w:rPr>
                <w:rFonts w:eastAsia="Times New Roman" w:cs="Times New Roman"/>
                <w:bCs/>
                <w:noProof/>
                <w:color w:val="000000" w:themeColor="text1"/>
                <w:szCs w:val="24"/>
                <w:lang w:val="fr-BE" w:eastAsia="fr-BE"/>
              </w:rPr>
            </w:pPr>
            <w:r>
              <w:rPr>
                <w:rFonts w:eastAsia="Times New Roman" w:cs="Times New Roman"/>
                <w:bCs/>
                <w:noProof/>
                <w:color w:val="000000" w:themeColor="text1"/>
                <w:szCs w:val="24"/>
                <w:lang w:val="fr-BE" w:eastAsia="fr-BE"/>
              </w:rPr>
              <w:t xml:space="preserve">Employment % </w:t>
            </w:r>
            <w:r>
              <w:rPr>
                <w:rFonts w:eastAsia="Times New Roman" w:cs="Times New Roman"/>
                <w:bCs/>
                <w:noProof/>
                <w:color w:val="000000" w:themeColor="text1"/>
                <w:szCs w:val="24"/>
                <w:lang w:val="fr-BE" w:eastAsia="fr-BE"/>
              </w:rPr>
              <w:br/>
              <w:t>increase</w:t>
            </w:r>
          </w:p>
        </w:tc>
      </w:tr>
      <w:tr w:rsidR="003E180D" w:rsidTr="0088305C">
        <w:trPr>
          <w:trHeight w:val="340"/>
        </w:trPr>
        <w:tc>
          <w:tcPr>
            <w:tcW w:w="1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TL20</w:t>
            </w:r>
          </w:p>
        </w:tc>
        <w:tc>
          <w:tcPr>
            <w:tcW w:w="242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3,077</w:t>
            </w:r>
          </w:p>
        </w:tc>
        <w:tc>
          <w:tcPr>
            <w:tcW w:w="1300" w:type="dxa"/>
            <w:tcBorders>
              <w:top w:val="single" w:sz="4" w:space="0" w:color="auto"/>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14,341</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12,757</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9,408</w:t>
            </w:r>
          </w:p>
        </w:tc>
        <w:tc>
          <w:tcPr>
            <w:tcW w:w="1372" w:type="dxa"/>
            <w:tcBorders>
              <w:top w:val="single" w:sz="4" w:space="0" w:color="auto"/>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noProof/>
                <w:color w:val="000000"/>
                <w:sz w:val="22"/>
                <w:lang w:eastAsia="en-GB"/>
              </w:rPr>
              <w:t>2,626</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-0,4%</w:t>
            </w:r>
          </w:p>
        </w:tc>
        <w:tc>
          <w:tcPr>
            <w:tcW w:w="1134" w:type="dxa"/>
            <w:tcBorders>
              <w:top w:val="single" w:sz="4" w:space="0" w:color="auto"/>
              <w:left w:val="nil"/>
              <w:bottom w:val="single" w:sz="4" w:space="0" w:color="auto"/>
              <w:right w:val="nil"/>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0.02%</w:t>
            </w:r>
          </w:p>
        </w:tc>
      </w:tr>
      <w:tr w:rsidR="003E180D" w:rsidTr="0088305C">
        <w:trPr>
          <w:trHeight w:val="340"/>
        </w:trPr>
        <w:tc>
          <w:tcPr>
            <w:tcW w:w="1920" w:type="dxa"/>
            <w:tcBorders>
              <w:top w:val="nil"/>
              <w:left w:val="single" w:sz="4" w:space="0" w:color="auto"/>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TL30NL</w:t>
            </w:r>
          </w:p>
        </w:tc>
        <w:tc>
          <w:tcPr>
            <w:tcW w:w="2421" w:type="dxa"/>
            <w:tcBorders>
              <w:top w:val="nil"/>
              <w:left w:val="single" w:sz="4" w:space="0" w:color="auto"/>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6,344</w:t>
            </w:r>
          </w:p>
        </w:tc>
        <w:tc>
          <w:tcPr>
            <w:tcW w:w="130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22,934</w:t>
            </w:r>
          </w:p>
        </w:tc>
        <w:tc>
          <w:tcPr>
            <w:tcW w:w="124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20,871</w:t>
            </w:r>
          </w:p>
        </w:tc>
        <w:tc>
          <w:tcPr>
            <w:tcW w:w="124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15,358</w:t>
            </w:r>
          </w:p>
        </w:tc>
        <w:tc>
          <w:tcPr>
            <w:tcW w:w="1372"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noProof/>
                <w:color w:val="000000"/>
                <w:sz w:val="22"/>
                <w:lang w:eastAsia="en-GB"/>
              </w:rPr>
              <w:t>4,376</w:t>
            </w:r>
          </w:p>
        </w:tc>
        <w:tc>
          <w:tcPr>
            <w:tcW w:w="1275" w:type="dxa"/>
            <w:tcBorders>
              <w:top w:val="nil"/>
              <w:left w:val="nil"/>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-0,6%</w:t>
            </w:r>
          </w:p>
        </w:tc>
        <w:tc>
          <w:tcPr>
            <w:tcW w:w="1134" w:type="dxa"/>
            <w:tcBorders>
              <w:top w:val="nil"/>
              <w:left w:val="nil"/>
              <w:bottom w:val="single" w:sz="4" w:space="0" w:color="auto"/>
              <w:right w:val="nil"/>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n.a.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n.a.</w:t>
            </w:r>
          </w:p>
        </w:tc>
      </w:tr>
      <w:tr w:rsidR="003E180D" w:rsidTr="0088305C">
        <w:trPr>
          <w:trHeight w:val="340"/>
        </w:trPr>
        <w:tc>
          <w:tcPr>
            <w:tcW w:w="1920" w:type="dxa"/>
            <w:tcBorders>
              <w:top w:val="nil"/>
              <w:left w:val="single" w:sz="4" w:space="0" w:color="auto"/>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TL30</w:t>
            </w:r>
          </w:p>
        </w:tc>
        <w:tc>
          <w:tcPr>
            <w:tcW w:w="2421" w:type="dxa"/>
            <w:tcBorders>
              <w:top w:val="nil"/>
              <w:left w:val="single" w:sz="4" w:space="0" w:color="auto"/>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10,800</w:t>
            </w:r>
          </w:p>
        </w:tc>
        <w:tc>
          <w:tcPr>
            <w:tcW w:w="130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28,687</w:t>
            </w:r>
          </w:p>
        </w:tc>
        <w:tc>
          <w:tcPr>
            <w:tcW w:w="124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26,337</w:t>
            </w:r>
          </w:p>
        </w:tc>
        <w:tc>
          <w:tcPr>
            <w:tcW w:w="124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19,329</w:t>
            </w:r>
          </w:p>
        </w:tc>
        <w:tc>
          <w:tcPr>
            <w:tcW w:w="1372"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noProof/>
                <w:color w:val="000000"/>
                <w:sz w:val="22"/>
                <w:lang w:eastAsia="en-GB"/>
              </w:rPr>
              <w:t>6,127</w:t>
            </w:r>
          </w:p>
        </w:tc>
        <w:tc>
          <w:tcPr>
            <w:tcW w:w="1275" w:type="dxa"/>
            <w:tcBorders>
              <w:top w:val="nil"/>
              <w:left w:val="nil"/>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-0,8%</w:t>
            </w:r>
          </w:p>
        </w:tc>
        <w:tc>
          <w:tcPr>
            <w:tcW w:w="1134" w:type="dxa"/>
            <w:tcBorders>
              <w:top w:val="nil"/>
              <w:left w:val="nil"/>
              <w:bottom w:val="single" w:sz="4" w:space="0" w:color="auto"/>
              <w:right w:val="nil"/>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0.01%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0.03%</w:t>
            </w:r>
          </w:p>
        </w:tc>
      </w:tr>
      <w:tr w:rsidR="003E180D" w:rsidTr="0088305C">
        <w:trPr>
          <w:trHeight w:val="340"/>
        </w:trPr>
        <w:tc>
          <w:tcPr>
            <w:tcW w:w="1920" w:type="dxa"/>
            <w:tcBorders>
              <w:top w:val="nil"/>
              <w:left w:val="single" w:sz="4" w:space="0" w:color="auto"/>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TL32</w:t>
            </w:r>
          </w:p>
        </w:tc>
        <w:tc>
          <w:tcPr>
            <w:tcW w:w="2421" w:type="dxa"/>
            <w:tcBorders>
              <w:top w:val="nil"/>
              <w:left w:val="single" w:sz="4" w:space="0" w:color="auto"/>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17,720</w:t>
            </w:r>
          </w:p>
        </w:tc>
        <w:tc>
          <w:tcPr>
            <w:tcW w:w="130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32,455</w:t>
            </w:r>
          </w:p>
        </w:tc>
        <w:tc>
          <w:tcPr>
            <w:tcW w:w="124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30,997</w:t>
            </w:r>
          </w:p>
        </w:tc>
        <w:tc>
          <w:tcPr>
            <w:tcW w:w="124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22,637</w:t>
            </w:r>
          </w:p>
        </w:tc>
        <w:tc>
          <w:tcPr>
            <w:tcW w:w="1372"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noProof/>
                <w:color w:val="000000"/>
                <w:sz w:val="22"/>
                <w:lang w:eastAsia="en-GB"/>
              </w:rPr>
              <w:t>7,805</w:t>
            </w:r>
          </w:p>
        </w:tc>
        <w:tc>
          <w:tcPr>
            <w:tcW w:w="1275" w:type="dxa"/>
            <w:tcBorders>
              <w:top w:val="nil"/>
              <w:left w:val="nil"/>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-1,0%</w:t>
            </w:r>
          </w:p>
        </w:tc>
        <w:tc>
          <w:tcPr>
            <w:tcW w:w="1134" w:type="dxa"/>
            <w:tcBorders>
              <w:top w:val="nil"/>
              <w:left w:val="nil"/>
              <w:bottom w:val="single" w:sz="4" w:space="0" w:color="auto"/>
              <w:right w:val="nil"/>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n.a.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n.a.</w:t>
            </w:r>
          </w:p>
        </w:tc>
      </w:tr>
      <w:tr w:rsidR="003E180D" w:rsidTr="0088305C">
        <w:trPr>
          <w:trHeight w:val="340"/>
        </w:trPr>
        <w:tc>
          <w:tcPr>
            <w:tcW w:w="1920" w:type="dxa"/>
            <w:tcBorders>
              <w:top w:val="nil"/>
              <w:left w:val="single" w:sz="4" w:space="0" w:color="auto"/>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TL35</w:t>
            </w:r>
          </w:p>
        </w:tc>
        <w:tc>
          <w:tcPr>
            <w:tcW w:w="2421" w:type="dxa"/>
            <w:tcBorders>
              <w:top w:val="nil"/>
              <w:left w:val="single" w:sz="4" w:space="0" w:color="auto"/>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27,797</w:t>
            </w:r>
          </w:p>
        </w:tc>
        <w:tc>
          <w:tcPr>
            <w:tcW w:w="130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32,326</w:t>
            </w:r>
          </w:p>
        </w:tc>
        <w:tc>
          <w:tcPr>
            <w:tcW w:w="124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33,002</w:t>
            </w:r>
          </w:p>
        </w:tc>
        <w:tc>
          <w:tcPr>
            <w:tcW w:w="124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23,905</w:t>
            </w:r>
          </w:p>
        </w:tc>
        <w:tc>
          <w:tcPr>
            <w:tcW w:w="1372"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noProof/>
                <w:color w:val="000000"/>
                <w:sz w:val="22"/>
                <w:lang w:eastAsia="en-GB"/>
              </w:rPr>
              <w:t>9,555</w:t>
            </w:r>
          </w:p>
        </w:tc>
        <w:tc>
          <w:tcPr>
            <w:tcW w:w="1275" w:type="dxa"/>
            <w:tcBorders>
              <w:top w:val="nil"/>
              <w:left w:val="nil"/>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-1,3%</w:t>
            </w:r>
          </w:p>
        </w:tc>
        <w:tc>
          <w:tcPr>
            <w:tcW w:w="1134" w:type="dxa"/>
            <w:tcBorders>
              <w:top w:val="nil"/>
              <w:left w:val="nil"/>
              <w:bottom w:val="single" w:sz="4" w:space="0" w:color="auto"/>
              <w:right w:val="nil"/>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n.a.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n.a.</w:t>
            </w:r>
          </w:p>
        </w:tc>
      </w:tr>
    </w:tbl>
    <w:p w:rsidR="003E180D" w:rsidRDefault="003E180D" w:rsidP="003E180D">
      <w:pPr>
        <w:tabs>
          <w:tab w:val="left" w:pos="1995"/>
          <w:tab w:val="left" w:pos="4416"/>
          <w:tab w:val="left" w:pos="5716"/>
          <w:tab w:val="left" w:pos="6956"/>
          <w:tab w:val="left" w:pos="8196"/>
          <w:tab w:val="left" w:pos="9590"/>
          <w:tab w:val="left" w:pos="10930"/>
          <w:tab w:val="left" w:pos="12119"/>
          <w:tab w:val="left" w:pos="13476"/>
        </w:tabs>
        <w:spacing w:after="0" w:line="240" w:lineRule="auto"/>
        <w:ind w:left="75"/>
        <w:rPr>
          <w:rFonts w:eastAsia="Times New Roman" w:cs="Times New Roman"/>
          <w:noProof/>
          <w:color w:val="000000"/>
          <w:szCs w:val="24"/>
          <w:lang w:val="fr-BE" w:eastAsia="fr-BE"/>
        </w:rPr>
      </w:pPr>
    </w:p>
    <w:p w:rsidR="003E180D" w:rsidRDefault="003E180D" w:rsidP="003E180D">
      <w:pPr>
        <w:tabs>
          <w:tab w:val="left" w:pos="1995"/>
          <w:tab w:val="left" w:pos="4416"/>
          <w:tab w:val="left" w:pos="5716"/>
          <w:tab w:val="left" w:pos="6956"/>
          <w:tab w:val="left" w:pos="8196"/>
          <w:tab w:val="left" w:pos="9590"/>
          <w:tab w:val="left" w:pos="10930"/>
          <w:tab w:val="left" w:pos="12119"/>
          <w:tab w:val="left" w:pos="13476"/>
        </w:tabs>
        <w:spacing w:after="0" w:line="240" w:lineRule="auto"/>
        <w:ind w:left="75"/>
        <w:rPr>
          <w:rFonts w:eastAsia="Times New Roman"/>
          <w:noProof/>
          <w:color w:val="000000"/>
          <w:lang w:val="fr-BE" w:eastAsia="fr-BE"/>
        </w:rPr>
      </w:pPr>
    </w:p>
    <w:tbl>
      <w:tblPr>
        <w:tblW w:w="14775" w:type="dxa"/>
        <w:tblInd w:w="75" w:type="dxa"/>
        <w:tblCellMar>
          <w:left w:w="70" w:type="dxa"/>
          <w:right w:w="70" w:type="dxa"/>
        </w:tblCellMar>
        <w:tblLook w:val="04A0" w:firstRow="1" w:lastRow="0" w:firstColumn="1" w:lastColumn="0" w:noHBand="0" w:noVBand="1"/>
      </w:tblPr>
      <w:tblGrid>
        <w:gridCol w:w="1920"/>
        <w:gridCol w:w="2421"/>
        <w:gridCol w:w="1300"/>
        <w:gridCol w:w="1240"/>
        <w:gridCol w:w="1240"/>
        <w:gridCol w:w="1234"/>
        <w:gridCol w:w="1340"/>
        <w:gridCol w:w="1200"/>
        <w:gridCol w:w="1420"/>
        <w:gridCol w:w="1460"/>
      </w:tblGrid>
      <w:tr w:rsidR="003E180D" w:rsidTr="0088305C">
        <w:trPr>
          <w:trHeight w:val="330"/>
        </w:trPr>
        <w:tc>
          <w:tcPr>
            <w:tcW w:w="1920" w:type="dxa"/>
            <w:vMerge w:val="restart"/>
            <w:tcBorders>
              <w:top w:val="single" w:sz="4" w:space="0" w:color="auto"/>
              <w:left w:val="single" w:sz="4" w:space="0" w:color="auto"/>
              <w:bottom w:val="single" w:sz="4" w:space="0" w:color="000000"/>
              <w:right w:val="double" w:sz="6" w:space="0" w:color="3F3F3F"/>
            </w:tcBorders>
            <w:shd w:val="clear" w:color="000000" w:fill="FFFFFF"/>
            <w:noWrap/>
            <w:vAlign w:val="center"/>
            <w:hideMark/>
          </w:tcPr>
          <w:p w:rsidR="003E180D" w:rsidRDefault="003E180D" w:rsidP="0088305C">
            <w:pPr>
              <w:spacing w:after="0" w:line="240" w:lineRule="auto"/>
              <w:jc w:val="center"/>
              <w:rPr>
                <w:rFonts w:eastAsia="Times New Roman" w:cs="Times New Roman"/>
                <w:b/>
                <w:bCs/>
                <w:noProof/>
                <w:color w:val="000000"/>
                <w:szCs w:val="24"/>
                <w:lang w:val="en-US" w:eastAsia="fr-BE"/>
              </w:rPr>
            </w:pPr>
            <w:r>
              <w:rPr>
                <w:rFonts w:eastAsia="Times New Roman" w:cs="Times New Roman"/>
                <w:b/>
                <w:bCs/>
                <w:noProof/>
                <w:color w:val="000000"/>
                <w:szCs w:val="24"/>
                <w:lang w:val="en-US" w:eastAsia="fr-BE"/>
              </w:rPr>
              <w:t xml:space="preserve">2030 </w:t>
            </w:r>
            <w:r>
              <w:rPr>
                <w:rFonts w:eastAsia="Times New Roman" w:cs="Times New Roman"/>
                <w:b/>
                <w:bCs/>
                <w:noProof/>
                <w:color w:val="000000"/>
                <w:szCs w:val="24"/>
                <w:lang w:val="en-US" w:eastAsia="fr-BE"/>
              </w:rPr>
              <w:br/>
              <w:t>Base cost assumptions</w:t>
            </w:r>
          </w:p>
        </w:tc>
        <w:tc>
          <w:tcPr>
            <w:tcW w:w="2421" w:type="dxa"/>
            <w:vMerge w:val="restart"/>
            <w:tcBorders>
              <w:top w:val="double" w:sz="6" w:space="0" w:color="3F3F3F"/>
              <w:left w:val="double" w:sz="6" w:space="0" w:color="3F3F3F"/>
              <w:bottom w:val="double" w:sz="6" w:space="0" w:color="3F3F3F"/>
              <w:right w:val="double" w:sz="6" w:space="0" w:color="3F3F3F"/>
            </w:tcBorders>
            <w:shd w:val="clear" w:color="000000" w:fill="A5A5A5"/>
            <w:noWrap/>
            <w:vAlign w:val="center"/>
            <w:hideMark/>
          </w:tcPr>
          <w:p w:rsidR="003E180D" w:rsidRDefault="003E180D" w:rsidP="0088305C">
            <w:pPr>
              <w:spacing w:after="0" w:line="240" w:lineRule="auto"/>
              <w:jc w:val="center"/>
              <w:rPr>
                <w:rFonts w:eastAsia="Times New Roman" w:cs="Times New Roman"/>
                <w:b/>
                <w:bCs/>
                <w:noProof/>
                <w:color w:val="FFFFFF"/>
                <w:szCs w:val="24"/>
                <w:lang w:val="en-US" w:eastAsia="fr-BE"/>
              </w:rPr>
            </w:pPr>
            <w:r>
              <w:rPr>
                <w:rFonts w:eastAsia="Times New Roman" w:cs="Times New Roman"/>
                <w:b/>
                <w:bCs/>
                <w:noProof/>
                <w:color w:val="FFFFFF"/>
                <w:szCs w:val="24"/>
                <w:lang w:val="en-US" w:eastAsia="fr-BE"/>
              </w:rPr>
              <w:t>Costs</w:t>
            </w:r>
          </w:p>
        </w:tc>
        <w:tc>
          <w:tcPr>
            <w:tcW w:w="10434" w:type="dxa"/>
            <w:gridSpan w:val="8"/>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3E180D" w:rsidRDefault="003E180D" w:rsidP="0088305C">
            <w:pPr>
              <w:spacing w:after="0" w:line="240" w:lineRule="auto"/>
              <w:jc w:val="center"/>
              <w:rPr>
                <w:rFonts w:eastAsia="Times New Roman" w:cs="Times New Roman"/>
                <w:b/>
                <w:bCs/>
                <w:noProof/>
                <w:color w:val="FFFFFF"/>
                <w:szCs w:val="24"/>
                <w:lang w:val="en-US" w:eastAsia="fr-BE"/>
              </w:rPr>
            </w:pPr>
            <w:r>
              <w:rPr>
                <w:rFonts w:eastAsia="Times New Roman" w:cs="Times New Roman"/>
                <w:b/>
                <w:bCs/>
                <w:noProof/>
                <w:color w:val="FFFFFF"/>
                <w:szCs w:val="24"/>
                <w:lang w:val="en-US" w:eastAsia="fr-BE"/>
              </w:rPr>
              <w:t>Benefits</w:t>
            </w:r>
          </w:p>
        </w:tc>
      </w:tr>
      <w:tr w:rsidR="003E180D" w:rsidTr="0088305C">
        <w:trPr>
          <w:trHeight w:val="315"/>
        </w:trPr>
        <w:tc>
          <w:tcPr>
            <w:tcW w:w="1920" w:type="dxa"/>
            <w:vMerge/>
            <w:tcBorders>
              <w:top w:val="single" w:sz="4" w:space="0" w:color="auto"/>
              <w:left w:val="single" w:sz="4" w:space="0" w:color="auto"/>
              <w:bottom w:val="single" w:sz="4" w:space="0" w:color="000000"/>
              <w:right w:val="double" w:sz="6" w:space="0" w:color="3F3F3F"/>
            </w:tcBorders>
            <w:vAlign w:val="center"/>
            <w:hideMark/>
          </w:tcPr>
          <w:p w:rsidR="003E180D" w:rsidRDefault="003E180D" w:rsidP="0088305C">
            <w:pPr>
              <w:spacing w:after="0" w:line="240" w:lineRule="auto"/>
              <w:jc w:val="center"/>
              <w:rPr>
                <w:rFonts w:eastAsia="Times New Roman" w:cs="Times New Roman"/>
                <w:b/>
                <w:bCs/>
                <w:noProof/>
                <w:color w:val="000000"/>
                <w:szCs w:val="24"/>
                <w:lang w:val="en-US" w:eastAsia="fr-BE"/>
              </w:rPr>
            </w:pPr>
          </w:p>
        </w:tc>
        <w:tc>
          <w:tcPr>
            <w:tcW w:w="2421" w:type="dxa"/>
            <w:vMerge/>
            <w:tcBorders>
              <w:top w:val="double" w:sz="6" w:space="0" w:color="3F3F3F"/>
              <w:left w:val="double" w:sz="6" w:space="0" w:color="3F3F3F"/>
              <w:bottom w:val="double" w:sz="6" w:space="0" w:color="3F3F3F"/>
              <w:right w:val="double" w:sz="6" w:space="0" w:color="3F3F3F"/>
            </w:tcBorders>
            <w:vAlign w:val="center"/>
            <w:hideMark/>
          </w:tcPr>
          <w:p w:rsidR="003E180D" w:rsidRDefault="003E180D" w:rsidP="0088305C">
            <w:pPr>
              <w:spacing w:after="0" w:line="240" w:lineRule="auto"/>
              <w:jc w:val="center"/>
              <w:rPr>
                <w:rFonts w:eastAsia="Times New Roman" w:cs="Times New Roman"/>
                <w:b/>
                <w:bCs/>
                <w:noProof/>
                <w:color w:val="FFFFFF"/>
                <w:szCs w:val="24"/>
                <w:lang w:val="en-US" w:eastAsia="fr-BE"/>
              </w:rPr>
            </w:pPr>
          </w:p>
        </w:tc>
        <w:tc>
          <w:tcPr>
            <w:tcW w:w="3780" w:type="dxa"/>
            <w:gridSpan w:val="3"/>
            <w:tcBorders>
              <w:top w:val="nil"/>
              <w:left w:val="nil"/>
              <w:bottom w:val="double" w:sz="6" w:space="0" w:color="3F3F3F"/>
              <w:right w:val="double" w:sz="6" w:space="0" w:color="3F3F3F"/>
            </w:tcBorders>
            <w:shd w:val="clear" w:color="000000" w:fill="A5A5A5"/>
            <w:noWrap/>
            <w:vAlign w:val="center"/>
            <w:hideMark/>
          </w:tcPr>
          <w:p w:rsidR="003E180D" w:rsidRDefault="003E180D" w:rsidP="0088305C">
            <w:pPr>
              <w:spacing w:after="0" w:line="240" w:lineRule="auto"/>
              <w:jc w:val="center"/>
              <w:rPr>
                <w:rFonts w:eastAsia="Times New Roman" w:cs="Times New Roman"/>
                <w:b/>
                <w:bCs/>
                <w:noProof/>
                <w:color w:val="FFFFFF"/>
                <w:szCs w:val="24"/>
                <w:lang w:val="en-US" w:eastAsia="fr-BE"/>
              </w:rPr>
            </w:pPr>
            <w:r>
              <w:rPr>
                <w:rFonts w:eastAsia="Times New Roman" w:cs="Times New Roman"/>
                <w:b/>
                <w:bCs/>
                <w:noProof/>
                <w:color w:val="FFFFFF"/>
                <w:szCs w:val="24"/>
                <w:lang w:val="en-US" w:eastAsia="fr-BE"/>
              </w:rPr>
              <w:t>Net Savings</w:t>
            </w:r>
          </w:p>
        </w:tc>
        <w:tc>
          <w:tcPr>
            <w:tcW w:w="3774" w:type="dxa"/>
            <w:gridSpan w:val="3"/>
            <w:tcBorders>
              <w:top w:val="nil"/>
              <w:left w:val="nil"/>
              <w:bottom w:val="double" w:sz="6" w:space="0" w:color="3F3F3F"/>
              <w:right w:val="nil"/>
            </w:tcBorders>
            <w:shd w:val="clear" w:color="000000" w:fill="A5A5A5"/>
            <w:noWrap/>
            <w:vAlign w:val="center"/>
            <w:hideMark/>
          </w:tcPr>
          <w:p w:rsidR="003E180D" w:rsidRDefault="003E180D" w:rsidP="0088305C">
            <w:pPr>
              <w:spacing w:after="0" w:line="240" w:lineRule="auto"/>
              <w:jc w:val="center"/>
              <w:rPr>
                <w:rFonts w:eastAsia="Times New Roman" w:cs="Times New Roman"/>
                <w:b/>
                <w:bCs/>
                <w:noProof/>
                <w:color w:val="FFFFFF"/>
                <w:szCs w:val="24"/>
                <w:lang w:val="en-US" w:eastAsia="fr-BE"/>
              </w:rPr>
            </w:pPr>
            <w:r>
              <w:rPr>
                <w:rFonts w:eastAsia="Times New Roman" w:cs="Times New Roman"/>
                <w:b/>
                <w:bCs/>
                <w:noProof/>
                <w:color w:val="FFFFFF"/>
                <w:szCs w:val="24"/>
                <w:lang w:val="en-US" w:eastAsia="fr-BE"/>
              </w:rPr>
              <w:t>Environmental</w:t>
            </w:r>
          </w:p>
        </w:tc>
        <w:tc>
          <w:tcPr>
            <w:tcW w:w="2880" w:type="dxa"/>
            <w:gridSpan w:val="2"/>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3E180D" w:rsidRDefault="003E180D" w:rsidP="0088305C">
            <w:pPr>
              <w:spacing w:after="0" w:line="240" w:lineRule="auto"/>
              <w:jc w:val="center"/>
              <w:rPr>
                <w:rFonts w:eastAsia="Times New Roman" w:cs="Times New Roman"/>
                <w:b/>
                <w:bCs/>
                <w:noProof/>
                <w:color w:val="FFFFFF"/>
                <w:szCs w:val="24"/>
                <w:lang w:val="en-US" w:eastAsia="fr-BE"/>
              </w:rPr>
            </w:pPr>
            <w:r>
              <w:rPr>
                <w:rFonts w:eastAsia="Times New Roman" w:cs="Times New Roman"/>
                <w:b/>
                <w:bCs/>
                <w:noProof/>
                <w:color w:val="FFFFFF"/>
                <w:szCs w:val="24"/>
                <w:lang w:val="en-US" w:eastAsia="fr-BE"/>
              </w:rPr>
              <w:t>Macro-economic</w:t>
            </w:r>
          </w:p>
        </w:tc>
      </w:tr>
      <w:tr w:rsidR="003E180D" w:rsidTr="0088305C">
        <w:trPr>
          <w:trHeight w:val="990"/>
        </w:trPr>
        <w:tc>
          <w:tcPr>
            <w:tcW w:w="1920" w:type="dxa"/>
            <w:tcBorders>
              <w:top w:val="single" w:sz="4" w:space="0" w:color="7F7F7F"/>
              <w:left w:val="single" w:sz="4" w:space="0" w:color="7F7F7F"/>
              <w:bottom w:val="single" w:sz="4" w:space="0" w:color="7F7F7F"/>
              <w:right w:val="single" w:sz="4" w:space="0" w:color="7F7F7F"/>
            </w:tcBorders>
            <w:shd w:val="clear" w:color="000000" w:fill="F2F2F2"/>
            <w:noWrap/>
            <w:vAlign w:val="center"/>
            <w:hideMark/>
          </w:tcPr>
          <w:p w:rsidR="003E180D" w:rsidRDefault="003E180D" w:rsidP="0088305C">
            <w:pPr>
              <w:spacing w:after="0" w:line="240" w:lineRule="auto"/>
              <w:jc w:val="center"/>
              <w:rPr>
                <w:rFonts w:eastAsia="Times New Roman" w:cs="Times New Roman"/>
                <w:bCs/>
                <w:noProof/>
                <w:color w:val="000000" w:themeColor="text1"/>
                <w:szCs w:val="24"/>
                <w:lang w:val="en-US" w:eastAsia="fr-BE"/>
              </w:rPr>
            </w:pPr>
            <w:r>
              <w:rPr>
                <w:rFonts w:eastAsia="Times New Roman" w:cs="Times New Roman"/>
                <w:bCs/>
                <w:noProof/>
                <w:color w:val="000000" w:themeColor="text1"/>
                <w:szCs w:val="24"/>
                <w:lang w:val="en-US" w:eastAsia="fr-BE"/>
              </w:rPr>
              <w:t>Target Level option</w:t>
            </w:r>
          </w:p>
        </w:tc>
        <w:tc>
          <w:tcPr>
            <w:tcW w:w="2421" w:type="dxa"/>
            <w:tcBorders>
              <w:top w:val="single" w:sz="4" w:space="0" w:color="7F7F7F"/>
              <w:left w:val="nil"/>
              <w:bottom w:val="single" w:sz="4" w:space="0" w:color="7F7F7F"/>
              <w:right w:val="single" w:sz="4" w:space="0" w:color="7F7F7F"/>
            </w:tcBorders>
            <w:shd w:val="clear" w:color="000000" w:fill="F2F2F2"/>
            <w:vAlign w:val="center"/>
            <w:hideMark/>
          </w:tcPr>
          <w:p w:rsidR="003E180D" w:rsidRDefault="003E180D" w:rsidP="0088305C">
            <w:pPr>
              <w:spacing w:after="0" w:line="240" w:lineRule="auto"/>
              <w:jc w:val="center"/>
              <w:rPr>
                <w:rFonts w:eastAsia="Times New Roman" w:cs="Times New Roman"/>
                <w:bCs/>
                <w:noProof/>
                <w:color w:val="000000" w:themeColor="text1"/>
                <w:szCs w:val="24"/>
                <w:lang w:val="en-US" w:eastAsia="fr-BE"/>
              </w:rPr>
            </w:pPr>
            <w:r>
              <w:rPr>
                <w:rFonts w:eastAsia="Times New Roman" w:cs="Times New Roman"/>
                <w:bCs/>
                <w:noProof/>
                <w:color w:val="000000" w:themeColor="text1"/>
                <w:szCs w:val="24"/>
                <w:lang w:val="en-US" w:eastAsia="fr-BE"/>
              </w:rPr>
              <w:t xml:space="preserve">Manufacturing costs </w:t>
            </w:r>
            <w:r>
              <w:rPr>
                <w:rFonts w:eastAsia="Times New Roman" w:cs="Times New Roman"/>
                <w:bCs/>
                <w:noProof/>
                <w:color w:val="000000" w:themeColor="text1"/>
                <w:szCs w:val="24"/>
                <w:lang w:val="en-US" w:eastAsia="fr-BE"/>
              </w:rPr>
              <w:br/>
              <w:t>EUR</w:t>
            </w:r>
            <w:r>
              <w:rPr>
                <w:rFonts w:eastAsia="Times New Roman" w:cs="Times New Roman"/>
                <w:noProof/>
                <w:color w:val="000000" w:themeColor="text1"/>
                <w:szCs w:val="24"/>
                <w:lang w:val="en-US" w:eastAsia="fr-BE"/>
              </w:rPr>
              <w:t>/lorry</w:t>
            </w:r>
          </w:p>
        </w:tc>
        <w:tc>
          <w:tcPr>
            <w:tcW w:w="1300" w:type="dxa"/>
            <w:tcBorders>
              <w:top w:val="single" w:sz="4" w:space="0" w:color="7F7F7F"/>
              <w:left w:val="nil"/>
              <w:bottom w:val="single" w:sz="4" w:space="0" w:color="7F7F7F"/>
              <w:right w:val="single" w:sz="4" w:space="0" w:color="7F7F7F"/>
            </w:tcBorders>
            <w:shd w:val="clear" w:color="000000" w:fill="F2F2F2"/>
            <w:vAlign w:val="center"/>
            <w:hideMark/>
          </w:tcPr>
          <w:p w:rsidR="003E180D" w:rsidRDefault="003E180D" w:rsidP="0088305C">
            <w:pPr>
              <w:spacing w:after="0" w:line="240" w:lineRule="auto"/>
              <w:jc w:val="center"/>
              <w:rPr>
                <w:rFonts w:eastAsia="Times New Roman" w:cs="Times New Roman"/>
                <w:bCs/>
                <w:noProof/>
                <w:color w:val="000000" w:themeColor="text1"/>
                <w:szCs w:val="24"/>
                <w:lang w:val="fr-BE" w:eastAsia="fr-BE"/>
              </w:rPr>
            </w:pPr>
            <w:r>
              <w:rPr>
                <w:rFonts w:eastAsia="Times New Roman" w:cs="Times New Roman"/>
                <w:bCs/>
                <w:noProof/>
                <w:color w:val="000000" w:themeColor="text1"/>
                <w:szCs w:val="24"/>
                <w:lang w:val="en-US" w:eastAsia="fr-BE"/>
              </w:rPr>
              <w:t>Societal persp</w:t>
            </w:r>
            <w:r>
              <w:rPr>
                <w:rFonts w:eastAsia="Times New Roman" w:cs="Times New Roman"/>
                <w:bCs/>
                <w:noProof/>
                <w:color w:val="000000" w:themeColor="text1"/>
                <w:szCs w:val="24"/>
                <w:lang w:val="fr-BE" w:eastAsia="fr-BE"/>
              </w:rPr>
              <w:t>ective</w:t>
            </w:r>
            <w:r>
              <w:rPr>
                <w:rFonts w:eastAsia="Times New Roman" w:cs="Times New Roman"/>
                <w:bCs/>
                <w:noProof/>
                <w:color w:val="000000" w:themeColor="text1"/>
                <w:szCs w:val="24"/>
                <w:lang w:val="fr-BE" w:eastAsia="fr-BE"/>
              </w:rPr>
              <w:br/>
              <w:t>EUR</w:t>
            </w:r>
            <w:r>
              <w:rPr>
                <w:rFonts w:eastAsia="Times New Roman" w:cs="Times New Roman"/>
                <w:noProof/>
                <w:color w:val="000000" w:themeColor="text1"/>
                <w:szCs w:val="24"/>
                <w:lang w:val="fr-BE" w:eastAsia="fr-BE"/>
              </w:rPr>
              <w:t>/lorry</w:t>
            </w:r>
          </w:p>
        </w:tc>
        <w:tc>
          <w:tcPr>
            <w:tcW w:w="1240" w:type="dxa"/>
            <w:tcBorders>
              <w:top w:val="single" w:sz="4" w:space="0" w:color="7F7F7F"/>
              <w:left w:val="nil"/>
              <w:bottom w:val="single" w:sz="4" w:space="0" w:color="7F7F7F"/>
              <w:right w:val="single" w:sz="4" w:space="0" w:color="7F7F7F"/>
            </w:tcBorders>
            <w:shd w:val="clear" w:color="000000" w:fill="F2F2F2"/>
            <w:vAlign w:val="center"/>
            <w:hideMark/>
          </w:tcPr>
          <w:p w:rsidR="003E180D" w:rsidRDefault="003E180D" w:rsidP="0088305C">
            <w:pPr>
              <w:spacing w:after="0" w:line="240" w:lineRule="auto"/>
              <w:jc w:val="center"/>
              <w:rPr>
                <w:rFonts w:eastAsia="Times New Roman"/>
                <w:noProof/>
                <w:color w:val="000000" w:themeColor="text1"/>
                <w:lang w:eastAsia="fr-BE"/>
              </w:rPr>
            </w:pPr>
            <w:r>
              <w:rPr>
                <w:rFonts w:eastAsia="Times New Roman"/>
                <w:noProof/>
                <w:color w:val="000000" w:themeColor="text1"/>
                <w:lang w:eastAsia="fr-BE"/>
              </w:rPr>
              <w:t>TCO first use</w:t>
            </w:r>
            <w:r>
              <w:rPr>
                <w:rFonts w:eastAsia="Times New Roman"/>
                <w:noProof/>
                <w:color w:val="000000" w:themeColor="text1"/>
                <w:lang w:eastAsia="fr-BE"/>
              </w:rPr>
              <w:br/>
              <w:t>EUR/lorry</w:t>
            </w:r>
          </w:p>
        </w:tc>
        <w:tc>
          <w:tcPr>
            <w:tcW w:w="1240" w:type="dxa"/>
            <w:tcBorders>
              <w:top w:val="single" w:sz="4" w:space="0" w:color="7F7F7F"/>
              <w:left w:val="nil"/>
              <w:bottom w:val="single" w:sz="4" w:space="0" w:color="7F7F7F"/>
              <w:right w:val="single" w:sz="4" w:space="0" w:color="7F7F7F"/>
            </w:tcBorders>
            <w:shd w:val="clear" w:color="000000" w:fill="F2F2F2"/>
            <w:vAlign w:val="center"/>
            <w:hideMark/>
          </w:tcPr>
          <w:p w:rsidR="003E180D" w:rsidRDefault="003E180D" w:rsidP="0088305C">
            <w:pPr>
              <w:spacing w:after="0" w:line="240" w:lineRule="auto"/>
              <w:jc w:val="center"/>
              <w:rPr>
                <w:rFonts w:eastAsia="Times New Roman" w:cs="Times New Roman"/>
                <w:noProof/>
                <w:color w:val="000000" w:themeColor="text1"/>
                <w:szCs w:val="24"/>
                <w:lang w:eastAsia="fr-BE"/>
              </w:rPr>
            </w:pPr>
            <w:r>
              <w:rPr>
                <w:rFonts w:eastAsia="Times New Roman" w:cs="Times New Roman"/>
                <w:noProof/>
                <w:color w:val="000000" w:themeColor="text1"/>
                <w:szCs w:val="24"/>
                <w:lang w:eastAsia="fr-BE"/>
              </w:rPr>
              <w:t>TCO second use</w:t>
            </w:r>
            <w:r>
              <w:rPr>
                <w:rFonts w:eastAsia="Times New Roman" w:cs="Times New Roman"/>
                <w:noProof/>
                <w:color w:val="000000" w:themeColor="text1"/>
                <w:szCs w:val="24"/>
                <w:lang w:eastAsia="fr-BE"/>
              </w:rPr>
              <w:br/>
              <w:t>EUR/lorry</w:t>
            </w:r>
          </w:p>
        </w:tc>
        <w:tc>
          <w:tcPr>
            <w:tcW w:w="1234" w:type="dxa"/>
            <w:tcBorders>
              <w:top w:val="single" w:sz="4" w:space="0" w:color="7F7F7F"/>
              <w:left w:val="nil"/>
              <w:bottom w:val="nil"/>
              <w:right w:val="single" w:sz="4" w:space="0" w:color="7F7F7F"/>
            </w:tcBorders>
            <w:shd w:val="clear" w:color="000000" w:fill="F2F2F2"/>
            <w:vAlign w:val="center"/>
            <w:hideMark/>
          </w:tcPr>
          <w:p w:rsidR="003E180D" w:rsidRDefault="003E180D" w:rsidP="0088305C">
            <w:pPr>
              <w:spacing w:after="0" w:line="240" w:lineRule="auto"/>
              <w:jc w:val="center"/>
              <w:rPr>
                <w:rFonts w:eastAsia="Times New Roman"/>
                <w:noProof/>
                <w:color w:val="000000" w:themeColor="text1"/>
                <w:lang w:eastAsia="fr-BE"/>
              </w:rPr>
            </w:pPr>
            <w:r>
              <w:rPr>
                <w:rFonts w:eastAsia="Times New Roman"/>
                <w:noProof/>
                <w:color w:val="000000" w:themeColor="text1"/>
                <w:lang w:eastAsia="fr-BE"/>
              </w:rPr>
              <w:t>Avoided CO</w:t>
            </w:r>
            <w:r>
              <w:rPr>
                <w:rFonts w:eastAsia="Times New Roman"/>
                <w:noProof/>
                <w:color w:val="000000" w:themeColor="text1"/>
                <w:vertAlign w:val="subscript"/>
                <w:lang w:eastAsia="fr-BE"/>
              </w:rPr>
              <w:t>2</w:t>
            </w:r>
            <w:r>
              <w:rPr>
                <w:rFonts w:eastAsia="Times New Roman"/>
                <w:noProof/>
                <w:color w:val="000000" w:themeColor="text1"/>
                <w:lang w:eastAsia="fr-BE"/>
              </w:rPr>
              <w:t xml:space="preserve"> costs EUR/lorry</w:t>
            </w:r>
          </w:p>
        </w:tc>
        <w:tc>
          <w:tcPr>
            <w:tcW w:w="1340" w:type="dxa"/>
            <w:tcBorders>
              <w:top w:val="single" w:sz="4" w:space="0" w:color="7F7F7F"/>
              <w:left w:val="nil"/>
              <w:bottom w:val="nil"/>
              <w:right w:val="single" w:sz="4" w:space="0" w:color="7F7F7F"/>
            </w:tcBorders>
            <w:shd w:val="clear" w:color="000000" w:fill="F2F2F2"/>
            <w:vAlign w:val="center"/>
            <w:hideMark/>
          </w:tcPr>
          <w:p w:rsidR="003E180D" w:rsidRDefault="003E180D" w:rsidP="0088305C">
            <w:pPr>
              <w:spacing w:after="0" w:line="240" w:lineRule="auto"/>
              <w:jc w:val="center"/>
              <w:rPr>
                <w:rFonts w:eastAsia="Times New Roman" w:cs="Times New Roman"/>
                <w:bCs/>
                <w:noProof/>
                <w:color w:val="000000" w:themeColor="text1"/>
                <w:szCs w:val="24"/>
                <w:lang w:val="fr-BE" w:eastAsia="fr-BE"/>
              </w:rPr>
            </w:pPr>
            <w:r>
              <w:rPr>
                <w:rFonts w:eastAsia="Times New Roman" w:cs="Times New Roman"/>
                <w:bCs/>
                <w:noProof/>
                <w:color w:val="000000" w:themeColor="text1"/>
                <w:szCs w:val="24"/>
                <w:lang w:val="fr-BE" w:eastAsia="fr-BE"/>
              </w:rPr>
              <w:t>NO</w:t>
            </w:r>
            <w:r>
              <w:rPr>
                <w:rFonts w:eastAsia="Times New Roman" w:cs="Times New Roman"/>
                <w:bCs/>
                <w:noProof/>
                <w:color w:val="000000" w:themeColor="text1"/>
                <w:szCs w:val="24"/>
                <w:vertAlign w:val="subscript"/>
                <w:lang w:val="fr-BE" w:eastAsia="fr-BE"/>
              </w:rPr>
              <w:t>x</w:t>
            </w:r>
            <w:r>
              <w:rPr>
                <w:rFonts w:eastAsia="Times New Roman" w:cs="Times New Roman"/>
                <w:bCs/>
                <w:noProof/>
                <w:color w:val="000000" w:themeColor="text1"/>
                <w:szCs w:val="24"/>
                <w:lang w:val="fr-BE" w:eastAsia="fr-BE"/>
              </w:rPr>
              <w:br/>
              <w:t xml:space="preserve">% </w:t>
            </w:r>
            <w:r>
              <w:rPr>
                <w:rFonts w:eastAsia="Times New Roman" w:cs="Times New Roman"/>
                <w:bCs/>
                <w:noProof/>
                <w:color w:val="000000" w:themeColor="text1"/>
                <w:szCs w:val="24"/>
                <w:lang w:val="fr-BE" w:eastAsia="fr-BE"/>
              </w:rPr>
              <w:br/>
              <w:t>reduction</w:t>
            </w:r>
          </w:p>
        </w:tc>
        <w:tc>
          <w:tcPr>
            <w:tcW w:w="1200" w:type="dxa"/>
            <w:tcBorders>
              <w:top w:val="single" w:sz="4" w:space="0" w:color="7F7F7F"/>
              <w:left w:val="nil"/>
              <w:bottom w:val="single" w:sz="4" w:space="0" w:color="auto"/>
              <w:right w:val="single" w:sz="4" w:space="0" w:color="7F7F7F"/>
            </w:tcBorders>
            <w:shd w:val="clear" w:color="000000" w:fill="F2F2F2"/>
            <w:vAlign w:val="center"/>
            <w:hideMark/>
          </w:tcPr>
          <w:p w:rsidR="003E180D" w:rsidRDefault="003E180D" w:rsidP="0088305C">
            <w:pPr>
              <w:spacing w:after="0" w:line="240" w:lineRule="auto"/>
              <w:jc w:val="center"/>
              <w:rPr>
                <w:rFonts w:eastAsia="Times New Roman" w:cs="Times New Roman"/>
                <w:bCs/>
                <w:noProof/>
                <w:color w:val="000000" w:themeColor="text1"/>
                <w:szCs w:val="24"/>
                <w:lang w:val="fr-BE" w:eastAsia="fr-BE"/>
              </w:rPr>
            </w:pPr>
            <w:r>
              <w:rPr>
                <w:rFonts w:eastAsia="Times New Roman" w:cs="Times New Roman"/>
                <w:bCs/>
                <w:noProof/>
                <w:color w:val="000000" w:themeColor="text1"/>
                <w:szCs w:val="24"/>
                <w:lang w:val="fr-BE" w:eastAsia="fr-BE"/>
              </w:rPr>
              <w:t>PM</w:t>
            </w:r>
            <w:r>
              <w:rPr>
                <w:rFonts w:eastAsia="Times New Roman" w:cs="Times New Roman"/>
                <w:bCs/>
                <w:noProof/>
                <w:color w:val="000000" w:themeColor="text1"/>
                <w:szCs w:val="24"/>
                <w:lang w:val="fr-BE" w:eastAsia="fr-BE"/>
              </w:rPr>
              <w:br/>
              <w:t xml:space="preserve">% </w:t>
            </w:r>
            <w:r>
              <w:rPr>
                <w:rFonts w:eastAsia="Times New Roman" w:cs="Times New Roman"/>
                <w:bCs/>
                <w:noProof/>
                <w:color w:val="000000" w:themeColor="text1"/>
                <w:szCs w:val="24"/>
                <w:lang w:val="fr-BE" w:eastAsia="fr-BE"/>
              </w:rPr>
              <w:br/>
              <w:t>reduction</w:t>
            </w:r>
          </w:p>
        </w:tc>
        <w:tc>
          <w:tcPr>
            <w:tcW w:w="1420" w:type="dxa"/>
            <w:tcBorders>
              <w:top w:val="nil"/>
              <w:left w:val="single" w:sz="4" w:space="0" w:color="auto"/>
              <w:bottom w:val="single" w:sz="4" w:space="0" w:color="auto"/>
              <w:right w:val="single" w:sz="4" w:space="0" w:color="auto"/>
            </w:tcBorders>
            <w:shd w:val="clear" w:color="000000" w:fill="F2F2F2"/>
            <w:vAlign w:val="center"/>
            <w:hideMark/>
          </w:tcPr>
          <w:p w:rsidR="003E180D" w:rsidRDefault="003E180D" w:rsidP="0088305C">
            <w:pPr>
              <w:spacing w:after="0" w:line="240" w:lineRule="auto"/>
              <w:jc w:val="center"/>
              <w:rPr>
                <w:rFonts w:eastAsia="Times New Roman" w:cs="Times New Roman"/>
                <w:bCs/>
                <w:noProof/>
                <w:color w:val="000000" w:themeColor="text1"/>
                <w:szCs w:val="24"/>
                <w:lang w:val="fr-BE" w:eastAsia="fr-BE"/>
              </w:rPr>
            </w:pPr>
            <w:r>
              <w:rPr>
                <w:rFonts w:eastAsia="Times New Roman" w:cs="Times New Roman"/>
                <w:bCs/>
                <w:noProof/>
                <w:color w:val="000000" w:themeColor="text1"/>
                <w:szCs w:val="24"/>
                <w:lang w:val="fr-BE" w:eastAsia="fr-BE"/>
              </w:rPr>
              <w:t>GDP</w:t>
            </w:r>
            <w:r>
              <w:rPr>
                <w:rFonts w:eastAsia="Times New Roman" w:cs="Times New Roman"/>
                <w:bCs/>
                <w:noProof/>
                <w:color w:val="000000" w:themeColor="text1"/>
                <w:szCs w:val="24"/>
                <w:lang w:val="fr-BE" w:eastAsia="fr-BE"/>
              </w:rPr>
              <w:br/>
              <w:t xml:space="preserve">% </w:t>
            </w:r>
            <w:r>
              <w:rPr>
                <w:rFonts w:eastAsia="Times New Roman" w:cs="Times New Roman"/>
                <w:bCs/>
                <w:noProof/>
                <w:color w:val="000000" w:themeColor="text1"/>
                <w:szCs w:val="24"/>
                <w:lang w:val="fr-BE" w:eastAsia="fr-BE"/>
              </w:rPr>
              <w:br/>
              <w:t>increase</w:t>
            </w:r>
          </w:p>
        </w:tc>
        <w:tc>
          <w:tcPr>
            <w:tcW w:w="1460" w:type="dxa"/>
            <w:tcBorders>
              <w:top w:val="nil"/>
              <w:left w:val="nil"/>
              <w:bottom w:val="single" w:sz="4" w:space="0" w:color="auto"/>
              <w:right w:val="single" w:sz="4" w:space="0" w:color="auto"/>
            </w:tcBorders>
            <w:shd w:val="clear" w:color="000000" w:fill="F2F2F2"/>
            <w:vAlign w:val="center"/>
            <w:hideMark/>
          </w:tcPr>
          <w:p w:rsidR="003E180D" w:rsidRDefault="003E180D" w:rsidP="0088305C">
            <w:pPr>
              <w:spacing w:after="0" w:line="240" w:lineRule="auto"/>
              <w:jc w:val="center"/>
              <w:rPr>
                <w:rFonts w:eastAsia="Times New Roman" w:cs="Times New Roman"/>
                <w:bCs/>
                <w:noProof/>
                <w:color w:val="000000" w:themeColor="text1"/>
                <w:szCs w:val="24"/>
                <w:lang w:val="fr-BE" w:eastAsia="fr-BE"/>
              </w:rPr>
            </w:pPr>
            <w:r>
              <w:rPr>
                <w:rFonts w:eastAsia="Times New Roman" w:cs="Times New Roman"/>
                <w:bCs/>
                <w:noProof/>
                <w:color w:val="000000" w:themeColor="text1"/>
                <w:szCs w:val="24"/>
                <w:lang w:val="fr-BE" w:eastAsia="fr-BE"/>
              </w:rPr>
              <w:t>Employment</w:t>
            </w:r>
            <w:r>
              <w:rPr>
                <w:rFonts w:eastAsia="Times New Roman" w:cs="Times New Roman"/>
                <w:bCs/>
                <w:noProof/>
                <w:color w:val="000000" w:themeColor="text1"/>
                <w:szCs w:val="24"/>
                <w:lang w:val="fr-BE" w:eastAsia="fr-BE"/>
              </w:rPr>
              <w:br/>
              <w:t xml:space="preserve">% </w:t>
            </w:r>
            <w:r>
              <w:rPr>
                <w:rFonts w:eastAsia="Times New Roman" w:cs="Times New Roman"/>
                <w:bCs/>
                <w:noProof/>
                <w:color w:val="000000" w:themeColor="text1"/>
                <w:szCs w:val="24"/>
                <w:lang w:val="fr-BE" w:eastAsia="fr-BE"/>
              </w:rPr>
              <w:br/>
              <w:t>increase</w:t>
            </w:r>
          </w:p>
        </w:tc>
      </w:tr>
      <w:tr w:rsidR="003E180D" w:rsidTr="0088305C">
        <w:trPr>
          <w:trHeight w:val="340"/>
        </w:trPr>
        <w:tc>
          <w:tcPr>
            <w:tcW w:w="1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TL20</w:t>
            </w:r>
          </w:p>
        </w:tc>
        <w:tc>
          <w:tcPr>
            <w:tcW w:w="242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4,657</w:t>
            </w:r>
          </w:p>
        </w:tc>
        <w:tc>
          <w:tcPr>
            <w:tcW w:w="1300" w:type="dxa"/>
            <w:tcBorders>
              <w:top w:val="single" w:sz="4" w:space="0" w:color="auto"/>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34,736</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30,339</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22,032</w:t>
            </w:r>
          </w:p>
        </w:tc>
        <w:tc>
          <w:tcPr>
            <w:tcW w:w="1234" w:type="dxa"/>
            <w:tcBorders>
              <w:top w:val="single" w:sz="4" w:space="0" w:color="auto"/>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6,831</w:t>
            </w:r>
          </w:p>
        </w:tc>
        <w:tc>
          <w:tcPr>
            <w:tcW w:w="1340" w:type="dxa"/>
            <w:tcBorders>
              <w:top w:val="single" w:sz="4" w:space="0" w:color="auto"/>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-1,3%</w:t>
            </w:r>
          </w:p>
        </w:tc>
        <w:tc>
          <w:tcPr>
            <w:tcW w:w="1200" w:type="dxa"/>
            <w:tcBorders>
              <w:top w:val="single" w:sz="4" w:space="0" w:color="auto"/>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-0,2%</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0.03%</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0.02%</w:t>
            </w:r>
          </w:p>
        </w:tc>
      </w:tr>
      <w:tr w:rsidR="003E180D" w:rsidTr="0088305C">
        <w:trPr>
          <w:trHeight w:val="340"/>
        </w:trPr>
        <w:tc>
          <w:tcPr>
            <w:tcW w:w="1920" w:type="dxa"/>
            <w:tcBorders>
              <w:top w:val="nil"/>
              <w:left w:val="single" w:sz="4" w:space="0" w:color="auto"/>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TL30 *</w:t>
            </w:r>
          </w:p>
        </w:tc>
        <w:tc>
          <w:tcPr>
            <w:tcW w:w="2421" w:type="dxa"/>
            <w:tcBorders>
              <w:top w:val="nil"/>
              <w:left w:val="single" w:sz="4" w:space="0" w:color="auto"/>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19,291</w:t>
            </w:r>
          </w:p>
        </w:tc>
        <w:tc>
          <w:tcPr>
            <w:tcW w:w="130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63,071</w:t>
            </w:r>
          </w:p>
        </w:tc>
        <w:tc>
          <w:tcPr>
            <w:tcW w:w="124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58,005</w:t>
            </w:r>
          </w:p>
        </w:tc>
        <w:tc>
          <w:tcPr>
            <w:tcW w:w="124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41,805</w:t>
            </w:r>
          </w:p>
        </w:tc>
        <w:tc>
          <w:tcPr>
            <w:tcW w:w="1234"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14,289</w:t>
            </w:r>
          </w:p>
        </w:tc>
        <w:tc>
          <w:tcPr>
            <w:tcW w:w="134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-3,2%</w:t>
            </w:r>
          </w:p>
        </w:tc>
        <w:tc>
          <w:tcPr>
            <w:tcW w:w="1200" w:type="dxa"/>
            <w:tcBorders>
              <w:top w:val="single" w:sz="4" w:space="0" w:color="auto"/>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-0,4%</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0.09%</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0.05%</w:t>
            </w:r>
          </w:p>
        </w:tc>
      </w:tr>
      <w:tr w:rsidR="003E180D" w:rsidTr="0088305C">
        <w:trPr>
          <w:trHeight w:val="340"/>
        </w:trPr>
        <w:tc>
          <w:tcPr>
            <w:tcW w:w="1920" w:type="dxa"/>
            <w:tcBorders>
              <w:top w:val="nil"/>
              <w:left w:val="single" w:sz="4" w:space="0" w:color="auto"/>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TL32</w:t>
            </w:r>
          </w:p>
        </w:tc>
        <w:tc>
          <w:tcPr>
            <w:tcW w:w="2421" w:type="dxa"/>
            <w:tcBorders>
              <w:top w:val="nil"/>
              <w:left w:val="single" w:sz="4" w:space="0" w:color="auto"/>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26,572</w:t>
            </w:r>
          </w:p>
        </w:tc>
        <w:tc>
          <w:tcPr>
            <w:tcW w:w="130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64,308</w:t>
            </w:r>
          </w:p>
        </w:tc>
        <w:tc>
          <w:tcPr>
            <w:tcW w:w="124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60,772</w:t>
            </w:r>
          </w:p>
        </w:tc>
        <w:tc>
          <w:tcPr>
            <w:tcW w:w="124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43,608</w:t>
            </w:r>
          </w:p>
        </w:tc>
        <w:tc>
          <w:tcPr>
            <w:tcW w:w="1234"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15,820</w:t>
            </w:r>
          </w:p>
        </w:tc>
        <w:tc>
          <w:tcPr>
            <w:tcW w:w="134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-3,9%</w:t>
            </w:r>
          </w:p>
        </w:tc>
        <w:tc>
          <w:tcPr>
            <w:tcW w:w="1200" w:type="dxa"/>
            <w:tcBorders>
              <w:top w:val="single" w:sz="4" w:space="0" w:color="auto"/>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-0,5%</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0.11%</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0.06%</w:t>
            </w:r>
          </w:p>
        </w:tc>
      </w:tr>
      <w:tr w:rsidR="003E180D" w:rsidTr="0088305C">
        <w:trPr>
          <w:trHeight w:val="340"/>
        </w:trPr>
        <w:tc>
          <w:tcPr>
            <w:tcW w:w="1920" w:type="dxa"/>
            <w:tcBorders>
              <w:top w:val="nil"/>
              <w:left w:val="single" w:sz="4" w:space="0" w:color="auto"/>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TL35</w:t>
            </w:r>
          </w:p>
        </w:tc>
        <w:tc>
          <w:tcPr>
            <w:tcW w:w="2421" w:type="dxa"/>
            <w:tcBorders>
              <w:top w:val="nil"/>
              <w:left w:val="single" w:sz="4" w:space="0" w:color="auto"/>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33,185</w:t>
            </w:r>
          </w:p>
        </w:tc>
        <w:tc>
          <w:tcPr>
            <w:tcW w:w="130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69,608</w:t>
            </w:r>
          </w:p>
        </w:tc>
        <w:tc>
          <w:tcPr>
            <w:tcW w:w="124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72,120</w:t>
            </w:r>
          </w:p>
        </w:tc>
        <w:tc>
          <w:tcPr>
            <w:tcW w:w="124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51,630</w:t>
            </w:r>
          </w:p>
        </w:tc>
        <w:tc>
          <w:tcPr>
            <w:tcW w:w="1234"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17,670</w:t>
            </w:r>
          </w:p>
        </w:tc>
        <w:tc>
          <w:tcPr>
            <w:tcW w:w="134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-4,7%</w:t>
            </w:r>
          </w:p>
        </w:tc>
        <w:tc>
          <w:tcPr>
            <w:tcW w:w="1200" w:type="dxa"/>
            <w:tcBorders>
              <w:top w:val="single" w:sz="4" w:space="0" w:color="auto"/>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-0,6%</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0.14%</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0.08%</w:t>
            </w:r>
          </w:p>
        </w:tc>
      </w:tr>
    </w:tbl>
    <w:p w:rsidR="003E180D" w:rsidRDefault="003E180D" w:rsidP="003E180D">
      <w:pPr>
        <w:tabs>
          <w:tab w:val="left" w:pos="1995"/>
          <w:tab w:val="left" w:pos="4416"/>
          <w:tab w:val="left" w:pos="5716"/>
          <w:tab w:val="left" w:pos="6956"/>
          <w:tab w:val="left" w:pos="8196"/>
          <w:tab w:val="left" w:pos="9590"/>
          <w:tab w:val="left" w:pos="10930"/>
          <w:tab w:val="left" w:pos="12119"/>
          <w:tab w:val="left" w:pos="13476"/>
        </w:tabs>
        <w:spacing w:after="0" w:line="240" w:lineRule="auto"/>
        <w:rPr>
          <w:rFonts w:eastAsia="Times New Roman" w:cs="Times New Roman"/>
          <w:noProof/>
          <w:color w:val="000000"/>
          <w:sz w:val="20"/>
          <w:szCs w:val="24"/>
          <w:lang w:val="en-US" w:eastAsia="fr-BE"/>
        </w:rPr>
      </w:pPr>
      <w:r>
        <w:rPr>
          <w:noProof/>
          <w:sz w:val="20"/>
        </w:rPr>
        <w:t>* Results for TL30NL are very similar to those for TL30</w:t>
      </w:r>
    </w:p>
    <w:p w:rsidR="003E180D" w:rsidRDefault="003E180D" w:rsidP="003E180D">
      <w:pPr>
        <w:spacing w:after="0"/>
        <w:rPr>
          <w:rFonts w:cs="Times New Roman"/>
          <w:noProof/>
          <w:szCs w:val="24"/>
        </w:rPr>
      </w:pPr>
    </w:p>
    <w:tbl>
      <w:tblPr>
        <w:tblW w:w="14879" w:type="dxa"/>
        <w:tblInd w:w="75" w:type="dxa"/>
        <w:tblLayout w:type="fixed"/>
        <w:tblCellMar>
          <w:left w:w="70" w:type="dxa"/>
          <w:right w:w="70" w:type="dxa"/>
        </w:tblCellMar>
        <w:tblLook w:val="04A0" w:firstRow="1" w:lastRow="0" w:firstColumn="1" w:lastColumn="0" w:noHBand="0" w:noVBand="1"/>
      </w:tblPr>
      <w:tblGrid>
        <w:gridCol w:w="1920"/>
        <w:gridCol w:w="2421"/>
        <w:gridCol w:w="1300"/>
        <w:gridCol w:w="1240"/>
        <w:gridCol w:w="1240"/>
        <w:gridCol w:w="1372"/>
        <w:gridCol w:w="1275"/>
        <w:gridCol w:w="1276"/>
        <w:gridCol w:w="11"/>
        <w:gridCol w:w="1265"/>
        <w:gridCol w:w="1541"/>
        <w:gridCol w:w="6"/>
        <w:gridCol w:w="12"/>
      </w:tblGrid>
      <w:tr w:rsidR="003E180D" w:rsidTr="0088305C">
        <w:trPr>
          <w:gridAfter w:val="1"/>
          <w:wAfter w:w="12" w:type="dxa"/>
          <w:trHeight w:val="330"/>
        </w:trPr>
        <w:tc>
          <w:tcPr>
            <w:tcW w:w="1920" w:type="dxa"/>
            <w:vMerge w:val="restart"/>
            <w:tcBorders>
              <w:top w:val="single" w:sz="4" w:space="0" w:color="auto"/>
              <w:left w:val="single" w:sz="4" w:space="0" w:color="auto"/>
              <w:bottom w:val="single" w:sz="4" w:space="0" w:color="000000"/>
              <w:right w:val="double" w:sz="6" w:space="0" w:color="3F3F3F"/>
            </w:tcBorders>
            <w:shd w:val="clear" w:color="000000" w:fill="FFFFFF"/>
            <w:noWrap/>
            <w:vAlign w:val="center"/>
            <w:hideMark/>
          </w:tcPr>
          <w:p w:rsidR="003E180D" w:rsidRDefault="003E180D" w:rsidP="0088305C">
            <w:pPr>
              <w:spacing w:after="0" w:line="240" w:lineRule="auto"/>
              <w:jc w:val="center"/>
              <w:rPr>
                <w:rFonts w:eastAsia="Times New Roman" w:cs="Times New Roman"/>
                <w:b/>
                <w:bCs/>
                <w:noProof/>
                <w:color w:val="000000"/>
                <w:szCs w:val="24"/>
                <w:lang w:val="en-US" w:eastAsia="fr-BE"/>
              </w:rPr>
            </w:pPr>
            <w:r>
              <w:rPr>
                <w:rFonts w:eastAsia="Times New Roman" w:cs="Times New Roman"/>
                <w:b/>
                <w:bCs/>
                <w:noProof/>
                <w:color w:val="000000"/>
                <w:szCs w:val="24"/>
                <w:lang w:val="en-US" w:eastAsia="fr-BE"/>
              </w:rPr>
              <w:t xml:space="preserve">2030 </w:t>
            </w:r>
            <w:r>
              <w:rPr>
                <w:rFonts w:eastAsia="Times New Roman" w:cs="Times New Roman"/>
                <w:b/>
                <w:bCs/>
                <w:noProof/>
                <w:color w:val="000000"/>
                <w:szCs w:val="24"/>
                <w:lang w:val="en-US" w:eastAsia="fr-BE"/>
              </w:rPr>
              <w:br/>
              <w:t>High cost assumptions</w:t>
            </w:r>
          </w:p>
        </w:tc>
        <w:tc>
          <w:tcPr>
            <w:tcW w:w="2421" w:type="dxa"/>
            <w:vMerge w:val="restart"/>
            <w:tcBorders>
              <w:top w:val="double" w:sz="6" w:space="0" w:color="3F3F3F"/>
              <w:left w:val="double" w:sz="6" w:space="0" w:color="3F3F3F"/>
              <w:bottom w:val="double" w:sz="6" w:space="0" w:color="3F3F3F"/>
              <w:right w:val="double" w:sz="6" w:space="0" w:color="3F3F3F"/>
            </w:tcBorders>
            <w:shd w:val="clear" w:color="000000" w:fill="A5A5A5"/>
            <w:noWrap/>
            <w:vAlign w:val="center"/>
            <w:hideMark/>
          </w:tcPr>
          <w:p w:rsidR="003E180D" w:rsidRDefault="003E180D" w:rsidP="0088305C">
            <w:pPr>
              <w:spacing w:after="0" w:line="240" w:lineRule="auto"/>
              <w:jc w:val="center"/>
              <w:rPr>
                <w:rFonts w:eastAsia="Times New Roman" w:cs="Times New Roman"/>
                <w:b/>
                <w:bCs/>
                <w:noProof/>
                <w:color w:val="FFFFFF"/>
                <w:szCs w:val="24"/>
                <w:lang w:val="en-US" w:eastAsia="fr-BE"/>
              </w:rPr>
            </w:pPr>
            <w:r>
              <w:rPr>
                <w:rFonts w:eastAsia="Times New Roman" w:cs="Times New Roman"/>
                <w:b/>
                <w:bCs/>
                <w:noProof/>
                <w:color w:val="FFFFFF"/>
                <w:szCs w:val="24"/>
                <w:lang w:val="en-US" w:eastAsia="fr-BE"/>
              </w:rPr>
              <w:t>Costs</w:t>
            </w:r>
          </w:p>
        </w:tc>
        <w:tc>
          <w:tcPr>
            <w:tcW w:w="10526" w:type="dxa"/>
            <w:gridSpan w:val="10"/>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3E180D" w:rsidRDefault="003E180D" w:rsidP="0088305C">
            <w:pPr>
              <w:spacing w:after="0" w:line="240" w:lineRule="auto"/>
              <w:jc w:val="center"/>
              <w:rPr>
                <w:rFonts w:eastAsia="Times New Roman" w:cs="Times New Roman"/>
                <w:b/>
                <w:bCs/>
                <w:noProof/>
                <w:color w:val="FFFFFF"/>
                <w:szCs w:val="24"/>
                <w:lang w:val="en-US" w:eastAsia="fr-BE"/>
              </w:rPr>
            </w:pPr>
            <w:r>
              <w:rPr>
                <w:rFonts w:eastAsia="Times New Roman" w:cs="Times New Roman"/>
                <w:b/>
                <w:bCs/>
                <w:noProof/>
                <w:color w:val="FFFFFF"/>
                <w:szCs w:val="24"/>
                <w:lang w:val="en-US" w:eastAsia="fr-BE"/>
              </w:rPr>
              <w:t>Benefits</w:t>
            </w:r>
          </w:p>
        </w:tc>
      </w:tr>
      <w:tr w:rsidR="003E180D" w:rsidTr="0088305C">
        <w:trPr>
          <w:gridAfter w:val="1"/>
          <w:wAfter w:w="12" w:type="dxa"/>
          <w:trHeight w:val="315"/>
        </w:trPr>
        <w:tc>
          <w:tcPr>
            <w:tcW w:w="1920" w:type="dxa"/>
            <w:vMerge/>
            <w:tcBorders>
              <w:top w:val="single" w:sz="4" w:space="0" w:color="auto"/>
              <w:left w:val="single" w:sz="4" w:space="0" w:color="auto"/>
              <w:bottom w:val="single" w:sz="4" w:space="0" w:color="000000"/>
              <w:right w:val="double" w:sz="6" w:space="0" w:color="3F3F3F"/>
            </w:tcBorders>
            <w:vAlign w:val="center"/>
            <w:hideMark/>
          </w:tcPr>
          <w:p w:rsidR="003E180D" w:rsidRDefault="003E180D" w:rsidP="0088305C">
            <w:pPr>
              <w:spacing w:after="0" w:line="240" w:lineRule="auto"/>
              <w:jc w:val="center"/>
              <w:rPr>
                <w:rFonts w:eastAsia="Times New Roman" w:cs="Times New Roman"/>
                <w:b/>
                <w:bCs/>
                <w:noProof/>
                <w:color w:val="000000"/>
                <w:szCs w:val="24"/>
                <w:lang w:val="en-US" w:eastAsia="fr-BE"/>
              </w:rPr>
            </w:pPr>
          </w:p>
        </w:tc>
        <w:tc>
          <w:tcPr>
            <w:tcW w:w="2421" w:type="dxa"/>
            <w:vMerge/>
            <w:tcBorders>
              <w:top w:val="double" w:sz="6" w:space="0" w:color="3F3F3F"/>
              <w:left w:val="double" w:sz="6" w:space="0" w:color="3F3F3F"/>
              <w:bottom w:val="double" w:sz="6" w:space="0" w:color="3F3F3F"/>
              <w:right w:val="double" w:sz="6" w:space="0" w:color="3F3F3F"/>
            </w:tcBorders>
            <w:vAlign w:val="center"/>
            <w:hideMark/>
          </w:tcPr>
          <w:p w:rsidR="003E180D" w:rsidRDefault="003E180D" w:rsidP="0088305C">
            <w:pPr>
              <w:spacing w:after="0" w:line="240" w:lineRule="auto"/>
              <w:jc w:val="center"/>
              <w:rPr>
                <w:rFonts w:eastAsia="Times New Roman" w:cs="Times New Roman"/>
                <w:b/>
                <w:bCs/>
                <w:noProof/>
                <w:color w:val="FFFFFF"/>
                <w:szCs w:val="24"/>
                <w:lang w:val="en-US" w:eastAsia="fr-BE"/>
              </w:rPr>
            </w:pPr>
          </w:p>
        </w:tc>
        <w:tc>
          <w:tcPr>
            <w:tcW w:w="3780" w:type="dxa"/>
            <w:gridSpan w:val="3"/>
            <w:tcBorders>
              <w:top w:val="nil"/>
              <w:left w:val="nil"/>
              <w:bottom w:val="double" w:sz="6" w:space="0" w:color="3F3F3F"/>
              <w:right w:val="double" w:sz="6" w:space="0" w:color="3F3F3F"/>
            </w:tcBorders>
            <w:shd w:val="clear" w:color="000000" w:fill="A5A5A5"/>
            <w:noWrap/>
            <w:vAlign w:val="center"/>
            <w:hideMark/>
          </w:tcPr>
          <w:p w:rsidR="003E180D" w:rsidRDefault="003E180D" w:rsidP="0088305C">
            <w:pPr>
              <w:spacing w:after="0" w:line="240" w:lineRule="auto"/>
              <w:jc w:val="center"/>
              <w:rPr>
                <w:rFonts w:eastAsia="Times New Roman" w:cs="Times New Roman"/>
                <w:b/>
                <w:bCs/>
                <w:noProof/>
                <w:color w:val="FFFFFF"/>
                <w:szCs w:val="24"/>
                <w:lang w:val="en-US" w:eastAsia="fr-BE"/>
              </w:rPr>
            </w:pPr>
            <w:r>
              <w:rPr>
                <w:rFonts w:eastAsia="Times New Roman" w:cs="Times New Roman"/>
                <w:b/>
                <w:bCs/>
                <w:noProof/>
                <w:color w:val="FFFFFF"/>
                <w:szCs w:val="24"/>
                <w:lang w:val="en-US" w:eastAsia="fr-BE"/>
              </w:rPr>
              <w:t>Net Savings</w:t>
            </w:r>
          </w:p>
        </w:tc>
        <w:tc>
          <w:tcPr>
            <w:tcW w:w="3923" w:type="dxa"/>
            <w:gridSpan w:val="3"/>
            <w:tcBorders>
              <w:top w:val="nil"/>
              <w:left w:val="nil"/>
              <w:bottom w:val="double" w:sz="6" w:space="0" w:color="3F3F3F"/>
              <w:right w:val="nil"/>
            </w:tcBorders>
            <w:shd w:val="clear" w:color="000000" w:fill="A5A5A5"/>
            <w:noWrap/>
            <w:vAlign w:val="center"/>
            <w:hideMark/>
          </w:tcPr>
          <w:p w:rsidR="003E180D" w:rsidRDefault="003E180D" w:rsidP="0088305C">
            <w:pPr>
              <w:spacing w:after="0" w:line="240" w:lineRule="auto"/>
              <w:jc w:val="center"/>
              <w:rPr>
                <w:rFonts w:eastAsia="Times New Roman" w:cs="Times New Roman"/>
                <w:b/>
                <w:bCs/>
                <w:noProof/>
                <w:color w:val="FFFFFF"/>
                <w:szCs w:val="24"/>
                <w:lang w:val="en-US" w:eastAsia="fr-BE"/>
              </w:rPr>
            </w:pPr>
            <w:r>
              <w:rPr>
                <w:rFonts w:eastAsia="Times New Roman" w:cs="Times New Roman"/>
                <w:b/>
                <w:bCs/>
                <w:noProof/>
                <w:color w:val="FFFFFF"/>
                <w:szCs w:val="24"/>
                <w:lang w:val="en-US" w:eastAsia="fr-BE"/>
              </w:rPr>
              <w:t>Environmental</w:t>
            </w:r>
          </w:p>
        </w:tc>
        <w:tc>
          <w:tcPr>
            <w:tcW w:w="2823" w:type="dxa"/>
            <w:gridSpan w:val="4"/>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3E180D" w:rsidRDefault="003E180D" w:rsidP="0088305C">
            <w:pPr>
              <w:spacing w:after="0" w:line="240" w:lineRule="auto"/>
              <w:jc w:val="center"/>
              <w:rPr>
                <w:rFonts w:eastAsia="Times New Roman" w:cs="Times New Roman"/>
                <w:b/>
                <w:bCs/>
                <w:noProof/>
                <w:color w:val="FFFFFF"/>
                <w:szCs w:val="24"/>
                <w:lang w:val="en-US" w:eastAsia="fr-BE"/>
              </w:rPr>
            </w:pPr>
            <w:r>
              <w:rPr>
                <w:rFonts w:eastAsia="Times New Roman" w:cs="Times New Roman"/>
                <w:b/>
                <w:bCs/>
                <w:noProof/>
                <w:color w:val="FFFFFF"/>
                <w:szCs w:val="24"/>
                <w:lang w:val="en-US" w:eastAsia="fr-BE"/>
              </w:rPr>
              <w:t>Macro-economic</w:t>
            </w:r>
          </w:p>
        </w:tc>
      </w:tr>
      <w:tr w:rsidR="003E180D" w:rsidTr="0088305C">
        <w:trPr>
          <w:trHeight w:val="990"/>
        </w:trPr>
        <w:tc>
          <w:tcPr>
            <w:tcW w:w="1920" w:type="dxa"/>
            <w:tcBorders>
              <w:top w:val="single" w:sz="4" w:space="0" w:color="7F7F7F"/>
              <w:left w:val="single" w:sz="4" w:space="0" w:color="7F7F7F"/>
              <w:bottom w:val="single" w:sz="4" w:space="0" w:color="7F7F7F"/>
              <w:right w:val="single" w:sz="4" w:space="0" w:color="7F7F7F"/>
            </w:tcBorders>
            <w:shd w:val="clear" w:color="000000" w:fill="F2F2F2"/>
            <w:noWrap/>
            <w:vAlign w:val="center"/>
            <w:hideMark/>
          </w:tcPr>
          <w:p w:rsidR="003E180D" w:rsidRDefault="003E180D" w:rsidP="0088305C">
            <w:pPr>
              <w:spacing w:after="0" w:line="240" w:lineRule="auto"/>
              <w:jc w:val="center"/>
              <w:rPr>
                <w:rFonts w:eastAsia="Times New Roman" w:cs="Times New Roman"/>
                <w:bCs/>
                <w:noProof/>
                <w:color w:val="000000" w:themeColor="text1"/>
                <w:szCs w:val="24"/>
                <w:lang w:val="en-US" w:eastAsia="fr-BE"/>
              </w:rPr>
            </w:pPr>
            <w:r>
              <w:rPr>
                <w:rFonts w:eastAsia="Times New Roman" w:cs="Times New Roman"/>
                <w:bCs/>
                <w:noProof/>
                <w:color w:val="000000" w:themeColor="text1"/>
                <w:szCs w:val="24"/>
                <w:lang w:val="en-US" w:eastAsia="fr-BE"/>
              </w:rPr>
              <w:t>Target Level option</w:t>
            </w:r>
          </w:p>
        </w:tc>
        <w:tc>
          <w:tcPr>
            <w:tcW w:w="2421" w:type="dxa"/>
            <w:tcBorders>
              <w:top w:val="single" w:sz="4" w:space="0" w:color="7F7F7F"/>
              <w:left w:val="nil"/>
              <w:bottom w:val="single" w:sz="4" w:space="0" w:color="7F7F7F"/>
              <w:right w:val="single" w:sz="4" w:space="0" w:color="7F7F7F"/>
            </w:tcBorders>
            <w:shd w:val="clear" w:color="000000" w:fill="F2F2F2"/>
            <w:vAlign w:val="center"/>
            <w:hideMark/>
          </w:tcPr>
          <w:p w:rsidR="003E180D" w:rsidRDefault="003E180D" w:rsidP="0088305C">
            <w:pPr>
              <w:spacing w:after="0" w:line="240" w:lineRule="auto"/>
              <w:jc w:val="center"/>
              <w:rPr>
                <w:rFonts w:eastAsia="Times New Roman" w:cs="Times New Roman"/>
                <w:bCs/>
                <w:noProof/>
                <w:color w:val="000000" w:themeColor="text1"/>
                <w:szCs w:val="24"/>
                <w:lang w:val="en-US" w:eastAsia="fr-BE"/>
              </w:rPr>
            </w:pPr>
            <w:r>
              <w:rPr>
                <w:rFonts w:eastAsia="Times New Roman" w:cs="Times New Roman"/>
                <w:bCs/>
                <w:noProof/>
                <w:color w:val="000000" w:themeColor="text1"/>
                <w:szCs w:val="24"/>
                <w:lang w:val="en-US" w:eastAsia="fr-BE"/>
              </w:rPr>
              <w:t xml:space="preserve">Manufacturing costs </w:t>
            </w:r>
            <w:r>
              <w:rPr>
                <w:rFonts w:eastAsia="Times New Roman" w:cs="Times New Roman"/>
                <w:bCs/>
                <w:noProof/>
                <w:color w:val="000000" w:themeColor="text1"/>
                <w:szCs w:val="24"/>
                <w:lang w:val="en-US" w:eastAsia="fr-BE"/>
              </w:rPr>
              <w:br/>
              <w:t>EUR</w:t>
            </w:r>
            <w:r>
              <w:rPr>
                <w:rFonts w:eastAsia="Times New Roman" w:cs="Times New Roman"/>
                <w:noProof/>
                <w:color w:val="000000" w:themeColor="text1"/>
                <w:szCs w:val="24"/>
                <w:lang w:val="en-US" w:eastAsia="fr-BE"/>
              </w:rPr>
              <w:t>/lorry</w:t>
            </w:r>
          </w:p>
        </w:tc>
        <w:tc>
          <w:tcPr>
            <w:tcW w:w="1300" w:type="dxa"/>
            <w:tcBorders>
              <w:top w:val="single" w:sz="4" w:space="0" w:color="7F7F7F"/>
              <w:left w:val="nil"/>
              <w:bottom w:val="single" w:sz="4" w:space="0" w:color="7F7F7F"/>
              <w:right w:val="single" w:sz="4" w:space="0" w:color="7F7F7F"/>
            </w:tcBorders>
            <w:shd w:val="clear" w:color="000000" w:fill="F2F2F2"/>
            <w:vAlign w:val="center"/>
            <w:hideMark/>
          </w:tcPr>
          <w:p w:rsidR="003E180D" w:rsidRDefault="003E180D" w:rsidP="0088305C">
            <w:pPr>
              <w:spacing w:after="0" w:line="240" w:lineRule="auto"/>
              <w:jc w:val="center"/>
              <w:rPr>
                <w:rFonts w:eastAsia="Times New Roman" w:cs="Times New Roman"/>
                <w:bCs/>
                <w:noProof/>
                <w:color w:val="000000" w:themeColor="text1"/>
                <w:szCs w:val="24"/>
                <w:lang w:val="fr-BE" w:eastAsia="fr-BE"/>
              </w:rPr>
            </w:pPr>
            <w:r>
              <w:rPr>
                <w:rFonts w:eastAsia="Times New Roman" w:cs="Times New Roman"/>
                <w:bCs/>
                <w:noProof/>
                <w:color w:val="000000" w:themeColor="text1"/>
                <w:szCs w:val="24"/>
                <w:lang w:val="en-US" w:eastAsia="fr-BE"/>
              </w:rPr>
              <w:t>Societal persp</w:t>
            </w:r>
            <w:r>
              <w:rPr>
                <w:rFonts w:eastAsia="Times New Roman" w:cs="Times New Roman"/>
                <w:bCs/>
                <w:noProof/>
                <w:color w:val="000000" w:themeColor="text1"/>
                <w:szCs w:val="24"/>
                <w:lang w:val="fr-BE" w:eastAsia="fr-BE"/>
              </w:rPr>
              <w:t>ective</w:t>
            </w:r>
            <w:r>
              <w:rPr>
                <w:rFonts w:eastAsia="Times New Roman" w:cs="Times New Roman"/>
                <w:bCs/>
                <w:noProof/>
                <w:color w:val="000000" w:themeColor="text1"/>
                <w:szCs w:val="24"/>
                <w:lang w:val="fr-BE" w:eastAsia="fr-BE"/>
              </w:rPr>
              <w:br/>
              <w:t>EUR</w:t>
            </w:r>
            <w:r>
              <w:rPr>
                <w:rFonts w:eastAsia="Times New Roman" w:cs="Times New Roman"/>
                <w:noProof/>
                <w:color w:val="000000" w:themeColor="text1"/>
                <w:szCs w:val="24"/>
                <w:lang w:val="fr-BE" w:eastAsia="fr-BE"/>
              </w:rPr>
              <w:t>/lorry</w:t>
            </w:r>
          </w:p>
        </w:tc>
        <w:tc>
          <w:tcPr>
            <w:tcW w:w="1240" w:type="dxa"/>
            <w:tcBorders>
              <w:top w:val="single" w:sz="4" w:space="0" w:color="7F7F7F"/>
              <w:left w:val="nil"/>
              <w:bottom w:val="single" w:sz="4" w:space="0" w:color="7F7F7F"/>
              <w:right w:val="single" w:sz="4" w:space="0" w:color="7F7F7F"/>
            </w:tcBorders>
            <w:shd w:val="clear" w:color="000000" w:fill="F2F2F2"/>
            <w:vAlign w:val="center"/>
            <w:hideMark/>
          </w:tcPr>
          <w:p w:rsidR="003E180D" w:rsidRDefault="003E180D" w:rsidP="0088305C">
            <w:pPr>
              <w:spacing w:after="0" w:line="240" w:lineRule="auto"/>
              <w:jc w:val="center"/>
              <w:rPr>
                <w:rFonts w:eastAsia="Times New Roman"/>
                <w:noProof/>
                <w:color w:val="000000" w:themeColor="text1"/>
                <w:lang w:eastAsia="fr-BE"/>
              </w:rPr>
            </w:pPr>
            <w:r>
              <w:rPr>
                <w:rFonts w:eastAsia="Times New Roman"/>
                <w:noProof/>
                <w:color w:val="000000" w:themeColor="text1"/>
                <w:lang w:eastAsia="fr-BE"/>
              </w:rPr>
              <w:t>TCO first use</w:t>
            </w:r>
            <w:r>
              <w:rPr>
                <w:rFonts w:eastAsia="Times New Roman"/>
                <w:noProof/>
                <w:color w:val="000000" w:themeColor="text1"/>
                <w:lang w:eastAsia="fr-BE"/>
              </w:rPr>
              <w:br/>
              <w:t>EUR/lorry</w:t>
            </w:r>
          </w:p>
        </w:tc>
        <w:tc>
          <w:tcPr>
            <w:tcW w:w="1240" w:type="dxa"/>
            <w:tcBorders>
              <w:top w:val="single" w:sz="4" w:space="0" w:color="7F7F7F"/>
              <w:left w:val="nil"/>
              <w:bottom w:val="single" w:sz="4" w:space="0" w:color="7F7F7F"/>
              <w:right w:val="single" w:sz="4" w:space="0" w:color="7F7F7F"/>
            </w:tcBorders>
            <w:shd w:val="clear" w:color="000000" w:fill="F2F2F2"/>
            <w:vAlign w:val="center"/>
            <w:hideMark/>
          </w:tcPr>
          <w:p w:rsidR="003E180D" w:rsidRDefault="003E180D" w:rsidP="0088305C">
            <w:pPr>
              <w:spacing w:after="0" w:line="240" w:lineRule="auto"/>
              <w:jc w:val="center"/>
              <w:rPr>
                <w:rFonts w:eastAsia="Times New Roman" w:cs="Times New Roman"/>
                <w:noProof/>
                <w:color w:val="000000" w:themeColor="text1"/>
                <w:szCs w:val="24"/>
                <w:lang w:eastAsia="fr-BE"/>
              </w:rPr>
            </w:pPr>
            <w:r>
              <w:rPr>
                <w:rFonts w:eastAsia="Times New Roman" w:cs="Times New Roman"/>
                <w:noProof/>
                <w:color w:val="000000" w:themeColor="text1"/>
                <w:szCs w:val="24"/>
                <w:lang w:eastAsia="fr-BE"/>
              </w:rPr>
              <w:t>TCO second use</w:t>
            </w:r>
            <w:r>
              <w:rPr>
                <w:rFonts w:eastAsia="Times New Roman" w:cs="Times New Roman"/>
                <w:noProof/>
                <w:color w:val="000000" w:themeColor="text1"/>
                <w:szCs w:val="24"/>
                <w:lang w:eastAsia="fr-BE"/>
              </w:rPr>
              <w:br/>
              <w:t>EUR/lorry</w:t>
            </w:r>
          </w:p>
        </w:tc>
        <w:tc>
          <w:tcPr>
            <w:tcW w:w="1372" w:type="dxa"/>
            <w:tcBorders>
              <w:top w:val="single" w:sz="4" w:space="0" w:color="7F7F7F"/>
              <w:left w:val="nil"/>
              <w:bottom w:val="nil"/>
              <w:right w:val="single" w:sz="4" w:space="0" w:color="7F7F7F"/>
            </w:tcBorders>
            <w:shd w:val="clear" w:color="000000" w:fill="F2F2F2"/>
            <w:vAlign w:val="center"/>
            <w:hideMark/>
          </w:tcPr>
          <w:p w:rsidR="003E180D" w:rsidRDefault="003E180D" w:rsidP="0088305C">
            <w:pPr>
              <w:spacing w:after="0" w:line="240" w:lineRule="auto"/>
              <w:jc w:val="center"/>
              <w:rPr>
                <w:rFonts w:eastAsia="Times New Roman"/>
                <w:noProof/>
                <w:color w:val="000000" w:themeColor="text1"/>
                <w:lang w:eastAsia="fr-BE"/>
              </w:rPr>
            </w:pPr>
            <w:r>
              <w:rPr>
                <w:rFonts w:eastAsia="Times New Roman"/>
                <w:noProof/>
                <w:color w:val="000000" w:themeColor="text1"/>
                <w:lang w:eastAsia="fr-BE"/>
              </w:rPr>
              <w:t>Avoided CO</w:t>
            </w:r>
            <w:r>
              <w:rPr>
                <w:rFonts w:eastAsia="Times New Roman"/>
                <w:noProof/>
                <w:color w:val="000000" w:themeColor="text1"/>
                <w:vertAlign w:val="subscript"/>
                <w:lang w:eastAsia="fr-BE"/>
              </w:rPr>
              <w:t>2</w:t>
            </w:r>
            <w:r>
              <w:rPr>
                <w:rFonts w:eastAsia="Times New Roman"/>
                <w:noProof/>
                <w:color w:val="000000" w:themeColor="text1"/>
                <w:lang w:eastAsia="fr-BE"/>
              </w:rPr>
              <w:t xml:space="preserve"> costs EUR/lorry</w:t>
            </w:r>
          </w:p>
        </w:tc>
        <w:tc>
          <w:tcPr>
            <w:tcW w:w="1275" w:type="dxa"/>
            <w:tcBorders>
              <w:top w:val="single" w:sz="4" w:space="0" w:color="7F7F7F"/>
              <w:left w:val="nil"/>
              <w:bottom w:val="nil"/>
              <w:right w:val="single" w:sz="4" w:space="0" w:color="7F7F7F"/>
            </w:tcBorders>
            <w:shd w:val="clear" w:color="000000" w:fill="F2F2F2"/>
            <w:vAlign w:val="center"/>
            <w:hideMark/>
          </w:tcPr>
          <w:p w:rsidR="003E180D" w:rsidRDefault="003E180D" w:rsidP="0088305C">
            <w:pPr>
              <w:spacing w:after="0" w:line="240" w:lineRule="auto"/>
              <w:jc w:val="center"/>
              <w:rPr>
                <w:rFonts w:eastAsia="Times New Roman" w:cs="Times New Roman"/>
                <w:bCs/>
                <w:noProof/>
                <w:color w:val="000000" w:themeColor="text1"/>
                <w:szCs w:val="24"/>
                <w:lang w:val="fr-BE" w:eastAsia="fr-BE"/>
              </w:rPr>
            </w:pPr>
            <w:r>
              <w:rPr>
                <w:rFonts w:eastAsia="Times New Roman" w:cs="Times New Roman"/>
                <w:bCs/>
                <w:noProof/>
                <w:color w:val="000000" w:themeColor="text1"/>
                <w:szCs w:val="24"/>
                <w:lang w:val="fr-BE" w:eastAsia="fr-BE"/>
              </w:rPr>
              <w:t>NO</w:t>
            </w:r>
            <w:r>
              <w:rPr>
                <w:rFonts w:eastAsia="Times New Roman" w:cs="Times New Roman"/>
                <w:bCs/>
                <w:noProof/>
                <w:color w:val="000000" w:themeColor="text1"/>
                <w:szCs w:val="24"/>
                <w:vertAlign w:val="subscript"/>
                <w:lang w:val="fr-BE" w:eastAsia="fr-BE"/>
              </w:rPr>
              <w:t>x</w:t>
            </w:r>
            <w:r>
              <w:rPr>
                <w:rFonts w:eastAsia="Times New Roman" w:cs="Times New Roman"/>
                <w:bCs/>
                <w:noProof/>
                <w:color w:val="000000" w:themeColor="text1"/>
                <w:szCs w:val="24"/>
                <w:lang w:val="fr-BE" w:eastAsia="fr-BE"/>
              </w:rPr>
              <w:br/>
              <w:t xml:space="preserve">% </w:t>
            </w:r>
            <w:r>
              <w:rPr>
                <w:rFonts w:eastAsia="Times New Roman" w:cs="Times New Roman"/>
                <w:bCs/>
                <w:noProof/>
                <w:color w:val="000000" w:themeColor="text1"/>
                <w:szCs w:val="24"/>
                <w:lang w:val="fr-BE" w:eastAsia="fr-BE"/>
              </w:rPr>
              <w:br/>
              <w:t>reduction</w:t>
            </w:r>
          </w:p>
        </w:tc>
        <w:tc>
          <w:tcPr>
            <w:tcW w:w="1287" w:type="dxa"/>
            <w:gridSpan w:val="2"/>
            <w:tcBorders>
              <w:top w:val="single" w:sz="4" w:space="0" w:color="7F7F7F"/>
              <w:left w:val="nil"/>
              <w:bottom w:val="nil"/>
              <w:right w:val="single" w:sz="4" w:space="0" w:color="7F7F7F"/>
            </w:tcBorders>
            <w:shd w:val="clear" w:color="000000" w:fill="F2F2F2"/>
            <w:vAlign w:val="center"/>
            <w:hideMark/>
          </w:tcPr>
          <w:p w:rsidR="003E180D" w:rsidRDefault="003E180D" w:rsidP="0088305C">
            <w:pPr>
              <w:spacing w:after="0" w:line="240" w:lineRule="auto"/>
              <w:jc w:val="center"/>
              <w:rPr>
                <w:rFonts w:eastAsia="Times New Roman" w:cs="Times New Roman"/>
                <w:bCs/>
                <w:noProof/>
                <w:color w:val="000000" w:themeColor="text1"/>
                <w:szCs w:val="24"/>
                <w:lang w:val="fr-BE" w:eastAsia="fr-BE"/>
              </w:rPr>
            </w:pPr>
            <w:r>
              <w:rPr>
                <w:rFonts w:eastAsia="Times New Roman" w:cs="Times New Roman"/>
                <w:bCs/>
                <w:noProof/>
                <w:color w:val="000000" w:themeColor="text1"/>
                <w:szCs w:val="24"/>
                <w:lang w:val="fr-BE" w:eastAsia="fr-BE"/>
              </w:rPr>
              <w:t>PM</w:t>
            </w:r>
            <w:r>
              <w:rPr>
                <w:rFonts w:eastAsia="Times New Roman" w:cs="Times New Roman"/>
                <w:bCs/>
                <w:noProof/>
                <w:color w:val="000000" w:themeColor="text1"/>
                <w:szCs w:val="24"/>
                <w:lang w:val="fr-BE" w:eastAsia="fr-BE"/>
              </w:rPr>
              <w:br/>
              <w:t xml:space="preserve">% </w:t>
            </w:r>
            <w:r>
              <w:rPr>
                <w:rFonts w:eastAsia="Times New Roman" w:cs="Times New Roman"/>
                <w:bCs/>
                <w:noProof/>
                <w:color w:val="000000" w:themeColor="text1"/>
                <w:szCs w:val="24"/>
                <w:lang w:val="fr-BE" w:eastAsia="fr-BE"/>
              </w:rPr>
              <w:br/>
              <w:t>reduction</w:t>
            </w:r>
          </w:p>
        </w:tc>
        <w:tc>
          <w:tcPr>
            <w:tcW w:w="1265" w:type="dxa"/>
            <w:tcBorders>
              <w:top w:val="nil"/>
              <w:left w:val="single" w:sz="4" w:space="0" w:color="auto"/>
              <w:bottom w:val="single" w:sz="4" w:space="0" w:color="auto"/>
              <w:right w:val="single" w:sz="4" w:space="0" w:color="auto"/>
            </w:tcBorders>
            <w:shd w:val="clear" w:color="000000" w:fill="F2F2F2"/>
            <w:vAlign w:val="center"/>
            <w:hideMark/>
          </w:tcPr>
          <w:p w:rsidR="003E180D" w:rsidRDefault="003E180D" w:rsidP="0088305C">
            <w:pPr>
              <w:spacing w:after="0" w:line="240" w:lineRule="auto"/>
              <w:jc w:val="center"/>
              <w:rPr>
                <w:rFonts w:eastAsia="Times New Roman" w:cs="Times New Roman"/>
                <w:bCs/>
                <w:noProof/>
                <w:color w:val="000000" w:themeColor="text1"/>
                <w:szCs w:val="24"/>
                <w:lang w:val="fr-BE" w:eastAsia="fr-BE"/>
              </w:rPr>
            </w:pPr>
            <w:r>
              <w:rPr>
                <w:rFonts w:eastAsia="Times New Roman" w:cs="Times New Roman"/>
                <w:bCs/>
                <w:noProof/>
                <w:color w:val="000000" w:themeColor="text1"/>
                <w:szCs w:val="24"/>
                <w:lang w:val="fr-BE" w:eastAsia="fr-BE"/>
              </w:rPr>
              <w:t>GDP</w:t>
            </w:r>
            <w:r>
              <w:rPr>
                <w:rFonts w:eastAsia="Times New Roman" w:cs="Times New Roman"/>
                <w:bCs/>
                <w:noProof/>
                <w:color w:val="000000" w:themeColor="text1"/>
                <w:szCs w:val="24"/>
                <w:lang w:val="fr-BE" w:eastAsia="fr-BE"/>
              </w:rPr>
              <w:br/>
              <w:t xml:space="preserve">% </w:t>
            </w:r>
            <w:r>
              <w:rPr>
                <w:rFonts w:eastAsia="Times New Roman" w:cs="Times New Roman"/>
                <w:bCs/>
                <w:noProof/>
                <w:color w:val="000000" w:themeColor="text1"/>
                <w:szCs w:val="24"/>
                <w:lang w:val="fr-BE" w:eastAsia="fr-BE"/>
              </w:rPr>
              <w:br/>
              <w:t>increase</w:t>
            </w:r>
          </w:p>
        </w:tc>
        <w:tc>
          <w:tcPr>
            <w:tcW w:w="1559" w:type="dxa"/>
            <w:gridSpan w:val="3"/>
            <w:tcBorders>
              <w:top w:val="nil"/>
              <w:left w:val="nil"/>
              <w:bottom w:val="single" w:sz="4" w:space="0" w:color="auto"/>
              <w:right w:val="single" w:sz="4" w:space="0" w:color="auto"/>
            </w:tcBorders>
            <w:shd w:val="clear" w:color="000000" w:fill="F2F2F2"/>
            <w:vAlign w:val="center"/>
            <w:hideMark/>
          </w:tcPr>
          <w:p w:rsidR="003E180D" w:rsidRDefault="003E180D" w:rsidP="0088305C">
            <w:pPr>
              <w:spacing w:after="0" w:line="240" w:lineRule="auto"/>
              <w:jc w:val="center"/>
              <w:rPr>
                <w:rFonts w:eastAsia="Times New Roman" w:cs="Times New Roman"/>
                <w:bCs/>
                <w:noProof/>
                <w:color w:val="000000" w:themeColor="text1"/>
                <w:szCs w:val="24"/>
                <w:lang w:val="fr-BE" w:eastAsia="fr-BE"/>
              </w:rPr>
            </w:pPr>
            <w:r>
              <w:rPr>
                <w:rFonts w:eastAsia="Times New Roman" w:cs="Times New Roman"/>
                <w:bCs/>
                <w:noProof/>
                <w:color w:val="000000" w:themeColor="text1"/>
                <w:szCs w:val="24"/>
                <w:lang w:val="fr-BE" w:eastAsia="fr-BE"/>
              </w:rPr>
              <w:t>Employment</w:t>
            </w:r>
            <w:r>
              <w:rPr>
                <w:rFonts w:eastAsia="Times New Roman" w:cs="Times New Roman"/>
                <w:bCs/>
                <w:noProof/>
                <w:color w:val="000000" w:themeColor="text1"/>
                <w:szCs w:val="24"/>
                <w:lang w:val="fr-BE" w:eastAsia="fr-BE"/>
              </w:rPr>
              <w:br/>
              <w:t xml:space="preserve">% </w:t>
            </w:r>
            <w:r>
              <w:rPr>
                <w:rFonts w:eastAsia="Times New Roman" w:cs="Times New Roman"/>
                <w:bCs/>
                <w:noProof/>
                <w:color w:val="000000" w:themeColor="text1"/>
                <w:szCs w:val="24"/>
                <w:lang w:val="fr-BE" w:eastAsia="fr-BE"/>
              </w:rPr>
              <w:br/>
              <w:t>increase</w:t>
            </w:r>
          </w:p>
        </w:tc>
      </w:tr>
      <w:tr w:rsidR="003E180D" w:rsidTr="0088305C">
        <w:trPr>
          <w:gridAfter w:val="2"/>
          <w:wAfter w:w="18" w:type="dxa"/>
          <w:trHeight w:val="340"/>
        </w:trPr>
        <w:tc>
          <w:tcPr>
            <w:tcW w:w="1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TL20</w:t>
            </w:r>
          </w:p>
        </w:tc>
        <w:tc>
          <w:tcPr>
            <w:tcW w:w="242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13,721</w:t>
            </w:r>
          </w:p>
        </w:tc>
        <w:tc>
          <w:tcPr>
            <w:tcW w:w="1300" w:type="dxa"/>
            <w:tcBorders>
              <w:top w:val="single" w:sz="4" w:space="0" w:color="auto"/>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35,120</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33,128</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23,793</w:t>
            </w:r>
          </w:p>
        </w:tc>
        <w:tc>
          <w:tcPr>
            <w:tcW w:w="1372" w:type="dxa"/>
            <w:tcBorders>
              <w:top w:val="single" w:sz="4" w:space="0" w:color="auto"/>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noProof/>
                <w:color w:val="000000"/>
                <w:sz w:val="22"/>
                <w:lang w:eastAsia="en-GB"/>
              </w:rPr>
              <w:t>8,479</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-1,9%</w:t>
            </w:r>
          </w:p>
        </w:tc>
        <w:tc>
          <w:tcPr>
            <w:tcW w:w="1276" w:type="dxa"/>
            <w:tcBorders>
              <w:top w:val="single" w:sz="4" w:space="0" w:color="auto"/>
              <w:left w:val="nil"/>
              <w:bottom w:val="single" w:sz="4" w:space="0" w:color="auto"/>
              <w:right w:val="nil"/>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-0,3%</w:t>
            </w:r>
          </w:p>
        </w:tc>
        <w:tc>
          <w:tcPr>
            <w:tcW w:w="1276" w:type="dxa"/>
            <w:gridSpan w:val="2"/>
            <w:tcBorders>
              <w:top w:val="nil"/>
              <w:left w:val="single" w:sz="4" w:space="0" w:color="auto"/>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0.01%</w:t>
            </w:r>
          </w:p>
        </w:tc>
        <w:tc>
          <w:tcPr>
            <w:tcW w:w="1541"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0.05%</w:t>
            </w:r>
          </w:p>
        </w:tc>
      </w:tr>
      <w:tr w:rsidR="003E180D" w:rsidTr="0088305C">
        <w:trPr>
          <w:gridAfter w:val="2"/>
          <w:wAfter w:w="18" w:type="dxa"/>
          <w:trHeight w:val="340"/>
        </w:trPr>
        <w:tc>
          <w:tcPr>
            <w:tcW w:w="1920" w:type="dxa"/>
            <w:tcBorders>
              <w:top w:val="nil"/>
              <w:left w:val="single" w:sz="4" w:space="0" w:color="auto"/>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TL30 *</w:t>
            </w:r>
          </w:p>
        </w:tc>
        <w:tc>
          <w:tcPr>
            <w:tcW w:w="2421" w:type="dxa"/>
            <w:tcBorders>
              <w:top w:val="nil"/>
              <w:left w:val="single" w:sz="4" w:space="0" w:color="auto"/>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47,618</w:t>
            </w:r>
          </w:p>
        </w:tc>
        <w:tc>
          <w:tcPr>
            <w:tcW w:w="130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43,436</w:t>
            </w:r>
          </w:p>
        </w:tc>
        <w:tc>
          <w:tcPr>
            <w:tcW w:w="124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54,771</w:t>
            </w:r>
          </w:p>
        </w:tc>
        <w:tc>
          <w:tcPr>
            <w:tcW w:w="124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38,499</w:t>
            </w:r>
          </w:p>
        </w:tc>
        <w:tc>
          <w:tcPr>
            <w:tcW w:w="1372"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noProof/>
                <w:color w:val="000000"/>
                <w:sz w:val="22"/>
                <w:lang w:eastAsia="en-GB"/>
              </w:rPr>
              <w:t>15,624</w:t>
            </w:r>
          </w:p>
        </w:tc>
        <w:tc>
          <w:tcPr>
            <w:tcW w:w="1275"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-4,2%</w:t>
            </w:r>
          </w:p>
        </w:tc>
        <w:tc>
          <w:tcPr>
            <w:tcW w:w="1276" w:type="dxa"/>
            <w:tcBorders>
              <w:top w:val="nil"/>
              <w:left w:val="nil"/>
              <w:bottom w:val="single" w:sz="4" w:space="0" w:color="auto"/>
              <w:right w:val="nil"/>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-0,6%</w:t>
            </w:r>
          </w:p>
        </w:tc>
        <w:tc>
          <w:tcPr>
            <w:tcW w:w="1276" w:type="dxa"/>
            <w:gridSpan w:val="2"/>
            <w:tcBorders>
              <w:top w:val="nil"/>
              <w:left w:val="single" w:sz="4" w:space="0" w:color="auto"/>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0.02%</w:t>
            </w:r>
          </w:p>
        </w:tc>
        <w:tc>
          <w:tcPr>
            <w:tcW w:w="1541"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0.09%</w:t>
            </w:r>
          </w:p>
        </w:tc>
      </w:tr>
      <w:tr w:rsidR="003E180D" w:rsidTr="0088305C">
        <w:trPr>
          <w:gridAfter w:val="2"/>
          <w:wAfter w:w="18" w:type="dxa"/>
          <w:trHeight w:val="340"/>
        </w:trPr>
        <w:tc>
          <w:tcPr>
            <w:tcW w:w="1920" w:type="dxa"/>
            <w:tcBorders>
              <w:top w:val="nil"/>
              <w:left w:val="single" w:sz="4" w:space="0" w:color="auto"/>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TL32</w:t>
            </w:r>
          </w:p>
        </w:tc>
        <w:tc>
          <w:tcPr>
            <w:tcW w:w="2421" w:type="dxa"/>
            <w:tcBorders>
              <w:top w:val="nil"/>
              <w:left w:val="single" w:sz="4" w:space="0" w:color="auto"/>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52,073</w:t>
            </w:r>
          </w:p>
        </w:tc>
        <w:tc>
          <w:tcPr>
            <w:tcW w:w="130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49,125</w:t>
            </w:r>
          </w:p>
        </w:tc>
        <w:tc>
          <w:tcPr>
            <w:tcW w:w="124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65,853</w:t>
            </w:r>
          </w:p>
        </w:tc>
        <w:tc>
          <w:tcPr>
            <w:tcW w:w="124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46,394</w:t>
            </w:r>
          </w:p>
        </w:tc>
        <w:tc>
          <w:tcPr>
            <w:tcW w:w="1372"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noProof/>
                <w:color w:val="000000"/>
                <w:sz w:val="22"/>
                <w:lang w:eastAsia="en-GB"/>
              </w:rPr>
              <w:t>17,116</w:t>
            </w:r>
          </w:p>
        </w:tc>
        <w:tc>
          <w:tcPr>
            <w:tcW w:w="1275"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-4,9%</w:t>
            </w:r>
          </w:p>
        </w:tc>
        <w:tc>
          <w:tcPr>
            <w:tcW w:w="1276" w:type="dxa"/>
            <w:tcBorders>
              <w:top w:val="nil"/>
              <w:left w:val="nil"/>
              <w:bottom w:val="single" w:sz="4" w:space="0" w:color="auto"/>
              <w:right w:val="nil"/>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-0,7%</w:t>
            </w:r>
          </w:p>
        </w:tc>
        <w:tc>
          <w:tcPr>
            <w:tcW w:w="1276" w:type="dxa"/>
            <w:gridSpan w:val="2"/>
            <w:tcBorders>
              <w:top w:val="nil"/>
              <w:left w:val="single" w:sz="4" w:space="0" w:color="auto"/>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n.a.</w:t>
            </w:r>
          </w:p>
        </w:tc>
        <w:tc>
          <w:tcPr>
            <w:tcW w:w="1541"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n.a.</w:t>
            </w:r>
          </w:p>
        </w:tc>
      </w:tr>
      <w:tr w:rsidR="003E180D" w:rsidTr="0088305C">
        <w:trPr>
          <w:gridAfter w:val="2"/>
          <w:wAfter w:w="18" w:type="dxa"/>
          <w:trHeight w:val="340"/>
        </w:trPr>
        <w:tc>
          <w:tcPr>
            <w:tcW w:w="1920" w:type="dxa"/>
            <w:tcBorders>
              <w:top w:val="nil"/>
              <w:left w:val="single" w:sz="4" w:space="0" w:color="auto"/>
              <w:bottom w:val="single" w:sz="4" w:space="0" w:color="auto"/>
              <w:right w:val="single" w:sz="4" w:space="0" w:color="auto"/>
            </w:tcBorders>
            <w:shd w:val="clear" w:color="000000" w:fill="FFFFFF"/>
            <w:noWrap/>
            <w:vAlign w:val="center"/>
            <w:hideMark/>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TL35</w:t>
            </w:r>
          </w:p>
        </w:tc>
        <w:tc>
          <w:tcPr>
            <w:tcW w:w="2421" w:type="dxa"/>
            <w:tcBorders>
              <w:top w:val="nil"/>
              <w:left w:val="single" w:sz="4" w:space="0" w:color="auto"/>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58,760</w:t>
            </w:r>
          </w:p>
        </w:tc>
        <w:tc>
          <w:tcPr>
            <w:tcW w:w="130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57,644</w:t>
            </w:r>
          </w:p>
        </w:tc>
        <w:tc>
          <w:tcPr>
            <w:tcW w:w="124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82,429</w:t>
            </w:r>
          </w:p>
        </w:tc>
        <w:tc>
          <w:tcPr>
            <w:tcW w:w="1240"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58,200</w:t>
            </w:r>
          </w:p>
        </w:tc>
        <w:tc>
          <w:tcPr>
            <w:tcW w:w="1372"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noProof/>
                <w:color w:val="000000"/>
                <w:sz w:val="22"/>
                <w:lang w:eastAsia="en-GB"/>
              </w:rPr>
              <w:t>19,319</w:t>
            </w:r>
          </w:p>
        </w:tc>
        <w:tc>
          <w:tcPr>
            <w:tcW w:w="1275"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-5,4%</w:t>
            </w:r>
          </w:p>
        </w:tc>
        <w:tc>
          <w:tcPr>
            <w:tcW w:w="1276" w:type="dxa"/>
            <w:tcBorders>
              <w:top w:val="nil"/>
              <w:left w:val="nil"/>
              <w:bottom w:val="single" w:sz="4" w:space="0" w:color="auto"/>
              <w:right w:val="nil"/>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-0,8%</w:t>
            </w:r>
          </w:p>
        </w:tc>
        <w:tc>
          <w:tcPr>
            <w:tcW w:w="1276" w:type="dxa"/>
            <w:gridSpan w:val="2"/>
            <w:tcBorders>
              <w:top w:val="nil"/>
              <w:left w:val="single" w:sz="4" w:space="0" w:color="auto"/>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n.a.</w:t>
            </w:r>
          </w:p>
        </w:tc>
        <w:tc>
          <w:tcPr>
            <w:tcW w:w="1541" w:type="dxa"/>
            <w:tcBorders>
              <w:top w:val="nil"/>
              <w:left w:val="nil"/>
              <w:bottom w:val="single" w:sz="4" w:space="0" w:color="auto"/>
              <w:right w:val="single" w:sz="4" w:space="0" w:color="auto"/>
            </w:tcBorders>
            <w:shd w:val="clear" w:color="000000" w:fill="FFFFFF"/>
            <w:noWrap/>
            <w:vAlign w:val="center"/>
          </w:tcPr>
          <w:p w:rsidR="003E180D" w:rsidRDefault="003E180D" w:rsidP="0088305C">
            <w:pPr>
              <w:spacing w:after="0" w:line="240" w:lineRule="auto"/>
              <w:jc w:val="center"/>
              <w:rPr>
                <w:rFonts w:eastAsia="Times New Roman"/>
                <w:noProof/>
                <w:color w:val="000000"/>
                <w:sz w:val="22"/>
                <w:lang w:val="fr-BE" w:eastAsia="fr-BE"/>
              </w:rPr>
            </w:pPr>
            <w:r>
              <w:rPr>
                <w:rFonts w:eastAsia="Times New Roman"/>
                <w:noProof/>
                <w:color w:val="000000"/>
                <w:sz w:val="22"/>
                <w:lang w:val="fr-BE" w:eastAsia="fr-BE"/>
              </w:rPr>
              <w:t>n.a.</w:t>
            </w:r>
          </w:p>
        </w:tc>
      </w:tr>
    </w:tbl>
    <w:p w:rsidR="003E180D" w:rsidRDefault="003E180D" w:rsidP="003E180D">
      <w:pPr>
        <w:tabs>
          <w:tab w:val="left" w:pos="1995"/>
          <w:tab w:val="left" w:pos="4416"/>
          <w:tab w:val="left" w:pos="5716"/>
          <w:tab w:val="left" w:pos="6956"/>
          <w:tab w:val="left" w:pos="8196"/>
          <w:tab w:val="left" w:pos="9590"/>
          <w:tab w:val="left" w:pos="10930"/>
          <w:tab w:val="left" w:pos="12119"/>
          <w:tab w:val="left" w:pos="13476"/>
        </w:tabs>
        <w:spacing w:after="0" w:line="240" w:lineRule="auto"/>
        <w:rPr>
          <w:rFonts w:eastAsia="Times New Roman" w:cs="Times New Roman"/>
          <w:noProof/>
          <w:color w:val="000000"/>
          <w:sz w:val="20"/>
          <w:szCs w:val="24"/>
          <w:lang w:val="en-US" w:eastAsia="fr-BE"/>
        </w:rPr>
      </w:pPr>
      <w:r>
        <w:rPr>
          <w:noProof/>
          <w:sz w:val="20"/>
        </w:rPr>
        <w:t>* Results for TL30NL are very similar to those for TL30</w:t>
      </w:r>
    </w:p>
    <w:p w:rsidR="003E180D" w:rsidRDefault="003E180D" w:rsidP="003E180D">
      <w:pPr>
        <w:tabs>
          <w:tab w:val="left" w:pos="1995"/>
          <w:tab w:val="left" w:pos="4416"/>
          <w:tab w:val="left" w:pos="5716"/>
          <w:tab w:val="left" w:pos="6956"/>
          <w:tab w:val="left" w:pos="8196"/>
          <w:tab w:val="left" w:pos="9590"/>
          <w:tab w:val="left" w:pos="10930"/>
          <w:tab w:val="left" w:pos="12119"/>
          <w:tab w:val="left" w:pos="13476"/>
        </w:tabs>
        <w:spacing w:after="0" w:line="240" w:lineRule="auto"/>
        <w:ind w:left="75"/>
        <w:rPr>
          <w:rFonts w:eastAsia="Times New Roman"/>
          <w:noProof/>
          <w:color w:val="000000"/>
          <w:lang w:val="en-US" w:eastAsia="fr-BE"/>
        </w:rPr>
      </w:pPr>
    </w:p>
    <w:p w:rsidR="003E180D" w:rsidRDefault="003E180D" w:rsidP="003E180D">
      <w:pPr>
        <w:rPr>
          <w:noProof/>
        </w:rPr>
        <w:sectPr w:rsidR="003E180D">
          <w:headerReference w:type="even" r:id="rId25"/>
          <w:headerReference w:type="default" r:id="rId26"/>
          <w:footerReference w:type="even" r:id="rId27"/>
          <w:footerReference w:type="default" r:id="rId28"/>
          <w:headerReference w:type="first" r:id="rId29"/>
          <w:footerReference w:type="first" r:id="rId30"/>
          <w:pgSz w:w="16838" w:h="11906" w:orient="landscape"/>
          <w:pgMar w:top="1588" w:right="1021" w:bottom="1701" w:left="1021" w:header="601" w:footer="1077" w:gutter="0"/>
          <w:cols w:space="720"/>
          <w:docGrid w:linePitch="326"/>
        </w:sectPr>
      </w:pPr>
    </w:p>
    <w:p w:rsidR="003E180D" w:rsidRDefault="003E180D" w:rsidP="003E180D">
      <w:pPr>
        <w:pStyle w:val="Heading1"/>
        <w:numPr>
          <w:ilvl w:val="0"/>
          <w:numId w:val="22"/>
        </w:numPr>
        <w:rPr>
          <w:noProof/>
        </w:rPr>
      </w:pPr>
      <w:bookmarkStart w:id="202" w:name="_Toc507493381"/>
      <w:bookmarkStart w:id="203" w:name="_Toc507496407"/>
      <w:bookmarkStart w:id="204" w:name="_Toc507512105"/>
      <w:bookmarkStart w:id="205" w:name="_Toc507517569"/>
      <w:bookmarkStart w:id="206" w:name="_Toc508124774"/>
      <w:bookmarkStart w:id="207" w:name="_Toc508126139"/>
      <w:bookmarkStart w:id="208" w:name="_Toc508127511"/>
      <w:bookmarkStart w:id="209" w:name="_Toc508127865"/>
      <w:bookmarkStart w:id="210" w:name="_Toc508129637"/>
      <w:bookmarkStart w:id="211" w:name="_Toc508181028"/>
      <w:bookmarkStart w:id="212" w:name="_Toc508186621"/>
      <w:bookmarkStart w:id="213" w:name="_Toc510708102"/>
      <w:bookmarkStart w:id="214" w:name="_Toc514328798"/>
      <w:r>
        <w:rPr>
          <w:noProof/>
        </w:rPr>
        <w:t xml:space="preserve">Annex 4: </w:t>
      </w:r>
      <w:bookmarkStart w:id="215" w:name="_Toc472885627"/>
      <w:bookmarkStart w:id="216" w:name="_Ref475295086"/>
      <w:bookmarkStart w:id="217" w:name="_Toc481863594"/>
      <w:r>
        <w:rPr>
          <w:noProof/>
        </w:rPr>
        <w:t>Analytical models used in preparing the impact assessment</w:t>
      </w:r>
      <w:bookmarkEnd w:id="165"/>
      <w:bookmarkEnd w:id="202"/>
      <w:bookmarkEnd w:id="203"/>
      <w:bookmarkEnd w:id="204"/>
      <w:bookmarkEnd w:id="205"/>
      <w:bookmarkEnd w:id="206"/>
      <w:bookmarkEnd w:id="207"/>
      <w:bookmarkEnd w:id="208"/>
      <w:bookmarkEnd w:id="209"/>
      <w:bookmarkEnd w:id="210"/>
      <w:bookmarkEnd w:id="211"/>
      <w:bookmarkEnd w:id="212"/>
      <w:bookmarkEnd w:id="213"/>
      <w:bookmarkEnd w:id="214"/>
    </w:p>
    <w:p w:rsidR="003E180D" w:rsidRDefault="003E180D" w:rsidP="003E180D">
      <w:pPr>
        <w:pStyle w:val="Text1"/>
        <w:spacing w:after="120"/>
        <w:ind w:left="0"/>
        <w:rPr>
          <w:noProof/>
          <w:szCs w:val="24"/>
        </w:rPr>
      </w:pPr>
      <w:r>
        <w:rPr>
          <w:noProof/>
          <w:szCs w:val="24"/>
        </w:rPr>
        <w:t xml:space="preserve">The analytical work underpinning this Impact Assessment uses a series of models: PRIMES-TREMOVE, JRC DIONE and EXIOMOD. They have a successful record of use in the Commission's transport, energy and climate policy impact assessments – including for the 2020 climate and energy package, the 2030 climate and energy policy framework, the </w:t>
      </w:r>
      <w:r>
        <w:rPr>
          <w:noProof/>
        </w:rPr>
        <w:t>Effort Sharing Regulation</w:t>
      </w:r>
      <w:r>
        <w:rPr>
          <w:noProof/>
          <w:szCs w:val="24"/>
        </w:rPr>
        <w:t xml:space="preserve"> (ESR), </w:t>
      </w:r>
      <w:r>
        <w:rPr>
          <w:noProof/>
        </w:rPr>
        <w:t>the Energy Efficiency Directive</w:t>
      </w:r>
      <w:r>
        <w:rPr>
          <w:noProof/>
          <w:szCs w:val="24"/>
        </w:rPr>
        <w:t xml:space="preserve"> (EED) and</w:t>
      </w:r>
      <w:r>
        <w:rPr>
          <w:noProof/>
        </w:rPr>
        <w:t xml:space="preserve"> the Renewable Energy Directive (RED)</w:t>
      </w:r>
      <w:r>
        <w:rPr>
          <w:noProof/>
          <w:szCs w:val="24"/>
        </w:rPr>
        <w:t xml:space="preserve"> proposals, the analytical work underpinning the Low-Emission Mobility Strategy and the proposal for the post-2020 CO</w:t>
      </w:r>
      <w:r>
        <w:rPr>
          <w:noProof/>
          <w:szCs w:val="24"/>
          <w:vertAlign w:val="subscript"/>
        </w:rPr>
        <w:t>2</w:t>
      </w:r>
      <w:r>
        <w:rPr>
          <w:noProof/>
          <w:szCs w:val="24"/>
        </w:rPr>
        <w:t xml:space="preserve"> emission standards for cars and vans. </w:t>
      </w:r>
    </w:p>
    <w:p w:rsidR="003E180D" w:rsidRDefault="003E180D" w:rsidP="003E180D">
      <w:pPr>
        <w:pStyle w:val="Text1"/>
        <w:spacing w:after="120"/>
        <w:ind w:left="0"/>
        <w:rPr>
          <w:noProof/>
          <w:szCs w:val="24"/>
        </w:rPr>
      </w:pPr>
      <w:r>
        <w:rPr>
          <w:noProof/>
          <w:szCs w:val="24"/>
        </w:rPr>
        <w:t>A brief description of each model is provided below.</w:t>
      </w:r>
    </w:p>
    <w:p w:rsidR="003E180D" w:rsidRDefault="003E180D" w:rsidP="003E180D">
      <w:pPr>
        <w:pStyle w:val="Heading2"/>
        <w:numPr>
          <w:ilvl w:val="1"/>
          <w:numId w:val="22"/>
        </w:numPr>
        <w:spacing w:before="240" w:after="240"/>
        <w:rPr>
          <w:noProof/>
        </w:rPr>
      </w:pPr>
      <w:bookmarkStart w:id="218" w:name="_Toc507493382"/>
      <w:bookmarkStart w:id="219" w:name="_Toc507496408"/>
      <w:bookmarkStart w:id="220" w:name="_Toc507512106"/>
      <w:bookmarkStart w:id="221" w:name="_Toc507517570"/>
      <w:bookmarkStart w:id="222" w:name="_Toc508124775"/>
      <w:bookmarkStart w:id="223" w:name="_Toc508126140"/>
      <w:bookmarkStart w:id="224" w:name="_Toc508127512"/>
      <w:bookmarkStart w:id="225" w:name="_Toc508127866"/>
      <w:bookmarkStart w:id="226" w:name="_Toc508129638"/>
      <w:bookmarkStart w:id="227" w:name="_Toc508181029"/>
      <w:bookmarkStart w:id="228" w:name="_Toc508186622"/>
      <w:bookmarkStart w:id="229" w:name="_Toc510708103"/>
      <w:bookmarkStart w:id="230" w:name="_Toc514328799"/>
      <w:bookmarkEnd w:id="215"/>
      <w:bookmarkEnd w:id="216"/>
      <w:bookmarkEnd w:id="217"/>
      <w:r>
        <w:rPr>
          <w:noProof/>
        </w:rPr>
        <w:t>PRIMES-TREMOVE transport model</w:t>
      </w:r>
      <w:bookmarkEnd w:id="218"/>
      <w:bookmarkEnd w:id="219"/>
      <w:bookmarkEnd w:id="220"/>
      <w:bookmarkEnd w:id="221"/>
      <w:bookmarkEnd w:id="222"/>
      <w:bookmarkEnd w:id="223"/>
      <w:bookmarkEnd w:id="224"/>
      <w:bookmarkEnd w:id="225"/>
      <w:bookmarkEnd w:id="226"/>
      <w:bookmarkEnd w:id="227"/>
      <w:bookmarkEnd w:id="228"/>
      <w:bookmarkEnd w:id="229"/>
      <w:bookmarkEnd w:id="230"/>
    </w:p>
    <w:p w:rsidR="003E180D" w:rsidRDefault="003E180D" w:rsidP="003E180D">
      <w:pPr>
        <w:spacing w:after="120" w:line="240" w:lineRule="auto"/>
        <w:jc w:val="both"/>
        <w:rPr>
          <w:rFonts w:eastAsia="Times New Roman"/>
          <w:noProof/>
        </w:rPr>
      </w:pPr>
      <w:r>
        <w:rPr>
          <w:rFonts w:eastAsia="Times New Roman"/>
          <w:noProof/>
        </w:rPr>
        <w:t xml:space="preserve">PRIMES-TREMOVE is a private model that has been developed and is maintained by E3MLab/ICCS of the National Technical University of Athens, based on, but extending features of the open source TREMOVE model developed by the TREMOVE  modelling community. Part of the model (e.g. the utility nested tree) was built following the TREMOVE model. Other parts, like the component on fuel consumption and emissions, follow the COPERT model. When used as a module which contributes to a broader PRIMES scenario, it can show how policies and trends in the field of transport contribute to economy-wide trends in energy use and emissions. </w:t>
      </w:r>
    </w:p>
    <w:p w:rsidR="003E180D" w:rsidRDefault="003E180D" w:rsidP="003E180D">
      <w:pPr>
        <w:spacing w:after="120" w:line="240" w:lineRule="auto"/>
        <w:jc w:val="both"/>
        <w:rPr>
          <w:rFonts w:eastAsia="Times New Roman"/>
          <w:noProof/>
        </w:rPr>
      </w:pPr>
      <w:r>
        <w:rPr>
          <w:rFonts w:eastAsia="Times New Roman"/>
          <w:noProof/>
        </w:rPr>
        <w:t>As module of the PRIMES energy system model, PRIMES-TREMOVE has been successfully peer reviewed, most recently in 2011. PRIMES-TREMOVE has been used for the 2011 White Paper on Transport, Low Carbon Economy and Energy 2050 Roadmaps, the 2030 policy framework for climate and energy and more recently for the ESR, the review of the EED, the recast of the RED, the European strategy on Low-Emission Mobility and the proposal for the post-2020 CO</w:t>
      </w:r>
      <w:r>
        <w:rPr>
          <w:rFonts w:eastAsia="Times New Roman"/>
          <w:noProof/>
          <w:vertAlign w:val="subscript"/>
        </w:rPr>
        <w:t>2</w:t>
      </w:r>
      <w:r>
        <w:rPr>
          <w:rFonts w:eastAsia="Times New Roman"/>
          <w:noProof/>
        </w:rPr>
        <w:t xml:space="preserve"> emission standards for cars and vans. </w:t>
      </w:r>
    </w:p>
    <w:p w:rsidR="003E180D" w:rsidRDefault="003E180D" w:rsidP="003E180D">
      <w:pPr>
        <w:spacing w:after="120" w:line="240" w:lineRule="auto"/>
        <w:jc w:val="both"/>
        <w:rPr>
          <w:rFonts w:eastAsia="Times New Roman"/>
          <w:noProof/>
        </w:rPr>
      </w:pPr>
      <w:r>
        <w:rPr>
          <w:rFonts w:eastAsia="Times New Roman"/>
          <w:noProof/>
        </w:rPr>
        <w:t xml:space="preserve">The PRIMES-TREMOVE transport model projects the evolution of demand for passengers and freight transport by transport mode and transport mean. It is a dynamic system of multi-agent choices under several constraints, which are not necessarily binding simultaneously. </w:t>
      </w:r>
    </w:p>
    <w:p w:rsidR="003E180D" w:rsidRDefault="003E180D" w:rsidP="003E180D">
      <w:pPr>
        <w:spacing w:after="120" w:line="240" w:lineRule="auto"/>
        <w:jc w:val="both"/>
        <w:rPr>
          <w:rFonts w:eastAsia="Times New Roman"/>
          <w:noProof/>
        </w:rPr>
      </w:pPr>
      <w:r>
        <w:rPr>
          <w:rFonts w:eastAsia="Times New Roman"/>
          <w:noProof/>
        </w:rPr>
        <w:t xml:space="preserve">PRIMES-TREMOVE is suitable for modelling soft measures (e.g. eco-driving, deployment of Intelligent Transport Systems, labelling), economic measures (e.g. subsidies and taxes on fuels, vehicles, emissions, pricing of congestion and other externalities such as air pollution, accidents and noise; measures supporting R&amp;D), infrastructure policies for alternative fuels (e.g. deployment of refuelling/recharging infrastructure for electricity, hydrogen, LNG, CNG) and regulatory measures. </w:t>
      </w:r>
    </w:p>
    <w:p w:rsidR="003E180D" w:rsidRDefault="003E180D" w:rsidP="003E180D">
      <w:pPr>
        <w:spacing w:after="120" w:line="240" w:lineRule="auto"/>
        <w:jc w:val="both"/>
        <w:rPr>
          <w:rFonts w:eastAsia="Times New Roman"/>
          <w:noProof/>
        </w:rPr>
      </w:pPr>
      <w:r>
        <w:rPr>
          <w:rFonts w:eastAsia="Times New Roman"/>
          <w:noProof/>
        </w:rPr>
        <w:t>Regulatory measures include EU Regulations No 443/2009 and No 510/2011 setting CO</w:t>
      </w:r>
      <w:r>
        <w:rPr>
          <w:rFonts w:eastAsia="Times New Roman"/>
          <w:noProof/>
          <w:vertAlign w:val="subscript"/>
        </w:rPr>
        <w:t>2</w:t>
      </w:r>
      <w:r>
        <w:rPr>
          <w:rFonts w:eastAsia="Times New Roman"/>
          <w:noProof/>
        </w:rPr>
        <w:t xml:space="preserve"> emission performance standards for new passenger cars and new light commercial vehicles. </w:t>
      </w:r>
    </w:p>
    <w:p w:rsidR="003E180D" w:rsidRDefault="003E180D" w:rsidP="003E180D">
      <w:pPr>
        <w:spacing w:after="120" w:line="240" w:lineRule="auto"/>
        <w:jc w:val="both"/>
        <w:rPr>
          <w:rFonts w:eastAsia="Times New Roman"/>
          <w:noProof/>
        </w:rPr>
      </w:pPr>
      <w:r>
        <w:rPr>
          <w:rFonts w:eastAsia="Times New Roman"/>
          <w:noProof/>
        </w:rPr>
        <w:t xml:space="preserve">PRIMES-TREMOVE simulates the equilibrium of the transport market. It has a modular structure, featuring a module projecting demand for transportation services for passenger and freight mobility and a supply module deriving ways of meeting the demand. </w:t>
      </w:r>
    </w:p>
    <w:p w:rsidR="003E180D" w:rsidRDefault="003E180D" w:rsidP="003E180D">
      <w:pPr>
        <w:spacing w:after="120" w:line="240" w:lineRule="auto"/>
        <w:jc w:val="both"/>
        <w:rPr>
          <w:rFonts w:eastAsia="Times New Roman"/>
          <w:noProof/>
        </w:rPr>
      </w:pPr>
      <w:r>
        <w:rPr>
          <w:rFonts w:eastAsia="Times New Roman"/>
          <w:noProof/>
        </w:rPr>
        <w:t xml:space="preserve">The supply module projects the optimum technology and fuel mix to produce transportation services which meet demand. It includes a vehicle stock sub-module which considers stock of transport means inherited from previous time periods and determines the necessary changes to meet demand. </w:t>
      </w:r>
    </w:p>
    <w:p w:rsidR="003E180D" w:rsidRDefault="003E180D" w:rsidP="003E180D">
      <w:pPr>
        <w:spacing w:after="120" w:line="240" w:lineRule="auto"/>
        <w:jc w:val="both"/>
        <w:rPr>
          <w:rFonts w:eastAsia="Times New Roman"/>
          <w:noProof/>
        </w:rPr>
      </w:pPr>
      <w:r>
        <w:rPr>
          <w:rFonts w:eastAsia="Times New Roman"/>
          <w:noProof/>
        </w:rPr>
        <w:t xml:space="preserve">PRIMES-TREMOVE tracks vehicle vintages and formulates the dynamics of vehicle stock turnover by combining scrapping and new registrations. </w:t>
      </w:r>
    </w:p>
    <w:p w:rsidR="003E180D" w:rsidRDefault="003E180D" w:rsidP="003E180D">
      <w:pPr>
        <w:spacing w:after="120" w:line="240" w:lineRule="auto"/>
        <w:jc w:val="both"/>
        <w:rPr>
          <w:rFonts w:eastAsia="Times New Roman"/>
          <w:noProof/>
        </w:rPr>
      </w:pPr>
      <w:r>
        <w:rPr>
          <w:rFonts w:eastAsia="Times New Roman"/>
          <w:noProof/>
        </w:rPr>
        <w:t xml:space="preserve">The supply module of PRIMES-TREMOVE interacts with the demand module through the so-called generalised prices of transportation (measured in Euro per </w:t>
      </w:r>
      <w:r>
        <w:rPr>
          <w:rFonts w:eastAsia="Times New Roman" w:cs="Times New Roman"/>
          <w:noProof/>
          <w:szCs w:val="24"/>
        </w:rPr>
        <w:t>passenger</w:t>
      </w:r>
      <w:r>
        <w:rPr>
          <w:rFonts w:eastAsia="Times New Roman"/>
          <w:noProof/>
        </w:rPr>
        <w:t>/ton km). Different generalised prices are calculated for the various alternative trip possibilities included in the decision tree of the demand module (e.g. area, time, distance) by transport mode. When the generalised prices differ from the baseline scenario, the model determines the new demand (for each of the various possible trips) based on the price differential relative to the baseline scenario and the elasticities of substitution (different among the various options) by respecting the overall budget (</w:t>
      </w:r>
      <w:r>
        <w:rPr>
          <w:rFonts w:eastAsia="Times New Roman" w:cs="Times New Roman"/>
          <w:noProof/>
          <w:szCs w:val="24"/>
        </w:rPr>
        <w:t>micro-economic</w:t>
      </w:r>
      <w:r>
        <w:rPr>
          <w:rFonts w:eastAsia="Times New Roman"/>
          <w:noProof/>
        </w:rPr>
        <w:t xml:space="preserve"> foundation).</w:t>
      </w:r>
    </w:p>
    <w:p w:rsidR="003E180D" w:rsidRDefault="003E180D" w:rsidP="003E180D">
      <w:pPr>
        <w:spacing w:after="120" w:line="240" w:lineRule="auto"/>
        <w:jc w:val="both"/>
        <w:rPr>
          <w:rFonts w:eastAsia="Times New Roman"/>
          <w:noProof/>
        </w:rPr>
      </w:pPr>
      <w:r>
        <w:rPr>
          <w:rFonts w:eastAsia="Times New Roman"/>
          <w:noProof/>
        </w:rPr>
        <w:t xml:space="preserve">Regarding the purchasing of new vehicles, a menu of technology options is considered; for lorries, the available technology portfolio includes different configurations, different technologies having an impact on fuel consumption and fuel types. The purchase choice of lorries follows the approach of discrete choice modelling. A Weibull functional form is used to determine the frequency of choice of a certain lorry. The cost indices entering the Weibull function include several elements in two main categories: (1) internal costs, (2) perceived costs, i.e. market acceptance for each technology, (3) infrastructure availability. </w:t>
      </w:r>
    </w:p>
    <w:p w:rsidR="003E180D" w:rsidRDefault="003E180D" w:rsidP="003E180D">
      <w:pPr>
        <w:spacing w:after="120" w:line="240" w:lineRule="auto"/>
        <w:jc w:val="both"/>
        <w:rPr>
          <w:rFonts w:eastAsia="Times New Roman"/>
          <w:noProof/>
        </w:rPr>
      </w:pPr>
      <w:r>
        <w:rPr>
          <w:rFonts w:eastAsia="Times New Roman"/>
          <w:noProof/>
        </w:rPr>
        <w:t xml:space="preserve">Internal costs (true payable costs) include all cost elements over the lifetime of the candidate transport means: purchasing cost, annual fixed costs for maintenance, insurance and ownership/circulation taxation, variable costs for fuel consumption depending on trip type and operation conditions, other variable costs including congestion fees, parking fees and tolled roads. </w:t>
      </w:r>
    </w:p>
    <w:p w:rsidR="003E180D" w:rsidRDefault="003E180D" w:rsidP="003E180D">
      <w:pPr>
        <w:spacing w:after="120" w:line="240" w:lineRule="auto"/>
        <w:jc w:val="both"/>
        <w:rPr>
          <w:rFonts w:eastAsia="Times New Roman"/>
          <w:noProof/>
        </w:rPr>
      </w:pPr>
      <w:r>
        <w:rPr>
          <w:rFonts w:eastAsia="Times New Roman"/>
          <w:noProof/>
        </w:rPr>
        <w:t xml:space="preserve">Market acceptance factors are used to simulate circumstances where vehicle operators have risk avert behaviours regarding new technologies when they are still in early stages of market deployment. Perception of risk usually concerns technical performance, maintenance costs and operation convenience. When market penetration exceeds a certain threshold, operators imitating each other change behaviour and increasingly accept the innovative technologies giving rise to rapid market diffusion. Therefore, the model simulates reluctance to adopt new technologies in early stages of diffusion and more rapid market penetration in later stages. </w:t>
      </w:r>
    </w:p>
    <w:p w:rsidR="003E180D" w:rsidRDefault="003E180D" w:rsidP="003E180D">
      <w:pPr>
        <w:spacing w:after="120" w:line="240" w:lineRule="auto"/>
        <w:jc w:val="both"/>
        <w:rPr>
          <w:rFonts w:eastAsia="Times New Roman"/>
          <w:noProof/>
        </w:rPr>
      </w:pPr>
      <w:r>
        <w:rPr>
          <w:rFonts w:eastAsia="Times New Roman"/>
          <w:noProof/>
        </w:rPr>
        <w:t xml:space="preserve">The PRIMES-TREMOVE model has been adapted to be able to simulate in a more detailed way the various lorry vehicle/family groups that are influenced by the future targets. The lorry categories considered refer to combinations of rigid lorries and tractors with 4x2 or 6x2 axles for regional delivery or long-haul purposes. </w:t>
      </w:r>
    </w:p>
    <w:p w:rsidR="003E180D" w:rsidRDefault="003E180D" w:rsidP="003E180D">
      <w:pPr>
        <w:spacing w:after="120" w:line="240" w:lineRule="auto"/>
        <w:jc w:val="both"/>
        <w:rPr>
          <w:rFonts w:eastAsia="Times New Roman"/>
          <w:noProof/>
        </w:rPr>
      </w:pPr>
      <w:r>
        <w:rPr>
          <w:rFonts w:eastAsia="Times New Roman"/>
          <w:noProof/>
        </w:rPr>
        <w:t xml:space="preserve">The model simulations assume that the relative share of lorries in the different vehicle groups, i.e. rigid lorries and tractors with 4x2 and 6x2 axles, is kept constant through the entire period of simulation. The respective shares have been calibrated into PRIMES-TREMOVE on the basis of 2016 production data collected from the manufacturers in 2017. </w:t>
      </w:r>
    </w:p>
    <w:p w:rsidR="003E180D" w:rsidRDefault="003E180D" w:rsidP="003E180D">
      <w:pPr>
        <w:spacing w:after="120" w:line="240" w:lineRule="auto"/>
        <w:jc w:val="both"/>
        <w:rPr>
          <w:rFonts w:eastAsia="Times New Roman"/>
          <w:noProof/>
        </w:rPr>
      </w:pPr>
      <w:r>
        <w:rPr>
          <w:rFonts w:eastAsia="Times New Roman"/>
          <w:noProof/>
        </w:rPr>
        <w:t xml:space="preserve">This approach reflects the fact that the choice of a certain vehicle configuration according to the criteria defining the groups is mainly determined by the specific transport purpose, which is relatively constant over time, and the transport utility of lorries of different groups is not easily exchangeable. </w:t>
      </w:r>
    </w:p>
    <w:p w:rsidR="003E180D" w:rsidRDefault="003E180D" w:rsidP="003E180D">
      <w:pPr>
        <w:spacing w:after="120" w:line="240" w:lineRule="auto"/>
        <w:jc w:val="both"/>
        <w:rPr>
          <w:rFonts w:eastAsia="Times New Roman"/>
          <w:noProof/>
        </w:rPr>
      </w:pPr>
      <w:r>
        <w:rPr>
          <w:rFonts w:eastAsia="Times New Roman"/>
          <w:noProof/>
        </w:rPr>
        <w:t>When a CO</w:t>
      </w:r>
      <w:r>
        <w:rPr>
          <w:rFonts w:eastAsia="Times New Roman"/>
          <w:noProof/>
          <w:vertAlign w:val="subscript"/>
        </w:rPr>
        <w:t>2</w:t>
      </w:r>
      <w:r>
        <w:rPr>
          <w:rFonts w:eastAsia="Times New Roman"/>
          <w:noProof/>
        </w:rPr>
        <w:t xml:space="preserve"> target for lorries is set, a representative seller is assumed to offer to the market a variety of vehicles having different technologies installed, leading to different prices and CO</w:t>
      </w:r>
      <w:r>
        <w:rPr>
          <w:rFonts w:eastAsia="Times New Roman"/>
          <w:noProof/>
          <w:vertAlign w:val="subscript"/>
        </w:rPr>
        <w:t>2</w:t>
      </w:r>
      <w:r>
        <w:rPr>
          <w:rFonts w:eastAsia="Times New Roman"/>
          <w:noProof/>
        </w:rPr>
        <w:t xml:space="preserve"> emissions, which on average have to respect the target. </w:t>
      </w:r>
    </w:p>
    <w:p w:rsidR="003E180D" w:rsidRDefault="003E180D" w:rsidP="003E180D">
      <w:pPr>
        <w:spacing w:after="120" w:line="240" w:lineRule="auto"/>
        <w:jc w:val="both"/>
        <w:rPr>
          <w:rFonts w:eastAsia="Times New Roman"/>
          <w:noProof/>
        </w:rPr>
      </w:pPr>
      <w:r>
        <w:rPr>
          <w:rFonts w:eastAsia="Times New Roman"/>
          <w:noProof/>
        </w:rPr>
        <w:t xml:space="preserve">The assumptions on the </w:t>
      </w:r>
      <w:r>
        <w:rPr>
          <w:rFonts w:eastAsia="Times New Roman" w:cs="Times New Roman"/>
          <w:noProof/>
          <w:szCs w:val="24"/>
        </w:rPr>
        <w:t xml:space="preserve">costs and </w:t>
      </w:r>
      <w:r>
        <w:rPr>
          <w:rFonts w:eastAsia="Times New Roman"/>
          <w:noProof/>
        </w:rPr>
        <w:t>CO</w:t>
      </w:r>
      <w:r>
        <w:rPr>
          <w:rFonts w:eastAsia="Times New Roman"/>
          <w:noProof/>
          <w:vertAlign w:val="subscript"/>
        </w:rPr>
        <w:t>2</w:t>
      </w:r>
      <w:r>
        <w:rPr>
          <w:rFonts w:eastAsia="Times New Roman"/>
          <w:noProof/>
        </w:rPr>
        <w:t xml:space="preserve"> emission reduction potential of new lorries have been updated, for the purposes of this impact assessment, to the most recent available information. The cost-emission reduction potential differs by the various lorry vehicle groups under consideration. </w:t>
      </w:r>
    </w:p>
    <w:p w:rsidR="003E180D" w:rsidRDefault="003E180D" w:rsidP="003E180D">
      <w:pPr>
        <w:spacing w:after="120" w:line="240" w:lineRule="auto"/>
        <w:jc w:val="both"/>
        <w:rPr>
          <w:rFonts w:eastAsia="Times New Roman"/>
          <w:noProof/>
        </w:rPr>
      </w:pPr>
      <w:r>
        <w:rPr>
          <w:rFonts w:eastAsia="Times New Roman"/>
          <w:noProof/>
        </w:rPr>
        <w:t>The average performance against the standard is endogenously calculated depending on consumer choice of vehicle types. When a target applies, the average performance of the new fleet has to respect the value of the target. Otherwise, an iterative algorithm is set in motion that increases the costs of the non-complying vehicles, as if the representative seller was aiming to improve the competitive advantage of the vehicles that comply with the target. This cost increase is estimated endogenously and depends on the difference between the value of the standard and the CO</w:t>
      </w:r>
      <w:r>
        <w:rPr>
          <w:rFonts w:eastAsia="Times New Roman"/>
          <w:noProof/>
          <w:vertAlign w:val="subscript"/>
        </w:rPr>
        <w:t>2</w:t>
      </w:r>
      <w:r>
        <w:rPr>
          <w:rFonts w:eastAsia="Times New Roman"/>
          <w:noProof/>
        </w:rPr>
        <w:t xml:space="preserve"> emission performance of the particular vehicle. This procedure is repeated until average performance of the new fleet meets the value of the standard.</w:t>
      </w:r>
    </w:p>
    <w:p w:rsidR="003E180D" w:rsidRDefault="003E180D" w:rsidP="003E180D">
      <w:pPr>
        <w:spacing w:after="120" w:line="240" w:lineRule="auto"/>
        <w:jc w:val="both"/>
        <w:rPr>
          <w:rFonts w:eastAsia="Times New Roman"/>
          <w:noProof/>
        </w:rPr>
      </w:pPr>
      <w:r>
        <w:rPr>
          <w:rFonts w:eastAsia="Times New Roman"/>
          <w:noProof/>
        </w:rPr>
        <w:t xml:space="preserve">The lorries segment as represented in the PRIMES-TREMOVE include the following options by fuel type: diesel, LNG, hydrogen, electricity. Due to the currently unknown prospects of zero-emission lorries, and the uncertainty prevailing over the commercial maturity of such vehicle options, ZEV fail to penetrate in the PRIMES-TREMOVE projections over the time horizon under consideration in this impact assessment. </w:t>
      </w:r>
    </w:p>
    <w:p w:rsidR="003E180D" w:rsidRDefault="003E180D" w:rsidP="003E180D">
      <w:pPr>
        <w:spacing w:after="120" w:line="240" w:lineRule="auto"/>
        <w:jc w:val="both"/>
        <w:rPr>
          <w:rFonts w:eastAsia="Times New Roman"/>
          <w:noProof/>
        </w:rPr>
      </w:pPr>
      <w:r>
        <w:rPr>
          <w:rFonts w:eastAsia="Times New Roman"/>
          <w:noProof/>
        </w:rPr>
        <w:t>Any effects coming from zero-emission lorries, e.g. on the total CO</w:t>
      </w:r>
      <w:r>
        <w:rPr>
          <w:rFonts w:eastAsia="Times New Roman"/>
          <w:noProof/>
          <w:vertAlign w:val="subscript"/>
        </w:rPr>
        <w:t>2</w:t>
      </w:r>
      <w:r>
        <w:rPr>
          <w:rFonts w:eastAsia="Times New Roman"/>
          <w:noProof/>
        </w:rPr>
        <w:t xml:space="preserve"> emissions of the fleet, therefore have to be calculated externally to PRIMES-TREMOVE. For the lorry categories with a gross vehicle weight &gt; 16 t, PRIMES-TREMOVE simulations indicate that diesel and LNG lorries are expected to be the most relevant lorry technology/fuel options in the time period until 2030. The decision-making in the model is also influenced by the availability of </w:t>
      </w:r>
      <w:r>
        <w:rPr>
          <w:rFonts w:eastAsia="Times New Roman" w:cs="Times New Roman"/>
          <w:noProof/>
          <w:szCs w:val="24"/>
        </w:rPr>
        <w:t>refuelling</w:t>
      </w:r>
      <w:r>
        <w:rPr>
          <w:rFonts w:eastAsia="Times New Roman"/>
          <w:noProof/>
        </w:rPr>
        <w:t xml:space="preserve"> infrastructure for LNG vehicles. This relates to sufficient availability on the market of LNG fuel as well as supply infrastructure alike. </w:t>
      </w:r>
    </w:p>
    <w:p w:rsidR="003E180D" w:rsidRDefault="003E180D" w:rsidP="003E180D">
      <w:pPr>
        <w:spacing w:after="120" w:line="240" w:lineRule="auto"/>
        <w:jc w:val="both"/>
        <w:rPr>
          <w:rFonts w:eastAsia="Times New Roman"/>
          <w:noProof/>
        </w:rPr>
      </w:pPr>
      <w:r>
        <w:rPr>
          <w:rFonts w:eastAsia="Times New Roman"/>
          <w:noProof/>
        </w:rPr>
        <w:t xml:space="preserve">The current EURO standards on road transport vehicles are explicitly implemented and are important for projecting the future volume of air pollutants in the transport sector and determining the structure of the fleet. </w:t>
      </w:r>
    </w:p>
    <w:p w:rsidR="003E180D" w:rsidRDefault="003E180D" w:rsidP="003E180D">
      <w:pPr>
        <w:spacing w:after="120" w:line="240" w:lineRule="auto"/>
        <w:jc w:val="both"/>
        <w:rPr>
          <w:rFonts w:eastAsia="Times New Roman"/>
          <w:noProof/>
        </w:rPr>
      </w:pPr>
      <w:r>
        <w:rPr>
          <w:rFonts w:eastAsia="Times New Roman"/>
          <w:noProof/>
        </w:rPr>
        <w:t>The PRIMES-TREMOVE projections, used for the analysis presented in Section 6 of the Impact Assessment, include details for a large number of transport means, technologies and fuels (both conventional and alternative types), and their penetration in various transport market segments. They include details about greenhouse gas and air pollution emissions (e.g. NO</w:t>
      </w:r>
      <w:r>
        <w:rPr>
          <w:rFonts w:eastAsia="Times New Roman"/>
          <w:noProof/>
          <w:vertAlign w:val="subscript"/>
        </w:rPr>
        <w:t>x</w:t>
      </w:r>
      <w:r>
        <w:rPr>
          <w:rFonts w:eastAsia="Times New Roman"/>
          <w:noProof/>
        </w:rPr>
        <w:t>, PM, SO</w:t>
      </w:r>
      <w:r>
        <w:rPr>
          <w:rFonts w:eastAsia="Times New Roman"/>
          <w:noProof/>
          <w:vertAlign w:val="subscript"/>
        </w:rPr>
        <w:t>x</w:t>
      </w:r>
      <w:r>
        <w:rPr>
          <w:rFonts w:eastAsia="Times New Roman"/>
          <w:noProof/>
        </w:rPr>
        <w:t>, CO), final energy demand.</w:t>
      </w:r>
    </w:p>
    <w:p w:rsidR="003E180D" w:rsidRDefault="003E180D" w:rsidP="003E180D">
      <w:pPr>
        <w:pStyle w:val="Heading2"/>
        <w:numPr>
          <w:ilvl w:val="1"/>
          <w:numId w:val="22"/>
        </w:numPr>
        <w:spacing w:before="240" w:after="240"/>
        <w:rPr>
          <w:noProof/>
        </w:rPr>
      </w:pPr>
      <w:bookmarkStart w:id="231" w:name="_Toc507493383"/>
      <w:bookmarkStart w:id="232" w:name="_Toc507496409"/>
      <w:bookmarkStart w:id="233" w:name="_Toc507512107"/>
      <w:bookmarkStart w:id="234" w:name="_Toc507517571"/>
      <w:bookmarkStart w:id="235" w:name="_Toc508124776"/>
      <w:bookmarkStart w:id="236" w:name="_Toc508126141"/>
      <w:bookmarkStart w:id="237" w:name="_Toc508127513"/>
      <w:bookmarkStart w:id="238" w:name="_Toc508127867"/>
      <w:bookmarkStart w:id="239" w:name="_Toc508129639"/>
      <w:bookmarkStart w:id="240" w:name="_Toc508181030"/>
      <w:bookmarkStart w:id="241" w:name="_Toc508186623"/>
      <w:bookmarkStart w:id="242" w:name="_Toc510708104"/>
      <w:bookmarkStart w:id="243" w:name="_Toc514328800"/>
      <w:r>
        <w:rPr>
          <w:noProof/>
        </w:rPr>
        <w:t>DIONE model (JRC)</w:t>
      </w:r>
      <w:bookmarkEnd w:id="231"/>
      <w:bookmarkEnd w:id="232"/>
      <w:bookmarkEnd w:id="233"/>
      <w:bookmarkEnd w:id="234"/>
      <w:bookmarkEnd w:id="235"/>
      <w:bookmarkEnd w:id="236"/>
      <w:bookmarkEnd w:id="237"/>
      <w:bookmarkEnd w:id="238"/>
      <w:bookmarkEnd w:id="239"/>
      <w:bookmarkEnd w:id="240"/>
      <w:bookmarkEnd w:id="241"/>
      <w:bookmarkEnd w:id="242"/>
      <w:bookmarkEnd w:id="243"/>
    </w:p>
    <w:p w:rsidR="003E180D" w:rsidRDefault="003E180D" w:rsidP="003E180D">
      <w:pPr>
        <w:spacing w:after="120" w:line="240" w:lineRule="auto"/>
        <w:jc w:val="both"/>
        <w:rPr>
          <w:noProof/>
        </w:rPr>
      </w:pPr>
      <w:r>
        <w:rPr>
          <w:noProof/>
        </w:rPr>
        <w:t>The DIONE model suite is developed, maintained and run by the JRC. It has been used for the assessment of HDV capital and operating costs presented in Chapter 6 of the Impact Assessment. Different computational modules have been developed previously to support the assessment of policy options for light-duty vehicle CO</w:t>
      </w:r>
      <w:r>
        <w:rPr>
          <w:noProof/>
          <w:vertAlign w:val="subscript"/>
        </w:rPr>
        <w:t>2</w:t>
      </w:r>
      <w:r>
        <w:rPr>
          <w:noProof/>
        </w:rPr>
        <w:t xml:space="preserve"> emission reduction, and have been documented in detail in Krause et al (2017)</w:t>
      </w:r>
      <w:r>
        <w:rPr>
          <w:rStyle w:val="FootnoteReference"/>
          <w:rFonts w:eastAsia="Times New Roman" w:cs="Times New Roman"/>
          <w:noProof/>
          <w:szCs w:val="24"/>
        </w:rPr>
        <w:footnoteReference w:id="7"/>
      </w:r>
      <w:r>
        <w:rPr>
          <w:noProof/>
        </w:rPr>
        <w:t>. The following DIONE modules have been modified and employed for the present analysis:</w:t>
      </w:r>
    </w:p>
    <w:p w:rsidR="003E180D" w:rsidRDefault="003E180D" w:rsidP="003E180D">
      <w:pPr>
        <w:spacing w:after="120" w:line="240" w:lineRule="auto"/>
        <w:jc w:val="both"/>
        <w:rPr>
          <w:noProof/>
        </w:rPr>
      </w:pPr>
      <w:r>
        <w:rPr>
          <w:noProof/>
        </w:rPr>
        <w:t>•</w:t>
      </w:r>
      <w:r>
        <w:rPr>
          <w:noProof/>
        </w:rPr>
        <w:tab/>
        <w:t>DIONE Cost Curve Model</w:t>
      </w:r>
    </w:p>
    <w:p w:rsidR="003E180D" w:rsidRDefault="003E180D" w:rsidP="003E180D">
      <w:pPr>
        <w:spacing w:after="120" w:line="240" w:lineRule="auto"/>
        <w:jc w:val="both"/>
        <w:rPr>
          <w:noProof/>
        </w:rPr>
      </w:pPr>
      <w:r>
        <w:rPr>
          <w:noProof/>
        </w:rPr>
        <w:t>•</w:t>
      </w:r>
      <w:r>
        <w:rPr>
          <w:noProof/>
        </w:rPr>
        <w:tab/>
        <w:t>DIONE Cross-Optimization Module</w:t>
      </w:r>
    </w:p>
    <w:p w:rsidR="003E180D" w:rsidRDefault="003E180D" w:rsidP="003E180D">
      <w:pPr>
        <w:spacing w:after="120" w:line="240" w:lineRule="auto"/>
        <w:jc w:val="both"/>
        <w:rPr>
          <w:noProof/>
        </w:rPr>
      </w:pPr>
      <w:r>
        <w:rPr>
          <w:noProof/>
        </w:rPr>
        <w:t>•</w:t>
      </w:r>
      <w:r>
        <w:rPr>
          <w:noProof/>
        </w:rPr>
        <w:tab/>
        <w:t>DIONE Fuel and Energy Cost Module</w:t>
      </w:r>
    </w:p>
    <w:p w:rsidR="003E180D" w:rsidRDefault="003E180D" w:rsidP="003E180D">
      <w:pPr>
        <w:spacing w:after="120" w:line="240" w:lineRule="auto"/>
        <w:jc w:val="both"/>
        <w:rPr>
          <w:noProof/>
        </w:rPr>
      </w:pPr>
      <w:r>
        <w:rPr>
          <w:noProof/>
        </w:rPr>
        <w:t>•</w:t>
      </w:r>
      <w:r>
        <w:rPr>
          <w:noProof/>
        </w:rPr>
        <w:tab/>
        <w:t>DIONE TCO Module</w:t>
      </w:r>
    </w:p>
    <w:p w:rsidR="003E180D" w:rsidRDefault="003E180D" w:rsidP="003E180D">
      <w:pPr>
        <w:spacing w:after="120" w:line="240" w:lineRule="auto"/>
        <w:jc w:val="both"/>
        <w:rPr>
          <w:noProof/>
        </w:rPr>
      </w:pPr>
      <w:r>
        <w:rPr>
          <w:noProof/>
        </w:rPr>
        <w:t>The DIONE Cost Curve Model was used for developing HDV CO2 reduction cost curves. They provide a continuous functional description of the costs associated with reaching given CO</w:t>
      </w:r>
      <w:r>
        <w:rPr>
          <w:noProof/>
          <w:vertAlign w:val="subscript"/>
        </w:rPr>
        <w:t>2</w:t>
      </w:r>
      <w:r>
        <w:rPr>
          <w:noProof/>
        </w:rPr>
        <w:t xml:space="preserve"> reductions for the different HDV classes and powertrains. </w:t>
      </w:r>
    </w:p>
    <w:p w:rsidR="003E180D" w:rsidRDefault="003E180D" w:rsidP="003E180D">
      <w:pPr>
        <w:spacing w:after="120" w:line="240" w:lineRule="auto"/>
        <w:jc w:val="both"/>
        <w:rPr>
          <w:noProof/>
        </w:rPr>
      </w:pPr>
      <w:r>
        <w:rPr>
          <w:noProof/>
        </w:rPr>
        <w:t>Cost curves were developed for 8 HDV sub-groups (VECTO groups 4, 5, 9 and 10, each with a long haul and regional delivery focused driving pattern, respectively), for diesel and liquid natural gas (LNG) powertrains, and for the years 2025 and 2030. The cost curve model needs input data on available technologies, their CO</w:t>
      </w:r>
      <w:r>
        <w:rPr>
          <w:noProof/>
          <w:vertAlign w:val="subscript"/>
        </w:rPr>
        <w:t>2</w:t>
      </w:r>
      <w:r>
        <w:rPr>
          <w:noProof/>
        </w:rPr>
        <w:t xml:space="preserve"> reduction potentials and costs, as well as their compatibility. This input data was provided by Commission consultants. </w:t>
      </w:r>
    </w:p>
    <w:p w:rsidR="003E180D" w:rsidRDefault="003E180D" w:rsidP="003E180D">
      <w:pPr>
        <w:spacing w:after="120" w:line="240" w:lineRule="auto"/>
        <w:jc w:val="both"/>
        <w:rPr>
          <w:noProof/>
        </w:rPr>
      </w:pPr>
      <w:r>
        <w:rPr>
          <w:noProof/>
        </w:rPr>
        <w:t>Two versions of cost curves were developed, one ‘base’ set of curves based on the best available information as collected by the consultants, and one ‘high’ set of curves which took on board information received from manufacturers after the presentation of the first set of curves.</w:t>
      </w:r>
    </w:p>
    <w:p w:rsidR="003E180D" w:rsidRDefault="003E180D" w:rsidP="003E180D">
      <w:pPr>
        <w:spacing w:after="120" w:line="240" w:lineRule="auto"/>
        <w:jc w:val="both"/>
        <w:rPr>
          <w:rFonts w:cs="Times New Roman"/>
          <w:noProof/>
          <w:szCs w:val="24"/>
        </w:rPr>
      </w:pPr>
      <w:r>
        <w:rPr>
          <w:noProof/>
        </w:rPr>
        <w:t>On the basis of the cost curves, the DIONE Cross-Optimization Module was run to determine the optimal (i.e. technology</w:t>
      </w:r>
      <w:r>
        <w:rPr>
          <w:rFonts w:cs="Times New Roman"/>
          <w:noProof/>
          <w:szCs w:val="24"/>
        </w:rPr>
        <w:t xml:space="preserve"> cost minimizing) CO</w:t>
      </w:r>
      <w:r>
        <w:rPr>
          <w:noProof/>
          <w:vertAlign w:val="subscript"/>
        </w:rPr>
        <w:t>2</w:t>
      </w:r>
      <w:r>
        <w:rPr>
          <w:noProof/>
        </w:rPr>
        <w:t xml:space="preserve"> reduction for each HDV group, powertrain and year, given the relevant CO</w:t>
      </w:r>
      <w:r>
        <w:rPr>
          <w:noProof/>
          <w:vertAlign w:val="subscript"/>
        </w:rPr>
        <w:t>2</w:t>
      </w:r>
      <w:r>
        <w:rPr>
          <w:noProof/>
        </w:rPr>
        <w:t xml:space="preserve"> targets and fleet compositions for different scenarios. The </w:t>
      </w:r>
      <w:r>
        <w:rPr>
          <w:rFonts w:cs="Times New Roman"/>
          <w:noProof/>
          <w:szCs w:val="24"/>
        </w:rPr>
        <w:t xml:space="preserve">fleet compositions were taken from the PRIMES-TREMOVE runs. </w:t>
      </w:r>
    </w:p>
    <w:p w:rsidR="003E180D" w:rsidRDefault="003E180D" w:rsidP="003E180D">
      <w:pPr>
        <w:spacing w:after="120" w:line="240" w:lineRule="auto"/>
        <w:jc w:val="both"/>
        <w:rPr>
          <w:noProof/>
        </w:rPr>
      </w:pPr>
      <w:r>
        <w:rPr>
          <w:rFonts w:cs="Times New Roman"/>
          <w:noProof/>
          <w:szCs w:val="24"/>
        </w:rPr>
        <w:t>As the standard cost curves have positive first and second derivatives, this is a mathematical problem that can be solved by a standard optimization algorithm. For the present analysis, a second cross-optimization option was implemented to identify the optimal distribution of CO</w:t>
      </w:r>
      <w:r>
        <w:rPr>
          <w:noProof/>
          <w:vertAlign w:val="subscript"/>
        </w:rPr>
        <w:t>2</w:t>
      </w:r>
      <w:r>
        <w:rPr>
          <w:noProof/>
        </w:rPr>
        <w:t xml:space="preserve"> reduction efforts from a societal perspective, i.e., with regard to minimizing additional manufacturing costs minus fuel savings gained through HDV efficiency improvement. </w:t>
      </w:r>
    </w:p>
    <w:p w:rsidR="003E180D" w:rsidRDefault="003E180D" w:rsidP="003E180D">
      <w:pPr>
        <w:spacing w:after="120" w:line="240" w:lineRule="auto"/>
        <w:jc w:val="both"/>
        <w:rPr>
          <w:noProof/>
        </w:rPr>
      </w:pPr>
      <w:r>
        <w:rPr>
          <w:noProof/>
        </w:rPr>
        <w:t>Moreover, while previously optimization was carried out over all classes within a fleet, a new mechanism was implemented to allow setting separate targets for each HDV sub-group</w:t>
      </w:r>
      <w:r>
        <w:rPr>
          <w:rFonts w:cs="Times New Roman"/>
          <w:noProof/>
          <w:szCs w:val="24"/>
        </w:rPr>
        <w:t>. Outputs from the Cross-Optimization Module are optimal CO</w:t>
      </w:r>
      <w:r>
        <w:rPr>
          <w:noProof/>
          <w:vertAlign w:val="subscript"/>
        </w:rPr>
        <w:t>2</w:t>
      </w:r>
      <w:r>
        <w:rPr>
          <w:noProof/>
        </w:rPr>
        <w:t xml:space="preserve"> reductions (x_opt) per HDV group and powertrain and the corresponding manufacturing costs (c_opt), which represent the capital costs shown in Chapter 6 of the Impact Assessment. </w:t>
      </w:r>
    </w:p>
    <w:p w:rsidR="003E180D" w:rsidRDefault="003E180D" w:rsidP="003E180D">
      <w:pPr>
        <w:spacing w:after="120" w:line="240" w:lineRule="auto"/>
        <w:jc w:val="both"/>
        <w:rPr>
          <w:noProof/>
        </w:rPr>
      </w:pPr>
      <w:r>
        <w:rPr>
          <w:noProof/>
        </w:rPr>
        <w:t>In the Fuel and Energy Cost Module, fuel costs per powertrain and HDV group are calculated taking into account the scenario specific vehicle energy consumption as well as vehicle mileages and fuel prices. Vehicle mileages per HDV group as well as mileage profiles over vehicle lifetime are based on data analysis provided by Commission consultants. Fuel prices are aligned with PRIMES-TREMOVE. They are discounted and weighted by vehicle class activity over vehicle age, such that they can be used as multipliers within the calculation.</w:t>
      </w:r>
    </w:p>
    <w:p w:rsidR="003E180D" w:rsidRDefault="003E180D" w:rsidP="003E180D">
      <w:pPr>
        <w:spacing w:after="120" w:line="240" w:lineRule="auto"/>
        <w:jc w:val="both"/>
        <w:rPr>
          <w:noProof/>
        </w:rPr>
      </w:pPr>
      <w:r>
        <w:rPr>
          <w:noProof/>
        </w:rPr>
        <w:t>In the DIONE TCO (total cost of ownership) Module, technology costs and fuel costs are aggregated, discounted and weighted where appropriate, to calculate total costs of ownership from the perspectives of first and second end-uses as well as society.</w:t>
      </w:r>
    </w:p>
    <w:p w:rsidR="003E180D" w:rsidRDefault="003E180D" w:rsidP="003E180D">
      <w:pPr>
        <w:pStyle w:val="Heading2"/>
        <w:numPr>
          <w:ilvl w:val="1"/>
          <w:numId w:val="22"/>
        </w:numPr>
        <w:spacing w:before="240" w:after="240"/>
        <w:rPr>
          <w:noProof/>
        </w:rPr>
      </w:pPr>
      <w:bookmarkStart w:id="244" w:name="_Toc507493384"/>
      <w:bookmarkStart w:id="245" w:name="_Toc507496410"/>
      <w:bookmarkStart w:id="246" w:name="_Toc507512108"/>
      <w:bookmarkStart w:id="247" w:name="_Toc507517572"/>
      <w:bookmarkStart w:id="248" w:name="_Toc508124777"/>
      <w:bookmarkStart w:id="249" w:name="_Toc508126142"/>
      <w:bookmarkStart w:id="250" w:name="_Toc508127514"/>
      <w:bookmarkStart w:id="251" w:name="_Toc508127868"/>
      <w:bookmarkStart w:id="252" w:name="_Toc508129640"/>
      <w:bookmarkStart w:id="253" w:name="_Toc508181031"/>
      <w:bookmarkStart w:id="254" w:name="_Toc508186624"/>
      <w:bookmarkStart w:id="255" w:name="_Toc510708105"/>
      <w:bookmarkStart w:id="256" w:name="_Toc514328801"/>
      <w:r>
        <w:rPr>
          <w:noProof/>
        </w:rPr>
        <w:t>Macro-economic model - EXIOMOD</w:t>
      </w:r>
      <w:bookmarkEnd w:id="244"/>
      <w:bookmarkEnd w:id="245"/>
      <w:bookmarkEnd w:id="246"/>
      <w:bookmarkEnd w:id="247"/>
      <w:bookmarkEnd w:id="248"/>
      <w:bookmarkEnd w:id="249"/>
      <w:bookmarkEnd w:id="250"/>
      <w:bookmarkEnd w:id="251"/>
      <w:bookmarkEnd w:id="252"/>
      <w:bookmarkEnd w:id="253"/>
      <w:bookmarkEnd w:id="254"/>
      <w:bookmarkEnd w:id="255"/>
      <w:bookmarkEnd w:id="256"/>
    </w:p>
    <w:p w:rsidR="003E180D" w:rsidRDefault="003E180D" w:rsidP="003E180D">
      <w:pPr>
        <w:pStyle w:val="Text2"/>
        <w:spacing w:after="120"/>
        <w:ind w:left="0"/>
        <w:rPr>
          <w:noProof/>
          <w:szCs w:val="24"/>
        </w:rPr>
      </w:pPr>
      <w:r>
        <w:rPr>
          <w:noProof/>
          <w:szCs w:val="24"/>
        </w:rPr>
        <w:t>The EXIOMOD model - EXtended Input-Output MODel - was developed by TNO. It is a large scale and highly detailed world model built on the detailed Input-output database EXIOBASE</w:t>
      </w:r>
      <w:r>
        <w:rPr>
          <w:rStyle w:val="FootnoteReference"/>
          <w:noProof/>
          <w:szCs w:val="24"/>
        </w:rPr>
        <w:footnoteReference w:id="8"/>
      </w:r>
      <w:r>
        <w:rPr>
          <w:noProof/>
          <w:szCs w:val="24"/>
        </w:rPr>
        <w:t xml:space="preserve"> for the purpose of measuring the environmental and economic impacts of policies</w:t>
      </w:r>
      <w:r>
        <w:rPr>
          <w:noProof/>
          <w:szCs w:val="24"/>
          <w:vertAlign w:val="superscript"/>
        </w:rPr>
        <w:footnoteReference w:id="9"/>
      </w:r>
      <w:r>
        <w:rPr>
          <w:noProof/>
          <w:szCs w:val="24"/>
        </w:rPr>
        <w:t>.</w:t>
      </w:r>
    </w:p>
    <w:p w:rsidR="003E180D" w:rsidRDefault="003E180D" w:rsidP="003E180D">
      <w:pPr>
        <w:pStyle w:val="Text2"/>
        <w:spacing w:after="120"/>
        <w:ind w:left="0"/>
        <w:rPr>
          <w:noProof/>
          <w:szCs w:val="24"/>
        </w:rPr>
      </w:pPr>
      <w:r>
        <w:rPr>
          <w:noProof/>
          <w:szCs w:val="24"/>
        </w:rPr>
        <w:t xml:space="preserve">EXIOMOD is a macro-economic ‘computable general equilibrium’ (CGE) model that divides the global economy in 44 countries and a Rest of World, 129 industry sectors per country, 200 products and various environmental indicators (see </w:t>
      </w:r>
      <w:r>
        <w:rPr>
          <w:noProof/>
          <w:szCs w:val="24"/>
        </w:rPr>
        <w:fldChar w:fldCharType="begin"/>
      </w:r>
      <w:r>
        <w:rPr>
          <w:noProof/>
          <w:szCs w:val="24"/>
        </w:rPr>
        <w:instrText xml:space="preserve"> REF _Ref507430624 \h  \* MERGEFORMAT </w:instrText>
      </w:r>
      <w:r>
        <w:rPr>
          <w:noProof/>
          <w:szCs w:val="24"/>
        </w:rPr>
      </w:r>
      <w:r>
        <w:rPr>
          <w:noProof/>
          <w:szCs w:val="24"/>
        </w:rPr>
        <w:fldChar w:fldCharType="separate"/>
      </w:r>
      <w:r>
        <w:rPr>
          <w:noProof/>
        </w:rPr>
        <w:t>Table 4</w:t>
      </w:r>
      <w:r>
        <w:rPr>
          <w:noProof/>
          <w:szCs w:val="24"/>
        </w:rPr>
        <w:fldChar w:fldCharType="end"/>
      </w:r>
      <w:r>
        <w:rPr>
          <w:noProof/>
          <w:szCs w:val="24"/>
        </w:rPr>
        <w:t>).</w:t>
      </w:r>
    </w:p>
    <w:p w:rsidR="003E180D" w:rsidRDefault="003E180D" w:rsidP="003E180D">
      <w:pPr>
        <w:pStyle w:val="Caption"/>
        <w:keepNext/>
        <w:jc w:val="both"/>
        <w:rPr>
          <w:noProof/>
        </w:rPr>
      </w:pPr>
      <w:bookmarkStart w:id="257" w:name="_Ref507430624"/>
      <w:bookmarkStart w:id="258" w:name="_Toc446432591"/>
      <w:r>
        <w:rPr>
          <w:noProof/>
        </w:rP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257"/>
      <w:r>
        <w:rPr>
          <w:noProof/>
        </w:rPr>
        <w:t>: Environmental indicators covered in the EXIOBASE v3 database</w:t>
      </w:r>
      <w:bookmarkEnd w:id="258"/>
    </w:p>
    <w:tbl>
      <w:tblPr>
        <w:tblStyle w:val="TableGrid"/>
        <w:tblW w:w="0" w:type="auto"/>
        <w:tblLook w:val="04A0" w:firstRow="1" w:lastRow="0" w:firstColumn="1" w:lastColumn="0" w:noHBand="0" w:noVBand="1"/>
      </w:tblPr>
      <w:tblGrid>
        <w:gridCol w:w="2093"/>
        <w:gridCol w:w="2977"/>
        <w:gridCol w:w="3763"/>
      </w:tblGrid>
      <w:tr w:rsidR="003E180D" w:rsidTr="0088305C">
        <w:trPr>
          <w:tblHeader/>
        </w:trPr>
        <w:tc>
          <w:tcPr>
            <w:tcW w:w="2093" w:type="dxa"/>
          </w:tcPr>
          <w:p w:rsidR="003E180D" w:rsidRDefault="003E180D" w:rsidP="0088305C">
            <w:pPr>
              <w:jc w:val="both"/>
              <w:rPr>
                <w:b/>
                <w:noProof/>
                <w:sz w:val="22"/>
              </w:rPr>
            </w:pPr>
            <w:r>
              <w:rPr>
                <w:b/>
                <w:noProof/>
              </w:rPr>
              <w:t>Indicator</w:t>
            </w:r>
          </w:p>
        </w:tc>
        <w:tc>
          <w:tcPr>
            <w:tcW w:w="2977" w:type="dxa"/>
          </w:tcPr>
          <w:p w:rsidR="003E180D" w:rsidRDefault="003E180D" w:rsidP="0088305C">
            <w:pPr>
              <w:jc w:val="both"/>
              <w:rPr>
                <w:b/>
                <w:noProof/>
                <w:sz w:val="22"/>
              </w:rPr>
            </w:pPr>
            <w:r>
              <w:rPr>
                <w:b/>
                <w:noProof/>
              </w:rPr>
              <w:t>Level of detail</w:t>
            </w:r>
          </w:p>
        </w:tc>
        <w:tc>
          <w:tcPr>
            <w:tcW w:w="3764" w:type="dxa"/>
          </w:tcPr>
          <w:p w:rsidR="003E180D" w:rsidRDefault="003E180D" w:rsidP="0088305C">
            <w:pPr>
              <w:jc w:val="both"/>
              <w:rPr>
                <w:b/>
                <w:noProof/>
                <w:sz w:val="22"/>
              </w:rPr>
            </w:pPr>
            <w:r>
              <w:rPr>
                <w:b/>
                <w:noProof/>
              </w:rPr>
              <w:t>Examples</w:t>
            </w:r>
          </w:p>
        </w:tc>
      </w:tr>
      <w:tr w:rsidR="003E180D" w:rsidTr="0088305C">
        <w:tc>
          <w:tcPr>
            <w:tcW w:w="2093" w:type="dxa"/>
          </w:tcPr>
          <w:p w:rsidR="003E180D" w:rsidRDefault="003E180D" w:rsidP="0088305C">
            <w:pPr>
              <w:jc w:val="both"/>
              <w:rPr>
                <w:noProof/>
                <w:sz w:val="22"/>
              </w:rPr>
            </w:pPr>
            <w:r>
              <w:rPr>
                <w:noProof/>
              </w:rPr>
              <w:t>Emissions in kg</w:t>
            </w:r>
          </w:p>
        </w:tc>
        <w:tc>
          <w:tcPr>
            <w:tcW w:w="2977" w:type="dxa"/>
          </w:tcPr>
          <w:p w:rsidR="003E180D" w:rsidRDefault="003E180D" w:rsidP="0088305C">
            <w:pPr>
              <w:rPr>
                <w:noProof/>
                <w:sz w:val="22"/>
              </w:rPr>
            </w:pPr>
            <w:r>
              <w:rPr>
                <w:noProof/>
              </w:rPr>
              <w:t>31 GHG and non GHG emissions</w:t>
            </w:r>
          </w:p>
        </w:tc>
        <w:tc>
          <w:tcPr>
            <w:tcW w:w="3764" w:type="dxa"/>
          </w:tcPr>
          <w:p w:rsidR="003E180D" w:rsidRDefault="003E180D" w:rsidP="003E180D">
            <w:pPr>
              <w:pStyle w:val="ListParagraph"/>
              <w:numPr>
                <w:ilvl w:val="0"/>
                <w:numId w:val="16"/>
              </w:numPr>
              <w:contextualSpacing w:val="0"/>
              <w:jc w:val="both"/>
              <w:rPr>
                <w:noProof/>
                <w:sz w:val="22"/>
              </w:rPr>
            </w:pPr>
            <w:r>
              <w:rPr>
                <w:noProof/>
              </w:rPr>
              <w:t>CO</w:t>
            </w:r>
            <w:r>
              <w:rPr>
                <w:noProof/>
                <w:sz w:val="22"/>
                <w:szCs w:val="24"/>
                <w:vertAlign w:val="subscript"/>
              </w:rPr>
              <w:t>2</w:t>
            </w:r>
          </w:p>
          <w:p w:rsidR="003E180D" w:rsidRDefault="003E180D" w:rsidP="003E180D">
            <w:pPr>
              <w:pStyle w:val="ListParagraph"/>
              <w:numPr>
                <w:ilvl w:val="0"/>
                <w:numId w:val="16"/>
              </w:numPr>
              <w:contextualSpacing w:val="0"/>
              <w:jc w:val="both"/>
              <w:rPr>
                <w:noProof/>
                <w:sz w:val="22"/>
              </w:rPr>
            </w:pPr>
            <w:r>
              <w:rPr>
                <w:noProof/>
              </w:rPr>
              <w:t>CH</w:t>
            </w:r>
            <w:r>
              <w:rPr>
                <w:noProof/>
                <w:sz w:val="22"/>
                <w:szCs w:val="24"/>
                <w:vertAlign w:val="subscript"/>
              </w:rPr>
              <w:t>4</w:t>
            </w:r>
          </w:p>
          <w:p w:rsidR="003E180D" w:rsidRDefault="003E180D" w:rsidP="003E180D">
            <w:pPr>
              <w:pStyle w:val="ListParagraph"/>
              <w:numPr>
                <w:ilvl w:val="0"/>
                <w:numId w:val="16"/>
              </w:numPr>
              <w:contextualSpacing w:val="0"/>
              <w:jc w:val="both"/>
              <w:rPr>
                <w:noProof/>
                <w:sz w:val="22"/>
              </w:rPr>
            </w:pPr>
            <w:r>
              <w:rPr>
                <w:noProof/>
              </w:rPr>
              <w:t>NH</w:t>
            </w:r>
            <w:r>
              <w:rPr>
                <w:noProof/>
                <w:sz w:val="22"/>
                <w:szCs w:val="24"/>
                <w:vertAlign w:val="subscript"/>
              </w:rPr>
              <w:t>3</w:t>
            </w:r>
          </w:p>
        </w:tc>
      </w:tr>
      <w:tr w:rsidR="003E180D" w:rsidTr="0088305C">
        <w:tc>
          <w:tcPr>
            <w:tcW w:w="2093" w:type="dxa"/>
          </w:tcPr>
          <w:p w:rsidR="003E180D" w:rsidRDefault="003E180D" w:rsidP="0088305C">
            <w:pPr>
              <w:jc w:val="both"/>
              <w:rPr>
                <w:noProof/>
                <w:sz w:val="22"/>
              </w:rPr>
            </w:pPr>
            <w:r>
              <w:rPr>
                <w:noProof/>
              </w:rPr>
              <w:t>Land use in ha</w:t>
            </w:r>
          </w:p>
        </w:tc>
        <w:tc>
          <w:tcPr>
            <w:tcW w:w="2977" w:type="dxa"/>
          </w:tcPr>
          <w:p w:rsidR="003E180D" w:rsidRDefault="003E180D" w:rsidP="0088305C">
            <w:pPr>
              <w:rPr>
                <w:noProof/>
                <w:sz w:val="22"/>
              </w:rPr>
            </w:pPr>
            <w:r>
              <w:rPr>
                <w:noProof/>
              </w:rPr>
              <w:t>12 types of agricultural land use</w:t>
            </w:r>
          </w:p>
        </w:tc>
        <w:tc>
          <w:tcPr>
            <w:tcW w:w="3764" w:type="dxa"/>
          </w:tcPr>
          <w:p w:rsidR="003E180D" w:rsidRDefault="003E180D" w:rsidP="003E180D">
            <w:pPr>
              <w:pStyle w:val="ListParagraph"/>
              <w:numPr>
                <w:ilvl w:val="0"/>
                <w:numId w:val="15"/>
              </w:numPr>
              <w:contextualSpacing w:val="0"/>
              <w:jc w:val="both"/>
              <w:rPr>
                <w:noProof/>
                <w:sz w:val="22"/>
              </w:rPr>
            </w:pPr>
            <w:r>
              <w:rPr>
                <w:noProof/>
              </w:rPr>
              <w:t>Arable land used for rice</w:t>
            </w:r>
          </w:p>
          <w:p w:rsidR="003E180D" w:rsidRDefault="003E180D" w:rsidP="003E180D">
            <w:pPr>
              <w:pStyle w:val="ListParagraph"/>
              <w:numPr>
                <w:ilvl w:val="0"/>
                <w:numId w:val="15"/>
              </w:numPr>
              <w:contextualSpacing w:val="0"/>
              <w:jc w:val="both"/>
              <w:rPr>
                <w:noProof/>
                <w:sz w:val="22"/>
              </w:rPr>
            </w:pPr>
            <w:r>
              <w:rPr>
                <w:noProof/>
              </w:rPr>
              <w:t>Arable land used for wheat</w:t>
            </w:r>
          </w:p>
          <w:p w:rsidR="003E180D" w:rsidRDefault="003E180D" w:rsidP="003E180D">
            <w:pPr>
              <w:pStyle w:val="ListParagraph"/>
              <w:numPr>
                <w:ilvl w:val="0"/>
                <w:numId w:val="15"/>
              </w:numPr>
              <w:contextualSpacing w:val="0"/>
              <w:jc w:val="both"/>
              <w:rPr>
                <w:noProof/>
                <w:sz w:val="22"/>
              </w:rPr>
            </w:pPr>
            <w:r>
              <w:rPr>
                <w:noProof/>
              </w:rPr>
              <w:t>Arable land used for sugar crops</w:t>
            </w:r>
          </w:p>
        </w:tc>
      </w:tr>
      <w:tr w:rsidR="003E180D" w:rsidTr="0088305C">
        <w:tc>
          <w:tcPr>
            <w:tcW w:w="2093" w:type="dxa"/>
            <w:vMerge w:val="restart"/>
          </w:tcPr>
          <w:p w:rsidR="003E180D" w:rsidRDefault="003E180D" w:rsidP="0088305C">
            <w:pPr>
              <w:jc w:val="both"/>
              <w:rPr>
                <w:noProof/>
                <w:sz w:val="22"/>
              </w:rPr>
            </w:pPr>
            <w:r>
              <w:rPr>
                <w:noProof/>
              </w:rPr>
              <w:t>Resource use in kg</w:t>
            </w:r>
          </w:p>
        </w:tc>
        <w:tc>
          <w:tcPr>
            <w:tcW w:w="2977" w:type="dxa"/>
          </w:tcPr>
          <w:p w:rsidR="003E180D" w:rsidRDefault="003E180D" w:rsidP="0088305C">
            <w:pPr>
              <w:rPr>
                <w:noProof/>
                <w:sz w:val="22"/>
              </w:rPr>
            </w:pPr>
            <w:r>
              <w:rPr>
                <w:noProof/>
              </w:rPr>
              <w:t>165 types of crops</w:t>
            </w:r>
          </w:p>
        </w:tc>
        <w:tc>
          <w:tcPr>
            <w:tcW w:w="3764" w:type="dxa"/>
          </w:tcPr>
          <w:p w:rsidR="003E180D" w:rsidRDefault="003E180D" w:rsidP="003E180D">
            <w:pPr>
              <w:pStyle w:val="ListParagraph"/>
              <w:numPr>
                <w:ilvl w:val="0"/>
                <w:numId w:val="17"/>
              </w:numPr>
              <w:contextualSpacing w:val="0"/>
              <w:jc w:val="both"/>
              <w:rPr>
                <w:noProof/>
                <w:sz w:val="22"/>
              </w:rPr>
            </w:pPr>
            <w:r>
              <w:rPr>
                <w:noProof/>
              </w:rPr>
              <w:t>Soybeans</w:t>
            </w:r>
          </w:p>
          <w:p w:rsidR="003E180D" w:rsidRDefault="003E180D" w:rsidP="003E180D">
            <w:pPr>
              <w:pStyle w:val="ListParagraph"/>
              <w:numPr>
                <w:ilvl w:val="0"/>
                <w:numId w:val="17"/>
              </w:numPr>
              <w:contextualSpacing w:val="0"/>
              <w:jc w:val="both"/>
              <w:rPr>
                <w:noProof/>
                <w:sz w:val="22"/>
              </w:rPr>
            </w:pPr>
            <w:r>
              <w:rPr>
                <w:noProof/>
              </w:rPr>
              <w:t>Almonds</w:t>
            </w:r>
          </w:p>
          <w:p w:rsidR="003E180D" w:rsidRDefault="003E180D" w:rsidP="003E180D">
            <w:pPr>
              <w:pStyle w:val="ListParagraph"/>
              <w:numPr>
                <w:ilvl w:val="0"/>
                <w:numId w:val="17"/>
              </w:numPr>
              <w:contextualSpacing w:val="0"/>
              <w:jc w:val="both"/>
              <w:rPr>
                <w:noProof/>
                <w:sz w:val="22"/>
              </w:rPr>
            </w:pPr>
            <w:r>
              <w:rPr>
                <w:noProof/>
              </w:rPr>
              <w:t>Cocoa beans</w:t>
            </w:r>
          </w:p>
        </w:tc>
      </w:tr>
      <w:tr w:rsidR="003E180D" w:rsidTr="0088305C">
        <w:tc>
          <w:tcPr>
            <w:tcW w:w="2093" w:type="dxa"/>
            <w:vMerge/>
          </w:tcPr>
          <w:p w:rsidR="003E180D" w:rsidRDefault="003E180D" w:rsidP="0088305C">
            <w:pPr>
              <w:jc w:val="both"/>
              <w:rPr>
                <w:noProof/>
                <w:sz w:val="22"/>
              </w:rPr>
            </w:pPr>
          </w:p>
        </w:tc>
        <w:tc>
          <w:tcPr>
            <w:tcW w:w="2977" w:type="dxa"/>
          </w:tcPr>
          <w:p w:rsidR="003E180D" w:rsidRDefault="003E180D" w:rsidP="0088305C">
            <w:pPr>
              <w:rPr>
                <w:noProof/>
                <w:sz w:val="22"/>
              </w:rPr>
            </w:pPr>
            <w:r>
              <w:rPr>
                <w:noProof/>
              </w:rPr>
              <w:t>8 types of non-metallic minerals</w:t>
            </w:r>
          </w:p>
        </w:tc>
        <w:tc>
          <w:tcPr>
            <w:tcW w:w="3764" w:type="dxa"/>
          </w:tcPr>
          <w:p w:rsidR="003E180D" w:rsidRDefault="003E180D" w:rsidP="003E180D">
            <w:pPr>
              <w:pStyle w:val="ListParagraph"/>
              <w:numPr>
                <w:ilvl w:val="0"/>
                <w:numId w:val="18"/>
              </w:numPr>
              <w:contextualSpacing w:val="0"/>
              <w:jc w:val="both"/>
              <w:rPr>
                <w:noProof/>
                <w:sz w:val="22"/>
              </w:rPr>
            </w:pPr>
            <w:r>
              <w:rPr>
                <w:noProof/>
              </w:rPr>
              <w:t>Slate</w:t>
            </w:r>
          </w:p>
          <w:p w:rsidR="003E180D" w:rsidRDefault="003E180D" w:rsidP="003E180D">
            <w:pPr>
              <w:pStyle w:val="ListParagraph"/>
              <w:numPr>
                <w:ilvl w:val="0"/>
                <w:numId w:val="18"/>
              </w:numPr>
              <w:contextualSpacing w:val="0"/>
              <w:jc w:val="both"/>
              <w:rPr>
                <w:noProof/>
                <w:sz w:val="22"/>
              </w:rPr>
            </w:pPr>
            <w:r>
              <w:rPr>
                <w:noProof/>
              </w:rPr>
              <w:t>Gravel and sand</w:t>
            </w:r>
          </w:p>
          <w:p w:rsidR="003E180D" w:rsidRDefault="003E180D" w:rsidP="003E180D">
            <w:pPr>
              <w:pStyle w:val="ListParagraph"/>
              <w:numPr>
                <w:ilvl w:val="0"/>
                <w:numId w:val="18"/>
              </w:numPr>
              <w:contextualSpacing w:val="0"/>
              <w:jc w:val="both"/>
              <w:rPr>
                <w:noProof/>
                <w:sz w:val="22"/>
              </w:rPr>
            </w:pPr>
            <w:r>
              <w:rPr>
                <w:noProof/>
              </w:rPr>
              <w:t>Salt</w:t>
            </w:r>
          </w:p>
        </w:tc>
      </w:tr>
      <w:tr w:rsidR="003E180D" w:rsidTr="0088305C">
        <w:tc>
          <w:tcPr>
            <w:tcW w:w="2093" w:type="dxa"/>
            <w:vMerge/>
          </w:tcPr>
          <w:p w:rsidR="003E180D" w:rsidRDefault="003E180D" w:rsidP="0088305C">
            <w:pPr>
              <w:jc w:val="both"/>
              <w:rPr>
                <w:noProof/>
                <w:sz w:val="22"/>
              </w:rPr>
            </w:pPr>
          </w:p>
        </w:tc>
        <w:tc>
          <w:tcPr>
            <w:tcW w:w="2977" w:type="dxa"/>
          </w:tcPr>
          <w:p w:rsidR="003E180D" w:rsidRDefault="003E180D" w:rsidP="0088305C">
            <w:pPr>
              <w:rPr>
                <w:noProof/>
                <w:sz w:val="22"/>
              </w:rPr>
            </w:pPr>
            <w:r>
              <w:rPr>
                <w:noProof/>
              </w:rPr>
              <w:t>9 types of fossil fuels</w:t>
            </w:r>
          </w:p>
        </w:tc>
        <w:tc>
          <w:tcPr>
            <w:tcW w:w="3764" w:type="dxa"/>
          </w:tcPr>
          <w:p w:rsidR="003E180D" w:rsidRDefault="003E180D" w:rsidP="003E180D">
            <w:pPr>
              <w:pStyle w:val="ListParagraph"/>
              <w:numPr>
                <w:ilvl w:val="0"/>
                <w:numId w:val="18"/>
              </w:numPr>
              <w:contextualSpacing w:val="0"/>
              <w:jc w:val="both"/>
              <w:rPr>
                <w:noProof/>
                <w:sz w:val="22"/>
              </w:rPr>
            </w:pPr>
            <w:r>
              <w:rPr>
                <w:noProof/>
              </w:rPr>
              <w:t>Anthracite</w:t>
            </w:r>
          </w:p>
          <w:p w:rsidR="003E180D" w:rsidRDefault="003E180D" w:rsidP="003E180D">
            <w:pPr>
              <w:pStyle w:val="ListParagraph"/>
              <w:numPr>
                <w:ilvl w:val="0"/>
                <w:numId w:val="18"/>
              </w:numPr>
              <w:contextualSpacing w:val="0"/>
              <w:jc w:val="both"/>
              <w:rPr>
                <w:noProof/>
                <w:sz w:val="22"/>
              </w:rPr>
            </w:pPr>
            <w:r>
              <w:rPr>
                <w:noProof/>
              </w:rPr>
              <w:t>Peat</w:t>
            </w:r>
          </w:p>
          <w:p w:rsidR="003E180D" w:rsidRDefault="003E180D" w:rsidP="003E180D">
            <w:pPr>
              <w:pStyle w:val="ListParagraph"/>
              <w:numPr>
                <w:ilvl w:val="0"/>
                <w:numId w:val="18"/>
              </w:numPr>
              <w:contextualSpacing w:val="0"/>
              <w:jc w:val="both"/>
              <w:rPr>
                <w:noProof/>
                <w:sz w:val="22"/>
              </w:rPr>
            </w:pPr>
            <w:r>
              <w:rPr>
                <w:noProof/>
              </w:rPr>
              <w:t>Crude oil</w:t>
            </w:r>
          </w:p>
        </w:tc>
      </w:tr>
      <w:tr w:rsidR="003E180D" w:rsidTr="0088305C">
        <w:tc>
          <w:tcPr>
            <w:tcW w:w="2093" w:type="dxa"/>
            <w:vMerge/>
          </w:tcPr>
          <w:p w:rsidR="003E180D" w:rsidRDefault="003E180D" w:rsidP="0088305C">
            <w:pPr>
              <w:jc w:val="both"/>
              <w:rPr>
                <w:noProof/>
                <w:sz w:val="22"/>
              </w:rPr>
            </w:pPr>
          </w:p>
        </w:tc>
        <w:tc>
          <w:tcPr>
            <w:tcW w:w="2977" w:type="dxa"/>
          </w:tcPr>
          <w:p w:rsidR="003E180D" w:rsidRDefault="003E180D" w:rsidP="0088305C">
            <w:pPr>
              <w:rPr>
                <w:noProof/>
                <w:sz w:val="22"/>
              </w:rPr>
            </w:pPr>
            <w:r>
              <w:rPr>
                <w:noProof/>
              </w:rPr>
              <w:t>10 types of metals</w:t>
            </w:r>
          </w:p>
        </w:tc>
        <w:tc>
          <w:tcPr>
            <w:tcW w:w="3764" w:type="dxa"/>
          </w:tcPr>
          <w:p w:rsidR="003E180D" w:rsidRDefault="003E180D" w:rsidP="003E180D">
            <w:pPr>
              <w:pStyle w:val="ListParagraph"/>
              <w:numPr>
                <w:ilvl w:val="0"/>
                <w:numId w:val="18"/>
              </w:numPr>
              <w:contextualSpacing w:val="0"/>
              <w:jc w:val="both"/>
              <w:rPr>
                <w:noProof/>
                <w:sz w:val="22"/>
              </w:rPr>
            </w:pPr>
            <w:r>
              <w:rPr>
                <w:noProof/>
              </w:rPr>
              <w:t>Iron</w:t>
            </w:r>
          </w:p>
          <w:p w:rsidR="003E180D" w:rsidRDefault="003E180D" w:rsidP="003E180D">
            <w:pPr>
              <w:pStyle w:val="ListParagraph"/>
              <w:numPr>
                <w:ilvl w:val="0"/>
                <w:numId w:val="18"/>
              </w:numPr>
              <w:contextualSpacing w:val="0"/>
              <w:jc w:val="both"/>
              <w:rPr>
                <w:noProof/>
                <w:sz w:val="22"/>
              </w:rPr>
            </w:pPr>
            <w:r>
              <w:rPr>
                <w:noProof/>
              </w:rPr>
              <w:t>Copper</w:t>
            </w:r>
          </w:p>
          <w:p w:rsidR="003E180D" w:rsidRDefault="003E180D" w:rsidP="003E180D">
            <w:pPr>
              <w:pStyle w:val="ListParagraph"/>
              <w:numPr>
                <w:ilvl w:val="0"/>
                <w:numId w:val="18"/>
              </w:numPr>
              <w:contextualSpacing w:val="0"/>
              <w:jc w:val="both"/>
              <w:rPr>
                <w:noProof/>
                <w:sz w:val="22"/>
              </w:rPr>
            </w:pPr>
            <w:r>
              <w:rPr>
                <w:noProof/>
              </w:rPr>
              <w:t>Lead</w:t>
            </w:r>
          </w:p>
        </w:tc>
      </w:tr>
      <w:tr w:rsidR="003E180D" w:rsidTr="0088305C">
        <w:tc>
          <w:tcPr>
            <w:tcW w:w="2093" w:type="dxa"/>
          </w:tcPr>
          <w:p w:rsidR="003E180D" w:rsidRDefault="003E180D" w:rsidP="0088305C">
            <w:pPr>
              <w:jc w:val="both"/>
              <w:rPr>
                <w:noProof/>
                <w:sz w:val="22"/>
              </w:rPr>
            </w:pPr>
            <w:r>
              <w:rPr>
                <w:noProof/>
              </w:rPr>
              <w:t>Water use in Mm</w:t>
            </w:r>
            <w:r>
              <w:rPr>
                <w:noProof/>
                <w:sz w:val="22"/>
                <w:szCs w:val="22"/>
                <w:vertAlign w:val="superscript"/>
              </w:rPr>
              <w:t>3</w:t>
            </w:r>
          </w:p>
        </w:tc>
        <w:tc>
          <w:tcPr>
            <w:tcW w:w="2977" w:type="dxa"/>
          </w:tcPr>
          <w:p w:rsidR="003E180D" w:rsidRDefault="003E180D" w:rsidP="003E180D">
            <w:pPr>
              <w:pStyle w:val="ListParagraph"/>
              <w:numPr>
                <w:ilvl w:val="0"/>
                <w:numId w:val="18"/>
              </w:numPr>
              <w:contextualSpacing w:val="0"/>
              <w:jc w:val="both"/>
              <w:rPr>
                <w:noProof/>
                <w:sz w:val="22"/>
              </w:rPr>
            </w:pPr>
            <w:r>
              <w:rPr>
                <w:noProof/>
              </w:rPr>
              <w:t>Consumption green</w:t>
            </w:r>
          </w:p>
          <w:p w:rsidR="003E180D" w:rsidRDefault="003E180D" w:rsidP="003E180D">
            <w:pPr>
              <w:pStyle w:val="ListParagraph"/>
              <w:numPr>
                <w:ilvl w:val="0"/>
                <w:numId w:val="18"/>
              </w:numPr>
              <w:contextualSpacing w:val="0"/>
              <w:jc w:val="both"/>
              <w:rPr>
                <w:noProof/>
                <w:sz w:val="22"/>
              </w:rPr>
            </w:pPr>
            <w:r>
              <w:rPr>
                <w:noProof/>
              </w:rPr>
              <w:t>Consumption blue</w:t>
            </w:r>
          </w:p>
          <w:p w:rsidR="003E180D" w:rsidRDefault="003E180D" w:rsidP="003E180D">
            <w:pPr>
              <w:pStyle w:val="ListParagraph"/>
              <w:numPr>
                <w:ilvl w:val="0"/>
                <w:numId w:val="18"/>
              </w:numPr>
              <w:contextualSpacing w:val="0"/>
              <w:jc w:val="both"/>
              <w:rPr>
                <w:noProof/>
                <w:sz w:val="22"/>
              </w:rPr>
            </w:pPr>
            <w:r>
              <w:rPr>
                <w:noProof/>
              </w:rPr>
              <w:t>Withdrawal blue</w:t>
            </w:r>
          </w:p>
        </w:tc>
        <w:tc>
          <w:tcPr>
            <w:tcW w:w="3764" w:type="dxa"/>
          </w:tcPr>
          <w:p w:rsidR="003E180D" w:rsidRDefault="003E180D" w:rsidP="0088305C">
            <w:pPr>
              <w:jc w:val="both"/>
              <w:rPr>
                <w:noProof/>
                <w:sz w:val="22"/>
              </w:rPr>
            </w:pPr>
          </w:p>
        </w:tc>
      </w:tr>
    </w:tbl>
    <w:p w:rsidR="003E180D" w:rsidRDefault="003E180D" w:rsidP="003E180D">
      <w:pPr>
        <w:pStyle w:val="Text2"/>
        <w:spacing w:after="120"/>
        <w:ind w:left="0"/>
        <w:rPr>
          <w:noProof/>
          <w:szCs w:val="24"/>
        </w:rPr>
      </w:pPr>
    </w:p>
    <w:p w:rsidR="003E180D" w:rsidRDefault="003E180D" w:rsidP="003E180D">
      <w:pPr>
        <w:pStyle w:val="Text2"/>
        <w:spacing w:after="120"/>
        <w:ind w:left="0"/>
        <w:rPr>
          <w:noProof/>
          <w:szCs w:val="24"/>
        </w:rPr>
      </w:pPr>
      <w:r>
        <w:rPr>
          <w:noProof/>
          <w:szCs w:val="24"/>
        </w:rPr>
        <w:t>The model is presently calibrated on the data for year 2011. The model is dynamic and uses the period 2050 as the time horizon for its calculations</w:t>
      </w:r>
      <w:r>
        <w:rPr>
          <w:rFonts w:eastAsia="Calibri"/>
          <w:noProof/>
          <w:color w:val="000000" w:themeColor="text1"/>
          <w:szCs w:val="24"/>
        </w:rPr>
        <w:t xml:space="preserve"> </w:t>
      </w:r>
      <w:r>
        <w:rPr>
          <w:noProof/>
          <w:szCs w:val="24"/>
        </w:rPr>
        <w:t>with one year increment time steps.</w:t>
      </w:r>
    </w:p>
    <w:p w:rsidR="003E180D" w:rsidRDefault="003E180D" w:rsidP="003E180D">
      <w:pPr>
        <w:pStyle w:val="Text2"/>
        <w:spacing w:after="120"/>
        <w:ind w:left="0"/>
        <w:rPr>
          <w:noProof/>
          <w:szCs w:val="24"/>
        </w:rPr>
      </w:pPr>
      <w:r>
        <w:rPr>
          <w:noProof/>
          <w:szCs w:val="24"/>
        </w:rPr>
        <w:t xml:space="preserve">Computable General Equilibrium (CGE) models (and in particular EXIOMOD) are the class of simulation tools that use large datasets of real economic data in combination with complex computational algorithms in order to assess how the economy reacts to changes in governmental policy, technology, availability of resources and other external macro-economic factors. </w:t>
      </w:r>
    </w:p>
    <w:p w:rsidR="003E180D" w:rsidRDefault="003E180D" w:rsidP="003E180D">
      <w:pPr>
        <w:pStyle w:val="Text2"/>
        <w:spacing w:after="120"/>
        <w:ind w:left="0"/>
        <w:rPr>
          <w:noProof/>
          <w:szCs w:val="24"/>
        </w:rPr>
      </w:pPr>
      <w:r>
        <w:rPr>
          <w:noProof/>
          <w:szCs w:val="24"/>
        </w:rPr>
        <w:t>EXIOMOD model consists of (1) the system of non-linear equations, which describes the behaviour of various economic actors and (2) very detailed database of economic, trade, environmental and physical data. The core part of the model database is the Social Accounting Matrix, which represents in a consistent way all annual economic transactions.</w:t>
      </w:r>
    </w:p>
    <w:p w:rsidR="003E180D" w:rsidRDefault="003E180D" w:rsidP="003E180D">
      <w:pPr>
        <w:pStyle w:val="Text2"/>
        <w:spacing w:after="120"/>
        <w:ind w:left="0"/>
        <w:rPr>
          <w:noProof/>
          <w:szCs w:val="24"/>
        </w:rPr>
      </w:pPr>
      <w:r>
        <w:rPr>
          <w:noProof/>
          <w:szCs w:val="24"/>
        </w:rPr>
        <w:t>A CGE model accounts for the interaction/feedbacks (a) between price and demand/supply quantities and (b) between economic agents at the macro and sectorial level. Therefore, it gives the economic relations between all industry sectors via their intermediate use.</w:t>
      </w:r>
    </w:p>
    <w:p w:rsidR="003E180D" w:rsidRDefault="003E180D" w:rsidP="003E180D">
      <w:pPr>
        <w:pStyle w:val="Text2"/>
        <w:spacing w:after="120"/>
        <w:ind w:left="0"/>
        <w:rPr>
          <w:noProof/>
          <w:szCs w:val="24"/>
        </w:rPr>
      </w:pPr>
      <w:r>
        <w:rPr>
          <w:noProof/>
          <w:szCs w:val="24"/>
        </w:rPr>
        <w:t>For the purposes of the present Impact Assessment EXIOMOD is used to quantify the macro-economic impacts of different CO</w:t>
      </w:r>
      <w:r>
        <w:rPr>
          <w:noProof/>
          <w:szCs w:val="24"/>
          <w:vertAlign w:val="subscript"/>
        </w:rPr>
        <w:t>2</w:t>
      </w:r>
      <w:r>
        <w:rPr>
          <w:noProof/>
          <w:szCs w:val="24"/>
        </w:rPr>
        <w:t xml:space="preserve"> targets for HDVs on the wider economy, i.e. GDP, sectoral turnover, employment, net-export. The modelled scenarios use input from PRIMES-TREMOVE, in particular fuel consumption from HDV’s, annuity payments for capital costs for road transport vehicles, new registration for total road transport and new registrations of road transport vehicles. These input parameters are used to fix corresponding variables in EXIOMOD, and quantify the impact of the modelled scenarios on other sectors of the economy. </w:t>
      </w:r>
    </w:p>
    <w:p w:rsidR="003E180D" w:rsidRDefault="003E180D" w:rsidP="003E180D">
      <w:pPr>
        <w:pStyle w:val="Heading2"/>
        <w:numPr>
          <w:ilvl w:val="1"/>
          <w:numId w:val="22"/>
        </w:numPr>
        <w:spacing w:before="240" w:after="240"/>
        <w:rPr>
          <w:noProof/>
        </w:rPr>
      </w:pPr>
      <w:bookmarkStart w:id="259" w:name="_Toc482873180"/>
      <w:bookmarkStart w:id="260" w:name="_Toc482882278"/>
      <w:bookmarkStart w:id="261" w:name="_Toc496688625"/>
      <w:bookmarkStart w:id="262" w:name="_Toc507493385"/>
      <w:bookmarkStart w:id="263" w:name="_Toc507496411"/>
      <w:bookmarkStart w:id="264" w:name="_Toc507512110"/>
      <w:bookmarkStart w:id="265" w:name="_Toc507517574"/>
      <w:bookmarkStart w:id="266" w:name="_Toc508124778"/>
      <w:bookmarkStart w:id="267" w:name="_Toc508126143"/>
      <w:bookmarkStart w:id="268" w:name="_Toc508127515"/>
      <w:bookmarkStart w:id="269" w:name="_Toc508127869"/>
      <w:bookmarkStart w:id="270" w:name="_Toc508129641"/>
      <w:bookmarkStart w:id="271" w:name="_Toc508181032"/>
      <w:bookmarkStart w:id="272" w:name="_Toc508186625"/>
      <w:bookmarkStart w:id="273" w:name="_Toc510708106"/>
      <w:bookmarkStart w:id="274" w:name="_Toc514328802"/>
      <w:r>
        <w:rPr>
          <w:noProof/>
        </w:rPr>
        <w:t>Baseline and policy scenario</w:t>
      </w:r>
      <w:bookmarkEnd w:id="259"/>
      <w:bookmarkEnd w:id="260"/>
      <w:bookmarkEnd w:id="261"/>
      <w:r>
        <w:rPr>
          <w:noProof/>
        </w:rPr>
        <w:t>s</w:t>
      </w:r>
      <w:bookmarkEnd w:id="262"/>
      <w:bookmarkEnd w:id="263"/>
      <w:bookmarkEnd w:id="264"/>
      <w:bookmarkEnd w:id="265"/>
      <w:bookmarkEnd w:id="266"/>
      <w:bookmarkEnd w:id="267"/>
      <w:bookmarkEnd w:id="268"/>
      <w:bookmarkEnd w:id="269"/>
      <w:bookmarkEnd w:id="270"/>
      <w:bookmarkEnd w:id="271"/>
      <w:bookmarkEnd w:id="272"/>
      <w:bookmarkEnd w:id="273"/>
      <w:bookmarkEnd w:id="274"/>
      <w:r>
        <w:rPr>
          <w:noProof/>
        </w:rPr>
        <w:t xml:space="preserve"> </w:t>
      </w:r>
    </w:p>
    <w:p w:rsidR="003E180D" w:rsidRDefault="003E180D" w:rsidP="003E180D">
      <w:pPr>
        <w:spacing w:after="120" w:line="240" w:lineRule="auto"/>
        <w:jc w:val="both"/>
        <w:rPr>
          <w:rFonts w:cs="Times New Roman"/>
          <w:noProof/>
          <w:szCs w:val="24"/>
        </w:rPr>
      </w:pPr>
      <w:r>
        <w:rPr>
          <w:rFonts w:cs="Times New Roman"/>
          <w:noProof/>
          <w:szCs w:val="24"/>
        </w:rPr>
        <w:t>The Baseline and policy scenarios used in this impact assessment build for most of their parts on the EU Reference scenario 2016, as it was established at the end of 2014, but additionally include a few more recently adopted policy measures and some updates in the technology costs assumptions.</w:t>
      </w:r>
    </w:p>
    <w:p w:rsidR="003E180D" w:rsidRDefault="003E180D" w:rsidP="003E180D">
      <w:pPr>
        <w:spacing w:after="120" w:line="240" w:lineRule="auto"/>
        <w:jc w:val="both"/>
        <w:rPr>
          <w:rFonts w:cs="Times New Roman"/>
          <w:noProof/>
          <w:szCs w:val="24"/>
        </w:rPr>
      </w:pPr>
      <w:r>
        <w:rPr>
          <w:rFonts w:cs="Times New Roman"/>
          <w:noProof/>
          <w:szCs w:val="24"/>
        </w:rPr>
        <w:t xml:space="preserve">Building an EU Reference scenario is a regular exercise by the Commission. It is coordinated by DGs ENER, CLIMA and MOVE in association with the JRC, and the involvement of other services via a specific inter-service group. </w:t>
      </w:r>
    </w:p>
    <w:p w:rsidR="003E180D" w:rsidRDefault="003E180D" w:rsidP="003E180D">
      <w:pPr>
        <w:spacing w:after="120" w:line="240" w:lineRule="auto"/>
        <w:jc w:val="both"/>
        <w:rPr>
          <w:rFonts w:cs="Times New Roman"/>
          <w:noProof/>
          <w:szCs w:val="24"/>
        </w:rPr>
      </w:pPr>
      <w:r>
        <w:rPr>
          <w:rFonts w:eastAsia="Calibri" w:cs="Times New Roman"/>
          <w:noProof/>
          <w:szCs w:val="24"/>
          <w:lang w:eastAsia="en-GB"/>
        </w:rPr>
        <w:t xml:space="preserve">For the EU Reference scenario 2016, </w:t>
      </w:r>
      <w:r>
        <w:rPr>
          <w:rFonts w:cs="Times New Roman"/>
          <w:noProof/>
          <w:szCs w:val="24"/>
        </w:rPr>
        <w:t>Member States were consulted throughout the development process through a specific Reference scenario expert group which met three times during its development. Member States provided information about adopted national policies via a specific questionnaire, key assumptions have been discussed and in each modelling step, draft Member State specific results were sent for consultation. Comments of Member States were addressed to the extent possible, keeping in mind the need for overall comparability and consistency of the results.</w:t>
      </w:r>
    </w:p>
    <w:p w:rsidR="003E180D" w:rsidRDefault="003E180D" w:rsidP="003E180D">
      <w:pPr>
        <w:keepNext/>
        <w:spacing w:after="120" w:line="240" w:lineRule="auto"/>
        <w:jc w:val="both"/>
        <w:rPr>
          <w:rFonts w:cs="Times New Roman"/>
          <w:b/>
          <w:noProof/>
          <w:szCs w:val="24"/>
        </w:rPr>
      </w:pPr>
      <w:r>
        <w:rPr>
          <w:rFonts w:cs="Times New Roman"/>
          <w:noProof/>
          <w:szCs w:val="24"/>
        </w:rPr>
        <w:t>Quality of modelling results was assured by using state of the art modelling tools, detailed checks of assumptions and results by the coordinating Commission services as well as by the country specific comments by Member States.</w:t>
      </w:r>
    </w:p>
    <w:p w:rsidR="003E180D" w:rsidRDefault="003E180D" w:rsidP="003E180D">
      <w:pPr>
        <w:spacing w:after="120" w:line="240" w:lineRule="auto"/>
        <w:jc w:val="both"/>
        <w:rPr>
          <w:rFonts w:cs="Times New Roman"/>
          <w:noProof/>
          <w:szCs w:val="24"/>
        </w:rPr>
      </w:pPr>
      <w:r>
        <w:rPr>
          <w:rFonts w:cs="Times New Roman"/>
          <w:noProof/>
          <w:szCs w:val="24"/>
        </w:rPr>
        <w:t>The EU Reference scenario 2016</w:t>
      </w:r>
      <w:r>
        <w:rPr>
          <w:rFonts w:eastAsia="Calibri" w:cs="Times New Roman"/>
          <w:noProof/>
          <w:szCs w:val="24"/>
          <w:lang w:eastAsia="en-GB"/>
        </w:rPr>
        <w:t xml:space="preserve"> </w:t>
      </w:r>
      <w:r>
        <w:rPr>
          <w:rFonts w:cs="Times New Roman"/>
          <w:noProof/>
          <w:szCs w:val="24"/>
        </w:rPr>
        <w:t>projects EU and Member States energy, transport and GHG emission-related developments up to 2050, given current global and EU market trends and adopted EU and Member States' energy, transport, climate and related relevant policies. "Adopted policies" refer to those that have been cast in legislation in the EU or in Member States (with a cut-off date end of 2014</w:t>
      </w:r>
      <w:r>
        <w:rPr>
          <w:rStyle w:val="FootnoteReference"/>
          <w:rFonts w:cs="Times New Roman"/>
          <w:noProof/>
          <w:szCs w:val="24"/>
        </w:rPr>
        <w:footnoteReference w:id="10"/>
      </w:r>
      <w:r>
        <w:rPr>
          <w:rFonts w:cs="Times New Roman"/>
          <w:noProof/>
          <w:szCs w:val="24"/>
        </w:rPr>
        <w:t xml:space="preserve">). Therefore, the binding 2020 targets are assumed to be reached in the projection. This concerns GHG emission reduction targets as well as renewables targets, including renewable energy in transport. </w:t>
      </w:r>
    </w:p>
    <w:p w:rsidR="003E180D" w:rsidRDefault="003E180D" w:rsidP="003E180D">
      <w:pPr>
        <w:pStyle w:val="BodyText"/>
        <w:rPr>
          <w:noProof/>
        </w:rPr>
      </w:pPr>
      <w:r>
        <w:rPr>
          <w:noProof/>
        </w:rPr>
        <w:t>Initiatives supporting the shift from road to rail transport are complementary to the improvement of energy efficiency of HDVs for the sake of reducing CO</w:t>
      </w:r>
      <w:r>
        <w:rPr>
          <w:noProof/>
          <w:vertAlign w:val="subscript"/>
        </w:rPr>
        <w:t>2</w:t>
      </w:r>
      <w:r>
        <w:rPr>
          <w:noProof/>
        </w:rPr>
        <w:t xml:space="preserve"> emissions of the overall freight transport sector. Modal shifts between road and rail on the basis of the 2016 regulatory situation are reflected in the "EU reference scenario" and have been considered for the purposes of the modelling work. </w:t>
      </w:r>
    </w:p>
    <w:p w:rsidR="003E180D" w:rsidRDefault="003E180D" w:rsidP="003E180D">
      <w:pPr>
        <w:spacing w:after="120" w:line="240" w:lineRule="auto"/>
        <w:jc w:val="both"/>
        <w:rPr>
          <w:rFonts w:cs="Times New Roman"/>
          <w:noProof/>
          <w:szCs w:val="24"/>
        </w:rPr>
      </w:pPr>
      <w:r>
        <w:rPr>
          <w:rFonts w:cs="Times New Roman"/>
          <w:noProof/>
          <w:szCs w:val="24"/>
        </w:rPr>
        <w:t xml:space="preserve">The EU Reference scenario 2016 provides projections, not forecasts. Unlike forecasts, projections do not make predictions about what the future will be. They rather indicate what would happen if the assumptions which underpin the projection actually occur. Still, the scenario allows for a consistent approach in the assessment of energy and climate trends across the EU and its Member States.  </w:t>
      </w:r>
    </w:p>
    <w:p w:rsidR="003E180D" w:rsidRDefault="003E180D" w:rsidP="003E180D">
      <w:pPr>
        <w:pStyle w:val="Text2"/>
        <w:spacing w:after="120"/>
        <w:ind w:left="0"/>
        <w:rPr>
          <w:noProof/>
          <w:szCs w:val="24"/>
        </w:rPr>
      </w:pPr>
      <w:r>
        <w:rPr>
          <w:noProof/>
          <w:szCs w:val="24"/>
        </w:rPr>
        <w:t>The report "EU Reference Scenario 2016: Energy, transport and GHG emissions - Trends to 2050"</w:t>
      </w:r>
      <w:r>
        <w:rPr>
          <w:noProof/>
          <w:szCs w:val="24"/>
          <w:vertAlign w:val="superscript"/>
        </w:rPr>
        <w:footnoteReference w:id="11"/>
      </w:r>
      <w:r>
        <w:rPr>
          <w:noProof/>
          <w:szCs w:val="24"/>
        </w:rPr>
        <w:t xml:space="preserve"> describes the inputs and results in detail. In addition, its main messages are summarised in the impact assessments accompanying the Effort Sharing Regulation</w:t>
      </w:r>
      <w:r>
        <w:rPr>
          <w:noProof/>
          <w:szCs w:val="24"/>
          <w:vertAlign w:val="superscript"/>
        </w:rPr>
        <w:footnoteReference w:id="12"/>
      </w:r>
      <w:r>
        <w:rPr>
          <w:noProof/>
          <w:szCs w:val="24"/>
        </w:rPr>
        <w:t xml:space="preserve"> and the revision of the Energy Efficiency Directive</w:t>
      </w:r>
      <w:r>
        <w:rPr>
          <w:noProof/>
          <w:szCs w:val="24"/>
          <w:vertAlign w:val="superscript"/>
        </w:rPr>
        <w:footnoteReference w:id="13"/>
      </w:r>
      <w:r>
        <w:rPr>
          <w:noProof/>
          <w:szCs w:val="24"/>
        </w:rPr>
        <w:t>, and the analytical work accompanying the European strategy on low-emission mobility</w:t>
      </w:r>
      <w:r>
        <w:rPr>
          <w:noProof/>
          <w:szCs w:val="24"/>
          <w:vertAlign w:val="superscript"/>
        </w:rPr>
        <w:footnoteReference w:id="14"/>
      </w:r>
      <w:r>
        <w:rPr>
          <w:noProof/>
          <w:szCs w:val="24"/>
        </w:rPr>
        <w:t xml:space="preserve">.  </w:t>
      </w:r>
    </w:p>
    <w:p w:rsidR="003E180D" w:rsidRDefault="003E180D" w:rsidP="003E180D">
      <w:pPr>
        <w:pStyle w:val="Text2"/>
        <w:spacing w:after="120"/>
        <w:ind w:left="0"/>
        <w:rPr>
          <w:noProof/>
          <w:szCs w:val="24"/>
        </w:rPr>
      </w:pPr>
      <w:r>
        <w:rPr>
          <w:noProof/>
          <w:szCs w:val="24"/>
        </w:rPr>
        <w:t xml:space="preserve">The projections are based on a set of assumptions, including on population growth, macroeconomic and oil price developments, technology improvements, and policies. </w:t>
      </w:r>
    </w:p>
    <w:p w:rsidR="003E180D" w:rsidRDefault="003E180D" w:rsidP="003E180D">
      <w:pPr>
        <w:keepNext/>
        <w:keepLines/>
        <w:spacing w:after="120" w:line="240" w:lineRule="auto"/>
        <w:rPr>
          <w:i/>
          <w:noProof/>
        </w:rPr>
      </w:pPr>
      <w:r>
        <w:rPr>
          <w:i/>
          <w:noProof/>
        </w:rPr>
        <w:t>Specific policy assumptions</w:t>
      </w:r>
    </w:p>
    <w:p w:rsidR="003E180D" w:rsidRDefault="003E180D" w:rsidP="003E180D">
      <w:pPr>
        <w:keepNext/>
        <w:keepLines/>
        <w:spacing w:after="120" w:line="240" w:lineRule="auto"/>
        <w:jc w:val="both"/>
        <w:rPr>
          <w:noProof/>
          <w:szCs w:val="24"/>
        </w:rPr>
      </w:pPr>
      <w:r>
        <w:rPr>
          <w:noProof/>
          <w:szCs w:val="24"/>
        </w:rPr>
        <w:t xml:space="preserve">The key policies included in the Baseline scenario, similarly to the EU Reference scenario 2016, are the following:  </w:t>
      </w:r>
    </w:p>
    <w:p w:rsidR="003E180D" w:rsidRDefault="003E180D" w:rsidP="003E180D">
      <w:pPr>
        <w:pStyle w:val="ListBullet"/>
        <w:keepNext/>
        <w:keepLines/>
        <w:numPr>
          <w:ilvl w:val="0"/>
          <w:numId w:val="8"/>
        </w:numPr>
        <w:spacing w:after="120"/>
        <w:ind w:left="284" w:hanging="284"/>
        <w:rPr>
          <w:noProof/>
          <w:szCs w:val="24"/>
        </w:rPr>
      </w:pPr>
      <w:r>
        <w:rPr>
          <w:noProof/>
          <w:szCs w:val="24"/>
        </w:rPr>
        <w:t>CO</w:t>
      </w:r>
      <w:r>
        <w:rPr>
          <w:noProof/>
          <w:szCs w:val="24"/>
          <w:vertAlign w:val="subscript"/>
        </w:rPr>
        <w:t>2</w:t>
      </w:r>
      <w:r>
        <w:rPr>
          <w:noProof/>
          <w:szCs w:val="24"/>
        </w:rPr>
        <w:t xml:space="preserve"> standards for cars and vans regulations (</w:t>
      </w:r>
      <w:hyperlink r:id="rId31" w:tgtFrame="_blank" w:history="1">
        <w:r>
          <w:rPr>
            <w:noProof/>
            <w:szCs w:val="24"/>
          </w:rPr>
          <w:t>Regulation (EC) No 443/2009</w:t>
        </w:r>
      </w:hyperlink>
      <w:r>
        <w:rPr>
          <w:noProof/>
          <w:szCs w:val="24"/>
        </w:rPr>
        <w:t>, amended by Regulation (EU) No 333/2014 and Regulation (EU) No 510/2011, amended by Regulation (EU) No 253/2014): CO</w:t>
      </w:r>
      <w:r>
        <w:rPr>
          <w:noProof/>
          <w:szCs w:val="24"/>
          <w:vertAlign w:val="subscript"/>
        </w:rPr>
        <w:t>2</w:t>
      </w:r>
      <w:r>
        <w:rPr>
          <w:noProof/>
          <w:szCs w:val="24"/>
        </w:rPr>
        <w:t xml:space="preserve"> standards for cars are assumed to be 95 gCO</w:t>
      </w:r>
      <w:r>
        <w:rPr>
          <w:noProof/>
          <w:szCs w:val="24"/>
          <w:vertAlign w:val="subscript"/>
        </w:rPr>
        <w:t>2</w:t>
      </w:r>
      <w:r>
        <w:rPr>
          <w:noProof/>
          <w:szCs w:val="24"/>
        </w:rPr>
        <w:t>/km as of 2021 and for vans 147 gCO</w:t>
      </w:r>
      <w:r>
        <w:rPr>
          <w:noProof/>
          <w:szCs w:val="24"/>
          <w:vertAlign w:val="subscript"/>
        </w:rPr>
        <w:t>2</w:t>
      </w:r>
      <w:r>
        <w:rPr>
          <w:noProof/>
          <w:szCs w:val="24"/>
        </w:rPr>
        <w:t>/km as of 2020, based on the NEDC test cycle, in line with current legislation. No policy action to strengthen the stringency of the target is assumed after 2020/2021.</w:t>
      </w:r>
    </w:p>
    <w:p w:rsidR="003E180D" w:rsidRDefault="003E180D" w:rsidP="003E180D">
      <w:pPr>
        <w:pStyle w:val="ListBullet"/>
        <w:numPr>
          <w:ilvl w:val="0"/>
          <w:numId w:val="8"/>
        </w:numPr>
        <w:spacing w:after="120"/>
        <w:ind w:left="284" w:hanging="284"/>
        <w:rPr>
          <w:noProof/>
          <w:szCs w:val="24"/>
        </w:rPr>
      </w:pPr>
      <w:r>
        <w:rPr>
          <w:noProof/>
          <w:szCs w:val="24"/>
        </w:rPr>
        <w:t>The Renewable Energy Directive (Directive 2009/28/EC) and Fuel Quality Directive (Directive 2009/30/EC) including ILUC amendment (Directive 2015/1513/EU): achievement of the legally binding RES target for 2020 (10% RES in transport target) for each Member State, taking into account the use of flexibility mechanisms when relevant as well as of the cap on the amount of food or feed based biofuels (7%). Member States' specific renewable energy policies for the heating and cooling sector are also reflected where relevant.</w:t>
      </w:r>
    </w:p>
    <w:p w:rsidR="003E180D" w:rsidRDefault="003E180D" w:rsidP="003E180D">
      <w:pPr>
        <w:pStyle w:val="ListBullet"/>
        <w:numPr>
          <w:ilvl w:val="0"/>
          <w:numId w:val="8"/>
        </w:numPr>
        <w:spacing w:after="120"/>
        <w:rPr>
          <w:noProof/>
          <w:szCs w:val="24"/>
        </w:rPr>
      </w:pPr>
      <w:r>
        <w:rPr>
          <w:rStyle w:val="message"/>
          <w:rFonts w:eastAsiaTheme="majorEastAsia"/>
          <w:noProof/>
          <w:szCs w:val="24"/>
        </w:rPr>
        <w:t>Directive on the deployment of alternative fuels infrastructure (</w:t>
      </w:r>
      <w:hyperlink r:id="rId32" w:history="1">
        <w:r>
          <w:rPr>
            <w:noProof/>
            <w:szCs w:val="24"/>
            <w:lang w:eastAsia="en-GB"/>
          </w:rPr>
          <w:t>Directive 2014/94/EU</w:t>
        </w:r>
      </w:hyperlink>
      <w:r>
        <w:rPr>
          <w:noProof/>
          <w:szCs w:val="24"/>
          <w:lang w:eastAsia="en-GB"/>
        </w:rPr>
        <w:t>).</w:t>
      </w:r>
    </w:p>
    <w:p w:rsidR="003E180D" w:rsidRDefault="003E180D" w:rsidP="003E180D">
      <w:pPr>
        <w:pStyle w:val="ListBullet"/>
        <w:numPr>
          <w:ilvl w:val="0"/>
          <w:numId w:val="8"/>
        </w:numPr>
        <w:spacing w:after="120"/>
        <w:rPr>
          <w:noProof/>
          <w:szCs w:val="24"/>
        </w:rPr>
      </w:pPr>
      <w:r>
        <w:rPr>
          <w:noProof/>
          <w:szCs w:val="24"/>
        </w:rPr>
        <w:t xml:space="preserve">Directive on the charging of heavy goods vehicles for the use of certain infrastructures (Directive 2011/76/EU amending Directive 1999/62/EC). </w:t>
      </w:r>
    </w:p>
    <w:p w:rsidR="003E180D" w:rsidRDefault="003E180D" w:rsidP="003E180D">
      <w:pPr>
        <w:pStyle w:val="ListBullet"/>
        <w:numPr>
          <w:ilvl w:val="0"/>
          <w:numId w:val="8"/>
        </w:numPr>
        <w:spacing w:after="120"/>
        <w:rPr>
          <w:noProof/>
          <w:szCs w:val="24"/>
        </w:rPr>
      </w:pPr>
      <w:r>
        <w:rPr>
          <w:rStyle w:val="message"/>
          <w:rFonts w:eastAsiaTheme="majorEastAsia"/>
          <w:noProof/>
          <w:szCs w:val="24"/>
        </w:rPr>
        <w:t xml:space="preserve">Relevant national policies, </w:t>
      </w:r>
      <w:r>
        <w:rPr>
          <w:noProof/>
          <w:szCs w:val="24"/>
        </w:rPr>
        <w:t xml:space="preserve">for instance on the promotion of renewable energy, on fuel and vehicle taxation, are taken into account. </w:t>
      </w:r>
    </w:p>
    <w:p w:rsidR="003E180D" w:rsidRDefault="003E180D" w:rsidP="003E180D">
      <w:pPr>
        <w:spacing w:after="120" w:line="240" w:lineRule="auto"/>
        <w:jc w:val="both"/>
        <w:rPr>
          <w:noProof/>
        </w:rPr>
      </w:pPr>
      <w:r>
        <w:rPr>
          <w:noProof/>
        </w:rPr>
        <w:t>In addition, a few policy measures adopted after the cut-off date of the EU Reference scenario 2016 at both EU and Member State level, have been included in the Baseline scenario:</w:t>
      </w:r>
    </w:p>
    <w:p w:rsidR="003E180D" w:rsidRDefault="003E180D" w:rsidP="003E180D">
      <w:pPr>
        <w:pStyle w:val="ListBullet"/>
        <w:numPr>
          <w:ilvl w:val="0"/>
          <w:numId w:val="8"/>
        </w:numPr>
        <w:spacing w:after="120"/>
        <w:ind w:left="284" w:hanging="284"/>
        <w:rPr>
          <w:rStyle w:val="message"/>
          <w:rFonts w:eastAsiaTheme="majorEastAsia"/>
          <w:noProof/>
          <w:szCs w:val="24"/>
        </w:rPr>
      </w:pPr>
      <w:r>
        <w:rPr>
          <w:rStyle w:val="message"/>
          <w:rFonts w:eastAsiaTheme="majorEastAsia"/>
          <w:noProof/>
          <w:szCs w:val="24"/>
        </w:rPr>
        <w:t>Directive on weights &amp; dimensions (Directive 2015/719/EU);</w:t>
      </w:r>
    </w:p>
    <w:p w:rsidR="003E180D" w:rsidRDefault="003E180D" w:rsidP="003E180D">
      <w:pPr>
        <w:pStyle w:val="ListBullet"/>
        <w:numPr>
          <w:ilvl w:val="0"/>
          <w:numId w:val="8"/>
        </w:numPr>
        <w:spacing w:after="120"/>
        <w:ind w:left="284" w:hanging="284"/>
        <w:rPr>
          <w:rStyle w:val="message"/>
          <w:rFonts w:eastAsiaTheme="majorEastAsia"/>
          <w:noProof/>
          <w:szCs w:val="24"/>
        </w:rPr>
      </w:pPr>
      <w:r>
        <w:rPr>
          <w:rStyle w:val="message"/>
          <w:rFonts w:eastAsiaTheme="majorEastAsia"/>
          <w:noProof/>
          <w:szCs w:val="24"/>
        </w:rPr>
        <w:t>Directive as regards the opening of the market for domestic passenger transport services by rail and the governance of the railway infrastructure (Directive 2016/2370/EU);</w:t>
      </w:r>
    </w:p>
    <w:p w:rsidR="003E180D" w:rsidRDefault="003E180D" w:rsidP="003E180D">
      <w:pPr>
        <w:pStyle w:val="ListBullet"/>
        <w:numPr>
          <w:ilvl w:val="0"/>
          <w:numId w:val="8"/>
        </w:numPr>
        <w:spacing w:after="120"/>
        <w:ind w:left="284" w:hanging="284"/>
        <w:rPr>
          <w:rStyle w:val="message"/>
          <w:rFonts w:eastAsiaTheme="majorEastAsia"/>
          <w:noProof/>
          <w:szCs w:val="24"/>
        </w:rPr>
      </w:pPr>
      <w:r>
        <w:rPr>
          <w:rStyle w:val="message"/>
          <w:rFonts w:eastAsiaTheme="majorEastAsia"/>
          <w:noProof/>
          <w:szCs w:val="24"/>
        </w:rPr>
        <w:t>Directive on technical requirements for inland waterway vessels (Directive 2016/1629/EU), part of the Naiades II package;</w:t>
      </w:r>
    </w:p>
    <w:p w:rsidR="003E180D" w:rsidRDefault="003E180D" w:rsidP="003E180D">
      <w:pPr>
        <w:pStyle w:val="ListBullet"/>
        <w:numPr>
          <w:ilvl w:val="0"/>
          <w:numId w:val="8"/>
        </w:numPr>
        <w:spacing w:after="120"/>
        <w:ind w:left="284" w:hanging="284"/>
        <w:rPr>
          <w:rStyle w:val="message"/>
          <w:rFonts w:eastAsiaTheme="majorEastAsia"/>
          <w:noProof/>
          <w:szCs w:val="24"/>
        </w:rPr>
      </w:pPr>
      <w:r>
        <w:rPr>
          <w:rStyle w:val="message"/>
          <w:rFonts w:eastAsiaTheme="majorEastAsia"/>
          <w:noProof/>
          <w:szCs w:val="24"/>
        </w:rPr>
        <w:t>Regulation establishing a framework on market access to port services and financial transparency of ports</w:t>
      </w:r>
      <w:r>
        <w:rPr>
          <w:rStyle w:val="FootnoteReference"/>
          <w:noProof/>
          <w:szCs w:val="24"/>
        </w:rPr>
        <w:footnoteReference w:id="15"/>
      </w:r>
      <w:r>
        <w:rPr>
          <w:rStyle w:val="message"/>
          <w:rFonts w:eastAsiaTheme="majorEastAsia"/>
          <w:noProof/>
          <w:szCs w:val="24"/>
        </w:rPr>
        <w:t>;</w:t>
      </w:r>
    </w:p>
    <w:p w:rsidR="003E180D" w:rsidRDefault="003E180D" w:rsidP="003E180D">
      <w:pPr>
        <w:numPr>
          <w:ilvl w:val="0"/>
          <w:numId w:val="23"/>
        </w:numPr>
        <w:spacing w:after="120" w:line="240" w:lineRule="auto"/>
        <w:ind w:left="284" w:hanging="284"/>
        <w:jc w:val="both"/>
        <w:rPr>
          <w:noProof/>
        </w:rPr>
      </w:pPr>
      <w:r>
        <w:rPr>
          <w:rStyle w:val="message"/>
          <w:rFonts w:eastAsiaTheme="majorEastAsia"/>
          <w:noProof/>
          <w:szCs w:val="24"/>
        </w:rPr>
        <w:t xml:space="preserve">The replacement of the New European Driving Cycle (NEDC) test cycle by the new Worldwide harmonized Light-vehicles Test Procedure (WLTP) </w:t>
      </w:r>
      <w:r>
        <w:rPr>
          <w:noProof/>
        </w:rPr>
        <w:t>has been implemented in the Baseline scenario, drawing on work by JRC. Estimates by JRC show a WLTP to NEDC CO</w:t>
      </w:r>
      <w:r>
        <w:rPr>
          <w:noProof/>
          <w:vertAlign w:val="subscript"/>
        </w:rPr>
        <w:t>2</w:t>
      </w:r>
      <w:r>
        <w:rPr>
          <w:noProof/>
        </w:rPr>
        <w:t xml:space="preserve"> emissions ratio of approximately 1.21 for cars when comparing the sales-weighted fleet-wide average CO</w:t>
      </w:r>
      <w:r>
        <w:rPr>
          <w:noProof/>
          <w:vertAlign w:val="subscript"/>
        </w:rPr>
        <w:t>2</w:t>
      </w:r>
      <w:r>
        <w:rPr>
          <w:noProof/>
        </w:rPr>
        <w:t xml:space="preserve"> emissions. WLTP to NEDC conversion factors are considered by individual vehicle segments, representing different vehicle and technology categories. </w:t>
      </w:r>
    </w:p>
    <w:p w:rsidR="003E180D" w:rsidRDefault="003E180D" w:rsidP="003E180D">
      <w:pPr>
        <w:pStyle w:val="ListBullet"/>
        <w:numPr>
          <w:ilvl w:val="0"/>
          <w:numId w:val="8"/>
        </w:numPr>
        <w:spacing w:after="120"/>
        <w:ind w:left="284" w:hanging="284"/>
        <w:rPr>
          <w:noProof/>
        </w:rPr>
      </w:pPr>
      <w:r>
        <w:rPr>
          <w:noProof/>
        </w:rPr>
        <w:t>For Germany, an extension of the toll network by roughly 40,000 kilometres of federal trunk road from 2018 onwards for all heavy goods vehicles over 7.5t.</w:t>
      </w:r>
      <w:r>
        <w:rPr>
          <w:rStyle w:val="FootnoteReference"/>
          <w:noProof/>
          <w:szCs w:val="24"/>
        </w:rPr>
        <w:footnoteReference w:id="16"/>
      </w:r>
      <w:r>
        <w:rPr>
          <w:noProof/>
        </w:rPr>
        <w:t xml:space="preserve"> </w:t>
      </w:r>
    </w:p>
    <w:p w:rsidR="003E180D" w:rsidRDefault="003E180D" w:rsidP="003E180D">
      <w:pPr>
        <w:pStyle w:val="ListBullet"/>
        <w:numPr>
          <w:ilvl w:val="0"/>
          <w:numId w:val="8"/>
        </w:numPr>
        <w:spacing w:after="120"/>
        <w:ind w:left="284" w:hanging="284"/>
        <w:rPr>
          <w:noProof/>
        </w:rPr>
      </w:pPr>
      <w:r>
        <w:rPr>
          <w:noProof/>
        </w:rPr>
        <w:t xml:space="preserve">For Austria, the incorporation of exhaust emissions and noise pollution in the distance based charges. All federal highways and motorways, totalling around 2,200 km, are subject to distance based charges. </w:t>
      </w:r>
    </w:p>
    <w:p w:rsidR="003E180D" w:rsidRDefault="003E180D" w:rsidP="003E180D">
      <w:pPr>
        <w:pStyle w:val="ListBullet"/>
        <w:numPr>
          <w:ilvl w:val="0"/>
          <w:numId w:val="8"/>
        </w:numPr>
        <w:spacing w:after="120"/>
        <w:ind w:left="284" w:hanging="284"/>
        <w:rPr>
          <w:noProof/>
        </w:rPr>
      </w:pPr>
      <w:r>
        <w:rPr>
          <w:noProof/>
        </w:rPr>
        <w:t>For Belgium, a distance based system replaced the former Eurovignette for heavy goods vehicles over 3.5t from April 2016. The system applies to all inter-urban motorways, main (national) roads</w:t>
      </w:r>
      <w:r>
        <w:rPr>
          <w:rStyle w:val="FootnoteReference"/>
          <w:noProof/>
          <w:szCs w:val="24"/>
        </w:rPr>
        <w:footnoteReference w:id="17"/>
      </w:r>
      <w:r>
        <w:rPr>
          <w:noProof/>
        </w:rPr>
        <w:t xml:space="preserve"> and all urban roads in Brussels. </w:t>
      </w:r>
    </w:p>
    <w:p w:rsidR="003E180D" w:rsidRDefault="003E180D" w:rsidP="003E180D">
      <w:pPr>
        <w:pStyle w:val="ListBullet"/>
        <w:numPr>
          <w:ilvl w:val="0"/>
          <w:numId w:val="8"/>
        </w:numPr>
        <w:spacing w:after="120"/>
        <w:ind w:left="284" w:hanging="284"/>
        <w:rPr>
          <w:noProof/>
        </w:rPr>
      </w:pPr>
      <w:r>
        <w:rPr>
          <w:noProof/>
        </w:rPr>
        <w:t>For Latvia, the introduction of a vignette system applied for goods vehicles below 3.5t on the motorways, starting with 1 January 2017. In addition, for all heavy goods vehicles over 3.5t the vignette rates applied on motorways for the EURO 0, EURO I, EURO II are increased by 10% starting with 1 January 2017.</w:t>
      </w:r>
    </w:p>
    <w:p w:rsidR="003E180D" w:rsidRDefault="003E180D" w:rsidP="003E180D">
      <w:pPr>
        <w:pStyle w:val="Text2"/>
        <w:spacing w:after="120"/>
        <w:ind w:left="0"/>
        <w:rPr>
          <w:noProof/>
          <w:szCs w:val="24"/>
        </w:rPr>
      </w:pPr>
      <w:r>
        <w:rPr>
          <w:i/>
          <w:noProof/>
          <w:szCs w:val="24"/>
        </w:rPr>
        <w:t xml:space="preserve">Technology cost assumptions </w:t>
      </w:r>
    </w:p>
    <w:p w:rsidR="003E180D" w:rsidRDefault="003E180D" w:rsidP="003E180D">
      <w:pPr>
        <w:pStyle w:val="Text2"/>
        <w:spacing w:after="120"/>
        <w:ind w:left="0"/>
        <w:rPr>
          <w:i/>
          <w:noProof/>
          <w:szCs w:val="24"/>
        </w:rPr>
      </w:pPr>
      <w:r>
        <w:rPr>
          <w:noProof/>
          <w:szCs w:val="24"/>
        </w:rPr>
        <w:t>For the baseline and policy scenarios of this impact assessment, the technology cost assumptions used were taken from a study prepared by the Commission’s consultants</w:t>
      </w:r>
      <w:r>
        <w:rPr>
          <w:rStyle w:val="FootnoteReference"/>
          <w:noProof/>
          <w:szCs w:val="24"/>
        </w:rPr>
        <w:footnoteReference w:id="18"/>
      </w:r>
      <w:r>
        <w:rPr>
          <w:noProof/>
          <w:szCs w:val="24"/>
        </w:rPr>
        <w:t xml:space="preserve"> and the JRC</w:t>
      </w:r>
      <w:r>
        <w:rPr>
          <w:rStyle w:val="FootnoteReference"/>
          <w:noProof/>
          <w:szCs w:val="24"/>
        </w:rPr>
        <w:footnoteReference w:id="19"/>
      </w:r>
      <w:r>
        <w:rPr>
          <w:noProof/>
          <w:szCs w:val="24"/>
        </w:rPr>
        <w:t xml:space="preserve"> (base costs) or based on data provided by industry stakeholders (high costs). </w:t>
      </w:r>
      <w:r>
        <w:rPr>
          <w:i/>
          <w:noProof/>
          <w:szCs w:val="24"/>
        </w:rPr>
        <w:t>United Kingdom</w:t>
      </w:r>
    </w:p>
    <w:p w:rsidR="003E180D" w:rsidRDefault="003E180D" w:rsidP="003E180D">
      <w:pPr>
        <w:spacing w:after="120" w:line="240" w:lineRule="auto"/>
        <w:jc w:val="both"/>
        <w:rPr>
          <w:noProof/>
          <w:szCs w:val="24"/>
        </w:rPr>
      </w:pPr>
      <w:r>
        <w:rPr>
          <w:noProof/>
          <w:szCs w:val="24"/>
        </w:rPr>
        <w:t>The Baseline scenario and all policy scenarios cover EU-28, so including the UK. A sensitivity was run under which the UK results were removed from the modelling outcome. This is presented in Annex 10.11.</w:t>
      </w:r>
    </w:p>
    <w:p w:rsidR="003E180D" w:rsidRDefault="003E180D" w:rsidP="003E180D">
      <w:pPr>
        <w:pStyle w:val="Text2"/>
        <w:spacing w:after="120"/>
        <w:ind w:left="0"/>
        <w:rPr>
          <w:noProof/>
        </w:rPr>
      </w:pPr>
      <w:r>
        <w:rPr>
          <w:noProof/>
        </w:rPr>
        <w:br w:type="page"/>
      </w:r>
    </w:p>
    <w:p w:rsidR="003E180D" w:rsidRDefault="003E180D" w:rsidP="003E180D">
      <w:pPr>
        <w:pStyle w:val="Heading1"/>
        <w:numPr>
          <w:ilvl w:val="0"/>
          <w:numId w:val="22"/>
        </w:numPr>
        <w:rPr>
          <w:noProof/>
        </w:rPr>
      </w:pPr>
      <w:bookmarkStart w:id="275" w:name="_Toc508127516"/>
      <w:bookmarkStart w:id="276" w:name="_Toc508124779"/>
      <w:bookmarkStart w:id="277" w:name="_Toc508126144"/>
      <w:bookmarkStart w:id="278" w:name="_Toc508127870"/>
      <w:bookmarkStart w:id="279" w:name="_Toc508129642"/>
      <w:bookmarkStart w:id="280" w:name="_Toc508181033"/>
      <w:bookmarkStart w:id="281" w:name="_Toc508186626"/>
      <w:bookmarkStart w:id="282" w:name="_Toc510708107"/>
      <w:bookmarkStart w:id="283" w:name="_Toc507493394"/>
      <w:bookmarkStart w:id="284" w:name="_Toc507496420"/>
      <w:bookmarkStart w:id="285" w:name="_Toc507512221"/>
      <w:bookmarkStart w:id="286" w:name="_Toc507517583"/>
      <w:bookmarkStart w:id="287" w:name="_Toc507493386"/>
      <w:bookmarkStart w:id="288" w:name="_Toc507496412"/>
      <w:bookmarkStart w:id="289" w:name="_Toc507512111"/>
      <w:bookmarkStart w:id="290" w:name="_Toc507517575"/>
      <w:bookmarkStart w:id="291" w:name="_Toc514328803"/>
      <w:r>
        <w:rPr>
          <w:noProof/>
        </w:rPr>
        <w:t>A</w:t>
      </w:r>
      <w:bookmarkEnd w:id="275"/>
      <w:r>
        <w:rPr>
          <w:noProof/>
        </w:rPr>
        <w:t xml:space="preserve">nnex 5: </w:t>
      </w:r>
      <w:bookmarkEnd w:id="276"/>
      <w:bookmarkEnd w:id="277"/>
      <w:r>
        <w:rPr>
          <w:noProof/>
        </w:rPr>
        <w:t>Introduction to the Impact Assessment – complementary information</w:t>
      </w:r>
      <w:bookmarkEnd w:id="278"/>
      <w:bookmarkEnd w:id="279"/>
      <w:bookmarkEnd w:id="280"/>
      <w:bookmarkEnd w:id="281"/>
      <w:bookmarkEnd w:id="282"/>
      <w:bookmarkEnd w:id="291"/>
    </w:p>
    <w:p w:rsidR="003E180D" w:rsidRDefault="003E180D" w:rsidP="003E180D">
      <w:pPr>
        <w:pStyle w:val="Heading2"/>
        <w:numPr>
          <w:ilvl w:val="1"/>
          <w:numId w:val="22"/>
        </w:numPr>
        <w:spacing w:before="240" w:after="240"/>
        <w:rPr>
          <w:noProof/>
        </w:rPr>
      </w:pPr>
      <w:bookmarkStart w:id="292" w:name="_Toc508124780"/>
      <w:bookmarkStart w:id="293" w:name="_Toc508126145"/>
      <w:bookmarkStart w:id="294" w:name="_Toc508127517"/>
      <w:bookmarkStart w:id="295" w:name="_Toc508127871"/>
      <w:bookmarkStart w:id="296" w:name="_Toc508129643"/>
      <w:bookmarkStart w:id="297" w:name="_Toc508181034"/>
      <w:bookmarkStart w:id="298" w:name="_Toc508186627"/>
      <w:bookmarkStart w:id="299" w:name="_Toc510708108"/>
      <w:bookmarkStart w:id="300" w:name="_Toc514328804"/>
      <w:r>
        <w:rPr>
          <w:noProof/>
        </w:rPr>
        <w:t>Description of the HDV sector</w:t>
      </w:r>
      <w:bookmarkEnd w:id="292"/>
      <w:bookmarkEnd w:id="293"/>
      <w:bookmarkEnd w:id="294"/>
      <w:bookmarkEnd w:id="295"/>
      <w:bookmarkEnd w:id="296"/>
      <w:bookmarkEnd w:id="297"/>
      <w:bookmarkEnd w:id="298"/>
      <w:bookmarkEnd w:id="299"/>
      <w:bookmarkEnd w:id="300"/>
    </w:p>
    <w:p w:rsidR="003E180D" w:rsidRDefault="003E180D" w:rsidP="003E180D">
      <w:pPr>
        <w:tabs>
          <w:tab w:val="left" w:pos="2302"/>
        </w:tabs>
        <w:spacing w:after="120" w:line="240" w:lineRule="auto"/>
        <w:jc w:val="both"/>
        <w:rPr>
          <w:rFonts w:eastAsia="Times New Roman" w:cs="Times New Roman"/>
          <w:noProof/>
          <w:szCs w:val="20"/>
        </w:rPr>
      </w:pPr>
      <w:r>
        <w:rPr>
          <w:rFonts w:eastAsia="Times New Roman" w:cs="Times New Roman"/>
          <w:noProof/>
          <w:szCs w:val="20"/>
        </w:rPr>
        <w:t>HDVs are defined as freight vehicles of more than 3.5 tonnes (lorries)</w:t>
      </w:r>
      <w:r>
        <w:rPr>
          <w:rFonts w:eastAsia="Times New Roman" w:cs="Times New Roman"/>
          <w:noProof/>
          <w:szCs w:val="20"/>
          <w:vertAlign w:val="superscript"/>
        </w:rPr>
        <w:footnoteReference w:id="20"/>
      </w:r>
      <w:r>
        <w:rPr>
          <w:rFonts w:eastAsia="Times New Roman" w:cs="Times New Roman"/>
          <w:noProof/>
          <w:szCs w:val="20"/>
        </w:rPr>
        <w:t xml:space="preserve"> or passenger transport vehicles of more than 8 seats (buses and coaches)</w:t>
      </w:r>
      <w:r>
        <w:rPr>
          <w:rFonts w:eastAsia="Times New Roman" w:cs="Times New Roman"/>
          <w:noProof/>
          <w:szCs w:val="20"/>
          <w:vertAlign w:val="superscript"/>
        </w:rPr>
        <w:footnoteReference w:id="21"/>
      </w:r>
      <w:r>
        <w:rPr>
          <w:rFonts w:eastAsia="Times New Roman" w:cs="Times New Roman"/>
          <w:noProof/>
          <w:szCs w:val="20"/>
        </w:rPr>
        <w:t xml:space="preserve">. </w:t>
      </w:r>
    </w:p>
    <w:p w:rsidR="003E180D" w:rsidRDefault="003E180D" w:rsidP="003E180D">
      <w:pPr>
        <w:tabs>
          <w:tab w:val="left" w:pos="2302"/>
        </w:tabs>
        <w:spacing w:after="120" w:line="240" w:lineRule="auto"/>
        <w:jc w:val="both"/>
        <w:rPr>
          <w:rFonts w:eastAsia="Times New Roman" w:cs="Times New Roman"/>
          <w:noProof/>
          <w:szCs w:val="20"/>
        </w:rPr>
      </w:pPr>
      <w:r>
        <w:rPr>
          <w:rFonts w:eastAsia="Times New Roman" w:cs="Times New Roman"/>
          <w:noProof/>
          <w:szCs w:val="20"/>
        </w:rPr>
        <w:t>Road freight transport is essential for the development of trade and commerce on the European continent.</w:t>
      </w:r>
      <w:r>
        <w:rPr>
          <w:rFonts w:ascii="Roboto-Light" w:eastAsia="Times New Roman" w:hAnsi="Roboto-Light" w:cs="Times New Roman"/>
          <w:noProof/>
          <w:color w:val="262626"/>
          <w:szCs w:val="20"/>
        </w:rPr>
        <w:t xml:space="preserve"> </w:t>
      </w:r>
      <w:r>
        <w:rPr>
          <w:rFonts w:eastAsia="Times New Roman" w:cs="Times New Roman"/>
          <w:noProof/>
          <w:szCs w:val="20"/>
        </w:rPr>
        <w:t>Lorries carry 71.3% of freight transported over land</w:t>
      </w:r>
      <w:r>
        <w:rPr>
          <w:rFonts w:eastAsia="Times New Roman" w:cs="Times New Roman"/>
          <w:noProof/>
          <w:szCs w:val="20"/>
          <w:vertAlign w:val="superscript"/>
        </w:rPr>
        <w:footnoteReference w:id="22"/>
      </w:r>
      <w:r>
        <w:rPr>
          <w:rFonts w:eastAsia="Times New Roman" w:cs="Times New Roman"/>
          <w:noProof/>
          <w:szCs w:val="20"/>
        </w:rPr>
        <w:t>. Many essential public services are delivered by lorries, such as garbage collection, fire and construction services. There are some 16.5 million lorries in circulation in the EU</w:t>
      </w:r>
      <w:r>
        <w:rPr>
          <w:rFonts w:eastAsia="Times New Roman" w:cs="Times New Roman"/>
          <w:noProof/>
          <w:szCs w:val="20"/>
          <w:vertAlign w:val="superscript"/>
        </w:rPr>
        <w:footnoteReference w:id="23"/>
      </w:r>
      <w:r>
        <w:rPr>
          <w:rFonts w:eastAsia="Times New Roman" w:cs="Times New Roman"/>
          <w:noProof/>
          <w:szCs w:val="20"/>
        </w:rPr>
        <w:t xml:space="preserve">. </w:t>
      </w:r>
    </w:p>
    <w:p w:rsidR="003E180D" w:rsidRDefault="003E180D" w:rsidP="003E180D">
      <w:pPr>
        <w:spacing w:after="120" w:line="240" w:lineRule="auto"/>
        <w:jc w:val="both"/>
        <w:rPr>
          <w:rFonts w:cs="Times New Roman"/>
          <w:noProof/>
          <w:szCs w:val="24"/>
        </w:rPr>
      </w:pPr>
      <w:r>
        <w:rPr>
          <w:rFonts w:cs="Times New Roman"/>
          <w:noProof/>
          <w:szCs w:val="24"/>
        </w:rPr>
        <w:t>In the EU, almost 3 million people work in the road freight transport sector, with another 3.5 million people employed in lorry manufacturing, repair, sales, leasing and insurance</w:t>
      </w:r>
      <w:r>
        <w:rPr>
          <w:rFonts w:cs="Times New Roman"/>
          <w:noProof/>
          <w:szCs w:val="24"/>
          <w:vertAlign w:val="superscript"/>
        </w:rPr>
        <w:footnoteReference w:id="24"/>
      </w:r>
      <w:r>
        <w:rPr>
          <w:rFonts w:cs="Times New Roman"/>
          <w:noProof/>
          <w:szCs w:val="24"/>
        </w:rPr>
        <w:t xml:space="preserve">. </w:t>
      </w:r>
    </w:p>
    <w:p w:rsidR="003E180D" w:rsidRDefault="003E180D" w:rsidP="003E180D">
      <w:pPr>
        <w:spacing w:after="120" w:line="240" w:lineRule="auto"/>
        <w:jc w:val="both"/>
        <w:rPr>
          <w:rFonts w:cs="Times New Roman"/>
          <w:noProof/>
          <w:szCs w:val="24"/>
        </w:rPr>
      </w:pPr>
      <w:r>
        <w:rPr>
          <w:rFonts w:cs="Times New Roman"/>
          <w:noProof/>
          <w:szCs w:val="24"/>
        </w:rPr>
        <w:t xml:space="preserve">The road freight and passenger transport sector largely consists of SMEs, with over 600,000 enterprises across the EU, most of which are very small firms operating just a few lorries or buses/coaches. These include some 554,000 freight transport operators, the remaining being passenger transport operators. </w:t>
      </w:r>
    </w:p>
    <w:p w:rsidR="003E180D" w:rsidRDefault="003E180D" w:rsidP="003E180D">
      <w:pPr>
        <w:spacing w:after="120" w:line="240" w:lineRule="auto"/>
        <w:jc w:val="both"/>
        <w:rPr>
          <w:rFonts w:eastAsia="Times New Roman" w:cs="Times New Roman"/>
          <w:noProof/>
          <w:szCs w:val="20"/>
        </w:rPr>
      </w:pPr>
      <w:r>
        <w:rPr>
          <w:rFonts w:eastAsia="Times New Roman" w:cs="Times New Roman"/>
          <w:noProof/>
          <w:szCs w:val="20"/>
        </w:rPr>
        <w:t>In 2016, around 420,000 HDVs were produced in the EU</w:t>
      </w:r>
      <w:r>
        <w:rPr>
          <w:rFonts w:eastAsia="Times New Roman" w:cs="Times New Roman"/>
          <w:noProof/>
          <w:szCs w:val="24"/>
          <w:vertAlign w:val="superscript"/>
        </w:rPr>
        <w:footnoteReference w:id="25"/>
      </w:r>
      <w:r>
        <w:rPr>
          <w:rFonts w:eastAsia="Times New Roman" w:cs="Times New Roman"/>
          <w:noProof/>
          <w:szCs w:val="20"/>
        </w:rPr>
        <w:t xml:space="preserve">. </w:t>
      </w:r>
      <w:r>
        <w:rPr>
          <w:rFonts w:eastAsia="Times New Roman" w:cs="Times New Roman"/>
          <w:noProof/>
          <w:szCs w:val="24"/>
        </w:rPr>
        <w:t xml:space="preserve">As </w:t>
      </w:r>
      <w:r>
        <w:rPr>
          <w:rFonts w:eastAsia="Times New Roman" w:cs="Times New Roman"/>
          <w:noProof/>
          <w:szCs w:val="24"/>
        </w:rPr>
        <w:fldChar w:fldCharType="begin"/>
      </w:r>
      <w:r>
        <w:rPr>
          <w:rFonts w:eastAsia="Times New Roman" w:cs="Times New Roman"/>
          <w:noProof/>
          <w:szCs w:val="24"/>
        </w:rPr>
        <w:instrText xml:space="preserve"> REF _Ref508129006 \h </w:instrText>
      </w:r>
      <w:r>
        <w:rPr>
          <w:rFonts w:eastAsia="Times New Roman" w:cs="Times New Roman"/>
          <w:noProof/>
          <w:szCs w:val="24"/>
        </w:rPr>
      </w:r>
      <w:r>
        <w:rPr>
          <w:rFonts w:eastAsia="Times New Roman" w:cs="Times New Roman"/>
          <w:noProof/>
          <w:szCs w:val="24"/>
        </w:rPr>
        <w:fldChar w:fldCharType="separate"/>
      </w:r>
      <w:r>
        <w:rPr>
          <w:noProof/>
          <w:color w:val="000000" w:themeColor="text1"/>
          <w:szCs w:val="24"/>
        </w:rPr>
        <w:t>Figure 1</w:t>
      </w:r>
      <w:r>
        <w:rPr>
          <w:rFonts w:eastAsia="Times New Roman" w:cs="Times New Roman"/>
          <w:noProof/>
          <w:szCs w:val="24"/>
        </w:rPr>
        <w:fldChar w:fldCharType="end"/>
      </w:r>
      <w:r>
        <w:rPr>
          <w:rFonts w:eastAsia="Times New Roman" w:cs="Times New Roman"/>
          <w:noProof/>
          <w:szCs w:val="24"/>
        </w:rPr>
        <w:t xml:space="preserve"> </w:t>
      </w:r>
      <w:r>
        <w:rPr>
          <w:rFonts w:eastAsia="Times New Roman" w:cs="Times New Roman"/>
          <w:noProof/>
          <w:szCs w:val="20"/>
        </w:rPr>
        <w:t xml:space="preserve">shows, production is concentrated in a few Member States, with Germany accounting for the largest share (32%), followed by the Netherlands (20%), Belgium, France, Sweden and </w:t>
      </w:r>
      <w:r>
        <w:rPr>
          <w:rFonts w:eastAsia="Times New Roman" w:cs="Times New Roman"/>
          <w:noProof/>
          <w:szCs w:val="24"/>
        </w:rPr>
        <w:t>Spain</w:t>
      </w:r>
      <w:r>
        <w:rPr>
          <w:rFonts w:eastAsia="Times New Roman" w:cs="Times New Roman"/>
          <w:noProof/>
          <w:szCs w:val="20"/>
        </w:rPr>
        <w:t xml:space="preserve">. </w:t>
      </w:r>
    </w:p>
    <w:p w:rsidR="003E180D" w:rsidRDefault="003E180D" w:rsidP="003E180D">
      <w:pPr>
        <w:pStyle w:val="Caption"/>
        <w:keepNext/>
        <w:rPr>
          <w:rFonts w:eastAsia="Times New Roman"/>
          <w:noProof/>
          <w:szCs w:val="20"/>
        </w:rPr>
      </w:pPr>
      <w:bookmarkStart w:id="301" w:name="_Ref508129006"/>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301"/>
      <w:r>
        <w:rPr>
          <w:noProof/>
        </w:rPr>
        <w:t xml:space="preserve">: HDV Production in the EU by Member State in 2016 </w:t>
      </w:r>
      <w:r>
        <w:rPr>
          <w:noProof/>
          <w:vertAlign w:val="superscript"/>
        </w:rPr>
        <w:footnoteReference w:id="26"/>
      </w:r>
    </w:p>
    <w:p w:rsidR="003E180D" w:rsidRDefault="003E180D" w:rsidP="003E180D">
      <w:pPr>
        <w:keepNext/>
        <w:tabs>
          <w:tab w:val="left" w:pos="2302"/>
        </w:tabs>
        <w:spacing w:after="120" w:line="240" w:lineRule="auto"/>
        <w:jc w:val="center"/>
        <w:rPr>
          <w:rFonts w:eastAsia="Times New Roman" w:cs="Times New Roman"/>
          <w:noProof/>
          <w:szCs w:val="24"/>
        </w:rPr>
      </w:pPr>
      <w:r>
        <w:rPr>
          <w:rFonts w:eastAsia="Times New Roman" w:cs="Times New Roman"/>
          <w:noProof/>
          <w:szCs w:val="24"/>
          <w:lang w:eastAsia="en-GB"/>
        </w:rPr>
        <w:drawing>
          <wp:inline distT="0" distB="0" distL="0" distR="0" wp14:anchorId="23EE0926" wp14:editId="7DE1BAC3">
            <wp:extent cx="3362325" cy="1898922"/>
            <wp:effectExtent l="0" t="0" r="0" b="635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5908" cy="1906593"/>
                    </a:xfrm>
                    <a:prstGeom prst="rect">
                      <a:avLst/>
                    </a:prstGeom>
                    <a:noFill/>
                  </pic:spPr>
                </pic:pic>
              </a:graphicData>
            </a:graphic>
          </wp:inline>
        </w:drawing>
      </w:r>
      <w:r>
        <w:rPr>
          <w:rFonts w:eastAsia="Times New Roman" w:cs="Times New Roman"/>
          <w:noProof/>
          <w:szCs w:val="24"/>
        </w:rPr>
        <w:t xml:space="preserve"> </w:t>
      </w:r>
    </w:p>
    <w:p w:rsidR="003E180D" w:rsidRDefault="003E180D" w:rsidP="003E180D">
      <w:pPr>
        <w:tabs>
          <w:tab w:val="left" w:pos="2302"/>
        </w:tabs>
        <w:spacing w:after="120" w:line="240" w:lineRule="auto"/>
        <w:rPr>
          <w:rFonts w:eastAsia="Times New Roman" w:cs="Times New Roman"/>
          <w:noProof/>
          <w:sz w:val="20"/>
          <w:szCs w:val="18"/>
        </w:rPr>
      </w:pPr>
      <w:r>
        <w:rPr>
          <w:rFonts w:eastAsia="Times New Roman" w:cs="Times New Roman"/>
          <w:i/>
          <w:noProof/>
          <w:sz w:val="20"/>
          <w:szCs w:val="18"/>
        </w:rPr>
        <w:t>Source:</w:t>
      </w:r>
      <w:r>
        <w:rPr>
          <w:rFonts w:eastAsia="Times New Roman" w:cs="Times New Roman"/>
          <w:noProof/>
          <w:sz w:val="20"/>
          <w:szCs w:val="18"/>
        </w:rPr>
        <w:t xml:space="preserve"> </w:t>
      </w:r>
      <w:r>
        <w:rPr>
          <w:rFonts w:eastAsia="Times New Roman" w:cs="Times New Roman"/>
          <w:i/>
          <w:noProof/>
          <w:sz w:val="20"/>
          <w:szCs w:val="18"/>
        </w:rPr>
        <w:t>ACEA Pocket Guide 2017/2018</w:t>
      </w:r>
    </w:p>
    <w:p w:rsidR="003E180D" w:rsidRDefault="003E180D" w:rsidP="003E180D">
      <w:pPr>
        <w:tabs>
          <w:tab w:val="left" w:pos="2302"/>
        </w:tabs>
        <w:spacing w:after="120" w:line="240" w:lineRule="auto"/>
        <w:jc w:val="both"/>
        <w:rPr>
          <w:rFonts w:eastAsia="Times New Roman" w:cs="Times New Roman"/>
          <w:noProof/>
          <w:szCs w:val="20"/>
        </w:rPr>
      </w:pPr>
      <w:r>
        <w:rPr>
          <w:rFonts w:eastAsia="Times New Roman" w:cs="Times New Roman"/>
          <w:noProof/>
          <w:szCs w:val="20"/>
        </w:rPr>
        <w:t>In 2016, according to industry data</w:t>
      </w:r>
      <w:r>
        <w:rPr>
          <w:rFonts w:eastAsia="Times New Roman" w:cs="Times New Roman"/>
          <w:noProof/>
          <w:szCs w:val="20"/>
          <w:vertAlign w:val="superscript"/>
        </w:rPr>
        <w:footnoteReference w:id="27"/>
      </w:r>
      <w:r>
        <w:rPr>
          <w:rFonts w:eastAsia="Times New Roman" w:cs="Times New Roman"/>
          <w:noProof/>
          <w:szCs w:val="20"/>
        </w:rPr>
        <w:t>, the export of lorries above 5 tonnes was worth €5.3 billion and generated a trade balance surplus of €4.9 billion. Some of the main export markets for commercial vehicles in 2016 included Hong Kong, U.S., Turkey, Switzerland and Norway.</w:t>
      </w:r>
    </w:p>
    <w:p w:rsidR="003E180D" w:rsidRDefault="003E180D" w:rsidP="003E180D">
      <w:pPr>
        <w:autoSpaceDE w:val="0"/>
        <w:autoSpaceDN w:val="0"/>
        <w:adjustRightInd w:val="0"/>
        <w:spacing w:after="120" w:line="240" w:lineRule="auto"/>
        <w:jc w:val="both"/>
        <w:rPr>
          <w:rFonts w:eastAsia="Times New Roman" w:cs="Times New Roman"/>
          <w:noProof/>
          <w:szCs w:val="20"/>
        </w:rPr>
      </w:pPr>
      <w:r>
        <w:rPr>
          <w:rFonts w:eastAsia="Times New Roman" w:cs="Times New Roman"/>
          <w:noProof/>
          <w:szCs w:val="20"/>
        </w:rPr>
        <w:t>The EU lorry market is dominated by 6 major manufacturers: Daimler, DAF</w:t>
      </w:r>
      <w:r>
        <w:rPr>
          <w:noProof/>
          <w:vertAlign w:val="superscript"/>
        </w:rPr>
        <w:footnoteReference w:id="28"/>
      </w:r>
      <w:r>
        <w:rPr>
          <w:rFonts w:eastAsia="Times New Roman" w:cs="Times New Roman"/>
          <w:noProof/>
          <w:szCs w:val="20"/>
        </w:rPr>
        <w:t>, M.A.N., Scania, Renault, Volvo and Iveco</w:t>
      </w:r>
      <w:r>
        <w:rPr>
          <w:noProof/>
          <w:vertAlign w:val="superscript"/>
        </w:rPr>
        <w:footnoteReference w:id="29"/>
      </w:r>
      <w:r>
        <w:rPr>
          <w:rFonts w:eastAsia="Times New Roman" w:cs="Times New Roman"/>
          <w:noProof/>
          <w:szCs w:val="20"/>
        </w:rPr>
        <w:t xml:space="preserve">. </w:t>
      </w:r>
      <w:r>
        <w:rPr>
          <w:rFonts w:eastAsia="Times New Roman" w:cs="Times New Roman"/>
          <w:noProof/>
          <w:szCs w:val="20"/>
        </w:rPr>
        <w:fldChar w:fldCharType="begin"/>
      </w:r>
      <w:r>
        <w:rPr>
          <w:rFonts w:eastAsia="Times New Roman" w:cs="Times New Roman"/>
          <w:noProof/>
          <w:szCs w:val="20"/>
        </w:rPr>
        <w:instrText xml:space="preserve"> REF _Ref508122528 \h  \* MERGEFORMAT </w:instrText>
      </w:r>
      <w:r>
        <w:rPr>
          <w:rFonts w:eastAsia="Times New Roman" w:cs="Times New Roman"/>
          <w:noProof/>
          <w:szCs w:val="20"/>
        </w:rPr>
      </w:r>
      <w:r>
        <w:rPr>
          <w:rFonts w:eastAsia="Times New Roman" w:cs="Times New Roman"/>
          <w:noProof/>
          <w:szCs w:val="20"/>
        </w:rPr>
        <w:fldChar w:fldCharType="separate"/>
      </w:r>
      <w:r>
        <w:rPr>
          <w:rFonts w:eastAsia="Times New Roman" w:cs="Times New Roman"/>
          <w:noProof/>
          <w:szCs w:val="20"/>
        </w:rPr>
        <w:t>Figure 2</w:t>
      </w:r>
      <w:r>
        <w:rPr>
          <w:rFonts w:eastAsia="Times New Roman" w:cs="Times New Roman"/>
          <w:noProof/>
          <w:szCs w:val="20"/>
        </w:rPr>
        <w:fldChar w:fldCharType="end"/>
      </w:r>
      <w:r>
        <w:rPr>
          <w:rFonts w:eastAsia="Times New Roman" w:cs="Times New Roman"/>
          <w:noProof/>
          <w:szCs w:val="20"/>
        </w:rPr>
        <w:t xml:space="preserve"> shows the breakdown of the EU and US markets by manufacturer. Volkswagen (owning M.A.N. and Scania) has the largest share of the EU market (31%). It shows that several of the HDV manufacturers operating in the EU also have a strong presence in the US market, in particular Daimler (46%), but also PACCAR and Volvo. </w:t>
      </w:r>
    </w:p>
    <w:p w:rsidR="003E180D" w:rsidRDefault="003E180D" w:rsidP="003E180D">
      <w:pPr>
        <w:pStyle w:val="Caption"/>
        <w:rPr>
          <w:bCs w:val="0"/>
          <w:noProof/>
        </w:rPr>
      </w:pPr>
      <w:bookmarkStart w:id="302" w:name="_Ref508122528"/>
      <w:r>
        <w:rPr>
          <w:noProof/>
        </w:rPr>
        <w:t xml:space="preserve">Figure </w:t>
      </w:r>
      <w:r>
        <w:rPr>
          <w:noProof/>
        </w:rPr>
        <w:fldChar w:fldCharType="begin"/>
      </w:r>
      <w:r>
        <w:rPr>
          <w:bCs w:val="0"/>
          <w:noProof/>
        </w:rPr>
        <w:instrText xml:space="preserve"> SEQ Figure \* ARABIC </w:instrText>
      </w:r>
      <w:r>
        <w:rPr>
          <w:noProof/>
        </w:rPr>
        <w:fldChar w:fldCharType="separate"/>
      </w:r>
      <w:r>
        <w:rPr>
          <w:bCs w:val="0"/>
          <w:noProof/>
        </w:rPr>
        <w:t>2</w:t>
      </w:r>
      <w:r>
        <w:rPr>
          <w:noProof/>
        </w:rPr>
        <w:fldChar w:fldCharType="end"/>
      </w:r>
      <w:bookmarkEnd w:id="302"/>
      <w:r>
        <w:rPr>
          <w:bCs w:val="0"/>
          <w:noProof/>
        </w:rPr>
        <w:t>:</w:t>
      </w:r>
      <w:r>
        <w:rPr>
          <w:noProof/>
        </w:rPr>
        <w:t xml:space="preserve"> 2014 Market Share of Tractor Lorry Manufacturers in the EU and U.S.</w:t>
      </w:r>
    </w:p>
    <w:p w:rsidR="003E180D" w:rsidRDefault="003E180D" w:rsidP="003E180D">
      <w:pPr>
        <w:autoSpaceDE w:val="0"/>
        <w:autoSpaceDN w:val="0"/>
        <w:adjustRightInd w:val="0"/>
        <w:spacing w:after="120" w:line="240" w:lineRule="auto"/>
        <w:jc w:val="center"/>
        <w:rPr>
          <w:rFonts w:ascii="TimesNewRoman" w:hAnsi="TimesNewRoman" w:cs="TimesNewRoman"/>
          <w:noProof/>
          <w:szCs w:val="24"/>
        </w:rPr>
      </w:pPr>
      <w:r>
        <w:rPr>
          <w:rFonts w:ascii="TimesNewRoman" w:hAnsi="TimesNewRoman" w:cs="TimesNewRoman"/>
          <w:noProof/>
          <w:szCs w:val="24"/>
          <w:lang w:eastAsia="en-GB"/>
        </w:rPr>
        <w:drawing>
          <wp:inline distT="0" distB="0" distL="0" distR="0" wp14:anchorId="57C6C160" wp14:editId="7EF56759">
            <wp:extent cx="3305175" cy="2091005"/>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16638" cy="2098257"/>
                    </a:xfrm>
                    <a:prstGeom prst="rect">
                      <a:avLst/>
                    </a:prstGeom>
                    <a:noFill/>
                  </pic:spPr>
                </pic:pic>
              </a:graphicData>
            </a:graphic>
          </wp:inline>
        </w:drawing>
      </w:r>
    </w:p>
    <w:p w:rsidR="003E180D" w:rsidRDefault="003E180D" w:rsidP="003E180D">
      <w:pPr>
        <w:keepLines/>
        <w:autoSpaceDE w:val="0"/>
        <w:autoSpaceDN w:val="0"/>
        <w:adjustRightInd w:val="0"/>
        <w:spacing w:after="120" w:line="240" w:lineRule="auto"/>
        <w:jc w:val="both"/>
        <w:rPr>
          <w:i/>
          <w:noProof/>
          <w:sz w:val="20"/>
          <w:szCs w:val="18"/>
        </w:rPr>
      </w:pPr>
      <w:r>
        <w:rPr>
          <w:i/>
          <w:noProof/>
          <w:sz w:val="20"/>
          <w:szCs w:val="18"/>
        </w:rPr>
        <w:t>Source: ICCT (2015)</w:t>
      </w:r>
    </w:p>
    <w:p w:rsidR="003E180D" w:rsidRDefault="003E180D" w:rsidP="003E180D">
      <w:pPr>
        <w:autoSpaceDE w:val="0"/>
        <w:autoSpaceDN w:val="0"/>
        <w:adjustRightInd w:val="0"/>
        <w:spacing w:after="120" w:line="240" w:lineRule="auto"/>
        <w:jc w:val="both"/>
        <w:rPr>
          <w:rFonts w:eastAsia="Times New Roman" w:cs="Times New Roman"/>
          <w:noProof/>
          <w:szCs w:val="20"/>
        </w:rPr>
      </w:pPr>
      <w:r>
        <w:rPr>
          <w:rFonts w:eastAsia="Times New Roman" w:cs="Times New Roman"/>
          <w:noProof/>
          <w:szCs w:val="20"/>
        </w:rPr>
        <w:fldChar w:fldCharType="begin"/>
      </w:r>
      <w:r>
        <w:rPr>
          <w:rFonts w:eastAsia="Times New Roman" w:cs="Times New Roman"/>
          <w:noProof/>
          <w:szCs w:val="20"/>
        </w:rPr>
        <w:instrText xml:space="preserve"> REF _Ref508122575 \h  \* MERGEFORMAT </w:instrText>
      </w:r>
      <w:r>
        <w:rPr>
          <w:rFonts w:eastAsia="Times New Roman" w:cs="Times New Roman"/>
          <w:noProof/>
          <w:szCs w:val="20"/>
        </w:rPr>
      </w:r>
      <w:r>
        <w:rPr>
          <w:rFonts w:eastAsia="Times New Roman" w:cs="Times New Roman"/>
          <w:noProof/>
          <w:szCs w:val="20"/>
        </w:rPr>
        <w:fldChar w:fldCharType="separate"/>
      </w:r>
      <w:r>
        <w:rPr>
          <w:rFonts w:eastAsia="Times New Roman" w:cs="Times New Roman"/>
          <w:noProof/>
          <w:szCs w:val="20"/>
        </w:rPr>
        <w:t>Figure 3</w:t>
      </w:r>
      <w:r>
        <w:rPr>
          <w:rFonts w:eastAsia="Times New Roman" w:cs="Times New Roman"/>
          <w:noProof/>
          <w:szCs w:val="20"/>
        </w:rPr>
        <w:fldChar w:fldCharType="end"/>
      </w:r>
      <w:r>
        <w:rPr>
          <w:rFonts w:eastAsia="Times New Roman" w:cs="Times New Roman"/>
          <w:noProof/>
          <w:szCs w:val="20"/>
        </w:rPr>
        <w:t xml:space="preserve"> shows that, compared to the EU and US, the Chinese and Asia-Pacific HDV markets are less consolidated. They are dominated mainly by domestic manufacturers, although some EU companies such as Daimler and Volvo have joint agreements in place in these regions, which are securing them market access</w:t>
      </w:r>
      <w:r>
        <w:rPr>
          <w:noProof/>
          <w:vertAlign w:val="superscript"/>
        </w:rPr>
        <w:footnoteReference w:id="30"/>
      </w:r>
      <w:r>
        <w:rPr>
          <w:rFonts w:eastAsia="Times New Roman" w:cs="Times New Roman"/>
          <w:noProof/>
          <w:szCs w:val="20"/>
        </w:rPr>
        <w:t xml:space="preserve">. </w:t>
      </w:r>
    </w:p>
    <w:p w:rsidR="003E180D" w:rsidRDefault="003E180D" w:rsidP="003E180D">
      <w:pPr>
        <w:tabs>
          <w:tab w:val="left" w:pos="2302"/>
        </w:tabs>
        <w:spacing w:after="120" w:line="240" w:lineRule="auto"/>
        <w:jc w:val="both"/>
        <w:rPr>
          <w:rFonts w:eastAsia="Times New Roman" w:cs="Times New Roman"/>
          <w:noProof/>
          <w:szCs w:val="20"/>
        </w:rPr>
      </w:pPr>
      <w:r>
        <w:rPr>
          <w:rFonts w:eastAsia="Times New Roman" w:cs="Times New Roman"/>
          <w:noProof/>
          <w:szCs w:val="20"/>
        </w:rPr>
        <w:t>On a global scale, China is currently the leading producer (30%) of commercial vehicles, followed by North America (23%) and the EU (19%).</w:t>
      </w:r>
    </w:p>
    <w:p w:rsidR="003E180D" w:rsidRDefault="003E180D" w:rsidP="003E180D">
      <w:pPr>
        <w:pStyle w:val="Caption"/>
        <w:keepNext/>
        <w:rPr>
          <w:noProof/>
        </w:rPr>
      </w:pPr>
      <w:bookmarkStart w:id="303" w:name="_Ref508122575"/>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303"/>
      <w:r>
        <w:rPr>
          <w:noProof/>
        </w:rPr>
        <w:t>: Market Share of Manufacturers of Medium- and Heavy Duty Lorries in China and Asia-Pacific</w:t>
      </w:r>
    </w:p>
    <w:p w:rsidR="003E180D" w:rsidRDefault="003E180D" w:rsidP="003E180D">
      <w:pPr>
        <w:spacing w:after="120" w:line="240" w:lineRule="auto"/>
        <w:jc w:val="center"/>
        <w:rPr>
          <w:noProof/>
        </w:rPr>
      </w:pPr>
      <w:r>
        <w:rPr>
          <w:noProof/>
          <w:lang w:eastAsia="en-GB"/>
        </w:rPr>
        <w:drawing>
          <wp:inline distT="0" distB="0" distL="0" distR="0" wp14:anchorId="278ABB9E" wp14:editId="104C60A9">
            <wp:extent cx="3083813" cy="191452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4865" cy="1921386"/>
                    </a:xfrm>
                    <a:prstGeom prst="rect">
                      <a:avLst/>
                    </a:prstGeom>
                    <a:noFill/>
                  </pic:spPr>
                </pic:pic>
              </a:graphicData>
            </a:graphic>
          </wp:inline>
        </w:drawing>
      </w:r>
    </w:p>
    <w:p w:rsidR="003E180D" w:rsidRDefault="003E180D" w:rsidP="003E180D">
      <w:pPr>
        <w:keepLines/>
        <w:spacing w:after="120" w:line="240" w:lineRule="auto"/>
        <w:rPr>
          <w:i/>
          <w:noProof/>
          <w:sz w:val="22"/>
        </w:rPr>
      </w:pPr>
      <w:r>
        <w:rPr>
          <w:i/>
          <w:noProof/>
          <w:sz w:val="22"/>
        </w:rPr>
        <w:t>Source:</w:t>
      </w:r>
      <w:r>
        <w:rPr>
          <w:noProof/>
          <w:sz w:val="22"/>
        </w:rPr>
        <w:t xml:space="preserve"> </w:t>
      </w:r>
      <w:r>
        <w:rPr>
          <w:i/>
          <w:noProof/>
          <w:sz w:val="22"/>
        </w:rPr>
        <w:t>Roland Berger (2017)</w:t>
      </w:r>
      <w:r>
        <w:rPr>
          <w:noProof/>
          <w:sz w:val="22"/>
        </w:rPr>
        <w:t xml:space="preserve"> </w:t>
      </w:r>
      <w:r>
        <w:rPr>
          <w:i/>
          <w:noProof/>
          <w:sz w:val="22"/>
        </w:rPr>
        <w:t>Truck and trailer components – Success factors for suppliers in specialized markets</w:t>
      </w:r>
    </w:p>
    <w:p w:rsidR="003E180D" w:rsidRDefault="003E180D" w:rsidP="003E180D">
      <w:pPr>
        <w:pStyle w:val="Heading2"/>
        <w:numPr>
          <w:ilvl w:val="1"/>
          <w:numId w:val="22"/>
        </w:numPr>
        <w:spacing w:before="240" w:after="240"/>
        <w:rPr>
          <w:noProof/>
        </w:rPr>
      </w:pPr>
      <w:bookmarkStart w:id="304" w:name="_Toc508124781"/>
      <w:bookmarkStart w:id="305" w:name="_Toc508126146"/>
      <w:bookmarkStart w:id="306" w:name="_Toc508127518"/>
      <w:bookmarkStart w:id="307" w:name="_Toc508127872"/>
      <w:bookmarkStart w:id="308" w:name="_Toc508129644"/>
      <w:bookmarkStart w:id="309" w:name="_Toc508181035"/>
      <w:bookmarkStart w:id="310" w:name="_Toc508186628"/>
      <w:bookmarkStart w:id="311" w:name="_Toc510708109"/>
      <w:bookmarkStart w:id="312" w:name="_Toc514328805"/>
      <w:r>
        <w:rPr>
          <w:noProof/>
        </w:rPr>
        <w:t>Specificities of the HDV sector compared to LDVs</w:t>
      </w:r>
      <w:bookmarkEnd w:id="304"/>
      <w:bookmarkEnd w:id="305"/>
      <w:bookmarkEnd w:id="306"/>
      <w:bookmarkEnd w:id="307"/>
      <w:bookmarkEnd w:id="308"/>
      <w:bookmarkEnd w:id="309"/>
      <w:bookmarkEnd w:id="310"/>
      <w:bookmarkEnd w:id="311"/>
      <w:bookmarkEnd w:id="312"/>
    </w:p>
    <w:p w:rsidR="003E180D" w:rsidRDefault="003E180D" w:rsidP="003E180D">
      <w:pPr>
        <w:spacing w:after="120" w:line="240" w:lineRule="auto"/>
        <w:rPr>
          <w:rFonts w:cs="Times New Roman"/>
          <w:b/>
          <w:i/>
          <w:noProof/>
          <w:szCs w:val="24"/>
        </w:rPr>
      </w:pPr>
      <w:r>
        <w:rPr>
          <w:rFonts w:cs="Times New Roman"/>
          <w:b/>
          <w:i/>
          <w:noProof/>
          <w:szCs w:val="24"/>
        </w:rPr>
        <w:t>Vehicle design and application, technological options</w:t>
      </w:r>
    </w:p>
    <w:p w:rsidR="003E180D" w:rsidRDefault="003E180D" w:rsidP="003E180D">
      <w:pPr>
        <w:spacing w:after="120" w:line="240" w:lineRule="auto"/>
        <w:jc w:val="both"/>
        <w:rPr>
          <w:rFonts w:cs="Times New Roman"/>
          <w:noProof/>
          <w:szCs w:val="24"/>
        </w:rPr>
      </w:pPr>
      <w:r>
        <w:rPr>
          <w:rFonts w:cs="Times New Roman"/>
          <w:noProof/>
          <w:szCs w:val="24"/>
        </w:rPr>
        <w:t xml:space="preserve">Compared to cars (and vans), HDVs are used for a much wider range of commercial and vocational purposes, ranging from urban, regional and long-haul deliveries of goods, to specific applications in the construction sector and municipal services. This implies a large variation in cargo weight and combinations of vehicle components, such as the driver cabin, vehicle body, gearbox, engine, axis and auxiliaries. </w:t>
      </w:r>
    </w:p>
    <w:p w:rsidR="003E180D" w:rsidRDefault="003E180D" w:rsidP="003E180D">
      <w:pPr>
        <w:spacing w:after="120" w:line="240" w:lineRule="auto"/>
        <w:jc w:val="both"/>
        <w:rPr>
          <w:rFonts w:cs="Times New Roman"/>
          <w:noProof/>
          <w:szCs w:val="24"/>
        </w:rPr>
      </w:pPr>
      <w:r>
        <w:rPr>
          <w:rFonts w:cs="Times New Roman"/>
          <w:noProof/>
          <w:szCs w:val="24"/>
        </w:rPr>
        <w:t>The average annual mileages of the vehicles also vary considerably depending on the type of activities, from 70,000 km for regional delivery vehicles to around 140,000 km for long haul vehicles. This results in a very wide range of fuel consumption and CO</w:t>
      </w:r>
      <w:r>
        <w:rPr>
          <w:rFonts w:cs="Times New Roman"/>
          <w:noProof/>
          <w:szCs w:val="24"/>
          <w:vertAlign w:val="subscript"/>
        </w:rPr>
        <w:t>2</w:t>
      </w:r>
      <w:r>
        <w:rPr>
          <w:rFonts w:cs="Times New Roman"/>
          <w:noProof/>
          <w:szCs w:val="24"/>
        </w:rPr>
        <w:t xml:space="preserve"> emissions from lorries, the latter ranging from 690 g CO</w:t>
      </w:r>
      <w:r>
        <w:rPr>
          <w:rFonts w:cs="Times New Roman"/>
          <w:noProof/>
          <w:szCs w:val="24"/>
          <w:vertAlign w:val="subscript"/>
        </w:rPr>
        <w:t>2</w:t>
      </w:r>
      <w:r>
        <w:rPr>
          <w:rFonts w:cs="Times New Roman"/>
          <w:noProof/>
          <w:szCs w:val="24"/>
        </w:rPr>
        <w:t>/km to 1080 g CO</w:t>
      </w:r>
      <w:r>
        <w:rPr>
          <w:rFonts w:cs="Times New Roman"/>
          <w:noProof/>
          <w:szCs w:val="24"/>
          <w:vertAlign w:val="subscript"/>
        </w:rPr>
        <w:t>2</w:t>
      </w:r>
      <w:r>
        <w:rPr>
          <w:rFonts w:cs="Times New Roman"/>
          <w:noProof/>
          <w:szCs w:val="24"/>
        </w:rPr>
        <w:t>/km</w:t>
      </w:r>
      <w:r>
        <w:rPr>
          <w:rFonts w:cs="Times New Roman"/>
          <w:noProof/>
          <w:szCs w:val="24"/>
          <w:vertAlign w:val="superscript"/>
        </w:rPr>
        <w:footnoteReference w:id="31"/>
      </w:r>
      <w:r>
        <w:rPr>
          <w:rFonts w:cs="Times New Roman"/>
          <w:noProof/>
          <w:szCs w:val="24"/>
        </w:rPr>
        <w:t xml:space="preserve">. </w:t>
      </w:r>
    </w:p>
    <w:p w:rsidR="003E180D" w:rsidRDefault="003E180D" w:rsidP="003E180D">
      <w:pPr>
        <w:spacing w:after="120" w:line="240" w:lineRule="auto"/>
        <w:jc w:val="both"/>
        <w:rPr>
          <w:rFonts w:cs="Times New Roman"/>
          <w:noProof/>
          <w:szCs w:val="24"/>
        </w:rPr>
      </w:pPr>
      <w:r>
        <w:rPr>
          <w:rFonts w:cs="Times New Roman"/>
          <w:noProof/>
          <w:szCs w:val="24"/>
        </w:rPr>
        <w:t xml:space="preserve">Consequently, the HDV sector is much more diversified, with a significant number of different vehicle types and models as well as with a higher degree of customisation. HDVs (lorries) can be categorised into groups and sub-groups according to their size configuration and mission profile (for more information, see Annex 8). </w:t>
      </w:r>
    </w:p>
    <w:p w:rsidR="003E180D" w:rsidRDefault="003E180D" w:rsidP="003E180D">
      <w:pPr>
        <w:spacing w:after="120" w:line="240" w:lineRule="auto"/>
        <w:jc w:val="both"/>
        <w:rPr>
          <w:rFonts w:cs="Times New Roman"/>
          <w:noProof/>
          <w:szCs w:val="24"/>
        </w:rPr>
      </w:pPr>
      <w:r>
        <w:rPr>
          <w:rFonts w:cs="Times New Roman"/>
          <w:noProof/>
          <w:szCs w:val="24"/>
        </w:rPr>
        <w:t>The production cycle for designing and introducing new models or important features for HDVs, for instance a new generation of engines or cabins, is longer than cars: around 10 to 15 years for lorries and buses, versus 6 to 8 years for cars.</w:t>
      </w:r>
    </w:p>
    <w:p w:rsidR="003E180D" w:rsidRDefault="003E180D" w:rsidP="003E180D">
      <w:pPr>
        <w:spacing w:after="120" w:line="240" w:lineRule="auto"/>
        <w:jc w:val="both"/>
        <w:rPr>
          <w:rFonts w:cs="Times New Roman"/>
          <w:noProof/>
          <w:szCs w:val="24"/>
        </w:rPr>
      </w:pPr>
      <w:r>
        <w:rPr>
          <w:rFonts w:cs="Times New Roman"/>
          <w:noProof/>
          <w:szCs w:val="24"/>
        </w:rPr>
        <w:t>Except for buses, alternative powertrain development is less advanced for heavy-duty vehicles than for cars. Electrification is in very early stages.</w:t>
      </w:r>
    </w:p>
    <w:p w:rsidR="003E180D" w:rsidRDefault="003E180D" w:rsidP="003E180D">
      <w:pPr>
        <w:spacing w:after="120" w:line="240" w:lineRule="auto"/>
        <w:jc w:val="both"/>
        <w:rPr>
          <w:rFonts w:cs="Times New Roman"/>
          <w:b/>
          <w:i/>
          <w:noProof/>
          <w:szCs w:val="24"/>
        </w:rPr>
      </w:pPr>
      <w:r>
        <w:rPr>
          <w:rFonts w:cs="Times New Roman"/>
          <w:b/>
          <w:i/>
          <w:noProof/>
          <w:szCs w:val="24"/>
        </w:rPr>
        <w:t>Availability of certified data</w:t>
      </w:r>
    </w:p>
    <w:p w:rsidR="003E180D" w:rsidRDefault="003E180D" w:rsidP="003E180D">
      <w:pPr>
        <w:spacing w:after="120" w:line="240" w:lineRule="auto"/>
        <w:jc w:val="both"/>
        <w:rPr>
          <w:rFonts w:cs="Times New Roman"/>
          <w:noProof/>
          <w:szCs w:val="24"/>
        </w:rPr>
      </w:pPr>
      <w:r>
        <w:rPr>
          <w:rFonts w:cs="Times New Roman"/>
          <w:noProof/>
          <w:szCs w:val="24"/>
        </w:rPr>
        <w:t>The fuel consumption and CO</w:t>
      </w:r>
      <w:r>
        <w:rPr>
          <w:rFonts w:cs="Times New Roman"/>
          <w:noProof/>
          <w:szCs w:val="24"/>
          <w:vertAlign w:val="subscript"/>
        </w:rPr>
        <w:t>2</w:t>
      </w:r>
      <w:r>
        <w:rPr>
          <w:rFonts w:cs="Times New Roman"/>
          <w:noProof/>
          <w:szCs w:val="24"/>
        </w:rPr>
        <w:t xml:space="preserve"> performance of new passenger cars and vans is determined through emissions type approval on a chassis dynamometer since 1980</w:t>
      </w:r>
      <w:r>
        <w:rPr>
          <w:rFonts w:cs="Times New Roman"/>
          <w:noProof/>
          <w:szCs w:val="24"/>
          <w:vertAlign w:val="superscript"/>
        </w:rPr>
        <w:footnoteReference w:id="32"/>
      </w:r>
      <w:r>
        <w:rPr>
          <w:rFonts w:cs="Times New Roman"/>
          <w:noProof/>
          <w:szCs w:val="24"/>
        </w:rPr>
        <w:t>. As a result, CO</w:t>
      </w:r>
      <w:r>
        <w:rPr>
          <w:rFonts w:cs="Times New Roman"/>
          <w:noProof/>
          <w:szCs w:val="24"/>
          <w:vertAlign w:val="subscript"/>
        </w:rPr>
        <w:t>2</w:t>
      </w:r>
      <w:r>
        <w:rPr>
          <w:rFonts w:cs="Times New Roman"/>
          <w:noProof/>
          <w:szCs w:val="24"/>
        </w:rPr>
        <w:t xml:space="preserve"> emission data at vehicle level has been available for several years. </w:t>
      </w:r>
    </w:p>
    <w:p w:rsidR="003E180D" w:rsidRDefault="003E180D" w:rsidP="003E180D">
      <w:pPr>
        <w:spacing w:after="120" w:line="240" w:lineRule="auto"/>
        <w:jc w:val="both"/>
        <w:rPr>
          <w:rFonts w:cs="Times New Roman"/>
          <w:noProof/>
          <w:szCs w:val="24"/>
        </w:rPr>
      </w:pPr>
      <w:r>
        <w:rPr>
          <w:rFonts w:cs="Times New Roman"/>
          <w:noProof/>
          <w:szCs w:val="24"/>
        </w:rPr>
        <w:t>For HDVs emissions type-approval testing cannot be performed meaningfully through testing on a chassis dynamometer due to the numerous types and configuration of vehicles. Currently, CO</w:t>
      </w:r>
      <w:r>
        <w:rPr>
          <w:rFonts w:cs="Times New Roman"/>
          <w:noProof/>
          <w:szCs w:val="24"/>
          <w:vertAlign w:val="subscript"/>
        </w:rPr>
        <w:t>2</w:t>
      </w:r>
      <w:r>
        <w:rPr>
          <w:rFonts w:cs="Times New Roman"/>
          <w:noProof/>
          <w:szCs w:val="24"/>
        </w:rPr>
        <w:t xml:space="preserve"> data is only available for the engines and not at the whole-vehicle level. </w:t>
      </w:r>
    </w:p>
    <w:p w:rsidR="003E180D" w:rsidRDefault="003E180D" w:rsidP="003E180D">
      <w:pPr>
        <w:spacing w:after="120" w:line="240" w:lineRule="auto"/>
        <w:jc w:val="both"/>
        <w:rPr>
          <w:rFonts w:cs="Times New Roman"/>
          <w:noProof/>
          <w:szCs w:val="24"/>
        </w:rPr>
      </w:pPr>
      <w:r>
        <w:rPr>
          <w:rFonts w:cs="Times New Roman"/>
          <w:noProof/>
          <w:szCs w:val="24"/>
        </w:rPr>
        <w:t>While this knowledge gap is currently being addressed for new HDVs through the VECTO and the new certification legislation (see Annex 8), the first certified CO</w:t>
      </w:r>
      <w:r>
        <w:rPr>
          <w:rFonts w:cs="Times New Roman"/>
          <w:noProof/>
          <w:szCs w:val="24"/>
          <w:vertAlign w:val="subscript"/>
        </w:rPr>
        <w:t>2</w:t>
      </w:r>
      <w:r>
        <w:rPr>
          <w:rFonts w:cs="Times New Roman"/>
          <w:noProof/>
          <w:szCs w:val="24"/>
        </w:rPr>
        <w:t xml:space="preserve"> and fuel consumption data won't be published until 2020. It will cover only part of the groups of lorries. The certification legislation is still work in progress. With regard to buses, which make some 9.3% of total number of HDVs in 2016</w:t>
      </w:r>
      <w:r>
        <w:rPr>
          <w:rFonts w:cs="Times New Roman"/>
          <w:noProof/>
          <w:szCs w:val="24"/>
          <w:vertAlign w:val="superscript"/>
        </w:rPr>
        <w:footnoteReference w:id="33"/>
      </w:r>
      <w:r>
        <w:rPr>
          <w:rFonts w:cs="Times New Roman"/>
          <w:noProof/>
          <w:szCs w:val="24"/>
        </w:rPr>
        <w:t>, smaller lorries and trailers, the certification legislation is not yet even developed. (see Annex 8, Section 0)</w:t>
      </w:r>
    </w:p>
    <w:p w:rsidR="003E180D" w:rsidRDefault="003E180D" w:rsidP="003E180D">
      <w:pPr>
        <w:spacing w:after="120" w:line="240" w:lineRule="auto"/>
        <w:jc w:val="both"/>
        <w:rPr>
          <w:rFonts w:cs="Times New Roman"/>
          <w:noProof/>
          <w:szCs w:val="24"/>
        </w:rPr>
      </w:pPr>
      <w:r>
        <w:rPr>
          <w:rFonts w:cs="Times New Roman"/>
          <w:noProof/>
          <w:szCs w:val="24"/>
        </w:rPr>
        <w:t>Some provisional and estimated CO</w:t>
      </w:r>
      <w:r>
        <w:rPr>
          <w:rFonts w:cs="Times New Roman"/>
          <w:noProof/>
          <w:szCs w:val="24"/>
          <w:vertAlign w:val="subscript"/>
        </w:rPr>
        <w:t>2</w:t>
      </w:r>
      <w:r>
        <w:rPr>
          <w:rFonts w:cs="Times New Roman"/>
          <w:noProof/>
          <w:szCs w:val="24"/>
        </w:rPr>
        <w:t xml:space="preserve"> emissions data for the 2016 fleet has been provided to the Commission by lorries manufacturers to support the analysis carried out for this impact assessment. However, these data were not generated in application of the new certification legislation and are not directly comparable between manufacturers due to the different assumptions made. </w:t>
      </w:r>
    </w:p>
    <w:p w:rsidR="003E180D" w:rsidRDefault="003E180D" w:rsidP="003E180D">
      <w:pPr>
        <w:spacing w:after="120" w:line="240" w:lineRule="auto"/>
        <w:jc w:val="both"/>
        <w:rPr>
          <w:rFonts w:cs="Times New Roman"/>
          <w:noProof/>
          <w:szCs w:val="24"/>
        </w:rPr>
      </w:pPr>
      <w:r>
        <w:rPr>
          <w:rFonts w:cs="Times New Roman"/>
          <w:noProof/>
          <w:szCs w:val="24"/>
        </w:rPr>
        <w:t>As regards real world fuel consumption of individual vehicles, the information available is not directly comparable as it is based on different tests and simulations carried out by HDV manufacturers or specialised journals</w:t>
      </w:r>
      <w:r>
        <w:rPr>
          <w:rFonts w:cs="Times New Roman"/>
          <w:noProof/>
          <w:szCs w:val="24"/>
          <w:vertAlign w:val="superscript"/>
        </w:rPr>
        <w:footnoteReference w:id="34"/>
      </w:r>
      <w:r>
        <w:rPr>
          <w:rFonts w:cs="Times New Roman"/>
          <w:noProof/>
          <w:szCs w:val="24"/>
        </w:rPr>
        <w:t xml:space="preserve"> under non-standardised conditions. </w:t>
      </w:r>
    </w:p>
    <w:p w:rsidR="003E180D" w:rsidRDefault="003E180D" w:rsidP="003E180D">
      <w:pPr>
        <w:spacing w:after="120" w:line="240" w:lineRule="auto"/>
        <w:jc w:val="both"/>
        <w:rPr>
          <w:rFonts w:cs="Times New Roman"/>
          <w:b/>
          <w:i/>
          <w:noProof/>
          <w:szCs w:val="24"/>
        </w:rPr>
      </w:pPr>
      <w:r>
        <w:rPr>
          <w:rFonts w:cs="Times New Roman"/>
          <w:b/>
          <w:i/>
          <w:noProof/>
          <w:szCs w:val="24"/>
        </w:rPr>
        <w:t>Market structure</w:t>
      </w:r>
    </w:p>
    <w:p w:rsidR="003E180D" w:rsidRDefault="003E180D" w:rsidP="003E180D">
      <w:pPr>
        <w:spacing w:after="120" w:line="240" w:lineRule="auto"/>
        <w:jc w:val="both"/>
        <w:rPr>
          <w:rFonts w:cs="Times New Roman"/>
          <w:noProof/>
          <w:szCs w:val="24"/>
        </w:rPr>
      </w:pPr>
      <w:r>
        <w:rPr>
          <w:rFonts w:cs="Times New Roman"/>
          <w:noProof/>
          <w:szCs w:val="24"/>
        </w:rPr>
        <w:t xml:space="preserve">While the EU car market is composed of numerous manufacturers, the EU HDV market only has a small number of major manufacturers, from just a few countries. The scale of the markets is also different with around 420,000 HDVs manufactured in 2016 in the EU versus 16.5 million cars manufactured over the same period. </w:t>
      </w:r>
    </w:p>
    <w:p w:rsidR="003E180D" w:rsidRDefault="003E180D" w:rsidP="003E180D">
      <w:pPr>
        <w:spacing w:after="120" w:line="240" w:lineRule="auto"/>
        <w:jc w:val="both"/>
        <w:rPr>
          <w:rFonts w:cs="Times New Roman"/>
          <w:noProof/>
          <w:szCs w:val="24"/>
        </w:rPr>
      </w:pPr>
      <w:r>
        <w:rPr>
          <w:rFonts w:cs="Times New Roman"/>
          <w:noProof/>
          <w:szCs w:val="24"/>
        </w:rPr>
        <w:t>Also, purchasers of HDVs are mostly businesses, consisting largely of SMEs and micro-enterprises, while the buyers of cars are mainly households. The demand for HDVs can also be very cyclical and subject to prevailing economic conditions.  The average age of a lorry in Europe is 11.7 years</w:t>
      </w:r>
      <w:r>
        <w:rPr>
          <w:rFonts w:cs="Times New Roman"/>
          <w:noProof/>
          <w:szCs w:val="24"/>
          <w:vertAlign w:val="superscript"/>
        </w:rPr>
        <w:footnoteReference w:id="35"/>
      </w:r>
      <w:r>
        <w:rPr>
          <w:rFonts w:cs="Times New Roman"/>
          <w:noProof/>
          <w:szCs w:val="24"/>
        </w:rPr>
        <w:t>.</w:t>
      </w:r>
    </w:p>
    <w:p w:rsidR="003E180D" w:rsidRDefault="003E180D" w:rsidP="003E180D">
      <w:pPr>
        <w:spacing w:after="120" w:line="240" w:lineRule="auto"/>
        <w:jc w:val="both"/>
        <w:rPr>
          <w:rFonts w:cs="Times New Roman"/>
          <w:noProof/>
          <w:szCs w:val="24"/>
        </w:rPr>
      </w:pPr>
      <w:r>
        <w:rPr>
          <w:rFonts w:cs="Times New Roman"/>
          <w:noProof/>
          <w:szCs w:val="24"/>
        </w:rPr>
        <w:t>The HDV market is more disaggregated than that of passenger cars in that a lorry manufacturer for the most part is only responsible for the base vehicle but not for the final vehicle configuration which includes the addition of bodies or trailers. In contrast to the manufacturers, the trailer and body builder sector is highly diverse, consisting of thousands of organisations most of which operate in local markets.</w:t>
      </w:r>
    </w:p>
    <w:p w:rsidR="003E180D" w:rsidRDefault="003E180D" w:rsidP="003E180D">
      <w:pPr>
        <w:rPr>
          <w:rStyle w:val="Heading2Char"/>
          <w:rFonts w:eastAsiaTheme="minorHAnsi"/>
          <w:noProof/>
        </w:rPr>
      </w:pPr>
      <w:bookmarkStart w:id="313" w:name="_Toc508124782"/>
      <w:bookmarkStart w:id="314" w:name="_Toc508126147"/>
      <w:bookmarkStart w:id="315" w:name="_Toc508127519"/>
      <w:bookmarkStart w:id="316" w:name="_Toc508127873"/>
      <w:r>
        <w:rPr>
          <w:rStyle w:val="Heading2Char"/>
          <w:rFonts w:eastAsiaTheme="minorHAnsi"/>
          <w:noProof/>
        </w:rPr>
        <w:br w:type="page"/>
      </w:r>
    </w:p>
    <w:p w:rsidR="003E180D" w:rsidRDefault="003E180D" w:rsidP="003E180D">
      <w:pPr>
        <w:pStyle w:val="Heading2"/>
        <w:numPr>
          <w:ilvl w:val="1"/>
          <w:numId w:val="22"/>
        </w:numPr>
        <w:spacing w:before="240" w:after="240"/>
        <w:rPr>
          <w:noProof/>
        </w:rPr>
      </w:pPr>
      <w:bookmarkStart w:id="317" w:name="_Toc508129645"/>
      <w:bookmarkStart w:id="318" w:name="_Toc508181036"/>
      <w:bookmarkStart w:id="319" w:name="_Toc508186629"/>
      <w:bookmarkStart w:id="320" w:name="_Toc510708110"/>
      <w:bookmarkStart w:id="321" w:name="_Toc514328806"/>
      <w:r>
        <w:rPr>
          <w:rStyle w:val="Heading2Char"/>
          <w:noProof/>
        </w:rPr>
        <w:t>Overview of international HDV CO</w:t>
      </w:r>
      <w:r>
        <w:rPr>
          <w:rStyle w:val="Heading2Char"/>
          <w:noProof/>
          <w:vertAlign w:val="subscript"/>
        </w:rPr>
        <w:t>2</w:t>
      </w:r>
      <w:r>
        <w:rPr>
          <w:rStyle w:val="Heading2Char"/>
          <w:noProof/>
        </w:rPr>
        <w:t xml:space="preserve"> or fuel economy</w:t>
      </w:r>
      <w:r>
        <w:rPr>
          <w:noProof/>
        </w:rPr>
        <w:t xml:space="preserve"> standards</w:t>
      </w:r>
      <w:bookmarkEnd w:id="313"/>
      <w:bookmarkEnd w:id="314"/>
      <w:bookmarkEnd w:id="315"/>
      <w:bookmarkEnd w:id="316"/>
      <w:bookmarkEnd w:id="317"/>
      <w:bookmarkEnd w:id="318"/>
      <w:bookmarkEnd w:id="319"/>
      <w:bookmarkEnd w:id="320"/>
      <w:bookmarkEnd w:id="321"/>
    </w:p>
    <w:p w:rsidR="003E180D" w:rsidRDefault="003E180D" w:rsidP="003E180D">
      <w:pPr>
        <w:spacing w:after="120" w:line="240" w:lineRule="auto"/>
        <w:jc w:val="both"/>
        <w:rPr>
          <w:rFonts w:cs="Times New Roman"/>
          <w:b/>
          <w:i/>
          <w:noProof/>
          <w:szCs w:val="24"/>
        </w:rPr>
      </w:pPr>
      <w:r>
        <w:rPr>
          <w:rFonts w:cs="Times New Roman"/>
          <w:b/>
          <w:i/>
          <w:noProof/>
          <w:szCs w:val="24"/>
        </w:rPr>
        <w:t>Situation in the US and Canada</w:t>
      </w:r>
    </w:p>
    <w:p w:rsidR="003E180D" w:rsidRDefault="003E180D" w:rsidP="003E180D">
      <w:pPr>
        <w:spacing w:after="120" w:line="240" w:lineRule="auto"/>
        <w:jc w:val="both"/>
        <w:rPr>
          <w:rFonts w:cs="Times New Roman"/>
          <w:noProof/>
          <w:szCs w:val="24"/>
        </w:rPr>
      </w:pPr>
      <w:r>
        <w:rPr>
          <w:rFonts w:cs="Times New Roman"/>
          <w:noProof/>
          <w:szCs w:val="24"/>
        </w:rPr>
        <w:t>In September 2011, the U.S. adopted regulations on HDV GHG emissions and fuel consumption. The GHG regulations are developed and managed by the Environmental Protection Agency (EPA) and those on fuel consumption by the National Highway Traffic Safety Administration (NHTSA). The drivers behind these legislative measures involved a combination of energy security and environmental protection concerns. The current "Phase I" Regulations run until 2017, after which "Phase II" Regulations will be implemented until 2027.</w:t>
      </w:r>
    </w:p>
    <w:p w:rsidR="003E180D" w:rsidRDefault="003E180D" w:rsidP="003E180D">
      <w:pPr>
        <w:spacing w:after="120" w:line="240" w:lineRule="auto"/>
        <w:jc w:val="both"/>
        <w:rPr>
          <w:rFonts w:cs="Times New Roman"/>
          <w:noProof/>
          <w:szCs w:val="24"/>
        </w:rPr>
      </w:pPr>
      <w:r>
        <w:rPr>
          <w:rFonts w:cs="Times New Roman"/>
          <w:noProof/>
          <w:szCs w:val="24"/>
        </w:rPr>
        <w:t>The Phase I Regulations set standards for new tractors, pickups, vans and all other medium and heavy-duty vehicles of model years 2014 through 2018 and will require manufacturers to improve fuel economy and GHG emissions by up to 20 per cent by 2018. The CO</w:t>
      </w:r>
      <w:r>
        <w:rPr>
          <w:rFonts w:cs="Times New Roman"/>
          <w:noProof/>
          <w:szCs w:val="24"/>
          <w:vertAlign w:val="subscript"/>
        </w:rPr>
        <w:t>2</w:t>
      </w:r>
      <w:r>
        <w:rPr>
          <w:rFonts w:cs="Times New Roman"/>
          <w:noProof/>
          <w:szCs w:val="24"/>
        </w:rPr>
        <w:t xml:space="preserve"> emission standards are set in gram/ton-mile. In addition, the proposal comprises new engine standards for CO</w:t>
      </w:r>
      <w:r>
        <w:rPr>
          <w:rFonts w:cs="Times New Roman"/>
          <w:noProof/>
          <w:szCs w:val="24"/>
          <w:vertAlign w:val="subscript"/>
        </w:rPr>
        <w:t>2</w:t>
      </w:r>
      <w:r>
        <w:rPr>
          <w:rFonts w:cs="Times New Roman"/>
          <w:noProof/>
          <w:szCs w:val="24"/>
        </w:rPr>
        <w:t xml:space="preserve"> (in g/bhp-hr) and fuel consumption. </w:t>
      </w:r>
    </w:p>
    <w:p w:rsidR="003E180D" w:rsidRDefault="003E180D" w:rsidP="003E180D">
      <w:pPr>
        <w:spacing w:after="120" w:line="240" w:lineRule="auto"/>
        <w:jc w:val="both"/>
        <w:rPr>
          <w:rFonts w:cs="Times New Roman"/>
          <w:noProof/>
          <w:szCs w:val="24"/>
        </w:rPr>
      </w:pPr>
      <w:r>
        <w:rPr>
          <w:rFonts w:cs="Times New Roman"/>
          <w:noProof/>
          <w:szCs w:val="24"/>
        </w:rPr>
        <w:t>As the U.S. lorry market allows the vehicle buyer to choose between different engines, a dual approach applying to engine and vehicle emissions was applied. U.S. engines are certified using an engine dynamometer running two different drive test cycles. The standards for whole vehicle emissions and fuel consumption use the GEM simulation model, which has three different drive cycles and a further two idle cycles for vocational vehicles.</w:t>
      </w:r>
    </w:p>
    <w:p w:rsidR="003E180D" w:rsidRDefault="003E180D" w:rsidP="003E180D">
      <w:pPr>
        <w:spacing w:after="120" w:line="240" w:lineRule="auto"/>
        <w:jc w:val="both"/>
        <w:rPr>
          <w:rFonts w:cs="Times New Roman"/>
          <w:noProof/>
          <w:szCs w:val="24"/>
        </w:rPr>
      </w:pPr>
      <w:r>
        <w:rPr>
          <w:rFonts w:cs="Times New Roman"/>
          <w:noProof/>
          <w:szCs w:val="24"/>
        </w:rPr>
        <w:t>Manufacturers must meet the standards each manufacturing year, but there are flexibility options allowing additional lead-time to introduce technologies to the fleet, such as averaging, banking and a trading scheme that also gives credits for early adoption and advanced technologies.</w:t>
      </w:r>
    </w:p>
    <w:p w:rsidR="003E180D" w:rsidRDefault="003E180D" w:rsidP="003E180D">
      <w:pPr>
        <w:spacing w:after="120" w:line="240" w:lineRule="auto"/>
        <w:jc w:val="both"/>
        <w:rPr>
          <w:rFonts w:cs="Times New Roman"/>
          <w:noProof/>
          <w:szCs w:val="24"/>
        </w:rPr>
      </w:pPr>
      <w:r>
        <w:rPr>
          <w:rFonts w:cs="Times New Roman"/>
          <w:noProof/>
          <w:szCs w:val="24"/>
        </w:rPr>
        <w:t xml:space="preserve">All vehicles must be certified at the point of sale. Testing is carried out either by the EPA or the manufacturer, and also throughout the useful life of the vehicle. Violations and penalties are issued on the basis of this information. There is a single reporting structure in which manufacturers report their sales for the year and their emissions given in the Certificates of Conformity. </w:t>
      </w:r>
    </w:p>
    <w:p w:rsidR="003E180D" w:rsidRDefault="003E180D" w:rsidP="003E180D">
      <w:pPr>
        <w:spacing w:after="120" w:line="240" w:lineRule="auto"/>
        <w:jc w:val="both"/>
        <w:rPr>
          <w:rFonts w:cs="Times New Roman"/>
          <w:noProof/>
          <w:szCs w:val="24"/>
        </w:rPr>
      </w:pPr>
      <w:r>
        <w:rPr>
          <w:rFonts w:cs="Times New Roman"/>
          <w:noProof/>
          <w:szCs w:val="24"/>
        </w:rPr>
        <w:t xml:space="preserve">Phase II standards, which will take effect from 2018 while becoming increasingly stringent over the coming decade, will regulate not only lorry efficiency but also trailer efficiency. </w:t>
      </w:r>
    </w:p>
    <w:p w:rsidR="003E180D" w:rsidRDefault="003E180D" w:rsidP="003E180D">
      <w:pPr>
        <w:spacing w:after="120" w:line="240" w:lineRule="auto"/>
        <w:jc w:val="both"/>
        <w:rPr>
          <w:rFonts w:cs="Times New Roman"/>
          <w:noProof/>
          <w:szCs w:val="24"/>
        </w:rPr>
      </w:pPr>
      <w:r>
        <w:rPr>
          <w:rFonts w:cs="Times New Roman"/>
          <w:noProof/>
          <w:szCs w:val="24"/>
        </w:rPr>
        <w:t xml:space="preserve">Canada followed US standards and adopted the same Phase I and Phase II standards. </w:t>
      </w:r>
    </w:p>
    <w:p w:rsidR="003E180D" w:rsidRDefault="003E180D" w:rsidP="003E180D">
      <w:pPr>
        <w:spacing w:after="120" w:line="240" w:lineRule="auto"/>
        <w:jc w:val="both"/>
        <w:rPr>
          <w:rFonts w:cs="Times New Roman"/>
          <w:b/>
          <w:i/>
          <w:noProof/>
          <w:szCs w:val="24"/>
        </w:rPr>
      </w:pPr>
      <w:r>
        <w:rPr>
          <w:rFonts w:cs="Times New Roman"/>
          <w:b/>
          <w:i/>
          <w:noProof/>
          <w:szCs w:val="24"/>
        </w:rPr>
        <w:t>Situation in China</w:t>
      </w:r>
    </w:p>
    <w:p w:rsidR="003E180D" w:rsidRDefault="003E180D" w:rsidP="003E180D">
      <w:pPr>
        <w:spacing w:after="120" w:line="240" w:lineRule="auto"/>
        <w:jc w:val="both"/>
        <w:rPr>
          <w:rFonts w:cs="Times New Roman"/>
          <w:noProof/>
          <w:szCs w:val="24"/>
        </w:rPr>
      </w:pPr>
      <w:r>
        <w:rPr>
          <w:rFonts w:cs="Times New Roman"/>
          <w:noProof/>
          <w:szCs w:val="24"/>
        </w:rPr>
        <w:t xml:space="preserve">In 2012, China put in place a type approval standard (Phase I) in order to establish a benchmark against which to design a subsequent round of emission standards. By 2015, these new standards (Phase II) were applied on all new heavy-duty vehicle sales. </w:t>
      </w:r>
    </w:p>
    <w:p w:rsidR="003E180D" w:rsidRDefault="003E180D" w:rsidP="003E180D">
      <w:pPr>
        <w:spacing w:after="120" w:line="240" w:lineRule="auto"/>
        <w:jc w:val="both"/>
        <w:rPr>
          <w:rFonts w:cs="Times New Roman"/>
          <w:noProof/>
          <w:szCs w:val="24"/>
        </w:rPr>
      </w:pPr>
      <w:r>
        <w:rPr>
          <w:rFonts w:cs="Times New Roman"/>
          <w:noProof/>
          <w:szCs w:val="24"/>
        </w:rPr>
        <w:t xml:space="preserve">Phase II standards differ by fuel and vehicle type and a step function mandates maximum fuel consumption by gross vehicle weight. Testing is performed on a version of the World Harmonised Transient Vehicle Cycle modified to reflect Chinese on-road conditions. </w:t>
      </w:r>
    </w:p>
    <w:p w:rsidR="003E180D" w:rsidRDefault="003E180D" w:rsidP="003E180D">
      <w:pPr>
        <w:spacing w:after="120" w:line="240" w:lineRule="auto"/>
        <w:jc w:val="both"/>
        <w:rPr>
          <w:rFonts w:cs="Times New Roman"/>
          <w:noProof/>
          <w:szCs w:val="24"/>
        </w:rPr>
      </w:pPr>
      <w:r>
        <w:rPr>
          <w:rFonts w:cs="Times New Roman"/>
          <w:noProof/>
          <w:szCs w:val="24"/>
        </w:rPr>
        <w:t>China's Phase III standards, expected to be introduced between 2019 and 2021, target a reduction in fuel consumption of about 15% in 2020 from 2015 levels.</w:t>
      </w:r>
    </w:p>
    <w:p w:rsidR="003E180D" w:rsidRDefault="003E180D" w:rsidP="003E180D">
      <w:pPr>
        <w:spacing w:after="120" w:line="240" w:lineRule="auto"/>
        <w:jc w:val="both"/>
        <w:rPr>
          <w:rFonts w:cs="Times New Roman"/>
          <w:noProof/>
          <w:szCs w:val="24"/>
        </w:rPr>
      </w:pPr>
      <w:r>
        <w:rPr>
          <w:rFonts w:cs="Times New Roman"/>
          <w:noProof/>
          <w:szCs w:val="24"/>
        </w:rPr>
        <w:t>China regulates new type approvals, conducts conformity of production testing and runs inspection and maintenance programmes as a part of its heavy duty emissions regulation programme. The former two compliance mechanisms are the responsibility of the Ministry of Environmental Protection (MEP). The institution implementing the programmes is the Vehicle Emission Control Centre (VECC) under the MEP.</w:t>
      </w:r>
    </w:p>
    <w:p w:rsidR="003E180D" w:rsidRDefault="003E180D" w:rsidP="003E180D">
      <w:pPr>
        <w:spacing w:after="120" w:line="240" w:lineRule="auto"/>
        <w:jc w:val="both"/>
        <w:rPr>
          <w:rFonts w:cs="Times New Roman"/>
          <w:b/>
          <w:i/>
          <w:noProof/>
          <w:szCs w:val="24"/>
        </w:rPr>
      </w:pPr>
      <w:r>
        <w:rPr>
          <w:rFonts w:cs="Times New Roman"/>
          <w:b/>
          <w:i/>
          <w:noProof/>
          <w:szCs w:val="24"/>
        </w:rPr>
        <w:t>Situation in Japan</w:t>
      </w:r>
    </w:p>
    <w:p w:rsidR="003E180D" w:rsidRDefault="003E180D" w:rsidP="003E180D">
      <w:pPr>
        <w:spacing w:after="120" w:line="240" w:lineRule="auto"/>
        <w:jc w:val="both"/>
        <w:rPr>
          <w:rFonts w:cs="Times New Roman"/>
          <w:noProof/>
          <w:szCs w:val="24"/>
        </w:rPr>
      </w:pPr>
      <w:r>
        <w:rPr>
          <w:rFonts w:cs="Times New Roman"/>
          <w:noProof/>
          <w:szCs w:val="24"/>
        </w:rPr>
        <w:t xml:space="preserve">Japan was the first country to introduce in 2006 a fuel consumption based rule for HDVs, both for energy security reasons and for meeting global climate targets. The standards are given as km/litre and became applicable from April 1st, 2015. </w:t>
      </w:r>
    </w:p>
    <w:p w:rsidR="003E180D" w:rsidRDefault="003E180D" w:rsidP="003E180D">
      <w:pPr>
        <w:spacing w:after="120" w:line="240" w:lineRule="auto"/>
        <w:jc w:val="both"/>
        <w:rPr>
          <w:rFonts w:cs="Times New Roman"/>
          <w:noProof/>
          <w:szCs w:val="24"/>
        </w:rPr>
      </w:pPr>
      <w:r>
        <w:rPr>
          <w:rFonts w:cs="Times New Roman"/>
          <w:noProof/>
          <w:szCs w:val="24"/>
        </w:rPr>
        <w:t xml:space="preserve">The standards are based on the "Top Runner Programme" which takes the best performing vehicle in the market as the baseline for the standards. For HDVs, the best-in-class vehicles in each category from the model year 2002, plus an additional 12.2% fuel efficiency gain for lorries and 12.1% gain for buses, were used to set the 2015 fleet average fuel efficiency targets. Separate limits were set for 13 categories of lorries and 12 types of buses. </w:t>
      </w:r>
    </w:p>
    <w:p w:rsidR="003E180D" w:rsidRDefault="003E180D" w:rsidP="003E180D">
      <w:pPr>
        <w:spacing w:after="120" w:line="240" w:lineRule="auto"/>
        <w:jc w:val="both"/>
        <w:rPr>
          <w:rFonts w:cs="Times New Roman"/>
          <w:noProof/>
          <w:szCs w:val="24"/>
        </w:rPr>
      </w:pPr>
      <w:r>
        <w:rPr>
          <w:rFonts w:cs="Times New Roman"/>
          <w:noProof/>
          <w:szCs w:val="24"/>
        </w:rPr>
        <w:t>Compliance is determined by use of a computer simulation procedure that calculates fuel efficiency based on engine dynamometer testing. The penalties for non-compliance are relatively loose. The most notable enforcement mechanism is a public announcement by the Authorities, which is considered a severe enough incentive to ensure compliance.</w:t>
      </w:r>
    </w:p>
    <w:p w:rsidR="003E180D" w:rsidRDefault="003E180D" w:rsidP="003E180D">
      <w:pPr>
        <w:spacing w:after="120" w:line="240" w:lineRule="auto"/>
        <w:jc w:val="both"/>
        <w:rPr>
          <w:rFonts w:cs="Times New Roman"/>
          <w:b/>
          <w:i/>
          <w:noProof/>
          <w:szCs w:val="24"/>
        </w:rPr>
      </w:pPr>
      <w:r>
        <w:rPr>
          <w:rFonts w:cs="Times New Roman"/>
          <w:b/>
          <w:i/>
          <w:noProof/>
          <w:szCs w:val="24"/>
        </w:rPr>
        <w:t>Situation in other countries</w:t>
      </w:r>
    </w:p>
    <w:p w:rsidR="003E180D" w:rsidRDefault="003E180D" w:rsidP="003E180D">
      <w:pPr>
        <w:spacing w:after="120" w:line="240" w:lineRule="auto"/>
        <w:jc w:val="both"/>
        <w:rPr>
          <w:rFonts w:cs="Times New Roman"/>
          <w:noProof/>
          <w:szCs w:val="24"/>
        </w:rPr>
      </w:pPr>
      <w:r>
        <w:rPr>
          <w:rFonts w:cs="Times New Roman"/>
          <w:noProof/>
          <w:szCs w:val="24"/>
        </w:rPr>
        <w:t>India introduced HDV efficiency standards for vehicles exceeding 12 tonnes in 2017. The standards will apply during the period 2018 – 2021.</w:t>
      </w:r>
    </w:p>
    <w:p w:rsidR="003E180D" w:rsidRDefault="003E180D" w:rsidP="003E180D">
      <w:pPr>
        <w:spacing w:after="120" w:line="240" w:lineRule="auto"/>
        <w:jc w:val="both"/>
        <w:rPr>
          <w:rFonts w:cs="Times New Roman"/>
          <w:noProof/>
          <w:szCs w:val="24"/>
        </w:rPr>
      </w:pPr>
      <w:r>
        <w:rPr>
          <w:rFonts w:cs="Times New Roman"/>
          <w:noProof/>
          <w:szCs w:val="24"/>
        </w:rPr>
        <w:t xml:space="preserve">Mexico adopted standards for HDVs in 2018. Starting from 2021 onwards, all new HDVs sold in Mexico will be required to meet the best-in-class tailpipe standards, equivalent to the performance of vehicles in North-America. </w:t>
      </w:r>
    </w:p>
    <w:p w:rsidR="003E180D" w:rsidRDefault="003E180D" w:rsidP="003E180D">
      <w:pPr>
        <w:spacing w:after="120" w:line="240" w:lineRule="auto"/>
        <w:jc w:val="both"/>
        <w:rPr>
          <w:rFonts w:cs="Times New Roman"/>
          <w:noProof/>
          <w:szCs w:val="24"/>
        </w:rPr>
      </w:pPr>
      <w:r>
        <w:rPr>
          <w:rFonts w:cs="Times New Roman"/>
          <w:noProof/>
          <w:szCs w:val="24"/>
        </w:rPr>
        <w:t>Among the countries considering the introduction of fuel efficiency and CO</w:t>
      </w:r>
      <w:r>
        <w:rPr>
          <w:rFonts w:cs="Times New Roman"/>
          <w:noProof/>
          <w:szCs w:val="24"/>
          <w:vertAlign w:val="subscript"/>
        </w:rPr>
        <w:t>2</w:t>
      </w:r>
      <w:r>
        <w:rPr>
          <w:rFonts w:cs="Times New Roman"/>
          <w:noProof/>
          <w:szCs w:val="24"/>
        </w:rPr>
        <w:t xml:space="preserve"> standards for HDVs are Russia and South Korea.</w:t>
      </w:r>
    </w:p>
    <w:p w:rsidR="003E180D" w:rsidRDefault="003E180D" w:rsidP="003E180D">
      <w:pPr>
        <w:rPr>
          <w:noProof/>
        </w:rPr>
      </w:pPr>
    </w:p>
    <w:p w:rsidR="003E180D" w:rsidRDefault="003E180D" w:rsidP="003E180D">
      <w:pPr>
        <w:pStyle w:val="Text1"/>
        <w:rPr>
          <w:noProof/>
        </w:rPr>
      </w:pPr>
    </w:p>
    <w:p w:rsidR="003E180D" w:rsidRDefault="003E180D" w:rsidP="003E180D">
      <w:pPr>
        <w:rPr>
          <w:rFonts w:eastAsia="Times New Roman" w:cs="Times New Roman"/>
          <w:b/>
          <w:smallCaps/>
          <w:noProof/>
          <w:szCs w:val="24"/>
        </w:rPr>
      </w:pPr>
      <w:bookmarkStart w:id="322" w:name="_Toc508124783"/>
      <w:bookmarkStart w:id="323" w:name="_Toc508126148"/>
      <w:r>
        <w:rPr>
          <w:noProof/>
        </w:rPr>
        <w:br w:type="page"/>
      </w:r>
    </w:p>
    <w:p w:rsidR="003E180D" w:rsidRDefault="003E180D" w:rsidP="003E180D">
      <w:pPr>
        <w:pStyle w:val="Heading1"/>
        <w:numPr>
          <w:ilvl w:val="0"/>
          <w:numId w:val="22"/>
        </w:numPr>
        <w:rPr>
          <w:noProof/>
        </w:rPr>
      </w:pPr>
      <w:bookmarkStart w:id="324" w:name="_Toc508127520"/>
      <w:bookmarkStart w:id="325" w:name="_Toc508127874"/>
      <w:bookmarkStart w:id="326" w:name="_Toc508129646"/>
      <w:bookmarkStart w:id="327" w:name="_Toc508181037"/>
      <w:bookmarkStart w:id="328" w:name="_Toc508186630"/>
      <w:bookmarkStart w:id="329" w:name="_Toc510708111"/>
      <w:bookmarkStart w:id="330" w:name="_Toc514328807"/>
      <w:r>
        <w:rPr>
          <w:noProof/>
        </w:rPr>
        <w:t>Annex 6: Policy initiatives addressing transport emissions</w:t>
      </w:r>
      <w:bookmarkEnd w:id="322"/>
      <w:bookmarkEnd w:id="323"/>
      <w:bookmarkEnd w:id="324"/>
      <w:bookmarkEnd w:id="325"/>
      <w:bookmarkEnd w:id="326"/>
      <w:bookmarkEnd w:id="327"/>
      <w:bookmarkEnd w:id="328"/>
      <w:bookmarkEnd w:id="329"/>
      <w:bookmarkEnd w:id="330"/>
    </w:p>
    <w:p w:rsidR="003E180D" w:rsidRDefault="003E180D" w:rsidP="003E180D">
      <w:pPr>
        <w:pStyle w:val="Heading2"/>
        <w:numPr>
          <w:ilvl w:val="1"/>
          <w:numId w:val="22"/>
        </w:numPr>
        <w:spacing w:before="240" w:after="240"/>
        <w:rPr>
          <w:noProof/>
        </w:rPr>
      </w:pPr>
      <w:bookmarkStart w:id="331" w:name="_Toc508127521"/>
      <w:bookmarkStart w:id="332" w:name="_Toc508124784"/>
      <w:bookmarkStart w:id="333" w:name="_Toc508126149"/>
      <w:bookmarkStart w:id="334" w:name="_Toc508127875"/>
      <w:bookmarkStart w:id="335" w:name="_Toc508129647"/>
      <w:bookmarkStart w:id="336" w:name="_Toc508181038"/>
      <w:bookmarkStart w:id="337" w:name="_Toc508186631"/>
      <w:bookmarkStart w:id="338" w:name="_Toc510708112"/>
      <w:bookmarkStart w:id="339" w:name="_Toc514328808"/>
      <w:r>
        <w:rPr>
          <w:noProof/>
        </w:rPr>
        <w:t>O</w:t>
      </w:r>
      <w:bookmarkEnd w:id="331"/>
      <w:r>
        <w:rPr>
          <w:noProof/>
        </w:rPr>
        <w:t>verview</w:t>
      </w:r>
      <w:bookmarkEnd w:id="332"/>
      <w:bookmarkEnd w:id="333"/>
      <w:r>
        <w:rPr>
          <w:noProof/>
        </w:rPr>
        <w:t xml:space="preserve"> of recent Commission initiatives</w:t>
      </w:r>
      <w:bookmarkEnd w:id="334"/>
      <w:bookmarkEnd w:id="335"/>
      <w:bookmarkEnd w:id="336"/>
      <w:bookmarkEnd w:id="337"/>
      <w:bookmarkEnd w:id="338"/>
      <w:bookmarkEnd w:id="339"/>
    </w:p>
    <w:p w:rsidR="003E180D" w:rsidRDefault="003E180D" w:rsidP="003E180D">
      <w:pPr>
        <w:spacing w:after="120" w:line="240" w:lineRule="auto"/>
        <w:rPr>
          <w:rFonts w:cs="Times New Roman"/>
          <w:b/>
          <w:i/>
          <w:noProof/>
          <w:szCs w:val="24"/>
        </w:rPr>
      </w:pPr>
      <w:r>
        <w:rPr>
          <w:rFonts w:cs="Times New Roman"/>
          <w:b/>
          <w:i/>
          <w:noProof/>
          <w:szCs w:val="24"/>
        </w:rPr>
        <w:t>2016 European Strategy for low-emission mobility</w:t>
      </w:r>
    </w:p>
    <w:p w:rsidR="003E180D" w:rsidRDefault="003E180D" w:rsidP="003E180D">
      <w:pPr>
        <w:autoSpaceDE w:val="0"/>
        <w:autoSpaceDN w:val="0"/>
        <w:adjustRightInd w:val="0"/>
        <w:spacing w:after="120" w:line="240" w:lineRule="auto"/>
        <w:jc w:val="both"/>
        <w:rPr>
          <w:rFonts w:eastAsia="Times New Roman" w:cs="Times New Roman"/>
          <w:noProof/>
          <w:szCs w:val="24"/>
        </w:rPr>
      </w:pPr>
      <w:r>
        <w:rPr>
          <w:rFonts w:eastAsia="Times New Roman" w:cs="Times New Roman"/>
          <w:noProof/>
          <w:szCs w:val="24"/>
          <w:lang w:val="en-IE"/>
        </w:rPr>
        <w:t xml:space="preserve">In 2016, </w:t>
      </w:r>
      <w:hyperlink r:id="rId36" w:history="1">
        <w:r>
          <w:rPr>
            <w:rFonts w:eastAsia="Times New Roman" w:cs="Times New Roman"/>
            <w:noProof/>
            <w:szCs w:val="24"/>
            <w:lang w:val="en-IE"/>
          </w:rPr>
          <w:t>the European Strategy for low-emission mobility</w:t>
        </w:r>
      </w:hyperlink>
      <w:r>
        <w:rPr>
          <w:rFonts w:eastAsia="Times New Roman" w:cs="Times New Roman"/>
          <w:noProof/>
          <w:szCs w:val="24"/>
          <w:lang w:val="en-IE"/>
        </w:rPr>
        <w:t xml:space="preserve"> reaffirmed the objective of reducing GHG emissions from transport by at least 60% on 1990 level by 2050. At the same time, </w:t>
      </w:r>
      <w:r>
        <w:rPr>
          <w:rFonts w:eastAsia="Times New Roman" w:cs="Times New Roman"/>
          <w:noProof/>
          <w:szCs w:val="24"/>
        </w:rPr>
        <w:t>the Commission proposed 2030 GHG emission reduction targets for the non-ETS sectors for each Member State under the Effort Sharing Regulation</w:t>
      </w:r>
      <w:r>
        <w:rPr>
          <w:rStyle w:val="FootnoteReference"/>
          <w:rFonts w:eastAsia="Times New Roman" w:cs="Times New Roman"/>
          <w:noProof/>
          <w:szCs w:val="24"/>
        </w:rPr>
        <w:footnoteReference w:id="36"/>
      </w:r>
      <w:r>
        <w:rPr>
          <w:rFonts w:eastAsia="Times New Roman" w:cs="Times New Roman"/>
          <w:noProof/>
          <w:szCs w:val="24"/>
        </w:rPr>
        <w:t xml:space="preserve"> and these were recently agreed by the co-legislators. Proposals revising the Energy Efficiency Directive</w:t>
      </w:r>
      <w:r>
        <w:rPr>
          <w:rStyle w:val="FootnoteReference"/>
          <w:rFonts w:eastAsia="Times New Roman" w:cs="Times New Roman"/>
          <w:noProof/>
          <w:szCs w:val="24"/>
        </w:rPr>
        <w:footnoteReference w:id="37"/>
      </w:r>
      <w:r>
        <w:rPr>
          <w:rFonts w:eastAsia="Times New Roman" w:cs="Times New Roman"/>
          <w:noProof/>
          <w:szCs w:val="24"/>
        </w:rPr>
        <w:t xml:space="preserve"> and the Renewable Energy Directive</w:t>
      </w:r>
      <w:r>
        <w:rPr>
          <w:rStyle w:val="FootnoteReference"/>
          <w:rFonts w:eastAsia="Times New Roman" w:cs="Times New Roman"/>
          <w:noProof/>
          <w:szCs w:val="24"/>
        </w:rPr>
        <w:footnoteReference w:id="38"/>
      </w:r>
      <w:r>
        <w:rPr>
          <w:rFonts w:eastAsia="Times New Roman" w:cs="Times New Roman"/>
          <w:noProof/>
          <w:szCs w:val="24"/>
        </w:rPr>
        <w:t xml:space="preserve"> are being discussed in the Council and the European Parliament. </w:t>
      </w:r>
    </w:p>
    <w:p w:rsidR="003E180D" w:rsidRDefault="003E180D" w:rsidP="003E180D">
      <w:pPr>
        <w:spacing w:after="120" w:line="240" w:lineRule="auto"/>
        <w:rPr>
          <w:rFonts w:cs="Times New Roman"/>
          <w:b/>
          <w:i/>
          <w:noProof/>
          <w:szCs w:val="24"/>
        </w:rPr>
      </w:pPr>
      <w:r>
        <w:rPr>
          <w:rFonts w:cs="Times New Roman"/>
          <w:b/>
          <w:i/>
          <w:noProof/>
          <w:szCs w:val="24"/>
        </w:rPr>
        <w:t>Communication “Europe on the Move” of May 2017</w:t>
      </w:r>
    </w:p>
    <w:p w:rsidR="003E180D" w:rsidRDefault="003E180D" w:rsidP="003E180D">
      <w:pPr>
        <w:tabs>
          <w:tab w:val="left" w:pos="2302"/>
        </w:tabs>
        <w:spacing w:after="120" w:line="240" w:lineRule="auto"/>
        <w:jc w:val="both"/>
        <w:rPr>
          <w:rFonts w:eastAsia="Times New Roman" w:cs="Times New Roman"/>
          <w:noProof/>
          <w:szCs w:val="20"/>
        </w:rPr>
      </w:pPr>
      <w:r>
        <w:rPr>
          <w:rFonts w:eastAsia="Times New Roman" w:cs="Times New Roman"/>
          <w:noProof/>
          <w:szCs w:val="20"/>
        </w:rPr>
        <w:t>The Commission's May 2017 Communication 'Europe on the Move</w:t>
      </w:r>
      <w:r>
        <w:rPr>
          <w:rFonts w:eastAsia="Times New Roman" w:cs="Times New Roman"/>
          <w:noProof/>
          <w:szCs w:val="20"/>
          <w:vertAlign w:val="superscript"/>
        </w:rPr>
        <w:footnoteReference w:id="39"/>
      </w:r>
      <w:r>
        <w:rPr>
          <w:rFonts w:eastAsia="Times New Roman" w:cs="Times New Roman"/>
          <w:noProof/>
          <w:szCs w:val="20"/>
        </w:rPr>
        <w:t xml:space="preserve">: An agenda for a socially fair transition towards clean, competitive and connected mobility for all' makes clear that ambition is to ensure that the best low-emission, connected and automated mobility solutions, equipment and vehicles will be developed, offered and manufactured in Europe and that we have in place the most modern infrastructure to support them. </w:t>
      </w:r>
    </w:p>
    <w:p w:rsidR="003E180D" w:rsidRDefault="003E180D" w:rsidP="003E180D">
      <w:pPr>
        <w:spacing w:after="120" w:line="240" w:lineRule="auto"/>
        <w:jc w:val="both"/>
        <w:rPr>
          <w:rFonts w:cs="Times New Roman"/>
          <w:b/>
          <w:i/>
          <w:noProof/>
          <w:szCs w:val="24"/>
        </w:rPr>
      </w:pPr>
      <w:r>
        <w:rPr>
          <w:rFonts w:cs="Times New Roman"/>
          <w:b/>
          <w:i/>
          <w:noProof/>
          <w:szCs w:val="24"/>
        </w:rPr>
        <w:t xml:space="preserve">Industrial Policy Strategy of September 2017 </w:t>
      </w:r>
    </w:p>
    <w:p w:rsidR="003E180D" w:rsidRDefault="003E180D" w:rsidP="003E180D">
      <w:pPr>
        <w:tabs>
          <w:tab w:val="left" w:pos="2302"/>
        </w:tabs>
        <w:spacing w:after="120" w:line="240" w:lineRule="auto"/>
        <w:jc w:val="both"/>
        <w:rPr>
          <w:rFonts w:eastAsia="Times New Roman" w:cs="Times New Roman"/>
          <w:noProof/>
          <w:szCs w:val="20"/>
        </w:rPr>
      </w:pPr>
      <w:r>
        <w:rPr>
          <w:rFonts w:eastAsia="Times New Roman" w:cs="Times New Roman"/>
          <w:noProof/>
          <w:szCs w:val="20"/>
        </w:rPr>
        <w:t xml:space="preserve">In September 2017, the Commission also adopted its Industrial Policy Strategy </w:t>
      </w:r>
      <w:r>
        <w:rPr>
          <w:rFonts w:eastAsia="Times New Roman" w:cs="Times New Roman"/>
          <w:noProof/>
          <w:szCs w:val="20"/>
          <w:lang w:val="en"/>
        </w:rPr>
        <w:t xml:space="preserve">aimed at promoting sustainable growth and jobs with a focus on innovation, digitization and </w:t>
      </w:r>
      <w:r>
        <w:rPr>
          <w:rFonts w:eastAsia="Times New Roman" w:cs="Times New Roman"/>
          <w:noProof/>
          <w:szCs w:val="20"/>
        </w:rPr>
        <w:t xml:space="preserve">decarbonisation. </w:t>
      </w:r>
    </w:p>
    <w:p w:rsidR="003E180D" w:rsidRDefault="003E180D" w:rsidP="003E180D">
      <w:pPr>
        <w:tabs>
          <w:tab w:val="left" w:pos="2302"/>
        </w:tabs>
        <w:spacing w:after="120" w:line="240" w:lineRule="auto"/>
        <w:jc w:val="both"/>
        <w:rPr>
          <w:rFonts w:cs="Times New Roman"/>
          <w:b/>
          <w:i/>
          <w:noProof/>
          <w:szCs w:val="24"/>
        </w:rPr>
      </w:pPr>
      <w:r>
        <w:rPr>
          <w:rFonts w:cs="Times New Roman"/>
          <w:b/>
          <w:i/>
          <w:noProof/>
          <w:szCs w:val="24"/>
        </w:rPr>
        <w:t>Proposal for a Regulation setting CO</w:t>
      </w:r>
      <w:r>
        <w:rPr>
          <w:rFonts w:cs="Times New Roman"/>
          <w:b/>
          <w:i/>
          <w:noProof/>
          <w:szCs w:val="24"/>
          <w:vertAlign w:val="subscript"/>
        </w:rPr>
        <w:t>2</w:t>
      </w:r>
      <w:r>
        <w:rPr>
          <w:rFonts w:cs="Times New Roman"/>
          <w:b/>
          <w:i/>
          <w:noProof/>
          <w:szCs w:val="24"/>
        </w:rPr>
        <w:t xml:space="preserve"> emission performance standards for light-duty vehicles for the period up to 2030</w:t>
      </w:r>
    </w:p>
    <w:p w:rsidR="003E180D" w:rsidRDefault="003E180D" w:rsidP="003E180D">
      <w:pPr>
        <w:tabs>
          <w:tab w:val="left" w:pos="2302"/>
        </w:tabs>
        <w:spacing w:after="120" w:line="240" w:lineRule="auto"/>
        <w:jc w:val="both"/>
        <w:rPr>
          <w:rFonts w:eastAsia="Times New Roman" w:cs="Times New Roman"/>
          <w:noProof/>
          <w:szCs w:val="24"/>
        </w:rPr>
      </w:pPr>
      <w:r>
        <w:rPr>
          <w:rFonts w:eastAsia="Times New Roman" w:cs="Times New Roman"/>
          <w:noProof/>
          <w:szCs w:val="24"/>
        </w:rPr>
        <w:t>In November 2017, the Commission adopted a Proposal</w:t>
      </w:r>
      <w:r>
        <w:rPr>
          <w:rFonts w:eastAsia="Times New Roman" w:cs="Times New Roman"/>
          <w:noProof/>
          <w:szCs w:val="24"/>
          <w:vertAlign w:val="superscript"/>
        </w:rPr>
        <w:footnoteReference w:id="40"/>
      </w:r>
      <w:r>
        <w:rPr>
          <w:rFonts w:eastAsia="Times New Roman" w:cs="Times New Roman"/>
          <w:noProof/>
          <w:szCs w:val="24"/>
        </w:rPr>
        <w:t xml:space="preserve"> for a Regulation setting CO</w:t>
      </w:r>
      <w:r>
        <w:rPr>
          <w:rFonts w:eastAsia="Times New Roman" w:cs="Times New Roman"/>
          <w:noProof/>
          <w:szCs w:val="24"/>
          <w:vertAlign w:val="subscript"/>
        </w:rPr>
        <w:t>2</w:t>
      </w:r>
      <w:r>
        <w:rPr>
          <w:rFonts w:eastAsia="Times New Roman" w:cs="Times New Roman"/>
          <w:noProof/>
          <w:szCs w:val="20"/>
        </w:rPr>
        <w:t xml:space="preserve"> </w:t>
      </w:r>
      <w:r>
        <w:rPr>
          <w:rFonts w:eastAsia="Times New Roman" w:cs="Times New Roman"/>
          <w:noProof/>
          <w:szCs w:val="24"/>
        </w:rPr>
        <w:t>emission performance standards for light-duty vehicles (cars and vans) for the period up to 2030. These standards will contribute to achieving the targets set out in the Effort Sharing Regulation. However, as indicated in the accompanying impact assessment</w:t>
      </w:r>
      <w:r>
        <w:rPr>
          <w:rFonts w:eastAsia="Times New Roman" w:cs="Times New Roman"/>
          <w:noProof/>
          <w:szCs w:val="24"/>
          <w:vertAlign w:val="superscript"/>
        </w:rPr>
        <w:footnoteReference w:id="41"/>
      </w:r>
      <w:r>
        <w:rPr>
          <w:rFonts w:eastAsia="Times New Roman" w:cs="Times New Roman"/>
          <w:noProof/>
          <w:szCs w:val="24"/>
        </w:rPr>
        <w:t xml:space="preserve"> underlying the proposal, further measures are needed in the road transport sector, in particular as re</w:t>
      </w:r>
      <w:bookmarkStart w:id="340" w:name="_Ref504739163"/>
      <w:bookmarkStart w:id="341" w:name="_Toc506305338"/>
      <w:bookmarkStart w:id="342" w:name="_Toc506305571"/>
      <w:bookmarkStart w:id="343" w:name="_Toc506487754"/>
      <w:bookmarkStart w:id="344" w:name="_Toc507516333"/>
      <w:bookmarkStart w:id="345" w:name="_Toc507517488"/>
      <w:bookmarkStart w:id="346" w:name="_Toc507519040"/>
      <w:bookmarkStart w:id="347" w:name="_Toc507519392"/>
      <w:bookmarkStart w:id="348" w:name="_Toc507580451"/>
      <w:bookmarkStart w:id="349" w:name="_Toc507581263"/>
      <w:bookmarkStart w:id="350" w:name="_Toc507582283"/>
      <w:bookmarkStart w:id="351" w:name="_Toc507598231"/>
      <w:r>
        <w:rPr>
          <w:rFonts w:eastAsia="Times New Roman" w:cs="Times New Roman"/>
          <w:noProof/>
          <w:szCs w:val="24"/>
        </w:rPr>
        <w:t>gards Heavy-Duty Vehicles.</w:t>
      </w:r>
    </w:p>
    <w:p w:rsidR="003E180D" w:rsidRDefault="003E180D" w:rsidP="003E180D">
      <w:pPr>
        <w:rPr>
          <w:rFonts w:cs="Times New Roman"/>
          <w:b/>
          <w:noProof/>
          <w:szCs w:val="24"/>
        </w:rPr>
      </w:pPr>
      <w:bookmarkStart w:id="352" w:name="_Toc508127876"/>
      <w:r>
        <w:rPr>
          <w:noProof/>
        </w:rPr>
        <w:br w:type="page"/>
      </w:r>
    </w:p>
    <w:p w:rsidR="003E180D" w:rsidRDefault="003E180D" w:rsidP="003E180D">
      <w:pPr>
        <w:pStyle w:val="Heading2"/>
        <w:numPr>
          <w:ilvl w:val="1"/>
          <w:numId w:val="22"/>
        </w:numPr>
        <w:spacing w:before="240" w:after="240"/>
        <w:ind w:left="578" w:hanging="578"/>
        <w:rPr>
          <w:noProof/>
        </w:rPr>
      </w:pPr>
      <w:bookmarkStart w:id="353" w:name="_Toc508129648"/>
      <w:bookmarkStart w:id="354" w:name="_Toc508181039"/>
      <w:bookmarkStart w:id="355" w:name="_Toc508186632"/>
      <w:bookmarkStart w:id="356" w:name="_Toc510708113"/>
      <w:bookmarkStart w:id="357" w:name="_Toc514328809"/>
      <w:r>
        <w:rPr>
          <w:noProof/>
        </w:rPr>
        <w:t>Overview of broader EU mobility policies</w:t>
      </w:r>
      <w:bookmarkEnd w:id="340"/>
      <w:bookmarkEnd w:id="341"/>
      <w:bookmarkEnd w:id="342"/>
      <w:bookmarkEnd w:id="343"/>
      <w:bookmarkEnd w:id="344"/>
      <w:bookmarkEnd w:id="345"/>
      <w:bookmarkEnd w:id="346"/>
      <w:bookmarkEnd w:id="347"/>
      <w:bookmarkEnd w:id="348"/>
      <w:bookmarkEnd w:id="349"/>
      <w:bookmarkEnd w:id="350"/>
      <w:bookmarkEnd w:id="351"/>
      <w:bookmarkEnd w:id="352"/>
      <w:r>
        <w:rPr>
          <w:noProof/>
        </w:rPr>
        <w:t xml:space="preserve"> relevant for HDVs</w:t>
      </w:r>
      <w:bookmarkEnd w:id="353"/>
      <w:bookmarkEnd w:id="354"/>
      <w:bookmarkEnd w:id="355"/>
      <w:bookmarkEnd w:id="356"/>
      <w:bookmarkEnd w:id="357"/>
    </w:p>
    <w:p w:rsidR="003E180D" w:rsidRDefault="003E180D" w:rsidP="003E180D">
      <w:pPr>
        <w:spacing w:after="120" w:line="240" w:lineRule="auto"/>
        <w:jc w:val="both"/>
        <w:rPr>
          <w:rFonts w:eastAsia="Times New Roman" w:cs="Times New Roman"/>
          <w:i/>
          <w:noProof/>
          <w:szCs w:val="20"/>
        </w:rPr>
      </w:pPr>
      <w:r>
        <w:rPr>
          <w:rFonts w:eastAsia="Times New Roman" w:cs="Times New Roman"/>
          <w:noProof/>
          <w:szCs w:val="20"/>
        </w:rPr>
        <w:t>There are a number of different pieces of EU legislation, which are relevant for the decarbonisation of the road transport sector, including heavy-duty vehicles. These are divided into regulatory and non-regulatory measures and are listed below.</w:t>
      </w:r>
    </w:p>
    <w:p w:rsidR="003E180D" w:rsidRDefault="003E180D" w:rsidP="003E180D">
      <w:pPr>
        <w:spacing w:after="120" w:line="240" w:lineRule="auto"/>
        <w:jc w:val="both"/>
        <w:rPr>
          <w:rFonts w:eastAsia="Times New Roman" w:cs="Times New Roman"/>
          <w:i/>
          <w:noProof/>
          <w:szCs w:val="20"/>
        </w:rPr>
      </w:pPr>
      <w:r>
        <w:rPr>
          <w:rFonts w:eastAsia="Times New Roman" w:cs="Times New Roman"/>
          <w:i/>
          <w:noProof/>
          <w:szCs w:val="20"/>
        </w:rPr>
        <w:t>Regulatory measures</w:t>
      </w:r>
    </w:p>
    <w:p w:rsidR="003E180D" w:rsidRDefault="003E180D" w:rsidP="003E180D">
      <w:pPr>
        <w:numPr>
          <w:ilvl w:val="0"/>
          <w:numId w:val="2"/>
        </w:numPr>
        <w:spacing w:after="120" w:line="240" w:lineRule="auto"/>
        <w:ind w:left="426"/>
        <w:jc w:val="both"/>
        <w:rPr>
          <w:rFonts w:eastAsia="Times New Roman" w:cs="Times New Roman"/>
          <w:bCs/>
          <w:noProof/>
          <w:szCs w:val="24"/>
          <w:lang w:val="en"/>
        </w:rPr>
      </w:pPr>
      <w:r>
        <w:rPr>
          <w:rFonts w:eastAsia="Times New Roman" w:cs="Times New Roman"/>
          <w:bCs/>
          <w:noProof/>
          <w:szCs w:val="24"/>
          <w:lang w:val="en"/>
        </w:rPr>
        <w:t xml:space="preserve">The </w:t>
      </w:r>
      <w:r>
        <w:rPr>
          <w:rFonts w:eastAsia="Times New Roman" w:cs="Times New Roman"/>
          <w:b/>
          <w:bCs/>
          <w:noProof/>
          <w:szCs w:val="24"/>
          <w:lang w:val="en"/>
        </w:rPr>
        <w:t>EU type-approval system</w:t>
      </w:r>
      <w:r>
        <w:rPr>
          <w:rFonts w:eastAsia="Times New Roman" w:cs="Times New Roman"/>
          <w:bCs/>
          <w:noProof/>
          <w:szCs w:val="24"/>
          <w:lang w:val="en"/>
        </w:rPr>
        <w:t xml:space="preserve"> provides a common legal framework for the approval of motor vehicles and their trailers and of systems, components and separate technical units intended for these vehicles. Type approval is compulsory for all categories of whole vehicles, including those built in several stages. For HDVs, the recently adopted </w:t>
      </w:r>
      <w:r>
        <w:rPr>
          <w:rFonts w:eastAsia="Times New Roman" w:cs="Times New Roman"/>
          <w:b/>
          <w:bCs/>
          <w:noProof/>
          <w:szCs w:val="24"/>
          <w:lang w:val="en"/>
        </w:rPr>
        <w:t>HDV certification legislation</w:t>
      </w:r>
      <w:r>
        <w:rPr>
          <w:rFonts w:eastAsia="Times New Roman" w:cs="Times New Roman"/>
          <w:bCs/>
          <w:noProof/>
          <w:szCs w:val="24"/>
          <w:lang w:val="en"/>
        </w:rPr>
        <w:t xml:space="preserve"> sets out the procedures for certifying CO</w:t>
      </w:r>
      <w:r>
        <w:rPr>
          <w:rFonts w:eastAsia="Times New Roman" w:cs="Times New Roman"/>
          <w:bCs/>
          <w:noProof/>
          <w:szCs w:val="24"/>
          <w:vertAlign w:val="subscript"/>
          <w:lang w:val="en"/>
        </w:rPr>
        <w:t>2</w:t>
      </w:r>
      <w:r>
        <w:rPr>
          <w:rFonts w:eastAsia="Times New Roman" w:cs="Times New Roman"/>
          <w:noProof/>
          <w:szCs w:val="20"/>
          <w:lang w:val="en"/>
        </w:rPr>
        <w:t xml:space="preserve"> </w:t>
      </w:r>
      <w:r>
        <w:rPr>
          <w:rFonts w:eastAsia="Times New Roman" w:cs="Times New Roman"/>
          <w:bCs/>
          <w:noProof/>
          <w:szCs w:val="24"/>
          <w:lang w:val="en"/>
        </w:rPr>
        <w:t>emissions and fuel consumption through VECTO. The data will be monitored and reported to the Commission as of 2020.</w:t>
      </w:r>
    </w:p>
    <w:p w:rsidR="003E180D" w:rsidRDefault="003E180D" w:rsidP="003E180D">
      <w:pPr>
        <w:numPr>
          <w:ilvl w:val="0"/>
          <w:numId w:val="2"/>
        </w:numPr>
        <w:spacing w:after="120" w:line="240" w:lineRule="auto"/>
        <w:ind w:left="426"/>
        <w:jc w:val="both"/>
        <w:rPr>
          <w:rFonts w:eastAsia="Times New Roman" w:cs="Times New Roman"/>
          <w:noProof/>
          <w:szCs w:val="24"/>
        </w:rPr>
      </w:pPr>
      <w:r>
        <w:rPr>
          <w:rFonts w:eastAsia="Times New Roman" w:cs="Times New Roman"/>
          <w:bCs/>
          <w:noProof/>
          <w:szCs w:val="24"/>
        </w:rPr>
        <w:t>The "</w:t>
      </w:r>
      <w:r>
        <w:rPr>
          <w:rFonts w:eastAsia="Times New Roman" w:cs="Times New Roman"/>
          <w:b/>
          <w:noProof/>
          <w:szCs w:val="24"/>
        </w:rPr>
        <w:t xml:space="preserve">Eurovignette" </w:t>
      </w:r>
      <w:r>
        <w:rPr>
          <w:rFonts w:eastAsia="Times New Roman" w:cs="Times New Roman"/>
          <w:b/>
          <w:noProof/>
          <w:szCs w:val="20"/>
        </w:rPr>
        <w:t>Directive</w:t>
      </w:r>
      <w:r>
        <w:rPr>
          <w:rFonts w:eastAsia="Times New Roman" w:cs="Times New Roman"/>
          <w:bCs/>
          <w:noProof/>
          <w:szCs w:val="24"/>
          <w:vertAlign w:val="superscript"/>
        </w:rPr>
        <w:footnoteReference w:id="42"/>
      </w:r>
      <w:r>
        <w:rPr>
          <w:rFonts w:cs="Times New Roman"/>
          <w:noProof/>
          <w:color w:val="000000"/>
          <w:szCs w:val="20"/>
        </w:rPr>
        <w:t xml:space="preserve"> </w:t>
      </w:r>
      <w:r>
        <w:rPr>
          <w:rFonts w:eastAsia="Times New Roman" w:cs="Times New Roman"/>
          <w:bCs/>
          <w:noProof/>
          <w:szCs w:val="24"/>
        </w:rPr>
        <w:t>aims at internalising negative externalities caused by the road freight transport, such as CO</w:t>
      </w:r>
      <w:r>
        <w:rPr>
          <w:rFonts w:eastAsia="Times New Roman" w:cs="Times New Roman"/>
          <w:bCs/>
          <w:noProof/>
          <w:szCs w:val="24"/>
          <w:vertAlign w:val="subscript"/>
        </w:rPr>
        <w:t>2</w:t>
      </w:r>
      <w:r>
        <w:rPr>
          <w:rFonts w:eastAsia="Times New Roman" w:cs="Times New Roman"/>
          <w:noProof/>
          <w:szCs w:val="20"/>
        </w:rPr>
        <w:t xml:space="preserve"> </w:t>
      </w:r>
      <w:r>
        <w:rPr>
          <w:rFonts w:eastAsia="Times New Roman" w:cs="Times New Roman"/>
          <w:bCs/>
          <w:noProof/>
          <w:szCs w:val="24"/>
        </w:rPr>
        <w:t xml:space="preserve">emissions, congestion, noise etc. </w:t>
      </w:r>
      <w:r>
        <w:rPr>
          <w:rFonts w:eastAsia="Times New Roman" w:cs="Times New Roman"/>
          <w:noProof/>
          <w:szCs w:val="24"/>
        </w:rPr>
        <w:t>The 2017 Commission proposal for its revision</w:t>
      </w:r>
      <w:r>
        <w:rPr>
          <w:rFonts w:eastAsia="Times New Roman" w:cs="Times New Roman"/>
          <w:noProof/>
          <w:szCs w:val="24"/>
          <w:vertAlign w:val="superscript"/>
        </w:rPr>
        <w:footnoteReference w:id="43"/>
      </w:r>
      <w:r>
        <w:rPr>
          <w:rFonts w:eastAsia="Times New Roman" w:cs="Times New Roman"/>
          <w:noProof/>
          <w:szCs w:val="24"/>
        </w:rPr>
        <w:t xml:space="preserve"> introduces variations in the infrastructure charges depending on the CO</w:t>
      </w:r>
      <w:r>
        <w:rPr>
          <w:rFonts w:eastAsia="Times New Roman" w:cs="Times New Roman"/>
          <w:noProof/>
          <w:szCs w:val="24"/>
          <w:vertAlign w:val="subscript"/>
        </w:rPr>
        <w:t>2</w:t>
      </w:r>
      <w:r>
        <w:rPr>
          <w:rFonts w:eastAsia="Times New Roman" w:cs="Times New Roman"/>
          <w:noProof/>
          <w:szCs w:val="20"/>
        </w:rPr>
        <w:t xml:space="preserve"> </w:t>
      </w:r>
      <w:r>
        <w:rPr>
          <w:rFonts w:eastAsia="Times New Roman" w:cs="Times New Roman"/>
          <w:noProof/>
          <w:szCs w:val="24"/>
        </w:rPr>
        <w:t>emissions of HDVs as of 1 January 2022. According to the accompanying Impact Assessment</w:t>
      </w:r>
      <w:r>
        <w:rPr>
          <w:rFonts w:eastAsia="Times New Roman" w:cs="Times New Roman"/>
          <w:noProof/>
          <w:szCs w:val="24"/>
          <w:vertAlign w:val="superscript"/>
        </w:rPr>
        <w:footnoteReference w:id="44"/>
      </w:r>
      <w:r>
        <w:rPr>
          <w:rFonts w:eastAsia="Times New Roman" w:cs="Times New Roman"/>
          <w:noProof/>
          <w:szCs w:val="24"/>
        </w:rPr>
        <w:t>, the proposed changes have the potential to reduce CO</w:t>
      </w:r>
      <w:r>
        <w:rPr>
          <w:rFonts w:eastAsia="Times New Roman" w:cs="Times New Roman"/>
          <w:noProof/>
          <w:szCs w:val="24"/>
          <w:vertAlign w:val="subscript"/>
        </w:rPr>
        <w:t>2</w:t>
      </w:r>
      <w:r>
        <w:rPr>
          <w:rFonts w:eastAsia="Times New Roman" w:cs="Times New Roman"/>
          <w:noProof/>
          <w:szCs w:val="20"/>
        </w:rPr>
        <w:t xml:space="preserve"> </w:t>
      </w:r>
      <w:r>
        <w:rPr>
          <w:rFonts w:eastAsia="Times New Roman" w:cs="Times New Roman"/>
          <w:noProof/>
          <w:szCs w:val="24"/>
        </w:rPr>
        <w:t xml:space="preserve">emissions for road transport by approximately 0.7% for the period 2005 – 2030. </w:t>
      </w:r>
    </w:p>
    <w:p w:rsidR="003E180D" w:rsidRDefault="003E180D" w:rsidP="003E180D">
      <w:pPr>
        <w:numPr>
          <w:ilvl w:val="0"/>
          <w:numId w:val="2"/>
        </w:numPr>
        <w:spacing w:after="120" w:line="240" w:lineRule="auto"/>
        <w:ind w:left="426"/>
        <w:jc w:val="both"/>
        <w:rPr>
          <w:rFonts w:eastAsia="Times New Roman" w:cs="Times New Roman"/>
          <w:bCs/>
          <w:noProof/>
          <w:szCs w:val="24"/>
        </w:rPr>
      </w:pPr>
      <w:r>
        <w:rPr>
          <w:rFonts w:eastAsia="Times New Roman" w:cs="Times New Roman"/>
          <w:b/>
          <w:noProof/>
          <w:szCs w:val="24"/>
        </w:rPr>
        <w:t xml:space="preserve">Directive on </w:t>
      </w:r>
      <w:r>
        <w:rPr>
          <w:rFonts w:eastAsia="Times New Roman" w:cs="Times New Roman"/>
          <w:b/>
          <w:bCs/>
          <w:noProof/>
          <w:szCs w:val="24"/>
          <w:lang w:val="en"/>
        </w:rPr>
        <w:t xml:space="preserve">maximum authorized </w:t>
      </w:r>
      <w:r>
        <w:rPr>
          <w:rFonts w:eastAsia="Times New Roman" w:cs="Times New Roman"/>
          <w:b/>
          <w:noProof/>
          <w:szCs w:val="24"/>
        </w:rPr>
        <w:t>weights and dimensions</w:t>
      </w:r>
      <w:r>
        <w:rPr>
          <w:rFonts w:eastAsia="Times New Roman" w:cs="Times New Roman"/>
          <w:noProof/>
          <w:szCs w:val="24"/>
          <w:vertAlign w:val="superscript"/>
        </w:rPr>
        <w:footnoteReference w:id="45"/>
      </w:r>
      <w:r>
        <w:rPr>
          <w:rFonts w:eastAsia="Times New Roman" w:cs="Times New Roman"/>
          <w:noProof/>
          <w:szCs w:val="24"/>
        </w:rPr>
        <w:t xml:space="preserve"> </w:t>
      </w:r>
      <w:r>
        <w:rPr>
          <w:rFonts w:eastAsia="Times New Roman" w:cs="Times New Roman"/>
          <w:bCs/>
          <w:noProof/>
          <w:szCs w:val="24"/>
          <w:lang w:val="en"/>
        </w:rPr>
        <w:t xml:space="preserve">requires </w:t>
      </w:r>
      <w:r>
        <w:rPr>
          <w:rFonts w:eastAsia="Times New Roman" w:cs="Times New Roman"/>
          <w:bCs/>
          <w:noProof/>
          <w:szCs w:val="24"/>
        </w:rPr>
        <w:t>HDVs in the EU to comply with certain rules on weights and dimensions</w:t>
      </w:r>
      <w:r>
        <w:rPr>
          <w:rFonts w:eastAsia="Times New Roman" w:cs="Times New Roman"/>
          <w:b/>
          <w:bCs/>
          <w:noProof/>
          <w:szCs w:val="24"/>
        </w:rPr>
        <w:t xml:space="preserve"> </w:t>
      </w:r>
      <w:r>
        <w:rPr>
          <w:rFonts w:eastAsia="Times New Roman" w:cs="Times New Roman"/>
          <w:bCs/>
          <w:noProof/>
          <w:szCs w:val="24"/>
        </w:rPr>
        <w:t xml:space="preserve">for road safety reasons and to avoid damaging roads, bridges and tunnels. It also aims at improving the fuel efficiency of HDVs by allowing appropriate vehicle design. Under this legislation, HDVs may exceed the maximum </w:t>
      </w:r>
      <w:r>
        <w:rPr>
          <w:rFonts w:eastAsia="Times New Roman" w:cs="Times New Roman"/>
          <w:bCs/>
          <w:noProof/>
          <w:szCs w:val="24"/>
          <w:lang w:val="en"/>
        </w:rPr>
        <w:t>dimensions</w:t>
      </w:r>
      <w:r>
        <w:rPr>
          <w:rFonts w:cs="Times New Roman"/>
          <w:noProof/>
          <w:szCs w:val="20"/>
        </w:rPr>
        <w:t xml:space="preserve"> </w:t>
      </w:r>
      <w:r>
        <w:rPr>
          <w:rFonts w:eastAsia="Times New Roman" w:cs="Times New Roman"/>
          <w:bCs/>
          <w:noProof/>
          <w:szCs w:val="24"/>
        </w:rPr>
        <w:t xml:space="preserve">permitted provided there are improvements in energy efficiency, aerodynamic and safety performance. Implementing legislation is being prepared to enable this provision.  </w:t>
      </w:r>
    </w:p>
    <w:p w:rsidR="003E180D" w:rsidRDefault="003E180D" w:rsidP="003E180D">
      <w:pPr>
        <w:numPr>
          <w:ilvl w:val="0"/>
          <w:numId w:val="2"/>
        </w:numPr>
        <w:spacing w:after="120" w:line="240" w:lineRule="auto"/>
        <w:ind w:left="426"/>
        <w:jc w:val="both"/>
        <w:rPr>
          <w:rFonts w:eastAsia="Times New Roman" w:cs="Times New Roman"/>
          <w:noProof/>
          <w:szCs w:val="24"/>
        </w:rPr>
      </w:pPr>
      <w:r>
        <w:rPr>
          <w:rFonts w:eastAsia="Times New Roman" w:cs="Times New Roman"/>
          <w:noProof/>
          <w:szCs w:val="24"/>
        </w:rPr>
        <w:t xml:space="preserve">The </w:t>
      </w:r>
      <w:r>
        <w:rPr>
          <w:rFonts w:eastAsia="Times New Roman" w:cs="Times New Roman"/>
          <w:b/>
          <w:bCs/>
          <w:noProof/>
          <w:szCs w:val="24"/>
        </w:rPr>
        <w:t>Clean Vehicles Directive</w:t>
      </w:r>
      <w:r>
        <w:rPr>
          <w:rFonts w:eastAsia="Times New Roman" w:cs="Times New Roman"/>
          <w:bCs/>
          <w:noProof/>
          <w:szCs w:val="24"/>
          <w:vertAlign w:val="superscript"/>
        </w:rPr>
        <w:footnoteReference w:id="46"/>
      </w:r>
      <w:r>
        <w:rPr>
          <w:rFonts w:eastAsia="Times New Roman" w:cs="Times New Roman"/>
          <w:b/>
          <w:bCs/>
          <w:noProof/>
          <w:szCs w:val="24"/>
        </w:rPr>
        <w:t xml:space="preserve"> </w:t>
      </w:r>
      <w:r>
        <w:rPr>
          <w:rFonts w:eastAsia="Times New Roman" w:cs="Times New Roman"/>
          <w:noProof/>
          <w:szCs w:val="24"/>
        </w:rPr>
        <w:t>requires public procurers to consider fuel consumption, CO</w:t>
      </w:r>
      <w:r>
        <w:rPr>
          <w:rFonts w:eastAsia="Times New Roman" w:cs="Times New Roman"/>
          <w:noProof/>
          <w:szCs w:val="20"/>
          <w:vertAlign w:val="subscript"/>
        </w:rPr>
        <w:t>2</w:t>
      </w:r>
      <w:r>
        <w:rPr>
          <w:rFonts w:eastAsia="Times New Roman" w:cs="Times New Roman"/>
          <w:noProof/>
          <w:szCs w:val="24"/>
        </w:rPr>
        <w:t>, and pollutant emissions when purchasing road transport vehicles,</w:t>
      </w:r>
      <w:r>
        <w:rPr>
          <w:rFonts w:cs="Times New Roman"/>
          <w:noProof/>
          <w:szCs w:val="20"/>
        </w:rPr>
        <w:t xml:space="preserve"> </w:t>
      </w:r>
      <w:r>
        <w:rPr>
          <w:rFonts w:eastAsia="Times New Roman" w:cs="Times New Roman"/>
          <w:noProof/>
          <w:szCs w:val="24"/>
        </w:rPr>
        <w:t>including HDVs. The Commission has proposed a revision of this Directive in order to better support achieving EU policy objectives on climate change and air pollution and to stimulate the market for clean vehicles and increase competitiveness. Targets are proposed for public procurements of clean vehicles, both LDVs and HDVs, to be implemented as of 2025. For HDVs, the proposed definition of a "clean vehicle" refers to the use of alternative fuels and, for the future, to the CO</w:t>
      </w:r>
      <w:r>
        <w:rPr>
          <w:rFonts w:eastAsia="Times New Roman" w:cs="Times New Roman"/>
          <w:noProof/>
          <w:szCs w:val="24"/>
          <w:vertAlign w:val="subscript"/>
        </w:rPr>
        <w:t>2</w:t>
      </w:r>
      <w:r>
        <w:rPr>
          <w:rFonts w:eastAsia="Times New Roman" w:cs="Times New Roman"/>
          <w:noProof/>
          <w:szCs w:val="24"/>
        </w:rPr>
        <w:t xml:space="preserve"> standards to be established at EU level. The proposal for a revised Clean Vehicle Directive is expected to result in about 1,800 ktonnes CO</w:t>
      </w:r>
      <w:r>
        <w:rPr>
          <w:rFonts w:eastAsia="Times New Roman" w:cs="Times New Roman"/>
          <w:noProof/>
          <w:szCs w:val="24"/>
          <w:vertAlign w:val="subscript"/>
        </w:rPr>
        <w:t>2</w:t>
      </w:r>
      <w:r>
        <w:rPr>
          <w:rFonts w:eastAsia="Times New Roman" w:cs="Times New Roman"/>
          <w:noProof/>
          <w:szCs w:val="24"/>
        </w:rPr>
        <w:t xml:space="preserve"> emission reductions for road transport, which is equivalent to CO</w:t>
      </w:r>
      <w:r>
        <w:rPr>
          <w:rFonts w:eastAsia="Times New Roman" w:cs="Times New Roman"/>
          <w:noProof/>
          <w:szCs w:val="24"/>
          <w:vertAlign w:val="subscript"/>
        </w:rPr>
        <w:t>2</w:t>
      </w:r>
      <w:r>
        <w:rPr>
          <w:rFonts w:eastAsia="Times New Roman" w:cs="Times New Roman"/>
          <w:noProof/>
          <w:szCs w:val="24"/>
        </w:rPr>
        <w:t xml:space="preserve"> reductions of approximately 0.2 % for the period 2005 – 2030.</w:t>
      </w:r>
      <w:r>
        <w:rPr>
          <w:rFonts w:eastAsia="Times New Roman" w:cs="Times New Roman"/>
          <w:noProof/>
          <w:szCs w:val="24"/>
          <w:vertAlign w:val="superscript"/>
        </w:rPr>
        <w:footnoteReference w:id="47"/>
      </w:r>
    </w:p>
    <w:p w:rsidR="003E180D" w:rsidRDefault="003E180D" w:rsidP="003E180D">
      <w:pPr>
        <w:numPr>
          <w:ilvl w:val="0"/>
          <w:numId w:val="2"/>
        </w:numPr>
        <w:spacing w:after="120" w:line="240" w:lineRule="auto"/>
        <w:ind w:left="426"/>
        <w:jc w:val="both"/>
        <w:rPr>
          <w:noProof/>
        </w:rPr>
      </w:pPr>
      <w:r>
        <w:rPr>
          <w:rFonts w:eastAsia="Times New Roman" w:cs="Times New Roman"/>
          <w:noProof/>
          <w:szCs w:val="20"/>
        </w:rPr>
        <w:t xml:space="preserve">The </w:t>
      </w:r>
      <w:r>
        <w:rPr>
          <w:rFonts w:eastAsia="Times New Roman" w:cs="Times New Roman"/>
          <w:b/>
          <w:noProof/>
          <w:szCs w:val="20"/>
        </w:rPr>
        <w:t>Renewable Energy Directive</w:t>
      </w:r>
      <w:r>
        <w:rPr>
          <w:rFonts w:eastAsia="Times New Roman" w:cs="Times New Roman"/>
          <w:noProof/>
          <w:szCs w:val="20"/>
        </w:rPr>
        <w:t xml:space="preserve"> (RED) contributes to achieving CO</w:t>
      </w:r>
      <w:r>
        <w:rPr>
          <w:rFonts w:eastAsia="Times New Roman" w:cs="Times New Roman"/>
          <w:noProof/>
          <w:szCs w:val="20"/>
          <w:vertAlign w:val="subscript"/>
        </w:rPr>
        <w:t>2</w:t>
      </w:r>
      <w:r>
        <w:rPr>
          <w:noProof/>
        </w:rPr>
        <w:t xml:space="preserve"> </w:t>
      </w:r>
      <w:r>
        <w:rPr>
          <w:rFonts w:eastAsia="Times New Roman" w:cs="Times New Roman"/>
          <w:noProof/>
          <w:szCs w:val="20"/>
        </w:rPr>
        <w:t>savings in road transport by requiring the use of renewable fuels. It sets a target for each Member State of a 10% share of renewable energy in transport by 2020. The</w:t>
      </w:r>
      <w:r>
        <w:rPr>
          <w:rFonts w:eastAsia="Times New Roman" w:cs="Times New Roman"/>
          <w:noProof/>
          <w:szCs w:val="24"/>
        </w:rPr>
        <w:t xml:space="preserve"> 2016 Commission</w:t>
      </w:r>
      <w:r>
        <w:rPr>
          <w:rFonts w:eastAsia="Times New Roman" w:cs="Times New Roman"/>
          <w:noProof/>
          <w:szCs w:val="20"/>
        </w:rPr>
        <w:t xml:space="preserve"> proposal for a revision of the RED</w:t>
      </w:r>
      <w:r>
        <w:rPr>
          <w:rFonts w:eastAsia="Times New Roman" w:cs="Times New Roman"/>
          <w:noProof/>
          <w:szCs w:val="20"/>
          <w:vertAlign w:val="superscript"/>
        </w:rPr>
        <w:footnoteReference w:id="48"/>
      </w:r>
      <w:r>
        <w:rPr>
          <w:rFonts w:eastAsia="Times New Roman" w:cs="Times New Roman"/>
          <w:noProof/>
          <w:szCs w:val="20"/>
        </w:rPr>
        <w:t xml:space="preserve"> reaffirms the importance of renewable energy in the transport sector, aiming by mandating fuel suppliers to provide 6.8% in 2030 of non-food based and advanced low-emission fuels, including renewables. It has been estimated that the changes proposed to the RED have the potential to deliver overall GHG savings in the range of 0.8% - 1.56%</w:t>
      </w:r>
      <w:r>
        <w:rPr>
          <w:rFonts w:eastAsia="Times New Roman" w:cs="Times New Roman"/>
          <w:noProof/>
          <w:szCs w:val="20"/>
          <w:vertAlign w:val="superscript"/>
        </w:rPr>
        <w:footnoteReference w:id="49"/>
      </w:r>
      <w:r>
        <w:rPr>
          <w:rFonts w:eastAsia="Times New Roman" w:cs="Times New Roman"/>
          <w:noProof/>
          <w:szCs w:val="20"/>
        </w:rPr>
        <w:t xml:space="preserve"> in the period 2020 – 2030.</w:t>
      </w:r>
    </w:p>
    <w:p w:rsidR="003E180D" w:rsidRDefault="003E180D" w:rsidP="003E180D">
      <w:pPr>
        <w:numPr>
          <w:ilvl w:val="0"/>
          <w:numId w:val="2"/>
        </w:numPr>
        <w:spacing w:after="120" w:line="240" w:lineRule="auto"/>
        <w:ind w:left="426"/>
        <w:jc w:val="both"/>
        <w:rPr>
          <w:rFonts w:eastAsia="Times New Roman" w:cs="Times New Roman"/>
          <w:noProof/>
          <w:szCs w:val="24"/>
        </w:rPr>
      </w:pPr>
      <w:r>
        <w:rPr>
          <w:rFonts w:eastAsia="Times New Roman" w:cs="Times New Roman"/>
          <w:noProof/>
          <w:szCs w:val="20"/>
        </w:rPr>
        <w:t xml:space="preserve">The </w:t>
      </w:r>
      <w:r>
        <w:rPr>
          <w:rFonts w:eastAsia="Times New Roman" w:cs="Times New Roman"/>
          <w:b/>
          <w:noProof/>
          <w:szCs w:val="20"/>
        </w:rPr>
        <w:t>Fuel Quality Directive</w:t>
      </w:r>
      <w:r>
        <w:rPr>
          <w:rFonts w:eastAsia="Times New Roman" w:cs="Times New Roman"/>
          <w:noProof/>
          <w:szCs w:val="20"/>
        </w:rPr>
        <w:t xml:space="preserve"> (FQD)</w:t>
      </w:r>
      <w:r>
        <w:rPr>
          <w:rFonts w:eastAsia="Times New Roman" w:cs="Times New Roman"/>
          <w:noProof/>
          <w:szCs w:val="20"/>
          <w:vertAlign w:val="superscript"/>
        </w:rPr>
        <w:footnoteReference w:id="50"/>
      </w:r>
      <w:r>
        <w:rPr>
          <w:rFonts w:eastAsia="Times New Roman" w:cs="Times New Roman"/>
          <w:b/>
          <w:noProof/>
          <w:szCs w:val="20"/>
        </w:rPr>
        <w:t xml:space="preserve"> </w:t>
      </w:r>
      <w:r>
        <w:rPr>
          <w:rFonts w:eastAsia="Times New Roman" w:cs="Times New Roman"/>
          <w:noProof/>
          <w:szCs w:val="24"/>
        </w:rPr>
        <w:t xml:space="preserve">addresses the provision of common standards and consumer information on cleaner fuels and vehicles. It requires fuel suppliers to reduce the GHG intensity of fuels supplied in 2020 by 6% compared to 2010. This requirement acts as an incentive to promote low-carbon fuels in both light duty and heavy-duty vehicles sectors. It is not intended, though, to keep the GHG provisions of this Directive after 2020 in view of the revision of the RED. </w:t>
      </w:r>
    </w:p>
    <w:p w:rsidR="003E180D" w:rsidRDefault="003E180D" w:rsidP="003E180D">
      <w:pPr>
        <w:numPr>
          <w:ilvl w:val="0"/>
          <w:numId w:val="2"/>
        </w:numPr>
        <w:spacing w:after="120" w:line="240" w:lineRule="auto"/>
        <w:ind w:left="426"/>
        <w:jc w:val="both"/>
        <w:rPr>
          <w:rFonts w:eastAsia="Times New Roman" w:cs="Times New Roman"/>
          <w:noProof/>
          <w:szCs w:val="20"/>
        </w:rPr>
      </w:pPr>
      <w:r>
        <w:rPr>
          <w:rFonts w:eastAsia="Times New Roman" w:cs="Times New Roman"/>
          <w:noProof/>
          <w:szCs w:val="20"/>
        </w:rPr>
        <w:t xml:space="preserve">The </w:t>
      </w:r>
      <w:r>
        <w:rPr>
          <w:rFonts w:eastAsia="Times New Roman" w:cs="Times New Roman"/>
          <w:b/>
          <w:noProof/>
          <w:szCs w:val="20"/>
        </w:rPr>
        <w:t>Energy Efficiency Directive</w:t>
      </w:r>
      <w:r>
        <w:rPr>
          <w:rFonts w:eastAsia="Times New Roman" w:cs="Times New Roman"/>
          <w:noProof/>
          <w:szCs w:val="20"/>
        </w:rPr>
        <w:t xml:space="preserve"> (EED)</w:t>
      </w:r>
      <w:r>
        <w:rPr>
          <w:rFonts w:eastAsia="Times New Roman" w:cs="Times New Roman"/>
          <w:noProof/>
          <w:szCs w:val="20"/>
          <w:vertAlign w:val="superscript"/>
        </w:rPr>
        <w:footnoteReference w:id="51"/>
      </w:r>
      <w:r>
        <w:rPr>
          <w:rFonts w:eastAsia="Times New Roman" w:cs="Times New Roman"/>
          <w:noProof/>
          <w:szCs w:val="20"/>
        </w:rPr>
        <w:t xml:space="preserve"> </w:t>
      </w:r>
      <w:r>
        <w:rPr>
          <w:rFonts w:eastAsia="Times New Roman" w:cs="Times New Roman"/>
          <w:noProof/>
          <w:szCs w:val="24"/>
        </w:rPr>
        <w:t>establishes</w:t>
      </w:r>
      <w:r>
        <w:rPr>
          <w:rFonts w:eastAsia="Times New Roman" w:cs="Times New Roman"/>
          <w:noProof/>
          <w:szCs w:val="20"/>
        </w:rPr>
        <w:t xml:space="preserve"> a set of measures to help the EU reach its 20% energy efficiency target for the whole energy system, including transport. The EED is currently under revision for setting provisions with regards to the period 2021- 2030. </w:t>
      </w:r>
    </w:p>
    <w:p w:rsidR="003E180D" w:rsidRDefault="003E180D" w:rsidP="003E180D">
      <w:pPr>
        <w:numPr>
          <w:ilvl w:val="0"/>
          <w:numId w:val="2"/>
        </w:numPr>
        <w:spacing w:after="120" w:line="240" w:lineRule="auto"/>
        <w:ind w:left="426"/>
        <w:jc w:val="both"/>
        <w:rPr>
          <w:rFonts w:eastAsia="Times New Roman" w:cs="Times New Roman"/>
          <w:bCs/>
          <w:noProof/>
          <w:szCs w:val="24"/>
        </w:rPr>
      </w:pPr>
      <w:r>
        <w:rPr>
          <w:rFonts w:eastAsia="Times New Roman" w:cs="Times New Roman"/>
          <w:noProof/>
          <w:szCs w:val="24"/>
        </w:rPr>
        <w:t xml:space="preserve">The </w:t>
      </w:r>
      <w:r>
        <w:rPr>
          <w:rFonts w:eastAsia="Times New Roman" w:cs="Times New Roman"/>
          <w:b/>
          <w:bCs/>
          <w:noProof/>
          <w:szCs w:val="24"/>
        </w:rPr>
        <w:t xml:space="preserve">Directive </w:t>
      </w:r>
      <w:r>
        <w:rPr>
          <w:rFonts w:eastAsia="Times New Roman" w:cs="Times New Roman"/>
          <w:b/>
          <w:noProof/>
          <w:szCs w:val="20"/>
        </w:rPr>
        <w:t>on the deployment of alternative fuels infrastructure (AFID)</w:t>
      </w:r>
      <w:r>
        <w:rPr>
          <w:rFonts w:eastAsia="Times New Roman" w:cs="Times New Roman"/>
          <w:b/>
          <w:bCs/>
          <w:noProof/>
          <w:szCs w:val="24"/>
          <w:vertAlign w:val="superscript"/>
        </w:rPr>
        <w:footnoteReference w:id="52"/>
      </w:r>
      <w:r>
        <w:rPr>
          <w:rFonts w:eastAsia="Times New Roman" w:cs="Times New Roman"/>
          <w:bCs/>
          <w:noProof/>
          <w:szCs w:val="24"/>
        </w:rPr>
        <w:t xml:space="preserve"> aims at promoting the roll-out of alternative fuel infrastructure, which will contribute to the decarbonisation of the EU transport sector and will increase the EU´s overall energy security by reducing the transport sector dependence on imported fuel.</w:t>
      </w:r>
      <w:r>
        <w:rPr>
          <w:rFonts w:eastAsia="Times New Roman" w:cs="Times New Roman"/>
          <w:bCs/>
          <w:noProof/>
          <w:szCs w:val="24"/>
          <w:vertAlign w:val="superscript"/>
        </w:rPr>
        <w:t xml:space="preserve"> </w:t>
      </w:r>
      <w:r>
        <w:rPr>
          <w:rFonts w:eastAsia="Times New Roman" w:cs="Times New Roman"/>
          <w:bCs/>
          <w:noProof/>
          <w:szCs w:val="24"/>
        </w:rPr>
        <w:t>In 2016 Member States presented their national plans for roll-out of alternative fuels infrastructure until 2030. As indicated in the Action Plan, adopted as part of the November 2017 Clean Mobility Package, the Commission will support their implementation with an additional EUR 860 million in the next few years.</w:t>
      </w:r>
    </w:p>
    <w:p w:rsidR="003E180D" w:rsidRDefault="003E180D" w:rsidP="003E180D">
      <w:pPr>
        <w:numPr>
          <w:ilvl w:val="0"/>
          <w:numId w:val="2"/>
        </w:numPr>
        <w:spacing w:after="120" w:line="240" w:lineRule="auto"/>
        <w:ind w:left="426"/>
        <w:jc w:val="both"/>
        <w:rPr>
          <w:rFonts w:eastAsia="Times New Roman" w:cs="Times New Roman"/>
          <w:noProof/>
          <w:szCs w:val="20"/>
        </w:rPr>
      </w:pPr>
      <w:r>
        <w:rPr>
          <w:rFonts w:eastAsia="Times New Roman" w:cs="Times New Roman"/>
          <w:b/>
          <w:bCs/>
          <w:noProof/>
          <w:szCs w:val="24"/>
        </w:rPr>
        <w:t xml:space="preserve">The Energy Taxation Directive </w:t>
      </w:r>
      <w:r>
        <w:rPr>
          <w:rFonts w:eastAsia="Times New Roman" w:cs="Times New Roman"/>
          <w:bCs/>
          <w:noProof/>
          <w:szCs w:val="24"/>
          <w:lang w:val="en"/>
        </w:rPr>
        <w:t xml:space="preserve">establishes the minimum excise duty rates that Member States must apply to energy products for fuel and transport, and electricity. The actual levels of taxation applied are decided by Member States and could vary considerably from one Member State to </w:t>
      </w:r>
      <w:r>
        <w:rPr>
          <w:rFonts w:eastAsia="Times New Roman" w:cs="Times New Roman"/>
          <w:noProof/>
          <w:szCs w:val="24"/>
          <w:lang w:val="en"/>
        </w:rPr>
        <w:t>another. For example the excise duty for diesel ranges between EUR 0.33/l and EUR 0.67/l</w:t>
      </w:r>
      <w:r>
        <w:rPr>
          <w:rFonts w:eastAsia="Times New Roman" w:cs="Times New Roman"/>
          <w:noProof/>
          <w:szCs w:val="20"/>
          <w:lang w:val="en"/>
        </w:rPr>
        <w:t>, which are rather modest levels with limited impact on fuel sales</w:t>
      </w:r>
      <w:r>
        <w:rPr>
          <w:rFonts w:eastAsia="Times New Roman" w:cs="Times New Roman"/>
          <w:noProof/>
          <w:szCs w:val="20"/>
          <w:vertAlign w:val="superscript"/>
          <w:lang w:val="en"/>
        </w:rPr>
        <w:footnoteReference w:id="53"/>
      </w:r>
      <w:r>
        <w:rPr>
          <w:rFonts w:eastAsia="Times New Roman" w:cs="Times New Roman"/>
          <w:noProof/>
          <w:szCs w:val="20"/>
          <w:lang w:val="en"/>
        </w:rPr>
        <w:t>.</w:t>
      </w:r>
    </w:p>
    <w:p w:rsidR="003E180D" w:rsidRDefault="003E180D" w:rsidP="003E180D">
      <w:pPr>
        <w:numPr>
          <w:ilvl w:val="0"/>
          <w:numId w:val="2"/>
        </w:numPr>
        <w:spacing w:after="120" w:line="240" w:lineRule="auto"/>
        <w:ind w:left="426"/>
        <w:jc w:val="both"/>
        <w:rPr>
          <w:rFonts w:eastAsia="Times New Roman" w:cs="Times New Roman"/>
          <w:bCs/>
          <w:noProof/>
          <w:szCs w:val="24"/>
        </w:rPr>
      </w:pPr>
      <w:r>
        <w:rPr>
          <w:rFonts w:eastAsia="Times New Roman" w:cs="Times New Roman"/>
          <w:b/>
          <w:noProof/>
          <w:szCs w:val="24"/>
        </w:rPr>
        <w:t>Tyre labelling</w:t>
      </w:r>
      <w:r>
        <w:rPr>
          <w:rFonts w:eastAsia="Times New Roman" w:cs="Times New Roman"/>
          <w:noProof/>
          <w:szCs w:val="24"/>
        </w:rPr>
        <w:t>: tyres sold in the EU are subject to</w:t>
      </w:r>
      <w:r>
        <w:rPr>
          <w:rFonts w:eastAsia="Times New Roman" w:cs="Times New Roman"/>
          <w:bCs/>
          <w:noProof/>
          <w:szCs w:val="24"/>
        </w:rPr>
        <w:t xml:space="preserve"> energy labelling requirements.</w:t>
      </w:r>
      <w:r>
        <w:rPr>
          <w:rFonts w:eastAsia="Times New Roman" w:cs="Times New Roman"/>
          <w:bCs/>
          <w:noProof/>
          <w:szCs w:val="24"/>
          <w:vertAlign w:val="superscript"/>
        </w:rPr>
        <w:footnoteReference w:id="54"/>
      </w:r>
      <w:r>
        <w:rPr>
          <w:rFonts w:eastAsia="Times New Roman" w:cs="Times New Roman"/>
          <w:bCs/>
          <w:noProof/>
          <w:szCs w:val="24"/>
        </w:rPr>
        <w:t xml:space="preserve"> Tyre labels</w:t>
      </w:r>
      <w:r>
        <w:rPr>
          <w:rFonts w:eastAsia="Times New Roman" w:cs="Times New Roman"/>
          <w:b/>
          <w:bCs/>
          <w:noProof/>
          <w:szCs w:val="24"/>
        </w:rPr>
        <w:t xml:space="preserve"> </w:t>
      </w:r>
      <w:r>
        <w:rPr>
          <w:rFonts w:eastAsia="Times New Roman" w:cs="Times New Roman"/>
          <w:bCs/>
          <w:noProof/>
          <w:szCs w:val="24"/>
        </w:rPr>
        <w:t>aims</w:t>
      </w:r>
      <w:r>
        <w:rPr>
          <w:rFonts w:eastAsia="Times New Roman" w:cs="Times New Roman"/>
          <w:b/>
          <w:bCs/>
          <w:noProof/>
          <w:szCs w:val="24"/>
        </w:rPr>
        <w:t xml:space="preserve"> </w:t>
      </w:r>
      <w:r>
        <w:rPr>
          <w:rFonts w:eastAsia="Times New Roman" w:cs="Times New Roman"/>
          <w:bCs/>
          <w:noProof/>
          <w:szCs w:val="24"/>
        </w:rPr>
        <w:t xml:space="preserve">at supporting consumers in the purchasing decisions for more fuel efficient, better wet braking and less noisy tyres. </w:t>
      </w:r>
    </w:p>
    <w:p w:rsidR="003E180D" w:rsidRDefault="003E180D" w:rsidP="003E180D">
      <w:pPr>
        <w:keepNext/>
        <w:spacing w:after="120" w:line="240" w:lineRule="auto"/>
        <w:ind w:left="284" w:hanging="284"/>
        <w:jc w:val="both"/>
        <w:rPr>
          <w:rFonts w:eastAsia="Times New Roman" w:cs="Times New Roman"/>
          <w:bCs/>
          <w:i/>
          <w:noProof/>
          <w:szCs w:val="24"/>
        </w:rPr>
      </w:pPr>
      <w:r>
        <w:rPr>
          <w:rFonts w:eastAsia="Times New Roman" w:cs="Times New Roman"/>
          <w:bCs/>
          <w:i/>
          <w:noProof/>
          <w:szCs w:val="24"/>
        </w:rPr>
        <w:t>Non-regulatory measures</w:t>
      </w:r>
    </w:p>
    <w:p w:rsidR="003E180D" w:rsidRDefault="003E180D" w:rsidP="003E180D">
      <w:pPr>
        <w:numPr>
          <w:ilvl w:val="0"/>
          <w:numId w:val="2"/>
        </w:numPr>
        <w:spacing w:after="120" w:line="240" w:lineRule="auto"/>
        <w:ind w:left="426"/>
        <w:jc w:val="both"/>
        <w:rPr>
          <w:rFonts w:eastAsia="Times New Roman" w:cs="Times New Roman"/>
          <w:bCs/>
          <w:noProof/>
          <w:szCs w:val="20"/>
        </w:rPr>
      </w:pPr>
      <w:r>
        <w:rPr>
          <w:rFonts w:eastAsia="Times New Roman" w:cs="Times New Roman"/>
          <w:bCs/>
          <w:noProof/>
          <w:szCs w:val="20"/>
        </w:rPr>
        <w:t xml:space="preserve">The Commission´s </w:t>
      </w:r>
      <w:r>
        <w:rPr>
          <w:rFonts w:eastAsia="Times New Roman" w:cs="Times New Roman"/>
          <w:b/>
          <w:bCs/>
          <w:noProof/>
          <w:szCs w:val="20"/>
        </w:rPr>
        <w:t>Coach Services Action</w:t>
      </w:r>
      <w:r>
        <w:rPr>
          <w:rFonts w:eastAsia="Times New Roman" w:cs="Times New Roman"/>
          <w:bCs/>
          <w:noProof/>
          <w:szCs w:val="20"/>
        </w:rPr>
        <w:t xml:space="preserve"> aims at further developing of domestic bus and coach services. </w:t>
      </w:r>
    </w:p>
    <w:p w:rsidR="003E180D" w:rsidRDefault="003E180D" w:rsidP="003E180D">
      <w:pPr>
        <w:numPr>
          <w:ilvl w:val="0"/>
          <w:numId w:val="2"/>
        </w:numPr>
        <w:tabs>
          <w:tab w:val="left" w:pos="2302"/>
        </w:tabs>
        <w:spacing w:after="120" w:line="240" w:lineRule="auto"/>
        <w:ind w:left="426"/>
        <w:jc w:val="both"/>
        <w:rPr>
          <w:rFonts w:eastAsia="Times New Roman" w:cs="Times New Roman"/>
          <w:noProof/>
          <w:szCs w:val="20"/>
        </w:rPr>
      </w:pPr>
      <w:r>
        <w:rPr>
          <w:rFonts w:eastAsia="Times New Roman" w:cs="Times New Roman"/>
          <w:b/>
          <w:noProof/>
          <w:szCs w:val="20"/>
        </w:rPr>
        <w:t>Horizon 2020</w:t>
      </w:r>
      <w:r>
        <w:rPr>
          <w:rFonts w:ascii="Verdana" w:hAnsi="Verdana" w:cs="Times New Roman"/>
          <w:noProof/>
          <w:color w:val="000000"/>
          <w:szCs w:val="20"/>
          <w:lang w:val="en"/>
        </w:rPr>
        <w:t xml:space="preserve"> </w:t>
      </w:r>
      <w:r>
        <w:rPr>
          <w:rFonts w:eastAsia="Times New Roman" w:cs="Times New Roman"/>
          <w:noProof/>
          <w:szCs w:val="20"/>
          <w:lang w:val="en"/>
        </w:rPr>
        <w:t xml:space="preserve">EU Research and Innovation program, aimed at securing Europe's global competitiveness, allocates </w:t>
      </w:r>
      <w:r>
        <w:rPr>
          <w:rFonts w:eastAsia="Times New Roman" w:cs="Times New Roman"/>
          <w:noProof/>
          <w:szCs w:val="20"/>
        </w:rPr>
        <w:t>EUR 6.4 billion to research and innovation initiatives in the transport sector.</w:t>
      </w:r>
    </w:p>
    <w:p w:rsidR="003E180D" w:rsidRDefault="003E180D" w:rsidP="003E180D">
      <w:pPr>
        <w:numPr>
          <w:ilvl w:val="0"/>
          <w:numId w:val="2"/>
        </w:numPr>
        <w:tabs>
          <w:tab w:val="left" w:pos="2302"/>
        </w:tabs>
        <w:spacing w:after="120" w:line="240" w:lineRule="auto"/>
        <w:ind w:left="426"/>
        <w:jc w:val="both"/>
        <w:rPr>
          <w:noProof/>
        </w:rPr>
      </w:pPr>
      <w:r>
        <w:rPr>
          <w:rFonts w:eastAsia="Times New Roman" w:cs="Times New Roman"/>
          <w:noProof/>
          <w:szCs w:val="20"/>
          <w:lang w:val="en-US"/>
        </w:rPr>
        <w:t>Shift2Rail is the first European rail initiative to seek focused research and innovation (R&amp;I) and market-driven solutions by accelerating the integration of new and advanced technologies into innovative rail product solutions. This initiative is undertaken within the framework of Horizon 2020.</w:t>
      </w:r>
      <w:r>
        <w:rPr>
          <w:rFonts w:eastAsia="Times New Roman" w:cs="Times New Roman"/>
          <w:noProof/>
          <w:szCs w:val="20"/>
        </w:rPr>
        <w:t xml:space="preserve"> </w:t>
      </w:r>
      <w:r>
        <w:rPr>
          <w:noProof/>
        </w:rPr>
        <w:t xml:space="preserve">It supports the development of a Single European Rail Area (SERA) for a better interoperability of train services in Europe. </w:t>
      </w:r>
    </w:p>
    <w:p w:rsidR="003E180D" w:rsidRDefault="003E180D" w:rsidP="003E180D">
      <w:pPr>
        <w:numPr>
          <w:ilvl w:val="0"/>
          <w:numId w:val="2"/>
        </w:numPr>
        <w:tabs>
          <w:tab w:val="left" w:pos="2302"/>
        </w:tabs>
        <w:spacing w:after="120" w:line="240" w:lineRule="auto"/>
        <w:ind w:left="426"/>
        <w:jc w:val="both"/>
        <w:rPr>
          <w:rFonts w:eastAsia="Times New Roman" w:cs="Times New Roman"/>
          <w:b/>
          <w:noProof/>
          <w:szCs w:val="20"/>
        </w:rPr>
      </w:pPr>
      <w:r>
        <w:rPr>
          <w:rFonts w:eastAsia="Times New Roman" w:cs="Times New Roman"/>
          <w:b/>
          <w:noProof/>
          <w:szCs w:val="20"/>
        </w:rPr>
        <w:t>Green freight programs</w:t>
      </w:r>
      <w:r>
        <w:rPr>
          <w:rFonts w:eastAsia="Times New Roman" w:cs="Times New Roman"/>
          <w:noProof/>
          <w:szCs w:val="20"/>
        </w:rPr>
        <w:t>, incentivising the sharing of industry best practices.</w:t>
      </w:r>
      <w:r>
        <w:rPr>
          <w:rFonts w:eastAsia="Times New Roman" w:cs="Times New Roman"/>
          <w:noProof/>
          <w:szCs w:val="24"/>
        </w:rPr>
        <w:t xml:space="preserve"> Some of these programs receive financing under </w:t>
      </w:r>
      <w:r>
        <w:rPr>
          <w:rFonts w:eastAsia="Times New Roman" w:cs="Times New Roman"/>
          <w:noProof/>
          <w:szCs w:val="20"/>
        </w:rPr>
        <w:t>the European Structural and Investment Funds, whose transport-related envelope totals EUR 70 billion. That includes EUR 39 billion for supporting the move towards low-emission mobility.</w:t>
      </w:r>
      <w:r>
        <w:rPr>
          <w:rFonts w:eastAsia="Times New Roman" w:cs="Times New Roman"/>
          <w:noProof/>
          <w:szCs w:val="20"/>
          <w:vertAlign w:val="superscript"/>
        </w:rPr>
        <w:footnoteReference w:id="55"/>
      </w:r>
    </w:p>
    <w:p w:rsidR="003E180D" w:rsidRDefault="003E180D" w:rsidP="003E180D">
      <w:pPr>
        <w:pStyle w:val="Heading2"/>
        <w:numPr>
          <w:ilvl w:val="1"/>
          <w:numId w:val="22"/>
        </w:numPr>
        <w:spacing w:before="240" w:after="240"/>
        <w:rPr>
          <w:noProof/>
        </w:rPr>
      </w:pPr>
      <w:bookmarkStart w:id="358" w:name="_Toc508127522"/>
      <w:bookmarkStart w:id="359" w:name="_Toc508127877"/>
      <w:bookmarkStart w:id="360" w:name="_Toc508129649"/>
      <w:bookmarkStart w:id="361" w:name="_Toc508181040"/>
      <w:bookmarkStart w:id="362" w:name="_Toc508186633"/>
      <w:bookmarkStart w:id="363" w:name="_Toc510708114"/>
      <w:bookmarkStart w:id="364" w:name="_Toc514328810"/>
      <w:r>
        <w:rPr>
          <w:noProof/>
        </w:rPr>
        <w:t>L</w:t>
      </w:r>
      <w:bookmarkEnd w:id="358"/>
      <w:r>
        <w:rPr>
          <w:noProof/>
        </w:rPr>
        <w:t>ink with problem drivers</w:t>
      </w:r>
      <w:bookmarkEnd w:id="359"/>
      <w:bookmarkEnd w:id="360"/>
      <w:bookmarkEnd w:id="361"/>
      <w:bookmarkEnd w:id="362"/>
      <w:bookmarkEnd w:id="363"/>
      <w:bookmarkEnd w:id="364"/>
    </w:p>
    <w:p w:rsidR="003E180D" w:rsidRDefault="003E180D" w:rsidP="003E180D">
      <w:pPr>
        <w:jc w:val="both"/>
        <w:rPr>
          <w:noProof/>
        </w:rPr>
      </w:pPr>
      <w:r>
        <w:rPr>
          <w:noProof/>
        </w:rPr>
        <w:fldChar w:fldCharType="begin"/>
      </w:r>
      <w:r>
        <w:rPr>
          <w:noProof/>
        </w:rPr>
        <w:instrText xml:space="preserve"> REF _Ref511918705 \h  \* MERGEFORMAT </w:instrText>
      </w:r>
      <w:r>
        <w:rPr>
          <w:noProof/>
        </w:rPr>
      </w:r>
      <w:r>
        <w:rPr>
          <w:noProof/>
        </w:rPr>
        <w:fldChar w:fldCharType="separate"/>
      </w:r>
      <w:r>
        <w:rPr>
          <w:noProof/>
        </w:rPr>
        <w:t>Table 5</w:t>
      </w:r>
      <w:r>
        <w:rPr>
          <w:noProof/>
        </w:rPr>
        <w:fldChar w:fldCharType="end"/>
      </w:r>
      <w:r>
        <w:rPr>
          <w:noProof/>
        </w:rPr>
        <w:t xml:space="preserve">provides an assessment of how the EU policies could address the problem drivers identified. </w:t>
      </w:r>
    </w:p>
    <w:p w:rsidR="003E180D" w:rsidRDefault="003E180D" w:rsidP="003E180D">
      <w:pPr>
        <w:pStyle w:val="Caption"/>
        <w:rPr>
          <w:noProof/>
        </w:rPr>
      </w:pPr>
      <w:bookmarkStart w:id="365" w:name="_Ref508115378"/>
      <w:bookmarkStart w:id="366" w:name="_Ref511918705"/>
      <w:r>
        <w:rPr>
          <w:noProof/>
        </w:rP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bookmarkEnd w:id="365"/>
      <w:bookmarkEnd w:id="366"/>
      <w:r>
        <w:rPr>
          <w:noProof/>
        </w:rPr>
        <w:t>: Existing and revised EU policies and problem drivers identified</w:t>
      </w:r>
    </w:p>
    <w:p w:rsidR="003E180D" w:rsidRDefault="003E180D" w:rsidP="003E180D">
      <w:pPr>
        <w:pStyle w:val="Text1"/>
        <w:spacing w:after="120"/>
        <w:ind w:left="0"/>
        <w:jc w:val="center"/>
        <w:rPr>
          <w:b/>
          <w:noProof/>
        </w:rPr>
      </w:pPr>
      <w:r>
        <w:rPr>
          <w:b/>
          <w:noProof/>
          <w:lang w:eastAsia="en-GB"/>
        </w:rPr>
        <w:drawing>
          <wp:inline distT="0" distB="0" distL="0" distR="0" wp14:anchorId="5D24F914" wp14:editId="6E744B41">
            <wp:extent cx="4816475" cy="318833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6475" cy="3188335"/>
                    </a:xfrm>
                    <a:prstGeom prst="rect">
                      <a:avLst/>
                    </a:prstGeom>
                    <a:noFill/>
                  </pic:spPr>
                </pic:pic>
              </a:graphicData>
            </a:graphic>
          </wp:inline>
        </w:drawing>
      </w:r>
    </w:p>
    <w:p w:rsidR="003E180D" w:rsidRDefault="003E180D" w:rsidP="003E180D">
      <w:pPr>
        <w:pStyle w:val="Text1"/>
        <w:ind w:left="0"/>
        <w:jc w:val="center"/>
        <w:rPr>
          <w:b/>
          <w:noProof/>
        </w:rPr>
      </w:pPr>
      <w:r>
        <w:rPr>
          <w:b/>
          <w:noProof/>
          <w:lang w:eastAsia="en-GB"/>
        </w:rPr>
        <w:drawing>
          <wp:inline distT="0" distB="0" distL="0" distR="0" wp14:anchorId="7E77F864" wp14:editId="5B81173A">
            <wp:extent cx="2895600" cy="5302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5600" cy="530225"/>
                    </a:xfrm>
                    <a:prstGeom prst="rect">
                      <a:avLst/>
                    </a:prstGeom>
                    <a:noFill/>
                  </pic:spPr>
                </pic:pic>
              </a:graphicData>
            </a:graphic>
          </wp:inline>
        </w:drawing>
      </w:r>
    </w:p>
    <w:p w:rsidR="003E180D" w:rsidRDefault="003E180D" w:rsidP="003E180D">
      <w:pPr>
        <w:pStyle w:val="Heading1"/>
        <w:numPr>
          <w:ilvl w:val="0"/>
          <w:numId w:val="22"/>
        </w:numPr>
        <w:rPr>
          <w:noProof/>
        </w:rPr>
      </w:pPr>
      <w:bookmarkStart w:id="367" w:name="_Toc508124786"/>
      <w:bookmarkStart w:id="368" w:name="_Toc508126151"/>
      <w:bookmarkStart w:id="369" w:name="_Toc508127523"/>
      <w:bookmarkStart w:id="370" w:name="_Toc508127878"/>
      <w:bookmarkStart w:id="371" w:name="_Toc508129650"/>
      <w:bookmarkStart w:id="372" w:name="_Toc508181041"/>
      <w:bookmarkStart w:id="373" w:name="_Toc508186634"/>
      <w:bookmarkStart w:id="374" w:name="_Toc510708115"/>
      <w:bookmarkStart w:id="375" w:name="_Toc514328811"/>
      <w:r>
        <w:rPr>
          <w:noProof/>
        </w:rPr>
        <w:t>Annex 7: Problems and drivers – complementary information</w:t>
      </w:r>
      <w:bookmarkEnd w:id="367"/>
      <w:bookmarkEnd w:id="368"/>
      <w:bookmarkEnd w:id="369"/>
      <w:bookmarkEnd w:id="370"/>
      <w:bookmarkEnd w:id="371"/>
      <w:bookmarkEnd w:id="372"/>
      <w:bookmarkEnd w:id="373"/>
      <w:bookmarkEnd w:id="374"/>
      <w:bookmarkEnd w:id="375"/>
    </w:p>
    <w:p w:rsidR="003E180D" w:rsidRDefault="003E180D" w:rsidP="003E180D">
      <w:pPr>
        <w:pStyle w:val="Heading2"/>
        <w:numPr>
          <w:ilvl w:val="1"/>
          <w:numId w:val="22"/>
        </w:numPr>
        <w:spacing w:before="240" w:after="240"/>
        <w:rPr>
          <w:noProof/>
        </w:rPr>
      </w:pPr>
      <w:bookmarkStart w:id="376" w:name="_Toc506305331"/>
      <w:bookmarkStart w:id="377" w:name="_Toc506305564"/>
      <w:bookmarkStart w:id="378" w:name="_Toc506487747"/>
      <w:bookmarkStart w:id="379" w:name="_Toc507516326"/>
      <w:bookmarkStart w:id="380" w:name="_Toc507517481"/>
      <w:bookmarkStart w:id="381" w:name="_Toc507519033"/>
      <w:bookmarkStart w:id="382" w:name="_Toc507519385"/>
      <w:bookmarkStart w:id="383" w:name="_Toc507580443"/>
      <w:bookmarkStart w:id="384" w:name="_Toc507581256"/>
      <w:bookmarkStart w:id="385" w:name="_Toc507582275"/>
      <w:bookmarkStart w:id="386" w:name="_Toc508094929"/>
      <w:bookmarkStart w:id="387" w:name="_Toc508124787"/>
      <w:bookmarkStart w:id="388" w:name="_Toc508126152"/>
      <w:bookmarkStart w:id="389" w:name="_Toc508127524"/>
      <w:bookmarkStart w:id="390" w:name="_Toc508127879"/>
      <w:bookmarkStart w:id="391" w:name="_Toc508129651"/>
      <w:bookmarkStart w:id="392" w:name="_Toc508181042"/>
      <w:bookmarkStart w:id="393" w:name="_Toc508186635"/>
      <w:bookmarkStart w:id="394" w:name="_Toc510708116"/>
      <w:bookmarkStart w:id="395" w:name="_Toc514328812"/>
      <w:r>
        <w:rPr>
          <w:noProof/>
        </w:rPr>
        <w:t>Problem 1: HDV sector is a significant and growing source of GHG emissions</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Pr>
          <w:noProof/>
        </w:rPr>
        <w:t xml:space="preserve"> </w:t>
      </w:r>
    </w:p>
    <w:p w:rsidR="003E180D" w:rsidRDefault="003E180D" w:rsidP="003E180D">
      <w:pPr>
        <w:pStyle w:val="Text2"/>
        <w:ind w:left="0"/>
        <w:rPr>
          <w:noProof/>
        </w:rPr>
      </w:pPr>
      <w:r>
        <w:rPr>
          <w:noProof/>
        </w:rPr>
        <w:t>In 2015, CO</w:t>
      </w:r>
      <w:r>
        <w:rPr>
          <w:noProof/>
          <w:vertAlign w:val="subscript"/>
        </w:rPr>
        <w:t>2</w:t>
      </w:r>
      <w:r>
        <w:rPr>
          <w:noProof/>
        </w:rPr>
        <w:t xml:space="preserve"> emissions from HDVs represented around 6% of total EU emissions, almost a fifth of all transport emissions and, as shown in </w:t>
      </w:r>
      <w:r>
        <w:rPr>
          <w:noProof/>
        </w:rPr>
        <w:fldChar w:fldCharType="begin"/>
      </w:r>
      <w:r>
        <w:rPr>
          <w:noProof/>
        </w:rPr>
        <w:instrText xml:space="preserve"> REF _Ref508114353 \h </w:instrText>
      </w:r>
      <w:r>
        <w:rPr>
          <w:noProof/>
        </w:rPr>
      </w:r>
      <w:r>
        <w:rPr>
          <w:noProof/>
        </w:rPr>
        <w:fldChar w:fldCharType="separate"/>
      </w:r>
      <w:r>
        <w:rPr>
          <w:noProof/>
          <w:color w:val="000000" w:themeColor="text1"/>
          <w:szCs w:val="24"/>
        </w:rPr>
        <w:t xml:space="preserve">Figure </w:t>
      </w:r>
      <w:r>
        <w:rPr>
          <w:bCs/>
          <w:noProof/>
          <w:color w:val="000000" w:themeColor="text1"/>
          <w:szCs w:val="24"/>
        </w:rPr>
        <w:t>4</w:t>
      </w:r>
      <w:r>
        <w:rPr>
          <w:noProof/>
          <w:color w:val="000000" w:themeColor="text1"/>
          <w:szCs w:val="24"/>
        </w:rPr>
        <w:t>: Share of HDV and LDV in total road transport CO</w:t>
      </w:r>
      <w:r>
        <w:rPr>
          <w:noProof/>
          <w:color w:val="000000" w:themeColor="text1"/>
          <w:szCs w:val="24"/>
          <w:vertAlign w:val="subscript"/>
        </w:rPr>
        <w:t>2</w:t>
      </w:r>
      <w:r>
        <w:rPr>
          <w:noProof/>
          <w:color w:val="000000" w:themeColor="text1"/>
          <w:szCs w:val="24"/>
        </w:rPr>
        <w:t xml:space="preserve"> emissions</w:t>
      </w:r>
      <w:r>
        <w:rPr>
          <w:noProof/>
        </w:rPr>
        <w:fldChar w:fldCharType="end"/>
      </w:r>
      <w:r>
        <w:rPr>
          <w:noProof/>
        </w:rPr>
        <w:t>, slightly more than a quarter of road transport emissions.</w:t>
      </w:r>
    </w:p>
    <w:p w:rsidR="003E180D" w:rsidRDefault="003E180D" w:rsidP="003E180D">
      <w:pPr>
        <w:pStyle w:val="Caption"/>
        <w:rPr>
          <w:bCs w:val="0"/>
          <w:noProof/>
          <w:vertAlign w:val="superscript"/>
        </w:rPr>
      </w:pPr>
      <w:bookmarkStart w:id="396" w:name="_Ref508114431"/>
      <w:bookmarkStart w:id="397" w:name="_Ref508114353"/>
      <w:r>
        <w:rPr>
          <w:bCs w:val="0"/>
          <w:noProof/>
        </w:rPr>
        <w:t xml:space="preserve">Figure </w:t>
      </w:r>
      <w:r>
        <w:rPr>
          <w:bCs w:val="0"/>
          <w:noProof/>
        </w:rPr>
        <w:fldChar w:fldCharType="begin"/>
      </w:r>
      <w:r>
        <w:rPr>
          <w:bCs w:val="0"/>
          <w:noProof/>
        </w:rPr>
        <w:instrText xml:space="preserve"> SEQ Figure \* ARABIC </w:instrText>
      </w:r>
      <w:r>
        <w:rPr>
          <w:bCs w:val="0"/>
          <w:noProof/>
        </w:rPr>
        <w:fldChar w:fldCharType="separate"/>
      </w:r>
      <w:r>
        <w:rPr>
          <w:bCs w:val="0"/>
          <w:noProof/>
        </w:rPr>
        <w:t>4</w:t>
      </w:r>
      <w:r>
        <w:rPr>
          <w:bCs w:val="0"/>
          <w:noProof/>
        </w:rPr>
        <w:fldChar w:fldCharType="end"/>
      </w:r>
      <w:bookmarkEnd w:id="396"/>
      <w:r>
        <w:rPr>
          <w:bCs w:val="0"/>
          <w:noProof/>
        </w:rPr>
        <w:t>: Share of HDV and LDV in total road transport CO</w:t>
      </w:r>
      <w:r>
        <w:rPr>
          <w:bCs w:val="0"/>
          <w:noProof/>
          <w:vertAlign w:val="subscript"/>
        </w:rPr>
        <w:t>2</w:t>
      </w:r>
      <w:r>
        <w:rPr>
          <w:bCs w:val="0"/>
          <w:noProof/>
        </w:rPr>
        <w:t xml:space="preserve"> emissions</w:t>
      </w:r>
      <w:bookmarkEnd w:id="397"/>
    </w:p>
    <w:p w:rsidR="003E180D" w:rsidRDefault="003E180D" w:rsidP="003E180D">
      <w:pPr>
        <w:spacing w:after="120" w:line="240" w:lineRule="auto"/>
        <w:jc w:val="center"/>
        <w:rPr>
          <w:rFonts w:cs="Times New Roman"/>
          <w:noProof/>
          <w:szCs w:val="24"/>
        </w:rPr>
      </w:pPr>
      <w:r>
        <w:rPr>
          <w:rFonts w:cs="Times New Roman"/>
          <w:noProof/>
          <w:szCs w:val="24"/>
          <w:lang w:eastAsia="en-GB"/>
        </w:rPr>
        <w:drawing>
          <wp:inline distT="0" distB="0" distL="0" distR="0" wp14:anchorId="0264F280" wp14:editId="75B7D796">
            <wp:extent cx="3024000" cy="1817619"/>
            <wp:effectExtent l="0" t="0" r="508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9"/>
                    <a:stretch>
                      <a:fillRect/>
                    </a:stretch>
                  </pic:blipFill>
                  <pic:spPr>
                    <a:xfrm>
                      <a:off x="0" y="0"/>
                      <a:ext cx="3024000" cy="1817619"/>
                    </a:xfrm>
                    <a:prstGeom prst="rect">
                      <a:avLst/>
                    </a:prstGeom>
                  </pic:spPr>
                </pic:pic>
              </a:graphicData>
            </a:graphic>
          </wp:inline>
        </w:drawing>
      </w:r>
    </w:p>
    <w:p w:rsidR="003E180D" w:rsidRDefault="003E180D" w:rsidP="003E180D">
      <w:pPr>
        <w:spacing w:after="120" w:line="240" w:lineRule="auto"/>
        <w:jc w:val="both"/>
        <w:rPr>
          <w:rFonts w:eastAsia="Times New Roman" w:cs="Times New Roman"/>
          <w:noProof/>
          <w:sz w:val="20"/>
          <w:szCs w:val="24"/>
        </w:rPr>
      </w:pPr>
      <w:r>
        <w:rPr>
          <w:rFonts w:eastAsia="Times New Roman" w:cs="Times New Roman"/>
          <w:bCs/>
          <w:i/>
          <w:noProof/>
          <w:sz w:val="20"/>
          <w:szCs w:val="24"/>
        </w:rPr>
        <w:t xml:space="preserve">Source: GHG Inventory data – European Environment Agency </w:t>
      </w:r>
      <w:r>
        <w:rPr>
          <w:rFonts w:cs="Times New Roman"/>
          <w:noProof/>
          <w:sz w:val="20"/>
          <w:szCs w:val="24"/>
          <w:vertAlign w:val="superscript"/>
        </w:rPr>
        <w:footnoteReference w:id="56"/>
      </w:r>
    </w:p>
    <w:p w:rsidR="003E180D" w:rsidRDefault="003E180D" w:rsidP="003E180D">
      <w:pPr>
        <w:spacing w:after="120" w:line="240" w:lineRule="auto"/>
        <w:jc w:val="both"/>
        <w:rPr>
          <w:rFonts w:cs="Times New Roman"/>
          <w:noProof/>
          <w:szCs w:val="24"/>
        </w:rPr>
      </w:pPr>
      <w:r>
        <w:rPr>
          <w:rFonts w:cs="Times New Roman"/>
          <w:noProof/>
          <w:szCs w:val="24"/>
        </w:rPr>
        <w:t xml:space="preserve">As </w:t>
      </w:r>
      <w:r>
        <w:rPr>
          <w:rFonts w:cs="Times New Roman"/>
          <w:noProof/>
          <w:szCs w:val="24"/>
        </w:rPr>
        <w:fldChar w:fldCharType="begin"/>
      </w:r>
      <w:r>
        <w:rPr>
          <w:rFonts w:cs="Times New Roman"/>
          <w:noProof/>
          <w:szCs w:val="24"/>
        </w:rPr>
        <w:instrText xml:space="preserve"> REF _Ref508114489 \h  \* MERGEFORMAT </w:instrText>
      </w:r>
      <w:r>
        <w:rPr>
          <w:rFonts w:cs="Times New Roman"/>
          <w:noProof/>
          <w:szCs w:val="24"/>
        </w:rPr>
      </w:r>
      <w:r>
        <w:rPr>
          <w:rFonts w:cs="Times New Roman"/>
          <w:noProof/>
          <w:szCs w:val="24"/>
        </w:rPr>
        <w:fldChar w:fldCharType="separate"/>
      </w:r>
      <w:r>
        <w:rPr>
          <w:rFonts w:cs="Times New Roman"/>
          <w:noProof/>
          <w:szCs w:val="24"/>
        </w:rPr>
        <w:t>Figure 5</w:t>
      </w:r>
      <w:r>
        <w:rPr>
          <w:rFonts w:cs="Times New Roman"/>
          <w:noProof/>
          <w:szCs w:val="24"/>
        </w:rPr>
        <w:fldChar w:fldCharType="end"/>
      </w:r>
      <w:r>
        <w:rPr>
          <w:rFonts w:cs="Times New Roman"/>
          <w:noProof/>
          <w:szCs w:val="24"/>
        </w:rPr>
        <w:t xml:space="preserve"> shows, GHG emissions from HDVs in 2015 were around 19% higher than in 1990, despite some decrease taking place after 2007. Without further action and HDV activity steadily increasing, HDV CO</w:t>
      </w:r>
      <w:r>
        <w:rPr>
          <w:rFonts w:cs="Times New Roman"/>
          <w:noProof/>
          <w:szCs w:val="24"/>
          <w:vertAlign w:val="subscript"/>
        </w:rPr>
        <w:t>2</w:t>
      </w:r>
      <w:r>
        <w:rPr>
          <w:noProof/>
        </w:rPr>
        <w:t xml:space="preserve"> </w:t>
      </w:r>
      <w:r>
        <w:rPr>
          <w:rFonts w:cs="Times New Roman"/>
          <w:noProof/>
          <w:szCs w:val="24"/>
        </w:rPr>
        <w:t>emissions are set to increase by up to 6% between 2015 and 2030</w:t>
      </w:r>
      <w:bookmarkStart w:id="398" w:name="_Ref491172975"/>
      <w:r>
        <w:rPr>
          <w:rFonts w:cs="Times New Roman"/>
          <w:noProof/>
          <w:szCs w:val="24"/>
          <w:vertAlign w:val="superscript"/>
        </w:rPr>
        <w:footnoteReference w:id="57"/>
      </w:r>
      <w:bookmarkEnd w:id="398"/>
      <w:r>
        <w:rPr>
          <w:rFonts w:cs="Times New Roman"/>
          <w:noProof/>
          <w:szCs w:val="24"/>
        </w:rPr>
        <w:t xml:space="preserve"> and thus to represent an increasing share of road transport emissions, from around 25% in 2015 to around 35% in 2050. </w:t>
      </w:r>
    </w:p>
    <w:p w:rsidR="003E180D" w:rsidRDefault="003E180D" w:rsidP="003E180D">
      <w:pPr>
        <w:spacing w:after="120" w:line="240" w:lineRule="auto"/>
        <w:jc w:val="both"/>
        <w:rPr>
          <w:rFonts w:cs="Times New Roman"/>
          <w:noProof/>
          <w:szCs w:val="24"/>
        </w:rPr>
      </w:pPr>
      <w:r>
        <w:rPr>
          <w:rFonts w:cs="Times New Roman"/>
          <w:noProof/>
          <w:szCs w:val="24"/>
        </w:rPr>
        <w:t>At the same time, as explained in Chapter 1 of the Impact Assessment, the EU has set ambitious targets for reducing GHG emissions by 2030, including for the non-ETS sectors, to which the transport sector must contribute. Cars and vans are already delivering their share and legislation has been proposed</w:t>
      </w:r>
      <w:r>
        <w:rPr>
          <w:rFonts w:cs="Times New Roman"/>
          <w:noProof/>
          <w:szCs w:val="24"/>
          <w:vertAlign w:val="superscript"/>
        </w:rPr>
        <w:footnoteReference w:id="58"/>
      </w:r>
      <w:r>
        <w:rPr>
          <w:rFonts w:cs="Times New Roman"/>
          <w:noProof/>
          <w:szCs w:val="24"/>
        </w:rPr>
        <w:t xml:space="preserve"> so that they continue doing so after 2020. </w:t>
      </w:r>
    </w:p>
    <w:p w:rsidR="003E180D" w:rsidRDefault="003E180D" w:rsidP="003E180D">
      <w:pPr>
        <w:spacing w:after="120" w:line="240" w:lineRule="auto"/>
        <w:jc w:val="both"/>
        <w:rPr>
          <w:rFonts w:cs="Times New Roman"/>
          <w:noProof/>
          <w:szCs w:val="24"/>
        </w:rPr>
      </w:pPr>
      <w:r>
        <w:rPr>
          <w:rFonts w:cs="Times New Roman"/>
          <w:noProof/>
          <w:szCs w:val="24"/>
        </w:rPr>
        <w:t xml:space="preserve">The EU also has a long-term goal of reducing GHG emissions by 80-95% by 2050 compared to 1990 levels as its contribution to global efforts required to meet the Paris Agreement commitments. All sectors will have to play their part if this level of ambition is to be achieved and if the costs and severe impacts of climate change are to be avoided. </w:t>
      </w:r>
    </w:p>
    <w:p w:rsidR="003E180D" w:rsidRDefault="003E180D" w:rsidP="003E180D">
      <w:pPr>
        <w:pStyle w:val="Caption"/>
        <w:keepNext/>
        <w:rPr>
          <w:bCs w:val="0"/>
          <w:noProof/>
        </w:rPr>
      </w:pPr>
      <w:bookmarkStart w:id="399" w:name="_Ref508114489"/>
      <w:bookmarkStart w:id="400" w:name="_Ref504746293"/>
      <w:r>
        <w:rPr>
          <w:bCs w:val="0"/>
          <w:noProof/>
        </w:rPr>
        <w:t xml:space="preserve">Figure </w:t>
      </w:r>
      <w:r>
        <w:rPr>
          <w:bCs w:val="0"/>
          <w:noProof/>
        </w:rPr>
        <w:fldChar w:fldCharType="begin"/>
      </w:r>
      <w:r>
        <w:rPr>
          <w:noProof/>
        </w:rPr>
        <w:instrText xml:space="preserve"> SEQ Figure \* ARABIC </w:instrText>
      </w:r>
      <w:r>
        <w:rPr>
          <w:bCs w:val="0"/>
          <w:noProof/>
        </w:rPr>
        <w:fldChar w:fldCharType="separate"/>
      </w:r>
      <w:r>
        <w:rPr>
          <w:noProof/>
        </w:rPr>
        <w:t>5</w:t>
      </w:r>
      <w:r>
        <w:rPr>
          <w:bCs w:val="0"/>
          <w:noProof/>
        </w:rPr>
        <w:fldChar w:fldCharType="end"/>
      </w:r>
      <w:bookmarkEnd w:id="399"/>
      <w:r>
        <w:rPr>
          <w:noProof/>
        </w:rPr>
        <w:t>:</w:t>
      </w:r>
      <w:r>
        <w:rPr>
          <w:bCs w:val="0"/>
          <w:noProof/>
        </w:rPr>
        <w:t xml:space="preserve"> Road Transport GHG emissions 1990 – 2015</w:t>
      </w:r>
      <w:bookmarkEnd w:id="400"/>
    </w:p>
    <w:p w:rsidR="003E180D" w:rsidRDefault="003E180D" w:rsidP="003E180D">
      <w:pPr>
        <w:pStyle w:val="Text2"/>
        <w:ind w:left="0"/>
        <w:jc w:val="center"/>
        <w:rPr>
          <w:noProof/>
        </w:rPr>
      </w:pPr>
      <w:r>
        <w:rPr>
          <w:noProof/>
          <w:lang w:eastAsia="en-GB"/>
        </w:rPr>
        <w:drawing>
          <wp:inline distT="0" distB="0" distL="0" distR="0" wp14:anchorId="28D69373" wp14:editId="4AE37A38">
            <wp:extent cx="4352925" cy="223139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52925" cy="2231390"/>
                    </a:xfrm>
                    <a:prstGeom prst="rect">
                      <a:avLst/>
                    </a:prstGeom>
                    <a:noFill/>
                  </pic:spPr>
                </pic:pic>
              </a:graphicData>
            </a:graphic>
          </wp:inline>
        </w:drawing>
      </w:r>
    </w:p>
    <w:p w:rsidR="003E180D" w:rsidRDefault="003E180D" w:rsidP="003E180D">
      <w:pPr>
        <w:pStyle w:val="Text2"/>
        <w:ind w:left="0"/>
        <w:rPr>
          <w:bCs/>
          <w:i/>
          <w:noProof/>
          <w:sz w:val="20"/>
        </w:rPr>
      </w:pPr>
      <w:r>
        <w:rPr>
          <w:bCs/>
          <w:i/>
          <w:noProof/>
          <w:sz w:val="20"/>
        </w:rPr>
        <w:t xml:space="preserve">Source: GHG Inventory data – European Environment Agency </w:t>
      </w:r>
      <w:r>
        <w:rPr>
          <w:noProof/>
          <w:sz w:val="20"/>
          <w:vertAlign w:val="superscript"/>
        </w:rPr>
        <w:footnoteReference w:id="59"/>
      </w:r>
    </w:p>
    <w:p w:rsidR="003E180D" w:rsidRDefault="003E180D" w:rsidP="003E180D">
      <w:pPr>
        <w:pStyle w:val="Caption"/>
        <w:rPr>
          <w:bCs w:val="0"/>
          <w:noProof/>
        </w:rPr>
      </w:pPr>
      <w:r>
        <w:rPr>
          <w:bCs w:val="0"/>
          <w:noProof/>
        </w:rPr>
        <w:t xml:space="preserve">Figure </w:t>
      </w:r>
      <w:r>
        <w:rPr>
          <w:bCs w:val="0"/>
          <w:noProof/>
        </w:rPr>
        <w:fldChar w:fldCharType="begin"/>
      </w:r>
      <w:r>
        <w:rPr>
          <w:bCs w:val="0"/>
          <w:noProof/>
        </w:rPr>
        <w:instrText xml:space="preserve"> SEQ Figure \* ARABIC </w:instrText>
      </w:r>
      <w:r>
        <w:rPr>
          <w:bCs w:val="0"/>
          <w:noProof/>
        </w:rPr>
        <w:fldChar w:fldCharType="separate"/>
      </w:r>
      <w:r>
        <w:rPr>
          <w:bCs w:val="0"/>
          <w:noProof/>
        </w:rPr>
        <w:t>6</w:t>
      </w:r>
      <w:r>
        <w:rPr>
          <w:bCs w:val="0"/>
          <w:noProof/>
        </w:rPr>
        <w:fldChar w:fldCharType="end"/>
      </w:r>
      <w:r>
        <w:rPr>
          <w:bCs w:val="0"/>
          <w:noProof/>
        </w:rPr>
        <w:t>: Projected HDV CO</w:t>
      </w:r>
      <w:r>
        <w:rPr>
          <w:bCs w:val="0"/>
          <w:noProof/>
          <w:vertAlign w:val="subscript"/>
        </w:rPr>
        <w:t>2</w:t>
      </w:r>
      <w:r>
        <w:rPr>
          <w:bCs w:val="0"/>
          <w:noProof/>
        </w:rPr>
        <w:t xml:space="preserve"> emissions 2015-2050</w:t>
      </w:r>
    </w:p>
    <w:p w:rsidR="003E180D" w:rsidRDefault="003E180D" w:rsidP="003E180D">
      <w:pPr>
        <w:pStyle w:val="Text2"/>
        <w:ind w:left="0"/>
        <w:jc w:val="center"/>
        <w:rPr>
          <w:noProof/>
        </w:rPr>
      </w:pPr>
      <w:r>
        <w:rPr>
          <w:noProof/>
          <w:lang w:eastAsia="en-GB"/>
        </w:rPr>
        <w:drawing>
          <wp:inline distT="0" distB="0" distL="0" distR="0" wp14:anchorId="13D48F36" wp14:editId="5C86CE6D">
            <wp:extent cx="5474970" cy="2249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4970" cy="2249805"/>
                    </a:xfrm>
                    <a:prstGeom prst="rect">
                      <a:avLst/>
                    </a:prstGeom>
                    <a:noFill/>
                  </pic:spPr>
                </pic:pic>
              </a:graphicData>
            </a:graphic>
          </wp:inline>
        </w:drawing>
      </w:r>
    </w:p>
    <w:p w:rsidR="003E180D" w:rsidRDefault="003E180D" w:rsidP="003E180D">
      <w:pPr>
        <w:pStyle w:val="Text2"/>
        <w:ind w:left="0"/>
        <w:rPr>
          <w:noProof/>
          <w:sz w:val="20"/>
        </w:rPr>
      </w:pPr>
      <w:r>
        <w:rPr>
          <w:i/>
          <w:noProof/>
          <w:sz w:val="20"/>
        </w:rPr>
        <w:t>Source: Primes-Tremove</w:t>
      </w:r>
    </w:p>
    <w:p w:rsidR="003E180D" w:rsidRDefault="003E180D" w:rsidP="003E180D">
      <w:pPr>
        <w:pStyle w:val="Heading2"/>
        <w:numPr>
          <w:ilvl w:val="1"/>
          <w:numId w:val="22"/>
        </w:numPr>
        <w:spacing w:before="240" w:after="240"/>
        <w:rPr>
          <w:noProof/>
        </w:rPr>
      </w:pPr>
      <w:bookmarkStart w:id="401" w:name="_Toc506305332"/>
      <w:bookmarkStart w:id="402" w:name="_Toc506305565"/>
      <w:bookmarkStart w:id="403" w:name="_Toc506487748"/>
      <w:bookmarkStart w:id="404" w:name="_Ref506816619"/>
      <w:bookmarkStart w:id="405" w:name="_Toc507516327"/>
      <w:bookmarkStart w:id="406" w:name="_Toc507517482"/>
      <w:bookmarkStart w:id="407" w:name="_Toc507519034"/>
      <w:bookmarkStart w:id="408" w:name="_Toc507519386"/>
      <w:bookmarkStart w:id="409" w:name="_Toc507580444"/>
      <w:bookmarkStart w:id="410" w:name="_Toc507581257"/>
      <w:bookmarkStart w:id="411" w:name="_Toc507582276"/>
      <w:bookmarkStart w:id="412" w:name="_Toc508094930"/>
      <w:bookmarkStart w:id="413" w:name="_Toc506305333"/>
      <w:bookmarkStart w:id="414" w:name="_Toc506305566"/>
      <w:bookmarkStart w:id="415" w:name="_Toc506487749"/>
      <w:bookmarkStart w:id="416" w:name="_Toc507516328"/>
      <w:bookmarkStart w:id="417" w:name="_Toc507517483"/>
      <w:bookmarkStart w:id="418" w:name="_Toc507519035"/>
      <w:bookmarkStart w:id="419" w:name="_Toc507519387"/>
      <w:bookmarkStart w:id="420" w:name="_Toc507580445"/>
      <w:bookmarkStart w:id="421" w:name="_Toc507581258"/>
      <w:bookmarkStart w:id="422" w:name="_Toc507582277"/>
      <w:bookmarkStart w:id="423" w:name="_Toc507598226"/>
      <w:bookmarkStart w:id="424" w:name="_Toc508124788"/>
      <w:bookmarkStart w:id="425" w:name="_Toc508126153"/>
      <w:bookmarkStart w:id="426" w:name="_Toc508127525"/>
      <w:bookmarkStart w:id="427" w:name="_Toc508127880"/>
      <w:bookmarkStart w:id="428" w:name="_Toc508129652"/>
      <w:bookmarkStart w:id="429" w:name="_Toc508181043"/>
      <w:bookmarkStart w:id="430" w:name="_Toc508186636"/>
      <w:bookmarkStart w:id="431" w:name="_Toc510708117"/>
      <w:bookmarkStart w:id="432" w:name="_Toc514328813"/>
      <w:bookmarkEnd w:id="401"/>
      <w:bookmarkEnd w:id="402"/>
      <w:bookmarkEnd w:id="403"/>
      <w:bookmarkEnd w:id="404"/>
      <w:bookmarkEnd w:id="405"/>
      <w:bookmarkEnd w:id="406"/>
      <w:bookmarkEnd w:id="407"/>
      <w:bookmarkEnd w:id="408"/>
      <w:bookmarkEnd w:id="409"/>
      <w:bookmarkEnd w:id="410"/>
      <w:bookmarkEnd w:id="411"/>
      <w:bookmarkEnd w:id="412"/>
      <w:r>
        <w:rPr>
          <w:noProof/>
        </w:rPr>
        <w:t>Problem 3: EU HDV manufacturers and component suppliers are at risk of losing their technological and innovation leadership position</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rPr>
          <w:noProof/>
        </w:rPr>
        <w:t xml:space="preserve"> </w:t>
      </w:r>
    </w:p>
    <w:p w:rsidR="003E180D" w:rsidRDefault="003E180D" w:rsidP="003E180D">
      <w:pPr>
        <w:spacing w:after="120" w:line="240" w:lineRule="auto"/>
        <w:jc w:val="both"/>
        <w:rPr>
          <w:rFonts w:cs="Times New Roman"/>
          <w:noProof/>
          <w:szCs w:val="24"/>
        </w:rPr>
      </w:pPr>
      <w:r>
        <w:rPr>
          <w:rFonts w:cs="Times New Roman"/>
          <w:noProof/>
          <w:szCs w:val="24"/>
        </w:rPr>
        <w:t xml:space="preserve">The EU HDV manufacturers and component suppliers currently have a global technological leadership position, as EU lorries are more fuel efficient than lorries in other economies. </w:t>
      </w:r>
      <w:r>
        <w:rPr>
          <w:rFonts w:cs="Times New Roman"/>
          <w:noProof/>
          <w:szCs w:val="24"/>
        </w:rPr>
        <w:fldChar w:fldCharType="begin"/>
      </w:r>
      <w:r>
        <w:rPr>
          <w:rFonts w:cs="Times New Roman"/>
          <w:noProof/>
          <w:szCs w:val="24"/>
        </w:rPr>
        <w:instrText xml:space="preserve"> REF _Ref508114591 \h  \* MERGEFORMAT </w:instrText>
      </w:r>
      <w:r>
        <w:rPr>
          <w:rFonts w:cs="Times New Roman"/>
          <w:noProof/>
          <w:szCs w:val="24"/>
        </w:rPr>
      </w:r>
      <w:r>
        <w:rPr>
          <w:rFonts w:cs="Times New Roman"/>
          <w:noProof/>
          <w:szCs w:val="24"/>
        </w:rPr>
        <w:fldChar w:fldCharType="separate"/>
      </w:r>
      <w:r>
        <w:rPr>
          <w:rFonts w:cs="Times New Roman"/>
          <w:noProof/>
          <w:szCs w:val="24"/>
        </w:rPr>
        <w:t>Table 6</w:t>
      </w:r>
      <w:r>
        <w:rPr>
          <w:rFonts w:cs="Times New Roman"/>
          <w:noProof/>
          <w:szCs w:val="24"/>
        </w:rPr>
        <w:fldChar w:fldCharType="end"/>
      </w:r>
      <w:r>
        <w:rPr>
          <w:rFonts w:cs="Times New Roman"/>
          <w:noProof/>
          <w:szCs w:val="24"/>
        </w:rPr>
        <w:t xml:space="preserve"> shows that new lorries in the EU for medium and heavy freight transport have lower average fuel consumption than lorries in other regions of the world. </w:t>
      </w:r>
    </w:p>
    <w:p w:rsidR="003E180D" w:rsidRDefault="003E180D" w:rsidP="003E180D">
      <w:pPr>
        <w:pStyle w:val="Caption"/>
        <w:keepNext/>
        <w:jc w:val="both"/>
        <w:rPr>
          <w:bCs w:val="0"/>
          <w:noProof/>
        </w:rPr>
      </w:pPr>
      <w:bookmarkStart w:id="433" w:name="_Ref508114591"/>
      <w:bookmarkStart w:id="434" w:name="_Ref504746864"/>
      <w:r>
        <w:rPr>
          <w:bCs w:val="0"/>
          <w:noProof/>
        </w:rPr>
        <w:t xml:space="preserve">Table </w:t>
      </w:r>
      <w:r>
        <w:rPr>
          <w:bCs w:val="0"/>
          <w:noProof/>
        </w:rPr>
        <w:fldChar w:fldCharType="begin"/>
      </w:r>
      <w:r>
        <w:rPr>
          <w:bCs w:val="0"/>
          <w:noProof/>
        </w:rPr>
        <w:instrText xml:space="preserve"> SEQ Table \* ARABIC </w:instrText>
      </w:r>
      <w:r>
        <w:rPr>
          <w:bCs w:val="0"/>
          <w:noProof/>
        </w:rPr>
        <w:fldChar w:fldCharType="separate"/>
      </w:r>
      <w:r>
        <w:rPr>
          <w:bCs w:val="0"/>
          <w:noProof/>
        </w:rPr>
        <w:t>6</w:t>
      </w:r>
      <w:r>
        <w:rPr>
          <w:bCs w:val="0"/>
          <w:noProof/>
        </w:rPr>
        <w:fldChar w:fldCharType="end"/>
      </w:r>
      <w:bookmarkEnd w:id="433"/>
      <w:r>
        <w:rPr>
          <w:bCs w:val="0"/>
          <w:noProof/>
        </w:rPr>
        <w:t>: Typical average fuel consumption of new lorries at representative payloads, by lorry category in selected countries (litres of diesel equivalent/100 km)</w:t>
      </w:r>
      <w:bookmarkEnd w:id="434"/>
    </w:p>
    <w:p w:rsidR="003E180D" w:rsidRDefault="003E180D" w:rsidP="003E180D">
      <w:pPr>
        <w:rPr>
          <w:rFonts w:ascii="Calibri" w:hAnsi="Calibri"/>
          <w:noProof/>
        </w:rPr>
      </w:pPr>
      <w:r>
        <w:rPr>
          <w:noProof/>
          <w:lang w:eastAsia="en-GB"/>
        </w:rPr>
        <w:drawing>
          <wp:inline distT="0" distB="0" distL="0" distR="0" wp14:anchorId="3AAA1433" wp14:editId="29D5B1E2">
            <wp:extent cx="5472430" cy="12612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2430" cy="1261268"/>
                    </a:xfrm>
                    <a:prstGeom prst="rect">
                      <a:avLst/>
                    </a:prstGeom>
                    <a:noFill/>
                    <a:ln>
                      <a:noFill/>
                    </a:ln>
                  </pic:spPr>
                </pic:pic>
              </a:graphicData>
            </a:graphic>
          </wp:inline>
        </w:drawing>
      </w:r>
    </w:p>
    <w:p w:rsidR="003E180D" w:rsidRDefault="003E180D" w:rsidP="003E180D">
      <w:pPr>
        <w:rPr>
          <w:i/>
          <w:noProof/>
          <w:sz w:val="20"/>
        </w:rPr>
      </w:pPr>
      <w:r>
        <w:rPr>
          <w:i/>
          <w:noProof/>
          <w:sz w:val="20"/>
        </w:rPr>
        <w:t>Source: IEA, The future of trucks (2017)</w:t>
      </w:r>
    </w:p>
    <w:p w:rsidR="003E180D" w:rsidRDefault="003E180D" w:rsidP="003E180D">
      <w:pPr>
        <w:pStyle w:val="Heading2"/>
        <w:numPr>
          <w:ilvl w:val="1"/>
          <w:numId w:val="22"/>
        </w:numPr>
        <w:spacing w:before="240" w:after="240"/>
        <w:rPr>
          <w:noProof/>
        </w:rPr>
      </w:pPr>
      <w:bookmarkStart w:id="435" w:name="_Toc506305335"/>
      <w:bookmarkStart w:id="436" w:name="_Toc506305568"/>
      <w:bookmarkStart w:id="437" w:name="_Toc506487751"/>
      <w:bookmarkStart w:id="438" w:name="_Toc507516330"/>
      <w:bookmarkStart w:id="439" w:name="_Toc507517485"/>
      <w:bookmarkStart w:id="440" w:name="_Toc507519037"/>
      <w:bookmarkStart w:id="441" w:name="_Toc507519389"/>
      <w:bookmarkStart w:id="442" w:name="_Toc507580447"/>
      <w:bookmarkStart w:id="443" w:name="_Toc507581260"/>
      <w:bookmarkStart w:id="444" w:name="_Toc507582279"/>
      <w:bookmarkStart w:id="445" w:name="_Toc508094953"/>
      <w:bookmarkStart w:id="446" w:name="_Toc508124789"/>
      <w:bookmarkStart w:id="447" w:name="_Toc508126154"/>
      <w:bookmarkStart w:id="448" w:name="_Toc508127526"/>
      <w:bookmarkStart w:id="449" w:name="_Toc508127881"/>
      <w:bookmarkStart w:id="450" w:name="_Toc508129653"/>
      <w:bookmarkStart w:id="451" w:name="_Toc508181044"/>
      <w:bookmarkStart w:id="452" w:name="_Toc508186637"/>
      <w:bookmarkStart w:id="453" w:name="_Toc510708118"/>
      <w:bookmarkStart w:id="454" w:name="_Toc514328814"/>
      <w:r>
        <w:rPr>
          <w:noProof/>
        </w:rPr>
        <w:t>Driver 1: Road freight transport activity is increasing</w:t>
      </w:r>
      <w:bookmarkStart w:id="455" w:name="_Toc505968954"/>
      <w:bookmarkStart w:id="456" w:name="_Toc505969420"/>
      <w:bookmarkStart w:id="457" w:name="_Toc505970840"/>
      <w:bookmarkStart w:id="458" w:name="_Toc505970894"/>
      <w:bookmarkStart w:id="459" w:name="_Toc505973288"/>
      <w:bookmarkStart w:id="460" w:name="_Toc505974369"/>
      <w:bookmarkStart w:id="461" w:name="_Toc505976206"/>
      <w:bookmarkStart w:id="462" w:name="_Toc505977740"/>
      <w:bookmarkStart w:id="463" w:name="_Toc505978037"/>
      <w:bookmarkStart w:id="464" w:name="_Toc505968955"/>
      <w:bookmarkStart w:id="465" w:name="_Toc505969421"/>
      <w:bookmarkStart w:id="466" w:name="_Toc505970841"/>
      <w:bookmarkStart w:id="467" w:name="_Toc505970895"/>
      <w:bookmarkStart w:id="468" w:name="_Toc505973289"/>
      <w:bookmarkStart w:id="469" w:name="_Toc505974370"/>
      <w:bookmarkStart w:id="470" w:name="_Toc505976207"/>
      <w:bookmarkStart w:id="471" w:name="_Toc505977741"/>
      <w:bookmarkStart w:id="472" w:name="_Toc505978038"/>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54"/>
    </w:p>
    <w:p w:rsidR="003E180D" w:rsidRDefault="003E180D" w:rsidP="003E180D">
      <w:pPr>
        <w:spacing w:line="240" w:lineRule="auto"/>
        <w:jc w:val="both"/>
        <w:rPr>
          <w:rFonts w:cs="Times New Roman"/>
          <w:noProof/>
          <w:szCs w:val="24"/>
        </w:rPr>
      </w:pPr>
      <w:r>
        <w:rPr>
          <w:rFonts w:cs="Times New Roman"/>
          <w:noProof/>
          <w:szCs w:val="24"/>
        </w:rPr>
        <w:t>In the longer term, under current trends and adopted policies</w:t>
      </w:r>
      <w:r>
        <w:rPr>
          <w:rFonts w:cs="Times New Roman"/>
          <w:noProof/>
          <w:szCs w:val="24"/>
          <w:vertAlign w:val="superscript"/>
        </w:rPr>
        <w:footnoteReference w:id="60"/>
      </w:r>
      <w:r>
        <w:rPr>
          <w:rFonts w:cs="Times New Roman"/>
          <w:noProof/>
          <w:szCs w:val="24"/>
        </w:rPr>
        <w:t xml:space="preserve">, road freight transport activity is set to increase between 2010 and 2050 by about 56% (1.1% p.a.) due to a strong correlation with economic growth (see </w:t>
      </w:r>
      <w:r>
        <w:rPr>
          <w:rFonts w:cs="Times New Roman"/>
          <w:noProof/>
          <w:szCs w:val="24"/>
        </w:rPr>
        <w:fldChar w:fldCharType="begin"/>
      </w:r>
      <w:r>
        <w:rPr>
          <w:rFonts w:cs="Times New Roman"/>
          <w:noProof/>
          <w:szCs w:val="24"/>
        </w:rPr>
        <w:instrText xml:space="preserve"> REF _Ref508114647 \h  \* MERGEFORMAT </w:instrText>
      </w:r>
      <w:r>
        <w:rPr>
          <w:rFonts w:cs="Times New Roman"/>
          <w:noProof/>
          <w:szCs w:val="24"/>
        </w:rPr>
      </w:r>
      <w:r>
        <w:rPr>
          <w:rFonts w:cs="Times New Roman"/>
          <w:noProof/>
          <w:szCs w:val="24"/>
        </w:rPr>
        <w:fldChar w:fldCharType="separate"/>
      </w:r>
      <w:r>
        <w:rPr>
          <w:rFonts w:cs="Times New Roman"/>
          <w:noProof/>
          <w:szCs w:val="24"/>
        </w:rPr>
        <w:t>Figure 7</w:t>
      </w:r>
      <w:r>
        <w:rPr>
          <w:rFonts w:cs="Times New Roman"/>
          <w:noProof/>
          <w:szCs w:val="24"/>
        </w:rPr>
        <w:fldChar w:fldCharType="end"/>
      </w:r>
      <w:r>
        <w:rPr>
          <w:rFonts w:cs="Times New Roman"/>
          <w:noProof/>
          <w:szCs w:val="24"/>
        </w:rPr>
        <w:t xml:space="preserve"> below).</w:t>
      </w:r>
    </w:p>
    <w:p w:rsidR="003E180D" w:rsidRDefault="003E180D" w:rsidP="003E180D">
      <w:pPr>
        <w:pStyle w:val="Caption"/>
        <w:rPr>
          <w:noProof/>
        </w:rPr>
      </w:pPr>
      <w:bookmarkStart w:id="473" w:name="_Ref506540719"/>
      <w:bookmarkStart w:id="474" w:name="_Ref508114647"/>
      <w:r>
        <w:rPr>
          <w:noProof/>
        </w:rPr>
        <w:t>Figur</w:t>
      </w:r>
      <w:bookmarkEnd w:id="473"/>
      <w:r>
        <w:rPr>
          <w:noProof/>
        </w:rPr>
        <w:t xml:space="preserve">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474"/>
      <w:r>
        <w:rPr>
          <w:noProof/>
        </w:rPr>
        <w:t xml:space="preserve">: Evolution of freight transport activity by mode </w:t>
      </w:r>
    </w:p>
    <w:p w:rsidR="003E180D" w:rsidRDefault="003E180D" w:rsidP="003E180D">
      <w:pPr>
        <w:jc w:val="center"/>
        <w:rPr>
          <w:rFonts w:cs="Times New Roman"/>
          <w:noProof/>
          <w:szCs w:val="24"/>
        </w:rPr>
      </w:pPr>
      <w:r>
        <w:rPr>
          <w:rFonts w:cs="Times New Roman"/>
          <w:noProof/>
          <w:szCs w:val="24"/>
          <w:lang w:eastAsia="en-GB"/>
        </w:rPr>
        <w:drawing>
          <wp:inline distT="0" distB="0" distL="0" distR="0" wp14:anchorId="0615FE47" wp14:editId="14C88EBC">
            <wp:extent cx="4439577" cy="280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39577" cy="2808000"/>
                    </a:xfrm>
                    <a:prstGeom prst="rect">
                      <a:avLst/>
                    </a:prstGeom>
                    <a:noFill/>
                  </pic:spPr>
                </pic:pic>
              </a:graphicData>
            </a:graphic>
          </wp:inline>
        </w:drawing>
      </w:r>
    </w:p>
    <w:p w:rsidR="003E180D" w:rsidRDefault="003E180D" w:rsidP="003E180D">
      <w:pPr>
        <w:jc w:val="both"/>
        <w:rPr>
          <w:rFonts w:cs="Times New Roman"/>
          <w:i/>
          <w:noProof/>
          <w:sz w:val="22"/>
        </w:rPr>
      </w:pPr>
      <w:r>
        <w:rPr>
          <w:rFonts w:cs="Times New Roman"/>
          <w:i/>
          <w:noProof/>
          <w:sz w:val="22"/>
        </w:rPr>
        <w:t>Source: EU Reference Scenario 2016</w:t>
      </w:r>
    </w:p>
    <w:p w:rsidR="003E180D" w:rsidRDefault="003E180D" w:rsidP="003E180D">
      <w:pPr>
        <w:rPr>
          <w:noProof/>
        </w:rPr>
      </w:pPr>
      <w:bookmarkStart w:id="475" w:name="_Ref508123512"/>
      <w:bookmarkStart w:id="476" w:name="_Toc508124790"/>
      <w:bookmarkStart w:id="477" w:name="_Toc508126155"/>
    </w:p>
    <w:p w:rsidR="003E180D" w:rsidRDefault="003E180D" w:rsidP="003E180D">
      <w:pPr>
        <w:pStyle w:val="Text2"/>
        <w:rPr>
          <w:noProof/>
          <w:szCs w:val="24"/>
        </w:rPr>
      </w:pPr>
      <w:r>
        <w:rPr>
          <w:noProof/>
        </w:rPr>
        <w:br w:type="page"/>
      </w:r>
    </w:p>
    <w:p w:rsidR="003E180D" w:rsidRDefault="003E180D" w:rsidP="003E180D">
      <w:pPr>
        <w:pStyle w:val="Heading2"/>
        <w:numPr>
          <w:ilvl w:val="1"/>
          <w:numId w:val="22"/>
        </w:numPr>
        <w:spacing w:before="240" w:after="240"/>
        <w:rPr>
          <w:noProof/>
        </w:rPr>
      </w:pPr>
      <w:bookmarkStart w:id="478" w:name="_Toc508127527"/>
      <w:bookmarkStart w:id="479" w:name="_Toc508127882"/>
      <w:bookmarkStart w:id="480" w:name="_Toc508129654"/>
      <w:bookmarkStart w:id="481" w:name="_Toc508181045"/>
      <w:bookmarkStart w:id="482" w:name="_Toc508186638"/>
      <w:bookmarkStart w:id="483" w:name="_Toc510708119"/>
      <w:bookmarkStart w:id="484" w:name="_Toc514328815"/>
      <w:r>
        <w:rPr>
          <w:noProof/>
        </w:rPr>
        <w:t>Driver 3: Limited use of zero- and low-emission vehicles in the HDV sector</w:t>
      </w:r>
      <w:bookmarkEnd w:id="475"/>
      <w:bookmarkEnd w:id="476"/>
      <w:bookmarkEnd w:id="477"/>
      <w:bookmarkEnd w:id="478"/>
      <w:bookmarkEnd w:id="479"/>
      <w:bookmarkEnd w:id="480"/>
      <w:bookmarkEnd w:id="481"/>
      <w:bookmarkEnd w:id="482"/>
      <w:bookmarkEnd w:id="483"/>
      <w:bookmarkEnd w:id="484"/>
    </w:p>
    <w:p w:rsidR="003E180D" w:rsidRDefault="003E180D" w:rsidP="003E180D">
      <w:pPr>
        <w:spacing w:after="120" w:line="240" w:lineRule="auto"/>
        <w:jc w:val="both"/>
        <w:rPr>
          <w:noProof/>
        </w:rPr>
      </w:pPr>
      <w:bookmarkStart w:id="485" w:name="_Toc508124791"/>
      <w:bookmarkStart w:id="486" w:name="_Toc508126156"/>
      <w:bookmarkStart w:id="487" w:name="_Toc508127528"/>
      <w:r>
        <w:rPr>
          <w:noProof/>
        </w:rPr>
        <w:t xml:space="preserve">As shown in </w:t>
      </w:r>
      <w:r>
        <w:rPr>
          <w:noProof/>
        </w:rPr>
        <w:fldChar w:fldCharType="begin"/>
      </w:r>
      <w:r>
        <w:rPr>
          <w:noProof/>
        </w:rPr>
        <w:instrText xml:space="preserve"> REF _Ref508114886 \h  \* MERGEFORMAT </w:instrText>
      </w:r>
      <w:r>
        <w:rPr>
          <w:noProof/>
        </w:rPr>
      </w:r>
      <w:r>
        <w:rPr>
          <w:noProof/>
        </w:rPr>
        <w:fldChar w:fldCharType="separate"/>
      </w:r>
      <w:r>
        <w:rPr>
          <w:noProof/>
        </w:rPr>
        <w:t>Table 7</w:t>
      </w:r>
      <w:r>
        <w:rPr>
          <w:noProof/>
        </w:rPr>
        <w:fldChar w:fldCharType="end"/>
      </w:r>
      <w:r>
        <w:rPr>
          <w:noProof/>
        </w:rPr>
        <w:t>, almost all traditional manufacturers have announced plans for electrification, even if the potential sales volume would remain small in view of the current high upfront costs</w:t>
      </w:r>
      <w:bookmarkStart w:id="488" w:name="_Toc508127529"/>
      <w:r>
        <w:rPr>
          <w:noProof/>
        </w:rPr>
        <w:t>.</w:t>
      </w:r>
      <w:bookmarkEnd w:id="485"/>
      <w:bookmarkEnd w:id="486"/>
      <w:bookmarkEnd w:id="487"/>
      <w:bookmarkEnd w:id="488"/>
    </w:p>
    <w:p w:rsidR="003E180D" w:rsidRDefault="003E180D" w:rsidP="003E180D">
      <w:pPr>
        <w:pStyle w:val="Caption"/>
        <w:keepNext/>
        <w:jc w:val="both"/>
        <w:rPr>
          <w:b w:val="0"/>
          <w:noProof/>
        </w:rPr>
      </w:pPr>
      <w:bookmarkStart w:id="489" w:name="_Ref508114886"/>
      <w:r>
        <w:rPr>
          <w:noProof/>
        </w:rP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bookmarkEnd w:id="489"/>
      <w:r>
        <w:rPr>
          <w:noProof/>
        </w:rPr>
        <w:t>: List of manufacturers' and suppliers’ announcements on zero- and low emission HDV</w:t>
      </w:r>
      <w:r>
        <w:rPr>
          <w:rStyle w:val="FootnoteReference"/>
          <w:noProof/>
        </w:rPr>
        <w:footnoteReference w:id="61"/>
      </w:r>
    </w:p>
    <w:tbl>
      <w:tblPr>
        <w:tblStyle w:val="TableGrid"/>
        <w:tblW w:w="0" w:type="auto"/>
        <w:tblLook w:val="04A0" w:firstRow="1" w:lastRow="0" w:firstColumn="1" w:lastColumn="0" w:noHBand="0" w:noVBand="1"/>
      </w:tblPr>
      <w:tblGrid>
        <w:gridCol w:w="2376"/>
        <w:gridCol w:w="6457"/>
      </w:tblGrid>
      <w:tr w:rsidR="003E180D" w:rsidTr="0088305C">
        <w:trPr>
          <w:trHeight w:val="300"/>
          <w:tblHeader/>
        </w:trPr>
        <w:tc>
          <w:tcPr>
            <w:tcW w:w="2376" w:type="dxa"/>
            <w:tcBorders>
              <w:top w:val="single" w:sz="4" w:space="0" w:color="auto"/>
              <w:left w:val="single" w:sz="4" w:space="0" w:color="auto"/>
              <w:bottom w:val="single" w:sz="4" w:space="0" w:color="auto"/>
              <w:right w:val="single" w:sz="4" w:space="0" w:color="auto"/>
            </w:tcBorders>
            <w:noWrap/>
          </w:tcPr>
          <w:p w:rsidR="003E180D" w:rsidRDefault="003E180D" w:rsidP="0088305C">
            <w:pPr>
              <w:spacing w:after="120"/>
              <w:jc w:val="center"/>
              <w:rPr>
                <w:b/>
                <w:noProof/>
                <w:szCs w:val="24"/>
              </w:rPr>
            </w:pPr>
            <w:r>
              <w:rPr>
                <w:b/>
                <w:noProof/>
                <w:szCs w:val="24"/>
              </w:rPr>
              <w:t>Manufacturer or supplier</w:t>
            </w:r>
          </w:p>
        </w:tc>
        <w:tc>
          <w:tcPr>
            <w:tcW w:w="6458" w:type="dxa"/>
            <w:tcBorders>
              <w:top w:val="single" w:sz="4" w:space="0" w:color="auto"/>
              <w:left w:val="single" w:sz="4" w:space="0" w:color="auto"/>
              <w:bottom w:val="single" w:sz="4" w:space="0" w:color="auto"/>
              <w:right w:val="single" w:sz="4" w:space="0" w:color="auto"/>
            </w:tcBorders>
            <w:noWrap/>
          </w:tcPr>
          <w:p w:rsidR="003E180D" w:rsidRDefault="003E180D" w:rsidP="0088305C">
            <w:pPr>
              <w:spacing w:after="120"/>
              <w:jc w:val="center"/>
              <w:rPr>
                <w:b/>
                <w:noProof/>
                <w:szCs w:val="24"/>
              </w:rPr>
            </w:pPr>
            <w:r>
              <w:rPr>
                <w:b/>
                <w:noProof/>
                <w:szCs w:val="24"/>
              </w:rPr>
              <w:t>Announcement</w:t>
            </w:r>
          </w:p>
        </w:tc>
      </w:tr>
      <w:tr w:rsidR="003E180D" w:rsidTr="0088305C">
        <w:trPr>
          <w:trHeight w:val="300"/>
        </w:trPr>
        <w:tc>
          <w:tcPr>
            <w:tcW w:w="2376" w:type="dxa"/>
            <w:tcBorders>
              <w:top w:val="single" w:sz="4" w:space="0" w:color="auto"/>
              <w:left w:val="single" w:sz="4" w:space="0" w:color="auto"/>
              <w:bottom w:val="single" w:sz="4" w:space="0" w:color="auto"/>
              <w:right w:val="single" w:sz="4" w:space="0" w:color="auto"/>
            </w:tcBorders>
            <w:noWrap/>
            <w:hideMark/>
          </w:tcPr>
          <w:p w:rsidR="003E180D" w:rsidRDefault="003E180D" w:rsidP="0088305C">
            <w:pPr>
              <w:spacing w:after="120"/>
              <w:rPr>
                <w:b/>
                <w:noProof/>
                <w:szCs w:val="24"/>
              </w:rPr>
            </w:pPr>
            <w:r>
              <w:rPr>
                <w:b/>
                <w:noProof/>
                <w:szCs w:val="24"/>
              </w:rPr>
              <w:t>Daimler</w:t>
            </w:r>
          </w:p>
        </w:tc>
        <w:tc>
          <w:tcPr>
            <w:tcW w:w="6458" w:type="dxa"/>
            <w:tcBorders>
              <w:top w:val="single" w:sz="4" w:space="0" w:color="auto"/>
              <w:left w:val="single" w:sz="4" w:space="0" w:color="auto"/>
              <w:bottom w:val="single" w:sz="4" w:space="0" w:color="auto"/>
              <w:right w:val="single" w:sz="4" w:space="0" w:color="auto"/>
            </w:tcBorders>
            <w:noWrap/>
            <w:hideMark/>
          </w:tcPr>
          <w:p w:rsidR="003E180D" w:rsidRDefault="003E180D" w:rsidP="0088305C">
            <w:pPr>
              <w:spacing w:after="120"/>
              <w:rPr>
                <w:noProof/>
                <w:szCs w:val="24"/>
              </w:rPr>
            </w:pPr>
            <w:r>
              <w:rPr>
                <w:noProof/>
                <w:szCs w:val="24"/>
              </w:rPr>
              <w:t>Fully electric-powered light lorry</w:t>
            </w:r>
          </w:p>
        </w:tc>
      </w:tr>
      <w:tr w:rsidR="003E180D" w:rsidTr="0088305C">
        <w:trPr>
          <w:trHeight w:val="300"/>
        </w:trPr>
        <w:tc>
          <w:tcPr>
            <w:tcW w:w="2376" w:type="dxa"/>
            <w:tcBorders>
              <w:top w:val="single" w:sz="4" w:space="0" w:color="auto"/>
              <w:left w:val="single" w:sz="4" w:space="0" w:color="auto"/>
              <w:bottom w:val="single" w:sz="4" w:space="0" w:color="auto"/>
              <w:right w:val="single" w:sz="4" w:space="0" w:color="auto"/>
            </w:tcBorders>
            <w:noWrap/>
            <w:hideMark/>
          </w:tcPr>
          <w:p w:rsidR="003E180D" w:rsidRDefault="003E180D" w:rsidP="0088305C">
            <w:pPr>
              <w:spacing w:after="120"/>
              <w:rPr>
                <w:b/>
                <w:noProof/>
                <w:szCs w:val="24"/>
              </w:rPr>
            </w:pPr>
            <w:r>
              <w:rPr>
                <w:b/>
                <w:noProof/>
                <w:szCs w:val="24"/>
              </w:rPr>
              <w:t xml:space="preserve">Volvo/Renault </w:t>
            </w:r>
          </w:p>
        </w:tc>
        <w:tc>
          <w:tcPr>
            <w:tcW w:w="6458" w:type="dxa"/>
            <w:tcBorders>
              <w:top w:val="single" w:sz="4" w:space="0" w:color="auto"/>
              <w:left w:val="single" w:sz="4" w:space="0" w:color="auto"/>
              <w:bottom w:val="single" w:sz="4" w:space="0" w:color="auto"/>
              <w:right w:val="single" w:sz="4" w:space="0" w:color="auto"/>
            </w:tcBorders>
            <w:noWrap/>
            <w:hideMark/>
          </w:tcPr>
          <w:p w:rsidR="003E180D" w:rsidRDefault="003E180D" w:rsidP="0088305C">
            <w:pPr>
              <w:spacing w:after="120"/>
              <w:rPr>
                <w:noProof/>
              </w:rPr>
            </w:pPr>
            <w:r>
              <w:rPr>
                <w:noProof/>
              </w:rPr>
              <w:t>All-electric lorries in 2019</w:t>
            </w:r>
          </w:p>
        </w:tc>
      </w:tr>
      <w:tr w:rsidR="003E180D" w:rsidTr="0088305C">
        <w:trPr>
          <w:trHeight w:val="300"/>
        </w:trPr>
        <w:tc>
          <w:tcPr>
            <w:tcW w:w="2376" w:type="dxa"/>
            <w:tcBorders>
              <w:top w:val="single" w:sz="4" w:space="0" w:color="auto"/>
              <w:left w:val="single" w:sz="4" w:space="0" w:color="auto"/>
              <w:bottom w:val="single" w:sz="4" w:space="0" w:color="auto"/>
              <w:right w:val="single" w:sz="4" w:space="0" w:color="auto"/>
            </w:tcBorders>
            <w:noWrap/>
          </w:tcPr>
          <w:p w:rsidR="003E180D" w:rsidRDefault="003E180D" w:rsidP="0088305C">
            <w:pPr>
              <w:spacing w:after="120"/>
              <w:rPr>
                <w:b/>
                <w:noProof/>
                <w:szCs w:val="24"/>
              </w:rPr>
            </w:pPr>
            <w:r>
              <w:rPr>
                <w:b/>
                <w:noProof/>
                <w:szCs w:val="24"/>
              </w:rPr>
              <w:t>Iveco</w:t>
            </w:r>
          </w:p>
        </w:tc>
        <w:tc>
          <w:tcPr>
            <w:tcW w:w="6458" w:type="dxa"/>
            <w:tcBorders>
              <w:top w:val="single" w:sz="4" w:space="0" w:color="auto"/>
              <w:left w:val="single" w:sz="4" w:space="0" w:color="auto"/>
              <w:bottom w:val="single" w:sz="4" w:space="0" w:color="auto"/>
              <w:right w:val="single" w:sz="4" w:space="0" w:color="auto"/>
            </w:tcBorders>
            <w:noWrap/>
          </w:tcPr>
          <w:p w:rsidR="003E180D" w:rsidRDefault="003E180D" w:rsidP="0088305C">
            <w:pPr>
              <w:spacing w:after="120"/>
              <w:rPr>
                <w:noProof/>
              </w:rPr>
            </w:pPr>
            <w:r>
              <w:rPr>
                <w:noProof/>
              </w:rPr>
              <w:t>Presented a long-haul concept lorry in 2016</w:t>
            </w:r>
          </w:p>
        </w:tc>
      </w:tr>
      <w:tr w:rsidR="003E180D" w:rsidTr="0088305C">
        <w:trPr>
          <w:trHeight w:val="300"/>
        </w:trPr>
        <w:tc>
          <w:tcPr>
            <w:tcW w:w="2376" w:type="dxa"/>
            <w:tcBorders>
              <w:top w:val="single" w:sz="4" w:space="0" w:color="auto"/>
              <w:left w:val="single" w:sz="4" w:space="0" w:color="auto"/>
              <w:bottom w:val="single" w:sz="4" w:space="0" w:color="auto"/>
              <w:right w:val="single" w:sz="4" w:space="0" w:color="auto"/>
            </w:tcBorders>
            <w:noWrap/>
          </w:tcPr>
          <w:p w:rsidR="003E180D" w:rsidRDefault="003E180D" w:rsidP="0088305C">
            <w:pPr>
              <w:spacing w:after="120"/>
              <w:rPr>
                <w:b/>
                <w:noProof/>
                <w:szCs w:val="24"/>
              </w:rPr>
            </w:pPr>
            <w:r>
              <w:rPr>
                <w:b/>
                <w:noProof/>
                <w:szCs w:val="24"/>
              </w:rPr>
              <w:t>Man</w:t>
            </w:r>
          </w:p>
        </w:tc>
        <w:tc>
          <w:tcPr>
            <w:tcW w:w="6458" w:type="dxa"/>
            <w:tcBorders>
              <w:top w:val="single" w:sz="4" w:space="0" w:color="auto"/>
              <w:left w:val="single" w:sz="4" w:space="0" w:color="auto"/>
              <w:bottom w:val="single" w:sz="4" w:space="0" w:color="auto"/>
              <w:right w:val="single" w:sz="4" w:space="0" w:color="auto"/>
            </w:tcBorders>
            <w:noWrap/>
          </w:tcPr>
          <w:p w:rsidR="003E180D" w:rsidRDefault="003E180D" w:rsidP="0088305C">
            <w:pPr>
              <w:spacing w:after="120"/>
              <w:rPr>
                <w:noProof/>
                <w:szCs w:val="24"/>
              </w:rPr>
            </w:pPr>
            <w:r>
              <w:rPr>
                <w:noProof/>
                <w:szCs w:val="24"/>
              </w:rPr>
              <w:t>eTruck (18 to 36 tons for distribution purposes) is currently undergoing tests</w:t>
            </w:r>
          </w:p>
        </w:tc>
      </w:tr>
      <w:tr w:rsidR="003E180D" w:rsidTr="0088305C">
        <w:trPr>
          <w:trHeight w:val="300"/>
        </w:trPr>
        <w:tc>
          <w:tcPr>
            <w:tcW w:w="2376" w:type="dxa"/>
            <w:tcBorders>
              <w:top w:val="single" w:sz="4" w:space="0" w:color="auto"/>
              <w:left w:val="single" w:sz="4" w:space="0" w:color="auto"/>
              <w:bottom w:val="single" w:sz="4" w:space="0" w:color="auto"/>
              <w:right w:val="single" w:sz="4" w:space="0" w:color="auto"/>
            </w:tcBorders>
            <w:noWrap/>
          </w:tcPr>
          <w:p w:rsidR="003E180D" w:rsidRDefault="003E180D" w:rsidP="0088305C">
            <w:pPr>
              <w:spacing w:after="120"/>
              <w:rPr>
                <w:b/>
                <w:noProof/>
                <w:szCs w:val="24"/>
              </w:rPr>
            </w:pPr>
            <w:r>
              <w:rPr>
                <w:b/>
                <w:noProof/>
                <w:szCs w:val="24"/>
              </w:rPr>
              <w:t>Scania</w:t>
            </w:r>
          </w:p>
        </w:tc>
        <w:tc>
          <w:tcPr>
            <w:tcW w:w="6458" w:type="dxa"/>
            <w:tcBorders>
              <w:top w:val="single" w:sz="4" w:space="0" w:color="auto"/>
              <w:left w:val="single" w:sz="4" w:space="0" w:color="auto"/>
              <w:bottom w:val="single" w:sz="4" w:space="0" w:color="auto"/>
              <w:right w:val="single" w:sz="4" w:space="0" w:color="auto"/>
            </w:tcBorders>
            <w:noWrap/>
          </w:tcPr>
          <w:p w:rsidR="003E180D" w:rsidRDefault="003E180D" w:rsidP="0088305C">
            <w:pPr>
              <w:spacing w:after="120"/>
              <w:rPr>
                <w:noProof/>
                <w:szCs w:val="24"/>
              </w:rPr>
            </w:pPr>
            <w:r>
              <w:rPr>
                <w:noProof/>
                <w:szCs w:val="24"/>
              </w:rPr>
              <w:t>To develop and commercialise battery cell technology for heavy commercial vehicles with batteries producer Northvolt</w:t>
            </w:r>
          </w:p>
        </w:tc>
      </w:tr>
      <w:tr w:rsidR="003E180D" w:rsidTr="0088305C">
        <w:trPr>
          <w:trHeight w:val="300"/>
        </w:trPr>
        <w:tc>
          <w:tcPr>
            <w:tcW w:w="2376" w:type="dxa"/>
            <w:tcBorders>
              <w:top w:val="single" w:sz="4" w:space="0" w:color="auto"/>
              <w:left w:val="single" w:sz="4" w:space="0" w:color="auto"/>
              <w:bottom w:val="single" w:sz="4" w:space="0" w:color="auto"/>
              <w:right w:val="single" w:sz="4" w:space="0" w:color="auto"/>
            </w:tcBorders>
            <w:noWrap/>
            <w:hideMark/>
          </w:tcPr>
          <w:p w:rsidR="003E180D" w:rsidRDefault="003E180D" w:rsidP="0088305C">
            <w:pPr>
              <w:spacing w:after="120"/>
              <w:rPr>
                <w:b/>
                <w:noProof/>
                <w:szCs w:val="24"/>
              </w:rPr>
            </w:pPr>
            <w:r>
              <w:rPr>
                <w:b/>
                <w:noProof/>
                <w:szCs w:val="24"/>
              </w:rPr>
              <w:t>Nikola Motor</w:t>
            </w:r>
          </w:p>
        </w:tc>
        <w:tc>
          <w:tcPr>
            <w:tcW w:w="6458" w:type="dxa"/>
            <w:tcBorders>
              <w:top w:val="single" w:sz="4" w:space="0" w:color="auto"/>
              <w:left w:val="single" w:sz="4" w:space="0" w:color="auto"/>
              <w:bottom w:val="single" w:sz="4" w:space="0" w:color="auto"/>
              <w:right w:val="single" w:sz="4" w:space="0" w:color="auto"/>
            </w:tcBorders>
            <w:noWrap/>
            <w:hideMark/>
          </w:tcPr>
          <w:p w:rsidR="003E180D" w:rsidRDefault="003E180D" w:rsidP="0088305C">
            <w:pPr>
              <w:spacing w:after="120"/>
              <w:rPr>
                <w:noProof/>
              </w:rPr>
            </w:pPr>
            <w:r>
              <w:rPr>
                <w:noProof/>
              </w:rPr>
              <w:t>ZEV lorries by end</w:t>
            </w:r>
            <w:r>
              <w:rPr>
                <w:noProof/>
                <w:szCs w:val="24"/>
              </w:rPr>
              <w:t xml:space="preserve"> </w:t>
            </w:r>
            <w:r>
              <w:rPr>
                <w:noProof/>
              </w:rPr>
              <w:t>2019</w:t>
            </w:r>
          </w:p>
        </w:tc>
      </w:tr>
      <w:tr w:rsidR="003E180D" w:rsidTr="0088305C">
        <w:trPr>
          <w:trHeight w:val="300"/>
        </w:trPr>
        <w:tc>
          <w:tcPr>
            <w:tcW w:w="2376" w:type="dxa"/>
            <w:noWrap/>
          </w:tcPr>
          <w:p w:rsidR="003E180D" w:rsidRDefault="003E180D" w:rsidP="0088305C">
            <w:pPr>
              <w:spacing w:after="120"/>
              <w:rPr>
                <w:b/>
                <w:noProof/>
                <w:szCs w:val="24"/>
              </w:rPr>
            </w:pPr>
            <w:r>
              <w:rPr>
                <w:b/>
                <w:noProof/>
                <w:szCs w:val="24"/>
              </w:rPr>
              <w:t>Cummins</w:t>
            </w:r>
          </w:p>
        </w:tc>
        <w:tc>
          <w:tcPr>
            <w:tcW w:w="6458" w:type="dxa"/>
            <w:noWrap/>
          </w:tcPr>
          <w:p w:rsidR="003E180D" w:rsidRDefault="003E180D" w:rsidP="0088305C">
            <w:pPr>
              <w:spacing w:after="120"/>
              <w:rPr>
                <w:noProof/>
                <w:szCs w:val="24"/>
              </w:rPr>
            </w:pPr>
            <w:r>
              <w:rPr>
                <w:noProof/>
                <w:szCs w:val="24"/>
              </w:rPr>
              <w:t>All-electric powertrain for buses and delivery vehicles by 2019</w:t>
            </w:r>
          </w:p>
        </w:tc>
      </w:tr>
      <w:tr w:rsidR="003E180D" w:rsidTr="0088305C">
        <w:trPr>
          <w:trHeight w:val="300"/>
        </w:trPr>
        <w:tc>
          <w:tcPr>
            <w:tcW w:w="2376" w:type="dxa"/>
            <w:noWrap/>
          </w:tcPr>
          <w:p w:rsidR="003E180D" w:rsidRDefault="003E180D" w:rsidP="0088305C">
            <w:pPr>
              <w:spacing w:after="120"/>
              <w:rPr>
                <w:b/>
                <w:noProof/>
                <w:szCs w:val="24"/>
              </w:rPr>
            </w:pPr>
            <w:r>
              <w:rPr>
                <w:b/>
                <w:noProof/>
                <w:szCs w:val="24"/>
              </w:rPr>
              <w:t>BYD</w:t>
            </w:r>
          </w:p>
        </w:tc>
        <w:tc>
          <w:tcPr>
            <w:tcW w:w="6458" w:type="dxa"/>
            <w:noWrap/>
          </w:tcPr>
          <w:p w:rsidR="003E180D" w:rsidRDefault="003E180D" w:rsidP="0088305C">
            <w:pPr>
              <w:spacing w:after="120"/>
              <w:rPr>
                <w:noProof/>
                <w:szCs w:val="24"/>
              </w:rPr>
            </w:pPr>
            <w:r>
              <w:rPr>
                <w:noProof/>
                <w:szCs w:val="24"/>
              </w:rPr>
              <w:t>EU market: launch of 7.5 tons electric lorry planned in July 2018 in view of market availability in 2019</w:t>
            </w:r>
          </w:p>
          <w:p w:rsidR="003E180D" w:rsidRDefault="003E180D" w:rsidP="0088305C">
            <w:pPr>
              <w:spacing w:after="120"/>
              <w:rPr>
                <w:noProof/>
                <w:szCs w:val="24"/>
              </w:rPr>
            </w:pPr>
            <w:r>
              <w:rPr>
                <w:noProof/>
                <w:szCs w:val="24"/>
              </w:rPr>
              <w:t>Chinese market: broader range of electric lorries available on the market, including larger lorries, construction and garbage vehicles</w:t>
            </w:r>
          </w:p>
        </w:tc>
      </w:tr>
      <w:tr w:rsidR="003E180D" w:rsidTr="0088305C">
        <w:trPr>
          <w:trHeight w:val="300"/>
        </w:trPr>
        <w:tc>
          <w:tcPr>
            <w:tcW w:w="2376" w:type="dxa"/>
            <w:noWrap/>
          </w:tcPr>
          <w:p w:rsidR="003E180D" w:rsidRDefault="003E180D" w:rsidP="0088305C">
            <w:pPr>
              <w:spacing w:after="120"/>
              <w:rPr>
                <w:b/>
                <w:noProof/>
                <w:szCs w:val="24"/>
              </w:rPr>
            </w:pPr>
            <w:r>
              <w:rPr>
                <w:b/>
                <w:noProof/>
                <w:szCs w:val="24"/>
              </w:rPr>
              <w:t>Tesla</w:t>
            </w:r>
          </w:p>
        </w:tc>
        <w:tc>
          <w:tcPr>
            <w:tcW w:w="6458" w:type="dxa"/>
            <w:noWrap/>
          </w:tcPr>
          <w:p w:rsidR="003E180D" w:rsidRDefault="003E180D" w:rsidP="0088305C">
            <w:pPr>
              <w:spacing w:after="120"/>
              <w:rPr>
                <w:noProof/>
                <w:szCs w:val="24"/>
              </w:rPr>
            </w:pPr>
            <w:r>
              <w:rPr>
                <w:noProof/>
                <w:szCs w:val="24"/>
              </w:rPr>
              <w:t>Announced an electric lorry. Date of actual release not yet known</w:t>
            </w:r>
          </w:p>
        </w:tc>
      </w:tr>
    </w:tbl>
    <w:p w:rsidR="003E180D" w:rsidRDefault="003E180D" w:rsidP="003E180D">
      <w:pPr>
        <w:pStyle w:val="Text1"/>
        <w:ind w:left="0"/>
        <w:rPr>
          <w:noProof/>
        </w:rPr>
      </w:pPr>
    </w:p>
    <w:p w:rsidR="003E180D" w:rsidRDefault="003E180D" w:rsidP="003E180D">
      <w:pPr>
        <w:rPr>
          <w:rFonts w:eastAsia="Times New Roman" w:cs="Times New Roman"/>
          <w:b/>
          <w:smallCaps/>
          <w:noProof/>
          <w:szCs w:val="24"/>
        </w:rPr>
      </w:pPr>
      <w:r>
        <w:rPr>
          <w:noProof/>
        </w:rPr>
        <w:br w:type="page"/>
      </w:r>
    </w:p>
    <w:p w:rsidR="003E180D" w:rsidRDefault="003E180D" w:rsidP="003E180D">
      <w:pPr>
        <w:pStyle w:val="Heading1"/>
        <w:numPr>
          <w:ilvl w:val="0"/>
          <w:numId w:val="22"/>
        </w:numPr>
        <w:rPr>
          <w:noProof/>
        </w:rPr>
      </w:pPr>
      <w:bookmarkStart w:id="490" w:name="_Toc508124792"/>
      <w:bookmarkStart w:id="491" w:name="_Toc508126157"/>
      <w:bookmarkStart w:id="492" w:name="_Toc508127530"/>
      <w:bookmarkStart w:id="493" w:name="_Toc508127883"/>
      <w:bookmarkStart w:id="494" w:name="_Toc508129655"/>
      <w:bookmarkStart w:id="495" w:name="_Toc508181046"/>
      <w:bookmarkStart w:id="496" w:name="_Toc508186639"/>
      <w:bookmarkStart w:id="497" w:name="_Toc510708120"/>
      <w:bookmarkStart w:id="498" w:name="_Toc514328816"/>
      <w:r>
        <w:rPr>
          <w:noProof/>
        </w:rPr>
        <w:t>Annex 8: Step-wise approach for regulating HDV CO</w:t>
      </w:r>
      <w:r>
        <w:rPr>
          <w:noProof/>
          <w:vertAlign w:val="subscript"/>
        </w:rPr>
        <w:t>2</w:t>
      </w:r>
      <w:r>
        <w:rPr>
          <w:noProof/>
        </w:rPr>
        <w:t xml:space="preserve"> emissions: VECTO, Certification and monitoring/reporting of HDV CO</w:t>
      </w:r>
      <w:r>
        <w:rPr>
          <w:noProof/>
          <w:vertAlign w:val="subscript"/>
        </w:rPr>
        <w:t>2</w:t>
      </w:r>
      <w:r>
        <w:rPr>
          <w:noProof/>
        </w:rPr>
        <w:t xml:space="preserve"> emissions.</w:t>
      </w:r>
      <w:bookmarkEnd w:id="490"/>
      <w:bookmarkEnd w:id="491"/>
      <w:bookmarkEnd w:id="492"/>
      <w:bookmarkEnd w:id="493"/>
      <w:bookmarkEnd w:id="494"/>
      <w:bookmarkEnd w:id="495"/>
      <w:bookmarkEnd w:id="496"/>
      <w:bookmarkEnd w:id="497"/>
      <w:bookmarkEnd w:id="498"/>
      <w:r>
        <w:rPr>
          <w:noProof/>
        </w:rPr>
        <w:t xml:space="preserve"> </w:t>
      </w:r>
    </w:p>
    <w:p w:rsidR="003E180D" w:rsidRDefault="003E180D" w:rsidP="003E180D">
      <w:pPr>
        <w:tabs>
          <w:tab w:val="left" w:pos="2302"/>
        </w:tabs>
        <w:spacing w:after="120" w:line="240" w:lineRule="auto"/>
        <w:jc w:val="both"/>
        <w:rPr>
          <w:rFonts w:eastAsia="Times New Roman" w:cs="Times New Roman"/>
          <w:noProof/>
          <w:szCs w:val="24"/>
        </w:rPr>
      </w:pPr>
      <w:bookmarkStart w:id="499" w:name="_Ref505785272"/>
      <w:bookmarkStart w:id="500" w:name="_Toc506305325"/>
      <w:bookmarkStart w:id="501" w:name="_Toc506305558"/>
      <w:bookmarkStart w:id="502" w:name="_Toc506487735"/>
      <w:bookmarkStart w:id="503" w:name="_Toc507516320"/>
      <w:bookmarkStart w:id="504" w:name="_Toc507517475"/>
      <w:bookmarkStart w:id="505" w:name="_Toc507519027"/>
      <w:bookmarkStart w:id="506" w:name="_Toc507519379"/>
      <w:bookmarkStart w:id="507" w:name="_Toc507580437"/>
      <w:bookmarkStart w:id="508" w:name="_Toc507581250"/>
      <w:bookmarkStart w:id="509" w:name="_Toc507582269"/>
      <w:bookmarkStart w:id="510" w:name="_Toc507598218"/>
      <w:r>
        <w:rPr>
          <w:rFonts w:eastAsia="Times New Roman" w:cs="Times New Roman"/>
          <w:noProof/>
          <w:szCs w:val="24"/>
        </w:rPr>
        <w:t xml:space="preserve">The first initiative to tackle HDV GHG emissions in the EU was a </w:t>
      </w:r>
      <w:r>
        <w:rPr>
          <w:rFonts w:eastAsia="Times New Roman" w:cs="Times New Roman"/>
          <w:bCs/>
          <w:noProof/>
          <w:szCs w:val="24"/>
        </w:rPr>
        <w:t xml:space="preserve">strategy </w:t>
      </w:r>
      <w:r>
        <w:rPr>
          <w:rFonts w:eastAsia="Times New Roman" w:cs="Times New Roman"/>
          <w:noProof/>
          <w:szCs w:val="24"/>
        </w:rPr>
        <w:t>adopted in 2014.</w:t>
      </w:r>
      <w:r>
        <w:rPr>
          <w:rFonts w:eastAsia="Times New Roman" w:cs="Times New Roman"/>
          <w:noProof/>
          <w:szCs w:val="24"/>
          <w:vertAlign w:val="superscript"/>
        </w:rPr>
        <w:footnoteReference w:id="62"/>
      </w:r>
      <w:r>
        <w:rPr>
          <w:rFonts w:eastAsia="Times New Roman" w:cs="Times New Roman"/>
          <w:noProof/>
          <w:szCs w:val="24"/>
        </w:rPr>
        <w:t xml:space="preserve"> This strategy focused on short-term action to certify, monitor and report HDV CO</w:t>
      </w:r>
      <w:r>
        <w:rPr>
          <w:rFonts w:eastAsia="Times New Roman" w:cs="Times New Roman"/>
          <w:noProof/>
          <w:szCs w:val="24"/>
          <w:vertAlign w:val="subscript"/>
        </w:rPr>
        <w:t>2</w:t>
      </w:r>
      <w:r>
        <w:rPr>
          <w:rFonts w:eastAsia="Times New Roman" w:cs="Times New Roman"/>
          <w:noProof/>
          <w:szCs w:val="20"/>
        </w:rPr>
        <w:t xml:space="preserve"> </w:t>
      </w:r>
      <w:r>
        <w:rPr>
          <w:rFonts w:eastAsia="Times New Roman" w:cs="Times New Roman"/>
          <w:noProof/>
          <w:szCs w:val="24"/>
        </w:rPr>
        <w:t xml:space="preserve">emissions, which is an essential first step towards reducing them. These actions were confirmed by the 2016 </w:t>
      </w:r>
      <w:r>
        <w:rPr>
          <w:rFonts w:eastAsia="Times New Roman" w:cs="Times New Roman"/>
          <w:i/>
          <w:noProof/>
          <w:szCs w:val="24"/>
        </w:rPr>
        <w:t>Low-emission mobility strategy</w:t>
      </w:r>
      <w:r>
        <w:rPr>
          <w:rFonts w:eastAsia="Times New Roman" w:cs="Times New Roman"/>
          <w:noProof/>
          <w:szCs w:val="24"/>
        </w:rPr>
        <w:t xml:space="preserve"> and the Commission has adopted the following legislation in the course of 2017 to implement them:</w:t>
      </w:r>
    </w:p>
    <w:p w:rsidR="003E180D" w:rsidRDefault="003E180D" w:rsidP="003E180D">
      <w:pPr>
        <w:numPr>
          <w:ilvl w:val="0"/>
          <w:numId w:val="4"/>
        </w:numPr>
        <w:spacing w:after="120" w:line="240" w:lineRule="auto"/>
        <w:jc w:val="both"/>
        <w:rPr>
          <w:rFonts w:eastAsia="Times New Roman" w:cs="Times New Roman"/>
          <w:noProof/>
          <w:szCs w:val="24"/>
        </w:rPr>
      </w:pPr>
      <w:r>
        <w:rPr>
          <w:rFonts w:eastAsia="Times New Roman" w:cs="Times New Roman"/>
          <w:noProof/>
          <w:szCs w:val="24"/>
        </w:rPr>
        <w:t>A Commission Regulation on the determination of carbon dioxide emissions and fuel consumption of HDVs</w:t>
      </w:r>
      <w:r>
        <w:rPr>
          <w:rFonts w:eastAsia="Times New Roman" w:cs="Times New Roman"/>
          <w:noProof/>
          <w:szCs w:val="24"/>
          <w:vertAlign w:val="superscript"/>
        </w:rPr>
        <w:footnoteReference w:id="63"/>
      </w:r>
      <w:r>
        <w:rPr>
          <w:rFonts w:eastAsia="Times New Roman" w:cs="Times New Roman"/>
          <w:noProof/>
          <w:szCs w:val="24"/>
        </w:rPr>
        <w:t xml:space="preserve"> (the so-called "Certification Regulation"), which was adopted on 12 December </w:t>
      </w:r>
      <w:r>
        <w:rPr>
          <w:rFonts w:eastAsia="Times New Roman" w:cs="Times New Roman"/>
          <w:noProof/>
          <w:szCs w:val="20"/>
        </w:rPr>
        <w:t>2</w:t>
      </w:r>
      <w:r>
        <w:rPr>
          <w:rFonts w:eastAsia="Times New Roman" w:cs="Times New Roman"/>
          <w:noProof/>
          <w:szCs w:val="24"/>
        </w:rPr>
        <w:t>017.</w:t>
      </w:r>
    </w:p>
    <w:p w:rsidR="003E180D" w:rsidRDefault="003E180D" w:rsidP="003E180D">
      <w:pPr>
        <w:numPr>
          <w:ilvl w:val="0"/>
          <w:numId w:val="3"/>
        </w:numPr>
        <w:spacing w:after="120" w:line="240" w:lineRule="auto"/>
        <w:jc w:val="both"/>
        <w:rPr>
          <w:rFonts w:eastAsia="Times New Roman" w:cs="Times New Roman"/>
          <w:noProof/>
          <w:szCs w:val="24"/>
        </w:rPr>
      </w:pPr>
      <w:r>
        <w:rPr>
          <w:rFonts w:eastAsia="Times New Roman" w:cs="Times New Roman"/>
          <w:noProof/>
          <w:szCs w:val="24"/>
        </w:rPr>
        <w:t>A proposal</w:t>
      </w:r>
      <w:r>
        <w:rPr>
          <w:rFonts w:eastAsia="Times New Roman" w:cs="Times New Roman"/>
          <w:noProof/>
          <w:szCs w:val="24"/>
          <w:vertAlign w:val="superscript"/>
        </w:rPr>
        <w:footnoteReference w:id="64"/>
      </w:r>
      <w:r>
        <w:rPr>
          <w:rFonts w:eastAsia="Times New Roman" w:cs="Times New Roman"/>
          <w:noProof/>
          <w:szCs w:val="24"/>
        </w:rPr>
        <w:t xml:space="preserve"> for a Regulation on the monitoring and reporting of CO</w:t>
      </w:r>
      <w:r>
        <w:rPr>
          <w:rFonts w:eastAsia="Times New Roman" w:cs="Times New Roman"/>
          <w:noProof/>
          <w:szCs w:val="24"/>
          <w:vertAlign w:val="subscript"/>
        </w:rPr>
        <w:t>2</w:t>
      </w:r>
      <w:r>
        <w:rPr>
          <w:rFonts w:eastAsia="Times New Roman" w:cs="Times New Roman"/>
          <w:noProof/>
          <w:szCs w:val="20"/>
        </w:rPr>
        <w:t xml:space="preserve"> </w:t>
      </w:r>
      <w:r>
        <w:rPr>
          <w:rFonts w:eastAsia="Times New Roman" w:cs="Times New Roman"/>
          <w:noProof/>
          <w:szCs w:val="24"/>
        </w:rPr>
        <w:t xml:space="preserve">emission and fuel consumption data, which is currently being discussed by the European Parliament and the Council. </w:t>
      </w:r>
    </w:p>
    <w:p w:rsidR="003E180D" w:rsidRDefault="003E180D" w:rsidP="003E180D">
      <w:pPr>
        <w:spacing w:after="120" w:line="240" w:lineRule="auto"/>
        <w:jc w:val="both"/>
        <w:rPr>
          <w:rFonts w:eastAsia="Times New Roman" w:cs="Times New Roman"/>
          <w:noProof/>
          <w:szCs w:val="24"/>
        </w:rPr>
      </w:pPr>
      <w:r>
        <w:rPr>
          <w:rFonts w:eastAsia="Times New Roman" w:cs="Times New Roman"/>
          <w:noProof/>
          <w:szCs w:val="24"/>
        </w:rPr>
        <w:t>The Certification Regulation requires HDV manufacturers, as of 1 January 2019, to determine the CO</w:t>
      </w:r>
      <w:r>
        <w:rPr>
          <w:rFonts w:eastAsia="Times New Roman" w:cs="Times New Roman"/>
          <w:noProof/>
          <w:szCs w:val="24"/>
          <w:vertAlign w:val="subscript"/>
        </w:rPr>
        <w:t>2</w:t>
      </w:r>
      <w:r>
        <w:rPr>
          <w:rFonts w:eastAsia="Times New Roman" w:cs="Times New Roman"/>
          <w:noProof/>
          <w:szCs w:val="20"/>
        </w:rPr>
        <w:t xml:space="preserve"> </w:t>
      </w:r>
      <w:r>
        <w:rPr>
          <w:rFonts w:eastAsia="Times New Roman" w:cs="Times New Roman"/>
          <w:noProof/>
          <w:szCs w:val="24"/>
        </w:rPr>
        <w:t>emissions and fuel consumption of new vehicles they place on the EU market. The CO</w:t>
      </w:r>
      <w:r>
        <w:rPr>
          <w:rFonts w:eastAsia="Times New Roman" w:cs="Times New Roman"/>
          <w:noProof/>
          <w:szCs w:val="24"/>
          <w:vertAlign w:val="subscript"/>
        </w:rPr>
        <w:t>2</w:t>
      </w:r>
      <w:r>
        <w:rPr>
          <w:rFonts w:eastAsia="Times New Roman" w:cs="Times New Roman"/>
          <w:noProof/>
          <w:szCs w:val="20"/>
        </w:rPr>
        <w:t xml:space="preserve"> </w:t>
      </w:r>
      <w:r>
        <w:rPr>
          <w:rFonts w:eastAsia="Times New Roman" w:cs="Times New Roman"/>
          <w:noProof/>
          <w:szCs w:val="24"/>
        </w:rPr>
        <w:t>emissions are calculated by using the Vehicle Energy Consumption Calculation Tool (VECTO), which is a simulation tool developed for that purpose by the Commission. Information on the CO</w:t>
      </w:r>
      <w:r>
        <w:rPr>
          <w:rFonts w:eastAsia="Times New Roman" w:cs="Times New Roman"/>
          <w:noProof/>
          <w:szCs w:val="24"/>
          <w:vertAlign w:val="subscript"/>
        </w:rPr>
        <w:t>2</w:t>
      </w:r>
      <w:r>
        <w:rPr>
          <w:rFonts w:eastAsia="Times New Roman" w:cs="Times New Roman"/>
          <w:noProof/>
          <w:szCs w:val="20"/>
        </w:rPr>
        <w:t xml:space="preserve"> </w:t>
      </w:r>
      <w:r>
        <w:rPr>
          <w:rFonts w:eastAsia="Times New Roman" w:cs="Times New Roman"/>
          <w:noProof/>
          <w:szCs w:val="24"/>
        </w:rPr>
        <w:t>emissions and fuel consumption of new HDVs will be declared for the registration of vehicles under the EU type-approval legislative framework. The Monitoring and Reporting Regulation requires that these data are monitored and reported to the Commission, and will be made publicly available.</w:t>
      </w:r>
    </w:p>
    <w:p w:rsidR="003E180D" w:rsidRDefault="003E180D" w:rsidP="003E180D">
      <w:pPr>
        <w:spacing w:after="120" w:line="240" w:lineRule="auto"/>
        <w:jc w:val="both"/>
        <w:rPr>
          <w:rFonts w:eastAsia="Times New Roman" w:cs="Times New Roman"/>
          <w:noProof/>
          <w:szCs w:val="24"/>
        </w:rPr>
      </w:pPr>
      <w:r>
        <w:rPr>
          <w:rFonts w:eastAsia="Times New Roman" w:cs="Times New Roman"/>
          <w:noProof/>
          <w:szCs w:val="24"/>
        </w:rPr>
        <w:t>The step-wise approach on the regulation of HDV CO</w:t>
      </w:r>
      <w:r>
        <w:rPr>
          <w:rFonts w:eastAsia="Times New Roman" w:cs="Times New Roman"/>
          <w:noProof/>
          <w:szCs w:val="24"/>
          <w:vertAlign w:val="subscript"/>
        </w:rPr>
        <w:t>2</w:t>
      </w:r>
      <w:r>
        <w:rPr>
          <w:rFonts w:eastAsia="Times New Roman" w:cs="Times New Roman"/>
          <w:noProof/>
          <w:szCs w:val="20"/>
        </w:rPr>
        <w:t xml:space="preserve"> </w:t>
      </w:r>
      <w:r>
        <w:rPr>
          <w:rFonts w:eastAsia="Times New Roman" w:cs="Times New Roman"/>
          <w:noProof/>
          <w:szCs w:val="24"/>
        </w:rPr>
        <w:t xml:space="preserve">emissions is summarized in  </w:t>
      </w:r>
      <w:r>
        <w:rPr>
          <w:rFonts w:eastAsia="Times New Roman" w:cs="Times New Roman"/>
          <w:noProof/>
          <w:szCs w:val="24"/>
        </w:rPr>
        <w:fldChar w:fldCharType="begin"/>
      </w:r>
      <w:r>
        <w:rPr>
          <w:rFonts w:eastAsia="Times New Roman" w:cs="Times New Roman"/>
          <w:noProof/>
          <w:szCs w:val="24"/>
        </w:rPr>
        <w:instrText xml:space="preserve"> REF _Ref508114976 \h  \* MERGEFORMAT </w:instrText>
      </w:r>
      <w:r>
        <w:rPr>
          <w:rFonts w:eastAsia="Times New Roman" w:cs="Times New Roman"/>
          <w:noProof/>
          <w:szCs w:val="24"/>
        </w:rPr>
      </w:r>
      <w:r>
        <w:rPr>
          <w:rFonts w:eastAsia="Times New Roman" w:cs="Times New Roman"/>
          <w:noProof/>
          <w:szCs w:val="24"/>
        </w:rPr>
        <w:fldChar w:fldCharType="separate"/>
      </w:r>
      <w:r>
        <w:rPr>
          <w:rFonts w:eastAsia="Times New Roman" w:cs="Times New Roman"/>
          <w:noProof/>
          <w:szCs w:val="24"/>
        </w:rPr>
        <w:t>Figure 8</w:t>
      </w:r>
      <w:r>
        <w:rPr>
          <w:rFonts w:eastAsia="Times New Roman" w:cs="Times New Roman"/>
          <w:noProof/>
          <w:szCs w:val="24"/>
        </w:rPr>
        <w:fldChar w:fldCharType="end"/>
      </w:r>
      <w:r>
        <w:rPr>
          <w:rFonts w:eastAsia="Times New Roman" w:cs="Times New Roman"/>
          <w:noProof/>
          <w:szCs w:val="24"/>
        </w:rPr>
        <w:t xml:space="preserve"> below. More information on the simulation tool VECTO, on the certification procedure and on the monitoring and reporting system is given in Sections 8.1 to 8.3 below.</w:t>
      </w:r>
    </w:p>
    <w:p w:rsidR="003E180D" w:rsidRDefault="003E180D" w:rsidP="003E180D">
      <w:pPr>
        <w:pStyle w:val="Caption"/>
        <w:keepNext/>
        <w:rPr>
          <w:bCs w:val="0"/>
          <w:noProof/>
        </w:rPr>
      </w:pPr>
      <w:bookmarkStart w:id="511" w:name="_Ref506332030"/>
      <w:bookmarkStart w:id="512" w:name="_Ref508114976"/>
      <w:bookmarkStart w:id="513" w:name="_Ref504745035"/>
      <w:r>
        <w:rPr>
          <w:bCs w:val="0"/>
          <w:noProof/>
        </w:rPr>
        <w:t>Figure</w:t>
      </w:r>
      <w:bookmarkEnd w:id="511"/>
      <w:r>
        <w:rPr>
          <w:bCs w:val="0"/>
          <w:noProof/>
        </w:rPr>
        <w:t xml:space="preserve"> </w:t>
      </w:r>
      <w:r>
        <w:rPr>
          <w:bCs w:val="0"/>
          <w:noProof/>
        </w:rPr>
        <w:fldChar w:fldCharType="begin"/>
      </w:r>
      <w:r>
        <w:rPr>
          <w:bCs w:val="0"/>
          <w:noProof/>
        </w:rPr>
        <w:instrText xml:space="preserve"> SEQ Figure \* ARABIC </w:instrText>
      </w:r>
      <w:r>
        <w:rPr>
          <w:bCs w:val="0"/>
          <w:noProof/>
        </w:rPr>
        <w:fldChar w:fldCharType="separate"/>
      </w:r>
      <w:r>
        <w:rPr>
          <w:bCs w:val="0"/>
          <w:noProof/>
        </w:rPr>
        <w:t>8</w:t>
      </w:r>
      <w:r>
        <w:rPr>
          <w:bCs w:val="0"/>
          <w:noProof/>
        </w:rPr>
        <w:fldChar w:fldCharType="end"/>
      </w:r>
      <w:bookmarkEnd w:id="512"/>
      <w:r>
        <w:rPr>
          <w:bCs w:val="0"/>
          <w:noProof/>
        </w:rPr>
        <w:t>: Step-wise approach for regulating HDV CO</w:t>
      </w:r>
      <w:r>
        <w:rPr>
          <w:bCs w:val="0"/>
          <w:noProof/>
          <w:vertAlign w:val="subscript"/>
        </w:rPr>
        <w:t>2</w:t>
      </w:r>
      <w:r>
        <w:rPr>
          <w:bCs w:val="0"/>
          <w:noProof/>
        </w:rPr>
        <w:t xml:space="preserve"> emissions</w:t>
      </w:r>
      <w:bookmarkEnd w:id="513"/>
    </w:p>
    <w:p w:rsidR="003E180D" w:rsidRDefault="003E180D" w:rsidP="003E180D">
      <w:pPr>
        <w:spacing w:after="120" w:line="240" w:lineRule="auto"/>
        <w:jc w:val="center"/>
        <w:rPr>
          <w:rFonts w:eastAsia="Times New Roman" w:cs="Times New Roman"/>
          <w:noProof/>
          <w:szCs w:val="24"/>
        </w:rPr>
      </w:pPr>
      <w:r>
        <w:rPr>
          <w:rFonts w:eastAsia="Times New Roman" w:cs="Times New Roman"/>
          <w:noProof/>
          <w:szCs w:val="20"/>
          <w:lang w:eastAsia="en-GB"/>
        </w:rPr>
        <w:drawing>
          <wp:inline distT="0" distB="0" distL="0" distR="0" wp14:anchorId="6D188AD3" wp14:editId="6192BA42">
            <wp:extent cx="5370668" cy="2628000"/>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70668" cy="2628000"/>
                    </a:xfrm>
                    <a:prstGeom prst="rect">
                      <a:avLst/>
                    </a:prstGeom>
                  </pic:spPr>
                </pic:pic>
              </a:graphicData>
            </a:graphic>
          </wp:inline>
        </w:drawing>
      </w:r>
    </w:p>
    <w:p w:rsidR="003E180D" w:rsidRDefault="003E180D" w:rsidP="003E180D">
      <w:pPr>
        <w:pStyle w:val="Heading2"/>
        <w:numPr>
          <w:ilvl w:val="1"/>
          <w:numId w:val="22"/>
        </w:numPr>
        <w:spacing w:before="240" w:after="240"/>
        <w:rPr>
          <w:noProof/>
        </w:rPr>
      </w:pPr>
      <w:bookmarkStart w:id="514" w:name="_Ref508123331"/>
      <w:bookmarkStart w:id="515" w:name="_Toc508124793"/>
      <w:bookmarkStart w:id="516" w:name="_Toc508126158"/>
      <w:bookmarkStart w:id="517" w:name="_Toc508127531"/>
      <w:bookmarkStart w:id="518" w:name="_Toc508127884"/>
      <w:bookmarkStart w:id="519" w:name="_Toc508129656"/>
      <w:bookmarkStart w:id="520" w:name="_Toc508181047"/>
      <w:bookmarkStart w:id="521" w:name="_Toc508186640"/>
      <w:bookmarkStart w:id="522" w:name="_Toc510708121"/>
      <w:bookmarkStart w:id="523" w:name="_Toc514328817"/>
      <w:bookmarkEnd w:id="499"/>
      <w:bookmarkEnd w:id="500"/>
      <w:bookmarkEnd w:id="501"/>
      <w:bookmarkEnd w:id="502"/>
      <w:bookmarkEnd w:id="503"/>
      <w:bookmarkEnd w:id="504"/>
      <w:bookmarkEnd w:id="505"/>
      <w:bookmarkEnd w:id="506"/>
      <w:bookmarkEnd w:id="507"/>
      <w:bookmarkEnd w:id="508"/>
      <w:bookmarkEnd w:id="509"/>
      <w:bookmarkEnd w:id="510"/>
      <w:r>
        <w:rPr>
          <w:noProof/>
        </w:rPr>
        <w:t>VECTO</w:t>
      </w:r>
      <w:bookmarkEnd w:id="283"/>
      <w:bookmarkEnd w:id="284"/>
      <w:bookmarkEnd w:id="285"/>
      <w:bookmarkEnd w:id="286"/>
      <w:bookmarkEnd w:id="514"/>
      <w:bookmarkEnd w:id="515"/>
      <w:bookmarkEnd w:id="516"/>
      <w:bookmarkEnd w:id="517"/>
      <w:bookmarkEnd w:id="518"/>
      <w:bookmarkEnd w:id="519"/>
      <w:bookmarkEnd w:id="520"/>
      <w:bookmarkEnd w:id="521"/>
      <w:bookmarkEnd w:id="522"/>
      <w:bookmarkEnd w:id="523"/>
    </w:p>
    <w:p w:rsidR="003E180D" w:rsidRDefault="003E180D" w:rsidP="003E180D">
      <w:pPr>
        <w:pStyle w:val="Heading3"/>
        <w:numPr>
          <w:ilvl w:val="2"/>
          <w:numId w:val="22"/>
        </w:numPr>
        <w:spacing w:before="240" w:after="120"/>
        <w:rPr>
          <w:noProof/>
        </w:rPr>
      </w:pPr>
      <w:bookmarkStart w:id="524" w:name="_Toc507502029"/>
      <w:bookmarkStart w:id="525" w:name="_Toc507507380"/>
      <w:bookmarkStart w:id="526" w:name="_Toc507507513"/>
      <w:bookmarkStart w:id="527" w:name="_Toc507512223"/>
      <w:bookmarkStart w:id="528" w:name="_Toc507512719"/>
      <w:bookmarkStart w:id="529" w:name="_Toc507517585"/>
      <w:bookmarkStart w:id="530" w:name="_Toc507519239"/>
      <w:bookmarkStart w:id="531" w:name="_Toc507580954"/>
      <w:bookmarkStart w:id="532" w:name="_Toc507581710"/>
      <w:bookmarkStart w:id="533" w:name="_Toc507583922"/>
      <w:bookmarkStart w:id="534" w:name="_Toc508127885"/>
      <w:bookmarkStart w:id="535" w:name="_Toc508129657"/>
      <w:bookmarkStart w:id="536" w:name="_Toc508181048"/>
      <w:bookmarkStart w:id="537" w:name="_Toc508186641"/>
      <w:bookmarkStart w:id="538" w:name="_Toc510708122"/>
      <w:bookmarkStart w:id="539" w:name="_Ref309550134"/>
      <w:bookmarkStart w:id="540" w:name="_Ref309585990"/>
      <w:bookmarkStart w:id="541" w:name="_Ref309656694"/>
      <w:bookmarkStart w:id="542" w:name="_Ref309656696"/>
      <w:bookmarkStart w:id="543" w:name="_Toc507512224"/>
      <w:bookmarkStart w:id="544" w:name="_Toc507517586"/>
      <w:bookmarkStart w:id="545" w:name="_Toc508124794"/>
      <w:bookmarkStart w:id="546" w:name="_Toc508126159"/>
      <w:bookmarkStart w:id="547" w:name="_Toc508127532"/>
      <w:bookmarkStart w:id="548" w:name="_Toc514328818"/>
      <w:bookmarkEnd w:id="524"/>
      <w:bookmarkEnd w:id="525"/>
      <w:bookmarkEnd w:id="526"/>
      <w:bookmarkEnd w:id="527"/>
      <w:bookmarkEnd w:id="528"/>
      <w:bookmarkEnd w:id="529"/>
      <w:bookmarkEnd w:id="530"/>
      <w:bookmarkEnd w:id="531"/>
      <w:bookmarkEnd w:id="532"/>
      <w:bookmarkEnd w:id="533"/>
      <w:r>
        <w:rPr>
          <w:noProof/>
        </w:rPr>
        <w:t>Introduction</w:t>
      </w:r>
      <w:bookmarkEnd w:id="534"/>
      <w:bookmarkEnd w:id="535"/>
      <w:bookmarkEnd w:id="536"/>
      <w:bookmarkEnd w:id="537"/>
      <w:bookmarkEnd w:id="538"/>
      <w:bookmarkEnd w:id="548"/>
    </w:p>
    <w:p w:rsidR="003E180D" w:rsidRDefault="003E180D" w:rsidP="003E180D">
      <w:pPr>
        <w:spacing w:before="120" w:after="0" w:line="240" w:lineRule="auto"/>
        <w:jc w:val="both"/>
        <w:rPr>
          <w:rFonts w:cs="Times New Roman"/>
          <w:bCs/>
          <w:noProof/>
          <w:szCs w:val="24"/>
          <w:lang w:eastAsia="en-GB"/>
        </w:rPr>
      </w:pPr>
      <w:r>
        <w:rPr>
          <w:rFonts w:cs="Times New Roman"/>
          <w:bCs/>
          <w:noProof/>
          <w:szCs w:val="24"/>
          <w:lang w:eastAsia="en-GB"/>
        </w:rPr>
        <w:t>The Commission has since 2009 engaged with main industry stakeholders in the development of a simulation tool for whole vehicles CO</w:t>
      </w:r>
      <w:r>
        <w:rPr>
          <w:rFonts w:cs="Times New Roman"/>
          <w:bCs/>
          <w:noProof/>
          <w:szCs w:val="24"/>
          <w:vertAlign w:val="subscript"/>
          <w:lang w:eastAsia="en-GB"/>
        </w:rPr>
        <w:t>2</w:t>
      </w:r>
      <w:r>
        <w:rPr>
          <w:rFonts w:cs="Times New Roman"/>
          <w:bCs/>
          <w:noProof/>
          <w:szCs w:val="24"/>
          <w:lang w:eastAsia="en-GB"/>
        </w:rPr>
        <w:t xml:space="preserve"> emissions and fuel consumption that should be applicable to all main categories of HDVs.</w:t>
      </w:r>
    </w:p>
    <w:p w:rsidR="003E180D" w:rsidRDefault="003E180D" w:rsidP="003E180D">
      <w:pPr>
        <w:spacing w:before="120" w:after="0" w:line="240" w:lineRule="auto"/>
        <w:jc w:val="both"/>
        <w:rPr>
          <w:rFonts w:cs="Times New Roman"/>
          <w:bCs/>
          <w:noProof/>
          <w:szCs w:val="24"/>
          <w:lang w:eastAsia="en-GB"/>
        </w:rPr>
      </w:pPr>
      <w:r>
        <w:rPr>
          <w:rFonts w:cs="Times New Roman"/>
          <w:bCs/>
          <w:noProof/>
          <w:szCs w:val="24"/>
          <w:lang w:eastAsia="en-GB"/>
        </w:rPr>
        <w:t>In the project “Reduction and testing of Greenhouse Gas Emissions from Heavy duty vehicles”</w:t>
      </w:r>
      <w:r>
        <w:rPr>
          <w:rStyle w:val="FootnoteReference"/>
          <w:rFonts w:cs="Times New Roman"/>
          <w:bCs/>
          <w:noProof/>
          <w:szCs w:val="24"/>
          <w:lang w:eastAsia="en-GB"/>
        </w:rPr>
        <w:footnoteReference w:id="65"/>
      </w:r>
      <w:r>
        <w:rPr>
          <w:rFonts w:cs="Times New Roman"/>
          <w:bCs/>
          <w:noProof/>
          <w:szCs w:val="24"/>
          <w:lang w:eastAsia="en-GB"/>
        </w:rPr>
        <w:t xml:space="preserve"> a simulation based test procedure where the relevant components of the HDV were tested and based on this data a simulation tool calculating the fuel consumption and the CO</w:t>
      </w:r>
      <w:r>
        <w:rPr>
          <w:rFonts w:cs="Times New Roman"/>
          <w:bCs/>
          <w:noProof/>
          <w:szCs w:val="24"/>
          <w:vertAlign w:val="subscript"/>
          <w:lang w:eastAsia="en-GB"/>
        </w:rPr>
        <w:t>2</w:t>
      </w:r>
      <w:r>
        <w:rPr>
          <w:rFonts w:cs="Times New Roman"/>
          <w:bCs/>
          <w:noProof/>
          <w:szCs w:val="24"/>
          <w:lang w:eastAsia="en-GB"/>
        </w:rPr>
        <w:t xml:space="preserve"> emissions in vehicle class specific test cycles was chosen as the method that delivers robust results of CO</w:t>
      </w:r>
      <w:r>
        <w:rPr>
          <w:rFonts w:cs="Times New Roman"/>
          <w:bCs/>
          <w:noProof/>
          <w:szCs w:val="24"/>
          <w:vertAlign w:val="subscript"/>
          <w:lang w:eastAsia="en-GB"/>
        </w:rPr>
        <w:t>2</w:t>
      </w:r>
      <w:r>
        <w:rPr>
          <w:rFonts w:cs="Times New Roman"/>
          <w:bCs/>
          <w:noProof/>
          <w:szCs w:val="24"/>
          <w:lang w:eastAsia="en-GB"/>
        </w:rPr>
        <w:t xml:space="preserve"> figures for HDVs and appears manageable for the manufacturers and public administrations that have to deal with the test procedure. </w:t>
      </w:r>
    </w:p>
    <w:p w:rsidR="003E180D" w:rsidRDefault="003E180D" w:rsidP="003E180D">
      <w:pPr>
        <w:spacing w:before="120" w:after="0" w:line="240" w:lineRule="auto"/>
        <w:jc w:val="both"/>
        <w:rPr>
          <w:rFonts w:cs="Times New Roman"/>
          <w:bCs/>
          <w:noProof/>
          <w:szCs w:val="24"/>
          <w:lang w:eastAsia="en-GB"/>
        </w:rPr>
      </w:pPr>
      <w:r>
        <w:rPr>
          <w:rFonts w:cs="Times New Roman"/>
          <w:bCs/>
          <w:noProof/>
          <w:szCs w:val="24"/>
          <w:lang w:eastAsia="en-GB"/>
        </w:rPr>
        <w:t>The relevant data for the simulation of HDV CO</w:t>
      </w:r>
      <w:r>
        <w:rPr>
          <w:rFonts w:cs="Times New Roman"/>
          <w:bCs/>
          <w:noProof/>
          <w:szCs w:val="24"/>
          <w:vertAlign w:val="subscript"/>
          <w:lang w:eastAsia="en-GB"/>
        </w:rPr>
        <w:t>2</w:t>
      </w:r>
      <w:r>
        <w:rPr>
          <w:rFonts w:cs="Times New Roman"/>
          <w:bCs/>
          <w:noProof/>
          <w:szCs w:val="24"/>
          <w:lang w:eastAsia="en-GB"/>
        </w:rPr>
        <w:t xml:space="preserve"> that have been identified include the engine fuel efficiency map, vehicle weight, tires rolling resistance coefficients (RRC), aerodynamic drag coefficient multiplied by the frontal area (A) of the vehicle (CdxA), moments of inertia from the vehicle including standardised bodies or trailers, the specifications of the gear boxes and efficiency of the auxiliaries.</w:t>
      </w:r>
    </w:p>
    <w:p w:rsidR="003E180D" w:rsidRDefault="003E180D" w:rsidP="003E180D">
      <w:pPr>
        <w:spacing w:before="120" w:after="0" w:line="240" w:lineRule="auto"/>
        <w:jc w:val="both"/>
        <w:rPr>
          <w:rFonts w:cs="Times New Roman"/>
          <w:bCs/>
          <w:noProof/>
          <w:szCs w:val="24"/>
          <w:lang w:eastAsia="en-GB"/>
        </w:rPr>
      </w:pPr>
      <w:r>
        <w:rPr>
          <w:rFonts w:cs="Times New Roman"/>
          <w:bCs/>
          <w:noProof/>
          <w:szCs w:val="24"/>
          <w:lang w:eastAsia="en-GB"/>
        </w:rPr>
        <w:t>Such a simulation based approach should allow cost efficient testing of multiple HDV variations by compiling the measured component data in the simulator. This approach also makes it possible to easily assess the CO</w:t>
      </w:r>
      <w:r>
        <w:rPr>
          <w:rFonts w:cs="Times New Roman"/>
          <w:bCs/>
          <w:noProof/>
          <w:szCs w:val="24"/>
          <w:vertAlign w:val="subscript"/>
          <w:lang w:eastAsia="en-GB"/>
        </w:rPr>
        <w:t>2</w:t>
      </w:r>
      <w:r>
        <w:rPr>
          <w:rFonts w:cs="Times New Roman"/>
          <w:bCs/>
          <w:noProof/>
          <w:szCs w:val="24"/>
          <w:lang w:eastAsia="en-GB"/>
        </w:rPr>
        <w:t xml:space="preserve"> emissions impact of improved trailer and body structure design. The proposed test procedure has been applied experimentally on four HDV categories so far and appears to give reliable and accurate results. </w:t>
      </w:r>
    </w:p>
    <w:p w:rsidR="003E180D" w:rsidRDefault="003E180D" w:rsidP="003E180D">
      <w:pPr>
        <w:spacing w:before="120" w:after="0" w:line="240" w:lineRule="auto"/>
        <w:jc w:val="both"/>
        <w:rPr>
          <w:rFonts w:cs="Times New Roman"/>
          <w:bCs/>
          <w:noProof/>
          <w:szCs w:val="24"/>
          <w:lang w:eastAsia="en-GB"/>
        </w:rPr>
      </w:pPr>
      <w:r>
        <w:rPr>
          <w:rFonts w:cs="Times New Roman"/>
          <w:bCs/>
          <w:noProof/>
          <w:szCs w:val="24"/>
          <w:lang w:eastAsia="en-GB"/>
        </w:rPr>
        <w:t xml:space="preserve">The simulation-based method consists of: </w:t>
      </w:r>
    </w:p>
    <w:p w:rsidR="003E180D" w:rsidRDefault="003E180D" w:rsidP="003E180D">
      <w:pPr>
        <w:numPr>
          <w:ilvl w:val="0"/>
          <w:numId w:val="11"/>
        </w:numPr>
        <w:spacing w:before="120" w:after="0" w:line="240" w:lineRule="auto"/>
        <w:jc w:val="both"/>
        <w:rPr>
          <w:rFonts w:cs="Times New Roman"/>
          <w:bCs/>
          <w:noProof/>
          <w:szCs w:val="24"/>
          <w:lang w:eastAsia="en-GB"/>
        </w:rPr>
      </w:pPr>
      <w:r>
        <w:rPr>
          <w:rFonts w:cs="Times New Roman"/>
          <w:bCs/>
          <w:noProof/>
          <w:szCs w:val="24"/>
          <w:lang w:eastAsia="en-GB"/>
        </w:rPr>
        <w:t>On-road measurement of driving resistances</w:t>
      </w:r>
    </w:p>
    <w:p w:rsidR="003E180D" w:rsidRDefault="003E180D" w:rsidP="003E180D">
      <w:pPr>
        <w:numPr>
          <w:ilvl w:val="0"/>
          <w:numId w:val="11"/>
        </w:numPr>
        <w:spacing w:before="120" w:after="0" w:line="240" w:lineRule="auto"/>
        <w:jc w:val="both"/>
        <w:rPr>
          <w:rFonts w:cs="Times New Roman"/>
          <w:bCs/>
          <w:noProof/>
          <w:szCs w:val="24"/>
          <w:lang w:eastAsia="en-GB"/>
        </w:rPr>
      </w:pPr>
      <w:r>
        <w:rPr>
          <w:rFonts w:cs="Times New Roman"/>
          <w:bCs/>
          <w:noProof/>
          <w:szCs w:val="24"/>
          <w:lang w:eastAsia="en-GB"/>
        </w:rPr>
        <w:t xml:space="preserve">Determination of drivetrain losses </w:t>
      </w:r>
    </w:p>
    <w:p w:rsidR="003E180D" w:rsidRDefault="003E180D" w:rsidP="003E180D">
      <w:pPr>
        <w:numPr>
          <w:ilvl w:val="0"/>
          <w:numId w:val="11"/>
        </w:numPr>
        <w:spacing w:before="120" w:after="0" w:line="240" w:lineRule="auto"/>
        <w:jc w:val="both"/>
        <w:rPr>
          <w:rFonts w:cs="Times New Roman"/>
          <w:bCs/>
          <w:noProof/>
          <w:szCs w:val="24"/>
          <w:lang w:eastAsia="en-GB"/>
        </w:rPr>
      </w:pPr>
      <w:r>
        <w:rPr>
          <w:rFonts w:cs="Times New Roman"/>
          <w:bCs/>
          <w:noProof/>
          <w:szCs w:val="24"/>
          <w:lang w:eastAsia="en-GB"/>
        </w:rPr>
        <w:t>Determination of power demand of engine auxiliaries and other consumers</w:t>
      </w:r>
    </w:p>
    <w:p w:rsidR="003E180D" w:rsidRDefault="003E180D" w:rsidP="003E180D">
      <w:pPr>
        <w:numPr>
          <w:ilvl w:val="0"/>
          <w:numId w:val="11"/>
        </w:numPr>
        <w:spacing w:before="120" w:after="0" w:line="240" w:lineRule="auto"/>
        <w:jc w:val="both"/>
        <w:rPr>
          <w:rFonts w:cs="Times New Roman"/>
          <w:bCs/>
          <w:noProof/>
          <w:szCs w:val="24"/>
          <w:lang w:eastAsia="en-GB"/>
        </w:rPr>
      </w:pPr>
      <w:r>
        <w:rPr>
          <w:rFonts w:cs="Times New Roman"/>
          <w:bCs/>
          <w:noProof/>
          <w:szCs w:val="24"/>
          <w:lang w:eastAsia="en-GB"/>
        </w:rPr>
        <w:t xml:space="preserve">Measurement of the engine fuel consumption map as extension to the engine's type approval tests </w:t>
      </w:r>
    </w:p>
    <w:p w:rsidR="003E180D" w:rsidRDefault="003E180D" w:rsidP="003E180D">
      <w:pPr>
        <w:numPr>
          <w:ilvl w:val="0"/>
          <w:numId w:val="11"/>
        </w:numPr>
        <w:spacing w:before="120" w:after="0" w:line="240" w:lineRule="auto"/>
        <w:jc w:val="both"/>
        <w:rPr>
          <w:rFonts w:cs="Times New Roman"/>
          <w:bCs/>
          <w:noProof/>
          <w:szCs w:val="24"/>
          <w:lang w:eastAsia="en-GB"/>
        </w:rPr>
      </w:pPr>
      <w:r>
        <w:rPr>
          <w:rFonts w:cs="Times New Roman"/>
          <w:bCs/>
          <w:noProof/>
          <w:szCs w:val="24"/>
          <w:lang w:eastAsia="en-GB"/>
        </w:rPr>
        <w:t>Simulation of the fuel consumption and the resulting CO</w:t>
      </w:r>
      <w:r>
        <w:rPr>
          <w:rFonts w:cs="Times New Roman"/>
          <w:bCs/>
          <w:noProof/>
          <w:szCs w:val="24"/>
          <w:vertAlign w:val="subscript"/>
          <w:lang w:eastAsia="en-GB"/>
        </w:rPr>
        <w:t>2</w:t>
      </w:r>
      <w:r>
        <w:rPr>
          <w:rFonts w:cs="Times New Roman"/>
          <w:bCs/>
          <w:noProof/>
          <w:szCs w:val="24"/>
          <w:lang w:eastAsia="en-GB"/>
        </w:rPr>
        <w:t>-emisions from the vehicle using the aforementioned input data for predefined representative driving cycles.</w:t>
      </w:r>
    </w:p>
    <w:p w:rsidR="003E180D" w:rsidRDefault="003E180D" w:rsidP="003E180D">
      <w:pPr>
        <w:spacing w:before="120" w:after="0" w:line="240" w:lineRule="auto"/>
        <w:jc w:val="both"/>
        <w:rPr>
          <w:rFonts w:cs="Times New Roman"/>
          <w:bCs/>
          <w:noProof/>
          <w:szCs w:val="24"/>
          <w:u w:val="single"/>
          <w:lang w:eastAsia="en-GB"/>
        </w:rPr>
      </w:pPr>
      <w:r>
        <w:rPr>
          <w:rFonts w:cs="Times New Roman"/>
          <w:bCs/>
          <w:noProof/>
          <w:szCs w:val="24"/>
          <w:u w:val="single"/>
          <w:lang w:eastAsia="en-GB"/>
        </w:rPr>
        <w:t>The single steps described in brief are as follows:</w:t>
      </w:r>
    </w:p>
    <w:p w:rsidR="003E180D" w:rsidRDefault="003E180D" w:rsidP="003E180D">
      <w:pPr>
        <w:spacing w:before="120" w:after="0" w:line="240" w:lineRule="auto"/>
        <w:jc w:val="both"/>
        <w:rPr>
          <w:rFonts w:cs="Times New Roman"/>
          <w:bCs/>
          <w:noProof/>
          <w:szCs w:val="24"/>
          <w:lang w:eastAsia="en-GB"/>
        </w:rPr>
      </w:pPr>
      <w:r>
        <w:rPr>
          <w:rFonts w:cs="Times New Roman"/>
          <w:bCs/>
          <w:noProof/>
          <w:szCs w:val="24"/>
          <w:lang w:eastAsia="en-GB"/>
        </w:rPr>
        <w:t xml:space="preserve">The driving resistances of the vehicle will be measured during constant speed on a test track. Standardized bodies and trailers will be used to obtain reliable air resistance values. For reproducible results, corrections for influences of road gradient, wind speed, ambient temperature and air pressure as well as for velocity unsteadiness, have to be applied to the measured driving resistance values. </w:t>
      </w:r>
    </w:p>
    <w:p w:rsidR="003E180D" w:rsidRDefault="003E180D" w:rsidP="003E180D">
      <w:pPr>
        <w:spacing w:after="120" w:line="240" w:lineRule="auto"/>
        <w:jc w:val="both"/>
        <w:rPr>
          <w:rFonts w:cs="Times New Roman"/>
          <w:bCs/>
          <w:noProof/>
          <w:szCs w:val="24"/>
          <w:lang w:eastAsia="en-GB"/>
        </w:rPr>
      </w:pPr>
      <w:r>
        <w:rPr>
          <w:rFonts w:cs="Times New Roman"/>
          <w:bCs/>
          <w:noProof/>
          <w:szCs w:val="24"/>
          <w:lang w:eastAsia="en-GB"/>
        </w:rPr>
        <w:t>For the body and trailer manufacturers an option for a less extensive procedure can be applied. Improved bodies or trailers (aerodynamics, curb weight) can be tested in comparison to the standard components via constant speed tests. The relative change against the standard body or trailer can then be introduced into the simulation tool to calculate the fuel consumption and the CO</w:t>
      </w:r>
      <w:r>
        <w:rPr>
          <w:rFonts w:cs="Times New Roman"/>
          <w:bCs/>
          <w:noProof/>
          <w:szCs w:val="24"/>
          <w:vertAlign w:val="subscript"/>
          <w:lang w:eastAsia="en-GB"/>
        </w:rPr>
        <w:t xml:space="preserve">2 </w:t>
      </w:r>
      <w:r>
        <w:rPr>
          <w:rFonts w:cs="Times New Roman"/>
          <w:bCs/>
          <w:noProof/>
          <w:szCs w:val="24"/>
          <w:lang w:eastAsia="en-GB"/>
        </w:rPr>
        <w:t>emissions of the alternative vehicle and body-configuration.</w:t>
      </w:r>
    </w:p>
    <w:p w:rsidR="003E180D" w:rsidRDefault="003E180D" w:rsidP="003E180D">
      <w:pPr>
        <w:spacing w:after="120" w:line="240" w:lineRule="auto"/>
        <w:jc w:val="both"/>
        <w:rPr>
          <w:rFonts w:cs="Times New Roman"/>
          <w:bCs/>
          <w:noProof/>
          <w:szCs w:val="24"/>
          <w:lang w:eastAsia="en-GB"/>
        </w:rPr>
      </w:pPr>
      <w:r>
        <w:rPr>
          <w:rFonts w:cs="Times New Roman"/>
          <w:bCs/>
          <w:noProof/>
          <w:szCs w:val="24"/>
          <w:lang w:eastAsia="en-GB"/>
        </w:rPr>
        <w:t>Drivetrain friction losses and the power demand of engine auxiliaries like engine fan, air compressor or heating ventilation and air conditioning system (HVAC), will be defined as default values. If manufacturers use more efficient components, the default values can be replaced by component specific efficiency maps.</w:t>
      </w:r>
    </w:p>
    <w:p w:rsidR="003E180D" w:rsidRDefault="003E180D" w:rsidP="003E180D">
      <w:pPr>
        <w:spacing w:after="120" w:line="240" w:lineRule="auto"/>
        <w:jc w:val="both"/>
        <w:rPr>
          <w:rFonts w:cs="Times New Roman"/>
          <w:bCs/>
          <w:noProof/>
          <w:szCs w:val="24"/>
          <w:lang w:eastAsia="en-GB"/>
        </w:rPr>
      </w:pPr>
      <w:r>
        <w:rPr>
          <w:rFonts w:cs="Times New Roman"/>
          <w:bCs/>
          <w:noProof/>
          <w:szCs w:val="24"/>
          <w:lang w:eastAsia="en-GB"/>
        </w:rPr>
        <w:t>Since several technical options to improve the fuel efficiency of HDV have different reduction potentials at varying driving conditions, the definition of representative driving cycles is important for a realistic ranking of the specific fuel consumption. Driving cycles (or mission profiles) for the different categories and usage of HDVs are newly developed to give more realistic results on fuel consumption.</w:t>
      </w:r>
    </w:p>
    <w:p w:rsidR="003E180D" w:rsidRDefault="003E180D" w:rsidP="003E180D">
      <w:pPr>
        <w:spacing w:after="120" w:line="240" w:lineRule="auto"/>
        <w:jc w:val="both"/>
        <w:rPr>
          <w:rFonts w:cs="Times New Roman"/>
          <w:bCs/>
          <w:noProof/>
          <w:szCs w:val="24"/>
          <w:lang w:eastAsia="en-GB"/>
        </w:rPr>
      </w:pPr>
      <w:r>
        <w:rPr>
          <w:rFonts w:cs="Times New Roman"/>
          <w:bCs/>
          <w:noProof/>
          <w:szCs w:val="24"/>
          <w:lang w:eastAsia="en-GB"/>
        </w:rPr>
        <w:t>It is desirable for the methodology to address all characteristics that are relevant to the efficiency of the entire vehicle. Realistic values for the fuel efficiency of various HDV in different mission profiles will improve customer information and incentivise manufacturers to develop and apply fuel saving technologies. In future a standardised test procedure could support other measures in the HDV sector including CO</w:t>
      </w:r>
      <w:r>
        <w:rPr>
          <w:rFonts w:cs="Times New Roman"/>
          <w:bCs/>
          <w:noProof/>
          <w:szCs w:val="24"/>
          <w:vertAlign w:val="subscript"/>
          <w:lang w:eastAsia="en-GB"/>
        </w:rPr>
        <w:t>2</w:t>
      </w:r>
      <w:r>
        <w:rPr>
          <w:rFonts w:cs="Times New Roman"/>
          <w:bCs/>
          <w:noProof/>
          <w:szCs w:val="24"/>
          <w:lang w:eastAsia="en-GB"/>
        </w:rPr>
        <w:t xml:space="preserve"> emissions monitoring, labelling or programmes for HDV customers to calculate HDV fuel efficiency.</w:t>
      </w:r>
    </w:p>
    <w:p w:rsidR="003E180D" w:rsidRDefault="003E180D" w:rsidP="003E180D">
      <w:pPr>
        <w:spacing w:after="120" w:line="240" w:lineRule="auto"/>
        <w:jc w:val="both"/>
        <w:rPr>
          <w:rFonts w:cs="Times New Roman"/>
          <w:noProof/>
          <w:szCs w:val="24"/>
          <w:u w:val="single"/>
          <w:lang w:eastAsia="en-GB"/>
        </w:rPr>
      </w:pPr>
      <w:r>
        <w:rPr>
          <w:rFonts w:cs="Times New Roman"/>
          <w:noProof/>
          <w:szCs w:val="24"/>
          <w:u w:val="single"/>
          <w:lang w:eastAsia="en-GB"/>
        </w:rPr>
        <w:t>The main targets for the test procedure are:</w:t>
      </w:r>
    </w:p>
    <w:p w:rsidR="003E180D" w:rsidRDefault="003E180D" w:rsidP="003E180D">
      <w:pPr>
        <w:numPr>
          <w:ilvl w:val="0"/>
          <w:numId w:val="20"/>
        </w:numPr>
        <w:spacing w:after="120" w:line="240" w:lineRule="auto"/>
        <w:jc w:val="both"/>
        <w:rPr>
          <w:rFonts w:cs="Times New Roman"/>
          <w:noProof/>
          <w:szCs w:val="24"/>
          <w:lang w:eastAsia="en-GB"/>
        </w:rPr>
      </w:pPr>
      <w:r>
        <w:rPr>
          <w:rFonts w:cs="Times New Roman"/>
          <w:noProof/>
          <w:szCs w:val="24"/>
          <w:lang w:eastAsia="en-GB"/>
        </w:rPr>
        <w:t>Repeatable (within same laboratory) and reproducible (between different laboratories)</w:t>
      </w:r>
    </w:p>
    <w:p w:rsidR="003E180D" w:rsidRDefault="003E180D" w:rsidP="003E180D">
      <w:pPr>
        <w:numPr>
          <w:ilvl w:val="0"/>
          <w:numId w:val="20"/>
        </w:numPr>
        <w:spacing w:after="120" w:line="240" w:lineRule="auto"/>
        <w:jc w:val="both"/>
        <w:rPr>
          <w:rFonts w:cs="Times New Roman"/>
          <w:noProof/>
          <w:szCs w:val="24"/>
          <w:lang w:eastAsia="en-GB"/>
        </w:rPr>
      </w:pPr>
      <w:r>
        <w:rPr>
          <w:rFonts w:cs="Times New Roman"/>
          <w:noProof/>
          <w:szCs w:val="24"/>
          <w:lang w:eastAsia="en-GB"/>
        </w:rPr>
        <w:t>Incentive to apply efficient technologies and to optimise the entire vehicle set-up</w:t>
      </w:r>
    </w:p>
    <w:p w:rsidR="003E180D" w:rsidRDefault="003E180D" w:rsidP="003E180D">
      <w:pPr>
        <w:numPr>
          <w:ilvl w:val="0"/>
          <w:numId w:val="20"/>
        </w:numPr>
        <w:spacing w:after="120" w:line="240" w:lineRule="auto"/>
        <w:jc w:val="both"/>
        <w:rPr>
          <w:rFonts w:cs="Times New Roman"/>
          <w:noProof/>
          <w:szCs w:val="24"/>
          <w:lang w:eastAsia="en-GB"/>
        </w:rPr>
      </w:pPr>
      <w:r>
        <w:rPr>
          <w:rFonts w:cs="Times New Roman"/>
          <w:noProof/>
          <w:szCs w:val="24"/>
          <w:lang w:eastAsia="en-GB"/>
        </w:rPr>
        <w:t>High sensitivity for fuel saving measures</w:t>
      </w:r>
    </w:p>
    <w:p w:rsidR="003E180D" w:rsidRDefault="003E180D" w:rsidP="003E180D">
      <w:pPr>
        <w:numPr>
          <w:ilvl w:val="0"/>
          <w:numId w:val="20"/>
        </w:numPr>
        <w:spacing w:after="120" w:line="240" w:lineRule="auto"/>
        <w:jc w:val="both"/>
        <w:rPr>
          <w:rFonts w:cs="Times New Roman"/>
          <w:noProof/>
          <w:szCs w:val="24"/>
          <w:lang w:eastAsia="en-GB"/>
        </w:rPr>
      </w:pPr>
      <w:r>
        <w:rPr>
          <w:rFonts w:cs="Times New Roman"/>
          <w:noProof/>
          <w:szCs w:val="24"/>
          <w:lang w:eastAsia="en-GB"/>
        </w:rPr>
        <w:t xml:space="preserve">Reasonable costs and efforts to run and examine the procedure </w:t>
      </w:r>
    </w:p>
    <w:p w:rsidR="003E180D" w:rsidRDefault="003E180D" w:rsidP="003E180D">
      <w:pPr>
        <w:numPr>
          <w:ilvl w:val="0"/>
          <w:numId w:val="20"/>
        </w:numPr>
        <w:spacing w:after="120" w:line="240" w:lineRule="auto"/>
        <w:jc w:val="both"/>
        <w:rPr>
          <w:rFonts w:cs="Times New Roman"/>
          <w:noProof/>
          <w:szCs w:val="24"/>
          <w:lang w:eastAsia="en-GB"/>
        </w:rPr>
      </w:pPr>
      <w:r>
        <w:rPr>
          <w:rFonts w:cs="Times New Roman"/>
          <w:noProof/>
          <w:szCs w:val="24"/>
          <w:lang w:eastAsia="en-GB"/>
        </w:rPr>
        <w:t>Simple and robust</w:t>
      </w:r>
    </w:p>
    <w:p w:rsidR="003E180D" w:rsidRDefault="003E180D" w:rsidP="003E180D">
      <w:pPr>
        <w:pStyle w:val="Heading3"/>
        <w:numPr>
          <w:ilvl w:val="2"/>
          <w:numId w:val="22"/>
        </w:numPr>
        <w:spacing w:before="240" w:after="120"/>
        <w:rPr>
          <w:bCs/>
          <w:noProof/>
          <w:lang w:eastAsia="en-GB"/>
        </w:rPr>
      </w:pPr>
      <w:bookmarkStart w:id="549" w:name="_Toc508127886"/>
      <w:bookmarkStart w:id="550" w:name="_Toc508129658"/>
      <w:bookmarkStart w:id="551" w:name="_Toc508181049"/>
      <w:bookmarkStart w:id="552" w:name="_Toc508186642"/>
      <w:bookmarkStart w:id="553" w:name="_Toc510708123"/>
      <w:bookmarkStart w:id="554" w:name="_Toc514328819"/>
      <w:r>
        <w:rPr>
          <w:noProof/>
          <w:lang w:eastAsia="en-GB"/>
        </w:rPr>
        <w:t>Schematic overview</w:t>
      </w:r>
      <w:bookmarkEnd w:id="539"/>
      <w:bookmarkEnd w:id="540"/>
      <w:bookmarkEnd w:id="541"/>
      <w:bookmarkEnd w:id="542"/>
      <w:r>
        <w:rPr>
          <w:noProof/>
          <w:lang w:eastAsia="en-GB"/>
        </w:rPr>
        <w:t xml:space="preserve"> of simulation model and computational programme</w:t>
      </w:r>
      <w:bookmarkEnd w:id="543"/>
      <w:bookmarkEnd w:id="544"/>
      <w:bookmarkEnd w:id="545"/>
      <w:bookmarkEnd w:id="546"/>
      <w:bookmarkEnd w:id="547"/>
      <w:bookmarkEnd w:id="549"/>
      <w:bookmarkEnd w:id="550"/>
      <w:bookmarkEnd w:id="551"/>
      <w:bookmarkEnd w:id="552"/>
      <w:bookmarkEnd w:id="553"/>
      <w:bookmarkEnd w:id="554"/>
    </w:p>
    <w:p w:rsidR="003E180D" w:rsidRDefault="003E180D" w:rsidP="003E180D">
      <w:pPr>
        <w:spacing w:before="120" w:after="0" w:line="240" w:lineRule="auto"/>
        <w:jc w:val="both"/>
        <w:rPr>
          <w:rFonts w:cs="Times New Roman"/>
          <w:noProof/>
          <w:szCs w:val="24"/>
          <w:lang w:eastAsia="en-GB"/>
        </w:rPr>
      </w:pPr>
      <w:r>
        <w:rPr>
          <w:rFonts w:cs="Times New Roman"/>
          <w:noProof/>
          <w:szCs w:val="24"/>
          <w:lang w:eastAsia="en-GB"/>
        </w:rPr>
        <w:fldChar w:fldCharType="begin"/>
      </w:r>
      <w:r>
        <w:rPr>
          <w:rFonts w:cs="Times New Roman"/>
          <w:noProof/>
          <w:szCs w:val="24"/>
          <w:lang w:eastAsia="en-GB"/>
        </w:rPr>
        <w:instrText xml:space="preserve"> REF _Ref507497156 \h  \* MERGEFORMAT </w:instrText>
      </w:r>
      <w:r>
        <w:rPr>
          <w:rFonts w:cs="Times New Roman"/>
          <w:noProof/>
          <w:szCs w:val="24"/>
          <w:lang w:eastAsia="en-GB"/>
        </w:rPr>
      </w:r>
      <w:r>
        <w:rPr>
          <w:rFonts w:cs="Times New Roman"/>
          <w:noProof/>
          <w:szCs w:val="24"/>
          <w:lang w:eastAsia="en-GB"/>
        </w:rPr>
        <w:fldChar w:fldCharType="separate"/>
      </w:r>
      <w:r>
        <w:rPr>
          <w:rFonts w:cs="Times New Roman"/>
          <w:noProof/>
          <w:szCs w:val="24"/>
        </w:rPr>
        <w:t>Figure 9</w:t>
      </w:r>
      <w:r>
        <w:rPr>
          <w:rFonts w:cs="Times New Roman"/>
          <w:noProof/>
          <w:szCs w:val="24"/>
          <w:lang w:eastAsia="en-GB"/>
        </w:rPr>
        <w:fldChar w:fldCharType="end"/>
      </w:r>
      <w:r>
        <w:rPr>
          <w:rFonts w:cs="Times New Roman"/>
          <w:noProof/>
          <w:szCs w:val="24"/>
          <w:lang w:eastAsia="en-GB"/>
        </w:rPr>
        <w:t xml:space="preserve"> gives an overview of the test procedure. Rolling resistance, air resistance, power to accelerate translational and rotatory moved masses, power resulting from road gradients, losses in the transmission system and power demand from auxiliaries are considered in the simulation. </w:t>
      </w:r>
    </w:p>
    <w:p w:rsidR="003E180D" w:rsidRDefault="003E180D" w:rsidP="003E180D">
      <w:pPr>
        <w:keepNext/>
        <w:spacing w:before="120" w:after="0" w:line="240" w:lineRule="auto"/>
        <w:jc w:val="both"/>
        <w:rPr>
          <w:rFonts w:cs="Times New Roman"/>
          <w:b/>
          <w:bCs/>
          <w:noProof/>
          <w:szCs w:val="24"/>
          <w:lang w:eastAsia="en-GB"/>
        </w:rPr>
      </w:pPr>
      <w:bookmarkStart w:id="555" w:name="_Ref507497156"/>
      <w:r>
        <w:rPr>
          <w:rFonts w:cs="Times New Roman"/>
          <w:b/>
          <w:noProof/>
          <w:szCs w:val="24"/>
        </w:rPr>
        <w:t xml:space="preserve">Figure </w:t>
      </w:r>
      <w:r>
        <w:rPr>
          <w:rFonts w:cs="Times New Roman"/>
          <w:b/>
          <w:noProof/>
          <w:szCs w:val="24"/>
        </w:rPr>
        <w:fldChar w:fldCharType="begin"/>
      </w:r>
      <w:r>
        <w:rPr>
          <w:rFonts w:cs="Times New Roman"/>
          <w:b/>
          <w:noProof/>
          <w:szCs w:val="24"/>
        </w:rPr>
        <w:instrText xml:space="preserve"> SEQ Figure \* ARABIC </w:instrText>
      </w:r>
      <w:r>
        <w:rPr>
          <w:rFonts w:cs="Times New Roman"/>
          <w:b/>
          <w:noProof/>
          <w:szCs w:val="24"/>
        </w:rPr>
        <w:fldChar w:fldCharType="separate"/>
      </w:r>
      <w:r>
        <w:rPr>
          <w:rFonts w:cs="Times New Roman"/>
          <w:b/>
          <w:noProof/>
          <w:szCs w:val="24"/>
        </w:rPr>
        <w:t>9</w:t>
      </w:r>
      <w:r>
        <w:rPr>
          <w:rFonts w:cs="Times New Roman"/>
          <w:b/>
          <w:noProof/>
          <w:szCs w:val="24"/>
        </w:rPr>
        <w:fldChar w:fldCharType="end"/>
      </w:r>
      <w:bookmarkEnd w:id="555"/>
      <w:r>
        <w:rPr>
          <w:rFonts w:cs="Times New Roman"/>
          <w:b/>
          <w:noProof/>
          <w:szCs w:val="24"/>
        </w:rPr>
        <w:t xml:space="preserve">: </w:t>
      </w:r>
      <w:r>
        <w:rPr>
          <w:rFonts w:cs="Times New Roman"/>
          <w:b/>
          <w:noProof/>
          <w:szCs w:val="24"/>
          <w:lang w:eastAsia="en-GB"/>
        </w:rPr>
        <w:t>Schematic picture of the test procedure</w:t>
      </w:r>
    </w:p>
    <w:p w:rsidR="003E180D" w:rsidRDefault="003E180D" w:rsidP="003E180D">
      <w:pPr>
        <w:spacing w:before="120" w:after="0" w:line="240" w:lineRule="auto"/>
        <w:jc w:val="center"/>
        <w:rPr>
          <w:rFonts w:cs="Times New Roman"/>
          <w:b/>
          <w:noProof/>
          <w:szCs w:val="24"/>
          <w:lang w:eastAsia="en-GB"/>
        </w:rPr>
      </w:pPr>
      <w:r>
        <w:rPr>
          <w:rFonts w:cs="Times New Roman"/>
          <w:b/>
          <w:noProof/>
          <w:szCs w:val="24"/>
          <w:lang w:eastAsia="en-GB"/>
        </w:rPr>
        <w:drawing>
          <wp:inline distT="0" distB="0" distL="0" distR="0" wp14:anchorId="55006EAF" wp14:editId="0CA32152">
            <wp:extent cx="4507200" cy="279000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07200" cy="2790000"/>
                    </a:xfrm>
                    <a:prstGeom prst="rect">
                      <a:avLst/>
                    </a:prstGeom>
                    <a:noFill/>
                    <a:ln>
                      <a:noFill/>
                    </a:ln>
                  </pic:spPr>
                </pic:pic>
              </a:graphicData>
            </a:graphic>
          </wp:inline>
        </w:drawing>
      </w:r>
    </w:p>
    <w:p w:rsidR="003E180D" w:rsidRDefault="003E180D" w:rsidP="003E180D">
      <w:pPr>
        <w:spacing w:before="240" w:after="120" w:line="240" w:lineRule="auto"/>
        <w:jc w:val="both"/>
        <w:rPr>
          <w:rFonts w:cs="Times New Roman"/>
          <w:noProof/>
          <w:szCs w:val="24"/>
          <w:lang w:eastAsia="en-GB"/>
        </w:rPr>
      </w:pPr>
      <w:r>
        <w:rPr>
          <w:rFonts w:cs="Times New Roman"/>
          <w:noProof/>
          <w:szCs w:val="24"/>
          <w:lang w:eastAsia="en-GB"/>
        </w:rPr>
        <w:t>All the measured data of the components / subsystems of a HDV will then be used as input data in a HDV energy/</w:t>
      </w:r>
      <w:r>
        <w:rPr>
          <w:rFonts w:cs="Times New Roman"/>
          <w:bCs/>
          <w:noProof/>
          <w:szCs w:val="24"/>
          <w:lang w:eastAsia="en-GB"/>
        </w:rPr>
        <w:t>CO</w:t>
      </w:r>
      <w:r>
        <w:rPr>
          <w:rFonts w:cs="Times New Roman"/>
          <w:bCs/>
          <w:noProof/>
          <w:szCs w:val="24"/>
          <w:vertAlign w:val="subscript"/>
          <w:lang w:eastAsia="en-GB"/>
        </w:rPr>
        <w:t>2</w:t>
      </w:r>
      <w:r>
        <w:rPr>
          <w:rFonts w:cs="Times New Roman"/>
          <w:bCs/>
          <w:noProof/>
          <w:szCs w:val="24"/>
          <w:lang w:eastAsia="en-GB"/>
        </w:rPr>
        <w:t xml:space="preserve"> </w:t>
      </w:r>
      <w:r>
        <w:rPr>
          <w:rFonts w:cs="Times New Roman"/>
          <w:noProof/>
          <w:szCs w:val="24"/>
          <w:lang w:eastAsia="en-GB"/>
        </w:rPr>
        <w:t xml:space="preserve">simulation tool. The structure of the simulation tool is shown in </w:t>
      </w:r>
      <w:r>
        <w:rPr>
          <w:rFonts w:cs="Times New Roman"/>
          <w:noProof/>
          <w:szCs w:val="24"/>
          <w:lang w:eastAsia="en-GB"/>
        </w:rPr>
        <w:fldChar w:fldCharType="begin"/>
      </w:r>
      <w:r>
        <w:rPr>
          <w:rFonts w:cs="Times New Roman"/>
          <w:noProof/>
          <w:szCs w:val="24"/>
          <w:lang w:eastAsia="en-GB"/>
        </w:rPr>
        <w:instrText xml:space="preserve"> REF _Ref507431704 \h  \* MERGEFORMAT </w:instrText>
      </w:r>
      <w:r>
        <w:rPr>
          <w:rFonts w:cs="Times New Roman"/>
          <w:noProof/>
          <w:szCs w:val="24"/>
          <w:lang w:eastAsia="en-GB"/>
        </w:rPr>
      </w:r>
      <w:r>
        <w:rPr>
          <w:noProof/>
          <w:lang w:eastAsia="en-GB"/>
        </w:rPr>
        <w:fldChar w:fldCharType="separate"/>
      </w:r>
      <w:r>
        <w:rPr>
          <w:rFonts w:cs="Times New Roman"/>
          <w:noProof/>
          <w:szCs w:val="24"/>
        </w:rPr>
        <w:t>Figure 10</w:t>
      </w:r>
      <w:r>
        <w:rPr>
          <w:rFonts w:cs="Times New Roman"/>
          <w:noProof/>
          <w:szCs w:val="24"/>
          <w:lang w:eastAsia="en-GB"/>
        </w:rPr>
        <w:fldChar w:fldCharType="end"/>
      </w:r>
      <w:r>
        <w:rPr>
          <w:rFonts w:cs="Times New Roman"/>
          <w:noProof/>
          <w:szCs w:val="24"/>
          <w:lang w:eastAsia="en-GB"/>
        </w:rPr>
        <w:t>.</w:t>
      </w:r>
    </w:p>
    <w:p w:rsidR="003E180D" w:rsidRDefault="003E180D" w:rsidP="003E180D">
      <w:pPr>
        <w:pStyle w:val="Caption"/>
        <w:keepNext/>
        <w:spacing w:after="120"/>
        <w:jc w:val="both"/>
        <w:rPr>
          <w:noProof/>
          <w:lang w:eastAsia="en-GB"/>
        </w:rPr>
      </w:pPr>
      <w:bookmarkStart w:id="556" w:name="_Ref507431704"/>
      <w:r>
        <w:rPr>
          <w:noProof/>
        </w:rP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bookmarkEnd w:id="556"/>
      <w:r>
        <w:rPr>
          <w:noProof/>
        </w:rPr>
        <w:t xml:space="preserve">: </w:t>
      </w:r>
      <w:r>
        <w:rPr>
          <w:noProof/>
          <w:lang w:eastAsia="en-GB"/>
        </w:rPr>
        <w:t>Structure of the simulation tool</w:t>
      </w:r>
    </w:p>
    <w:p w:rsidR="003E180D" w:rsidRDefault="003E180D" w:rsidP="003E180D">
      <w:pPr>
        <w:spacing w:before="120" w:after="0" w:line="240" w:lineRule="auto"/>
        <w:jc w:val="center"/>
        <w:rPr>
          <w:rFonts w:cs="Times New Roman"/>
          <w:noProof/>
          <w:szCs w:val="24"/>
          <w:lang w:eastAsia="en-GB"/>
        </w:rPr>
      </w:pPr>
      <w:r>
        <w:rPr>
          <w:rFonts w:cs="Times New Roman"/>
          <w:noProof/>
          <w:szCs w:val="24"/>
          <w:lang w:eastAsia="en-GB"/>
        </w:rPr>
        <w:drawing>
          <wp:inline distT="0" distB="0" distL="0" distR="0" wp14:anchorId="6941EFEC" wp14:editId="219E2639">
            <wp:extent cx="4664880" cy="334800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64880" cy="3348000"/>
                    </a:xfrm>
                    <a:prstGeom prst="rect">
                      <a:avLst/>
                    </a:prstGeom>
                    <a:noFill/>
                    <a:ln>
                      <a:noFill/>
                    </a:ln>
                  </pic:spPr>
                </pic:pic>
              </a:graphicData>
            </a:graphic>
          </wp:inline>
        </w:drawing>
      </w:r>
    </w:p>
    <w:p w:rsidR="003E180D" w:rsidRDefault="003E180D" w:rsidP="003E180D">
      <w:pPr>
        <w:spacing w:before="240" w:after="120" w:line="240" w:lineRule="auto"/>
        <w:jc w:val="both"/>
        <w:rPr>
          <w:rFonts w:cs="Times New Roman"/>
          <w:noProof/>
          <w:szCs w:val="24"/>
          <w:lang w:eastAsia="en-GB"/>
        </w:rPr>
      </w:pPr>
      <w:r>
        <w:rPr>
          <w:rFonts w:cs="Times New Roman"/>
          <w:noProof/>
          <w:szCs w:val="24"/>
          <w:lang w:eastAsia="en-GB"/>
        </w:rPr>
        <w:t>The simulation tool will calculate the energy consumption of the whole HDV and give as a result the fuel consumption or CO</w:t>
      </w:r>
      <w:r>
        <w:rPr>
          <w:rFonts w:cs="Times New Roman"/>
          <w:noProof/>
          <w:szCs w:val="24"/>
          <w:vertAlign w:val="subscript"/>
          <w:lang w:eastAsia="en-GB"/>
        </w:rPr>
        <w:t>2</w:t>
      </w:r>
      <w:r>
        <w:rPr>
          <w:rFonts w:cs="Times New Roman"/>
          <w:noProof/>
          <w:szCs w:val="24"/>
          <w:lang w:eastAsia="en-GB"/>
        </w:rPr>
        <w:t xml:space="preserve"> emissions in g/km, g/tkm, g/m</w:t>
      </w:r>
      <w:r>
        <w:rPr>
          <w:rFonts w:cs="Times New Roman"/>
          <w:noProof/>
          <w:szCs w:val="24"/>
          <w:vertAlign w:val="superscript"/>
          <w:lang w:eastAsia="en-GB"/>
        </w:rPr>
        <w:t>3</w:t>
      </w:r>
      <w:r>
        <w:rPr>
          <w:rFonts w:cs="Times New Roman"/>
          <w:noProof/>
          <w:szCs w:val="24"/>
          <w:lang w:eastAsia="en-GB"/>
        </w:rPr>
        <w:t>km or g/passenger.km (for buses).</w:t>
      </w:r>
    </w:p>
    <w:p w:rsidR="003E180D" w:rsidRDefault="003E180D" w:rsidP="003E180D">
      <w:pPr>
        <w:rPr>
          <w:rFonts w:cs="Times New Roman"/>
          <w:i/>
          <w:noProof/>
          <w:szCs w:val="24"/>
        </w:rPr>
      </w:pPr>
      <w:bookmarkStart w:id="557" w:name="_Toc507493396"/>
      <w:bookmarkStart w:id="558" w:name="_Toc507496422"/>
      <w:bookmarkStart w:id="559" w:name="_Toc507512225"/>
      <w:bookmarkStart w:id="560" w:name="_Toc507517587"/>
      <w:bookmarkStart w:id="561" w:name="_Ref508122812"/>
      <w:bookmarkStart w:id="562" w:name="_Toc508124795"/>
      <w:bookmarkStart w:id="563" w:name="_Toc508126160"/>
      <w:bookmarkStart w:id="564" w:name="_Toc508127533"/>
      <w:bookmarkStart w:id="565" w:name="_Toc508127887"/>
      <w:bookmarkStart w:id="566" w:name="_Toc508129659"/>
      <w:r>
        <w:rPr>
          <w:noProof/>
        </w:rPr>
        <w:br w:type="page"/>
      </w:r>
    </w:p>
    <w:p w:rsidR="003E180D" w:rsidRDefault="003E180D" w:rsidP="003E180D">
      <w:pPr>
        <w:pStyle w:val="Heading3"/>
        <w:numPr>
          <w:ilvl w:val="2"/>
          <w:numId w:val="22"/>
        </w:numPr>
        <w:spacing w:before="240" w:after="120"/>
        <w:rPr>
          <w:noProof/>
        </w:rPr>
      </w:pPr>
      <w:bookmarkStart w:id="567" w:name="_Toc510708124"/>
      <w:bookmarkStart w:id="568" w:name="_Toc508181050"/>
      <w:bookmarkStart w:id="569" w:name="_Toc508186643"/>
      <w:bookmarkStart w:id="570" w:name="_Toc514328820"/>
      <w:r>
        <w:rPr>
          <w:noProof/>
        </w:rPr>
        <w:t>Adequacy of VECTO as a simulation tool</w:t>
      </w:r>
      <w:bookmarkEnd w:id="567"/>
      <w:bookmarkEnd w:id="570"/>
    </w:p>
    <w:p w:rsidR="003E180D" w:rsidRDefault="003E180D" w:rsidP="003E180D">
      <w:pPr>
        <w:spacing w:before="240" w:after="120" w:line="240" w:lineRule="auto"/>
        <w:jc w:val="both"/>
        <w:rPr>
          <w:rFonts w:cs="Times New Roman"/>
          <w:noProof/>
          <w:szCs w:val="24"/>
          <w:lang w:eastAsia="en-GB"/>
        </w:rPr>
      </w:pPr>
      <w:r>
        <w:rPr>
          <w:rFonts w:cs="Times New Roman"/>
          <w:noProof/>
          <w:szCs w:val="24"/>
          <w:lang w:eastAsia="en-GB"/>
        </w:rPr>
        <w:t>In order to evaluate the adequacy of the VECTO simulation tool, the Commission carried out a study aimed at assessing to what extent the effect of relevant technologies on CO</w:t>
      </w:r>
      <w:r>
        <w:rPr>
          <w:rFonts w:cs="Times New Roman"/>
          <w:noProof/>
          <w:szCs w:val="24"/>
          <w:vertAlign w:val="subscript"/>
          <w:lang w:eastAsia="en-GB"/>
        </w:rPr>
        <w:t xml:space="preserve">2 </w:t>
      </w:r>
      <w:r>
        <w:rPr>
          <w:rFonts w:cs="Times New Roman"/>
          <w:noProof/>
          <w:szCs w:val="24"/>
          <w:lang w:eastAsia="en-GB"/>
        </w:rPr>
        <w:t>emissions is properly captured by VECTO. The study was performed by JRC in 2016</w:t>
      </w:r>
      <w:r>
        <w:rPr>
          <w:rStyle w:val="FootnoteReference"/>
          <w:rFonts w:cs="Times New Roman"/>
          <w:i/>
          <w:noProof/>
          <w:szCs w:val="24"/>
          <w:lang w:eastAsia="en-GB"/>
        </w:rPr>
        <w:footnoteReference w:id="66"/>
      </w:r>
      <w:r>
        <w:rPr>
          <w:rFonts w:cs="Times New Roman"/>
          <w:noProof/>
          <w:szCs w:val="24"/>
          <w:lang w:eastAsia="en-GB"/>
        </w:rPr>
        <w:t xml:space="preserve">. A number of stakeholders, including HDVs manufacturers and suppliers were consulted.  </w:t>
      </w:r>
    </w:p>
    <w:p w:rsidR="003E180D" w:rsidRDefault="003E180D" w:rsidP="003E180D">
      <w:pPr>
        <w:spacing w:before="240" w:after="120" w:line="240" w:lineRule="auto"/>
        <w:jc w:val="both"/>
        <w:rPr>
          <w:rFonts w:cs="Times New Roman"/>
          <w:i/>
          <w:noProof/>
          <w:szCs w:val="24"/>
          <w:lang w:eastAsia="en-GB"/>
        </w:rPr>
      </w:pPr>
      <w:r>
        <w:rPr>
          <w:rFonts w:cs="Times New Roman"/>
          <w:noProof/>
          <w:szCs w:val="24"/>
          <w:lang w:eastAsia="en-GB"/>
        </w:rPr>
        <w:t xml:space="preserve">The study concludes that </w:t>
      </w:r>
      <w:r>
        <w:rPr>
          <w:rFonts w:cs="Times New Roman"/>
          <w:i/>
          <w:noProof/>
          <w:szCs w:val="24"/>
          <w:lang w:eastAsia="en-GB"/>
        </w:rPr>
        <w:t xml:space="preserve">“… a large part of the technologies under investigation were already sufficiently captured by VECTO tool and the certification methodology.” </w:t>
      </w:r>
      <w:r>
        <w:rPr>
          <w:rFonts w:cs="Times New Roman"/>
          <w:noProof/>
          <w:szCs w:val="24"/>
          <w:lang w:eastAsia="en-GB"/>
        </w:rPr>
        <w:t>and that</w:t>
      </w:r>
      <w:r>
        <w:rPr>
          <w:rFonts w:cs="Times New Roman"/>
          <w:i/>
          <w:noProof/>
          <w:szCs w:val="24"/>
          <w:lang w:eastAsia="en-GB"/>
        </w:rPr>
        <w:t xml:space="preserve"> “… VECTO has achieved …a good level of maturity” </w:t>
      </w:r>
    </w:p>
    <w:p w:rsidR="003E180D" w:rsidRDefault="003E180D" w:rsidP="003E180D">
      <w:pPr>
        <w:spacing w:before="240" w:after="120" w:line="240" w:lineRule="auto"/>
        <w:jc w:val="both"/>
        <w:rPr>
          <w:rFonts w:cs="Times New Roman"/>
          <w:noProof/>
          <w:szCs w:val="24"/>
          <w:lang w:eastAsia="en-GB"/>
        </w:rPr>
      </w:pPr>
      <w:r>
        <w:rPr>
          <w:rFonts w:cs="Times New Roman"/>
          <w:noProof/>
          <w:szCs w:val="24"/>
          <w:lang w:eastAsia="en-GB"/>
        </w:rPr>
        <w:t xml:space="preserve">The study also identified some new technologies that are likely to enter into the market in the next couple of years will require additional work to further develop VECTO with software developments. </w:t>
      </w:r>
    </w:p>
    <w:p w:rsidR="003E180D" w:rsidRDefault="003E180D" w:rsidP="003E180D">
      <w:pPr>
        <w:spacing w:before="240" w:after="120" w:line="240" w:lineRule="auto"/>
        <w:jc w:val="both"/>
        <w:rPr>
          <w:rFonts w:cs="Times New Roman"/>
          <w:noProof/>
          <w:szCs w:val="24"/>
          <w:lang w:eastAsia="en-GB"/>
        </w:rPr>
      </w:pPr>
      <w:r>
        <w:rPr>
          <w:rFonts w:cs="Times New Roman"/>
          <w:noProof/>
          <w:szCs w:val="24"/>
          <w:lang w:eastAsia="en-GB"/>
        </w:rPr>
        <w:t xml:space="preserve">Such new technologies include Advanced Driver Assist Systems (ADAS), Platooning, Waste Heat Recovery (WHR), hybrids, Electric turbocharger, Air Conditioning efficiency and refrigerant, Active flow systems, Trailer aerodynamic improvements, Dual Clutch Transmission and Neutral idle. </w:t>
      </w:r>
    </w:p>
    <w:p w:rsidR="003E180D" w:rsidRDefault="003E180D" w:rsidP="003E180D">
      <w:pPr>
        <w:spacing w:before="240" w:after="120" w:line="240" w:lineRule="auto"/>
        <w:jc w:val="both"/>
        <w:rPr>
          <w:rFonts w:cs="Times New Roman"/>
          <w:noProof/>
          <w:szCs w:val="24"/>
          <w:lang w:eastAsia="en-GB"/>
        </w:rPr>
      </w:pPr>
      <w:r>
        <w:rPr>
          <w:rFonts w:cs="Times New Roman"/>
          <w:noProof/>
          <w:szCs w:val="24"/>
          <w:lang w:eastAsia="en-GB"/>
        </w:rPr>
        <w:t>Most of the above mentioned technologies have been already considered in the future development plan of VECTO and will be addressed soon. Additional and detailed technical input from the stakeholders will be required as most of those technologies have not entered into the market yet.</w:t>
      </w:r>
    </w:p>
    <w:p w:rsidR="003E180D" w:rsidRDefault="003E180D" w:rsidP="003E180D">
      <w:pPr>
        <w:spacing w:before="240" w:after="120" w:line="240" w:lineRule="auto"/>
        <w:jc w:val="both"/>
        <w:rPr>
          <w:rFonts w:cs="Times New Roman"/>
          <w:noProof/>
          <w:szCs w:val="24"/>
          <w:lang w:eastAsia="en-GB"/>
        </w:rPr>
      </w:pPr>
      <w:r>
        <w:rPr>
          <w:rFonts w:cs="Times New Roman"/>
          <w:noProof/>
          <w:szCs w:val="24"/>
          <w:lang w:eastAsia="en-GB"/>
        </w:rPr>
        <w:t>Figure 11 presents an overview of the degree by which VECTO captures the different technology categories in 2016. These categories includes:</w:t>
      </w:r>
    </w:p>
    <w:p w:rsidR="003E180D" w:rsidRDefault="003E180D" w:rsidP="003E180D">
      <w:pPr>
        <w:pStyle w:val="ListParagraph"/>
        <w:numPr>
          <w:ilvl w:val="0"/>
          <w:numId w:val="24"/>
        </w:numPr>
        <w:spacing w:before="240" w:after="120" w:line="240" w:lineRule="auto"/>
        <w:jc w:val="both"/>
        <w:rPr>
          <w:rFonts w:cs="Times New Roman"/>
          <w:noProof/>
          <w:szCs w:val="24"/>
          <w:lang w:eastAsia="en-GB"/>
        </w:rPr>
      </w:pPr>
      <w:r>
        <w:rPr>
          <w:rFonts w:cs="Times New Roman"/>
          <w:noProof/>
          <w:szCs w:val="24"/>
          <w:lang w:eastAsia="en-GB"/>
        </w:rPr>
        <w:t>existing technologies which are already simulated accurately as indicated above</w:t>
      </w:r>
    </w:p>
    <w:p w:rsidR="003E180D" w:rsidRDefault="003E180D" w:rsidP="003E180D">
      <w:pPr>
        <w:pStyle w:val="ListParagraph"/>
        <w:numPr>
          <w:ilvl w:val="0"/>
          <w:numId w:val="24"/>
        </w:numPr>
        <w:spacing w:before="240" w:after="120" w:line="240" w:lineRule="auto"/>
        <w:jc w:val="both"/>
        <w:rPr>
          <w:rFonts w:cs="Times New Roman"/>
          <w:noProof/>
          <w:szCs w:val="24"/>
          <w:lang w:eastAsia="en-GB"/>
        </w:rPr>
      </w:pPr>
      <w:r>
        <w:rPr>
          <w:rFonts w:cs="Times New Roman"/>
          <w:noProof/>
          <w:szCs w:val="24"/>
          <w:lang w:eastAsia="en-GB"/>
        </w:rPr>
        <w:t>new technologies for which further development in VECTO is required</w:t>
      </w:r>
    </w:p>
    <w:p w:rsidR="003E180D" w:rsidRDefault="003E180D" w:rsidP="003E180D">
      <w:pPr>
        <w:spacing w:before="240" w:after="120" w:line="240" w:lineRule="auto"/>
        <w:ind w:left="58"/>
        <w:jc w:val="both"/>
        <w:rPr>
          <w:rFonts w:cs="Times New Roman"/>
          <w:noProof/>
          <w:szCs w:val="24"/>
          <w:lang w:eastAsia="en-GB"/>
        </w:rPr>
      </w:pPr>
      <w:r>
        <w:rPr>
          <w:rFonts w:cs="Times New Roman"/>
          <w:noProof/>
          <w:szCs w:val="24"/>
          <w:lang w:eastAsia="en-GB"/>
        </w:rPr>
        <w:t xml:space="preserve">Further information on the development </w:t>
      </w:r>
      <w:r>
        <w:rPr>
          <w:noProof/>
          <w:lang w:eastAsia="en-GB"/>
        </w:rPr>
        <w:t>plans of VECTO is provided in the next section</w:t>
      </w:r>
      <w:r>
        <w:rPr>
          <w:rFonts w:cs="Times New Roman"/>
          <w:noProof/>
          <w:szCs w:val="24"/>
          <w:lang w:eastAsia="en-GB"/>
        </w:rPr>
        <w:t>.</w:t>
      </w:r>
    </w:p>
    <w:p w:rsidR="003E180D" w:rsidRDefault="003E180D" w:rsidP="003E180D">
      <w:pPr>
        <w:spacing w:before="240" w:after="120" w:line="240" w:lineRule="auto"/>
        <w:jc w:val="both"/>
        <w:rPr>
          <w:rFonts w:cs="Times New Roman"/>
          <w:i/>
          <w:noProof/>
          <w:szCs w:val="24"/>
          <w:lang w:eastAsia="en-GB"/>
        </w:rPr>
      </w:pPr>
    </w:p>
    <w:p w:rsidR="003E180D" w:rsidRDefault="003E180D" w:rsidP="003E180D">
      <w:pPr>
        <w:rPr>
          <w:rFonts w:cs="Times New Roman"/>
          <w:b/>
          <w:bCs/>
          <w:noProof/>
          <w:szCs w:val="24"/>
          <w:lang w:eastAsia="en-GB"/>
        </w:rPr>
      </w:pPr>
      <w:r>
        <w:rPr>
          <w:noProof/>
          <w:szCs w:val="24"/>
          <w:lang w:eastAsia="en-GB"/>
        </w:rPr>
        <w:br w:type="page"/>
      </w:r>
    </w:p>
    <w:p w:rsidR="003E180D" w:rsidRDefault="003E180D" w:rsidP="003E180D">
      <w:pPr>
        <w:pStyle w:val="Caption"/>
        <w:rPr>
          <w:noProof/>
          <w:lang w:eastAsia="en-GB"/>
        </w:rPr>
      </w:pPr>
      <w:r>
        <w:rPr>
          <w:noProof/>
          <w:lang w:eastAsia="en-GB"/>
        </w:rPr>
        <w:t xml:space="preserve">Figure </w:t>
      </w:r>
      <w:r>
        <w:rPr>
          <w:noProof/>
          <w:lang w:eastAsia="en-GB"/>
        </w:rPr>
        <w:fldChar w:fldCharType="begin"/>
      </w:r>
      <w:r>
        <w:rPr>
          <w:noProof/>
          <w:lang w:eastAsia="en-GB"/>
        </w:rPr>
        <w:instrText xml:space="preserve"> SEQ Figure \* ARABIC </w:instrText>
      </w:r>
      <w:r>
        <w:rPr>
          <w:noProof/>
          <w:lang w:eastAsia="en-GB"/>
        </w:rPr>
        <w:fldChar w:fldCharType="separate"/>
      </w:r>
      <w:r>
        <w:rPr>
          <w:noProof/>
          <w:lang w:eastAsia="en-GB"/>
        </w:rPr>
        <w:t>11</w:t>
      </w:r>
      <w:r>
        <w:rPr>
          <w:noProof/>
          <w:lang w:eastAsia="en-GB"/>
        </w:rPr>
        <w:fldChar w:fldCharType="end"/>
      </w:r>
      <w:r>
        <w:rPr>
          <w:noProof/>
          <w:lang w:eastAsia="en-GB"/>
        </w:rPr>
        <w:t>: Results of survey – views of respondents on level of simulation of different existing and new technologies in VECTO (2016)</w:t>
      </w:r>
      <w:r>
        <w:rPr>
          <w:rStyle w:val="FootnoteReference"/>
          <w:i/>
          <w:noProof/>
          <w:lang w:eastAsia="en-GB"/>
        </w:rPr>
        <w:t xml:space="preserve"> </w:t>
      </w:r>
      <w:r>
        <w:rPr>
          <w:rStyle w:val="FootnoteReference"/>
          <w:i/>
          <w:noProof/>
          <w:lang w:eastAsia="en-GB"/>
        </w:rPr>
        <w:footnoteReference w:id="67"/>
      </w:r>
    </w:p>
    <w:p w:rsidR="003E180D" w:rsidRDefault="003E180D" w:rsidP="003E180D">
      <w:pPr>
        <w:spacing w:before="240" w:after="120" w:line="240" w:lineRule="auto"/>
        <w:jc w:val="both"/>
        <w:rPr>
          <w:rFonts w:cs="Times New Roman"/>
          <w:i/>
          <w:noProof/>
          <w:szCs w:val="24"/>
          <w:lang w:eastAsia="en-GB"/>
        </w:rPr>
      </w:pPr>
    </w:p>
    <w:p w:rsidR="003E180D" w:rsidRDefault="003E180D" w:rsidP="003E180D">
      <w:pPr>
        <w:rPr>
          <w:noProof/>
        </w:rPr>
      </w:pPr>
      <w:r>
        <w:rPr>
          <w:noProof/>
          <w:lang w:eastAsia="en-GB"/>
        </w:rPr>
        <w:drawing>
          <wp:inline distT="0" distB="0" distL="0" distR="0" wp14:anchorId="4B2D2B5A" wp14:editId="1EE502F3">
            <wp:extent cx="5467350" cy="2924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67350" cy="2924175"/>
                    </a:xfrm>
                    <a:prstGeom prst="rect">
                      <a:avLst/>
                    </a:prstGeom>
                    <a:noFill/>
                    <a:ln>
                      <a:noFill/>
                    </a:ln>
                  </pic:spPr>
                </pic:pic>
              </a:graphicData>
            </a:graphic>
          </wp:inline>
        </w:drawing>
      </w:r>
    </w:p>
    <w:p w:rsidR="003E180D" w:rsidRDefault="003E180D" w:rsidP="003E180D">
      <w:pPr>
        <w:rPr>
          <w:noProof/>
        </w:rPr>
      </w:pPr>
      <w:r>
        <w:rPr>
          <w:noProof/>
          <w:lang w:eastAsia="en-GB"/>
        </w:rPr>
        <w:drawing>
          <wp:inline distT="0" distB="0" distL="0" distR="0" wp14:anchorId="52AEE34B" wp14:editId="1A5284DF">
            <wp:extent cx="5467350" cy="1285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67350" cy="1285875"/>
                    </a:xfrm>
                    <a:prstGeom prst="rect">
                      <a:avLst/>
                    </a:prstGeom>
                    <a:noFill/>
                    <a:ln>
                      <a:noFill/>
                    </a:ln>
                  </pic:spPr>
                </pic:pic>
              </a:graphicData>
            </a:graphic>
          </wp:inline>
        </w:drawing>
      </w:r>
    </w:p>
    <w:p w:rsidR="003E180D" w:rsidRDefault="003E180D" w:rsidP="003E180D">
      <w:pPr>
        <w:pStyle w:val="Heading3"/>
        <w:numPr>
          <w:ilvl w:val="2"/>
          <w:numId w:val="22"/>
        </w:numPr>
        <w:spacing w:before="240" w:after="120"/>
        <w:rPr>
          <w:noProof/>
        </w:rPr>
      </w:pPr>
      <w:bookmarkStart w:id="571" w:name="_Ref510620174"/>
      <w:bookmarkStart w:id="572" w:name="_Toc510708125"/>
      <w:bookmarkStart w:id="573" w:name="_Toc514328821"/>
      <w:r>
        <w:rPr>
          <w:noProof/>
        </w:rPr>
        <w:t>Future development steps of the VECTO tool</w:t>
      </w:r>
      <w:bookmarkEnd w:id="557"/>
      <w:bookmarkEnd w:id="558"/>
      <w:bookmarkEnd w:id="559"/>
      <w:bookmarkEnd w:id="560"/>
      <w:bookmarkEnd w:id="561"/>
      <w:bookmarkEnd w:id="562"/>
      <w:bookmarkEnd w:id="563"/>
      <w:bookmarkEnd w:id="564"/>
      <w:bookmarkEnd w:id="565"/>
      <w:bookmarkEnd w:id="566"/>
      <w:bookmarkEnd w:id="568"/>
      <w:bookmarkEnd w:id="569"/>
      <w:bookmarkEnd w:id="571"/>
      <w:bookmarkEnd w:id="572"/>
      <w:bookmarkEnd w:id="573"/>
    </w:p>
    <w:p w:rsidR="003E180D" w:rsidRDefault="003E180D" w:rsidP="003E180D">
      <w:pPr>
        <w:pStyle w:val="ListBullet"/>
        <w:tabs>
          <w:tab w:val="clear" w:pos="283"/>
        </w:tabs>
        <w:spacing w:after="120"/>
        <w:ind w:left="0" w:firstLine="0"/>
        <w:rPr>
          <w:noProof/>
        </w:rPr>
      </w:pPr>
      <w:r>
        <w:rPr>
          <w:noProof/>
          <w:szCs w:val="24"/>
        </w:rPr>
        <w:t xml:space="preserve">At this stage, VECTO can simulate only lorries above 7.5 tonnes. </w:t>
      </w:r>
    </w:p>
    <w:p w:rsidR="003E180D" w:rsidRDefault="003E180D" w:rsidP="003E180D">
      <w:pPr>
        <w:spacing w:after="120" w:line="240" w:lineRule="auto"/>
        <w:jc w:val="both"/>
        <w:rPr>
          <w:noProof/>
        </w:rPr>
      </w:pPr>
      <w:r>
        <w:rPr>
          <w:noProof/>
        </w:rPr>
        <w:t xml:space="preserve">The VECTO tool will have to be extended to other categories of HDVs (e.g. city and inter-city buses, municipal utility lorries, service and urban delivery lorries, construction lorries). Moreover, a platform or dedicated webpage that VECTO will be hosted has to be created. </w:t>
      </w:r>
    </w:p>
    <w:p w:rsidR="003E180D" w:rsidRDefault="003E180D" w:rsidP="003E180D">
      <w:pPr>
        <w:spacing w:after="120" w:line="240" w:lineRule="auto"/>
        <w:jc w:val="both"/>
        <w:rPr>
          <w:noProof/>
        </w:rPr>
      </w:pPr>
      <w:r>
        <w:rPr>
          <w:noProof/>
        </w:rPr>
        <w:t>The next phase of development of the VECTO tool, which will take place in the period 2020 - 2021 is thus expected to include:</w:t>
      </w:r>
    </w:p>
    <w:p w:rsidR="003E180D" w:rsidRDefault="003E180D" w:rsidP="003E180D">
      <w:pPr>
        <w:spacing w:after="0" w:line="240" w:lineRule="auto"/>
        <w:ind w:left="426" w:hanging="426"/>
        <w:jc w:val="both"/>
        <w:rPr>
          <w:noProof/>
        </w:rPr>
      </w:pPr>
      <w:r>
        <w:rPr>
          <w:noProof/>
        </w:rPr>
        <w:t>­</w:t>
      </w:r>
      <w:r>
        <w:rPr>
          <w:noProof/>
        </w:rPr>
        <w:tab/>
        <w:t>the further development and finalisation of VECTO to cover other categories of HDVs such as city-buses, coaches and small lorries – planned implementation 2020</w:t>
      </w:r>
    </w:p>
    <w:p w:rsidR="003E180D" w:rsidRDefault="003E180D" w:rsidP="003E180D">
      <w:pPr>
        <w:spacing w:after="0" w:line="240" w:lineRule="auto"/>
        <w:ind w:left="426" w:hanging="426"/>
        <w:jc w:val="both"/>
        <w:rPr>
          <w:noProof/>
        </w:rPr>
      </w:pPr>
      <w:r>
        <w:rPr>
          <w:noProof/>
        </w:rPr>
        <w:t>­</w:t>
      </w:r>
      <w:r>
        <w:rPr>
          <w:noProof/>
        </w:rPr>
        <w:tab/>
        <w:t>a dedicated webpage where the tool will be hosted; VECTO will be a downloadable executable file that will be uploaded on this page and will be available for all public users (universities, research institutes, independents etc</w:t>
      </w:r>
      <w:r>
        <w:rPr>
          <w:rFonts w:cs="Times New Roman"/>
          <w:noProof/>
          <w:szCs w:val="24"/>
        </w:rPr>
        <w:t>.).</w:t>
      </w:r>
      <w:r>
        <w:rPr>
          <w:noProof/>
        </w:rPr>
        <w:t xml:space="preserve"> A detailed and regularly updated FAQ doc will be also uploaded on the same webpage for reference use</w:t>
      </w:r>
      <w:r>
        <w:rPr>
          <w:rFonts w:cs="Times New Roman"/>
          <w:noProof/>
          <w:szCs w:val="24"/>
        </w:rPr>
        <w:t>;</w:t>
      </w:r>
    </w:p>
    <w:p w:rsidR="003E180D" w:rsidRDefault="003E180D" w:rsidP="003E180D">
      <w:pPr>
        <w:spacing w:after="0" w:line="240" w:lineRule="auto"/>
        <w:ind w:left="426" w:hanging="426"/>
        <w:jc w:val="both"/>
        <w:rPr>
          <w:noProof/>
        </w:rPr>
      </w:pPr>
    </w:p>
    <w:p w:rsidR="003E180D" w:rsidRDefault="003E180D" w:rsidP="003E180D">
      <w:pPr>
        <w:spacing w:after="120" w:line="240" w:lineRule="auto"/>
        <w:ind w:left="426" w:hanging="426"/>
        <w:jc w:val="both"/>
        <w:rPr>
          <w:noProof/>
        </w:rPr>
      </w:pPr>
      <w:r>
        <w:rPr>
          <w:noProof/>
        </w:rPr>
        <w:t>-</w:t>
      </w:r>
      <w:r>
        <w:rPr>
          <w:noProof/>
        </w:rPr>
        <w:tab/>
        <w:t>certain types of drivetrains (i.e. Hybrids) will be included in VECTO in 2021;</w:t>
      </w:r>
    </w:p>
    <w:p w:rsidR="003E180D" w:rsidRDefault="003E180D" w:rsidP="003E180D">
      <w:pPr>
        <w:spacing w:after="120" w:line="240" w:lineRule="auto"/>
        <w:ind w:left="426" w:hanging="426"/>
        <w:jc w:val="both"/>
        <w:rPr>
          <w:noProof/>
        </w:rPr>
      </w:pPr>
      <w:r>
        <w:rPr>
          <w:noProof/>
        </w:rPr>
        <w:t>- specific modern technologies, identified by the 2016 JRC study as “not-simulated” in VECTO, such as Advanced Driver Assist Systems (ADAS), Waste Heat Recovery (WHR), Eco-features, gear shifting strategy etc</w:t>
      </w:r>
      <w:r>
        <w:rPr>
          <w:rFonts w:cs="Times New Roman"/>
          <w:noProof/>
          <w:szCs w:val="24"/>
        </w:rPr>
        <w:t xml:space="preserve">. </w:t>
      </w:r>
      <w:r>
        <w:rPr>
          <w:noProof/>
        </w:rPr>
        <w:t>will be addressed in VECTO by 2020;</w:t>
      </w:r>
    </w:p>
    <w:p w:rsidR="003E180D" w:rsidRDefault="003E180D" w:rsidP="003E180D">
      <w:pPr>
        <w:spacing w:after="120" w:line="240" w:lineRule="auto"/>
        <w:ind w:left="426" w:hanging="426"/>
        <w:jc w:val="both"/>
        <w:rPr>
          <w:noProof/>
        </w:rPr>
      </w:pPr>
      <w:r>
        <w:rPr>
          <w:noProof/>
        </w:rPr>
        <w:t>-</w:t>
      </w:r>
      <w:r>
        <w:rPr>
          <w:noProof/>
        </w:rPr>
        <w:tab/>
        <w:t>new gear shift strategies for various types of transmissions and mission profiles for M2 and N2 vehicles will be also elaborated;</w:t>
      </w:r>
    </w:p>
    <w:p w:rsidR="003E180D" w:rsidRDefault="003E180D" w:rsidP="003E180D">
      <w:pPr>
        <w:spacing w:after="120" w:line="240" w:lineRule="auto"/>
        <w:ind w:left="426" w:hanging="426"/>
        <w:jc w:val="both"/>
        <w:rPr>
          <w:noProof/>
        </w:rPr>
      </w:pPr>
      <w:r>
        <w:rPr>
          <w:noProof/>
        </w:rPr>
        <w:t>-</w:t>
      </w:r>
      <w:r>
        <w:rPr>
          <w:noProof/>
        </w:rPr>
        <w:tab/>
        <w:t>review of updates cycles and implementation into VECTO for "Urban delivery" and "Construction" cycles;</w:t>
      </w:r>
    </w:p>
    <w:p w:rsidR="003E180D" w:rsidRDefault="003E180D" w:rsidP="003E180D">
      <w:pPr>
        <w:spacing w:after="120" w:line="240" w:lineRule="auto"/>
        <w:ind w:left="426" w:hanging="426"/>
        <w:jc w:val="both"/>
        <w:rPr>
          <w:noProof/>
        </w:rPr>
      </w:pPr>
      <w:r>
        <w:rPr>
          <w:noProof/>
        </w:rPr>
        <w:tab/>
        <w:t>applications where both diesel and gas are used as fuels at the same time in different relative shares (dual-fuelled engines) will be taken into account in VECTO</w:t>
      </w:r>
      <w:r>
        <w:rPr>
          <w:rFonts w:cs="Times New Roman"/>
          <w:noProof/>
          <w:szCs w:val="24"/>
        </w:rPr>
        <w:t>;</w:t>
      </w:r>
    </w:p>
    <w:p w:rsidR="003E180D" w:rsidRDefault="003E180D" w:rsidP="003E180D">
      <w:pPr>
        <w:spacing w:after="120" w:line="240" w:lineRule="auto"/>
        <w:ind w:left="426" w:hanging="426"/>
        <w:jc w:val="both"/>
        <w:rPr>
          <w:noProof/>
        </w:rPr>
      </w:pPr>
      <w:r>
        <w:rPr>
          <w:noProof/>
        </w:rPr>
        <w:t>-</w:t>
      </w:r>
      <w:r>
        <w:rPr>
          <w:noProof/>
        </w:rPr>
        <w:tab/>
        <w:t>update continuously the tyre dimensions table within the tool so any dimensions sold in the future is covered by the list;</w:t>
      </w:r>
    </w:p>
    <w:p w:rsidR="003E180D" w:rsidRDefault="003E180D" w:rsidP="003E180D">
      <w:pPr>
        <w:spacing w:after="120" w:line="240" w:lineRule="auto"/>
        <w:ind w:left="426" w:hanging="426"/>
        <w:jc w:val="both"/>
        <w:rPr>
          <w:noProof/>
        </w:rPr>
      </w:pPr>
      <w:r>
        <w:rPr>
          <w:noProof/>
        </w:rPr>
        <w:t>­</w:t>
      </w:r>
      <w:r>
        <w:rPr>
          <w:noProof/>
        </w:rPr>
        <w:tab/>
        <w:t>and the adaptation of the required documentation of the certification/registration process for all relevant categories of vehicles.</w:t>
      </w:r>
    </w:p>
    <w:p w:rsidR="003E180D" w:rsidRDefault="003E180D" w:rsidP="003E180D">
      <w:pPr>
        <w:pStyle w:val="Heading2"/>
        <w:numPr>
          <w:ilvl w:val="1"/>
          <w:numId w:val="22"/>
        </w:numPr>
        <w:spacing w:before="240" w:after="240"/>
        <w:rPr>
          <w:noProof/>
        </w:rPr>
      </w:pPr>
      <w:bookmarkStart w:id="574" w:name="_Toc508124796"/>
      <w:bookmarkStart w:id="575" w:name="_Toc508126161"/>
      <w:bookmarkStart w:id="576" w:name="_Toc508127534"/>
      <w:bookmarkStart w:id="577" w:name="_Ref508127711"/>
      <w:bookmarkStart w:id="578" w:name="_Toc508127888"/>
      <w:bookmarkStart w:id="579" w:name="_Toc508129660"/>
      <w:bookmarkStart w:id="580" w:name="_Toc508181051"/>
      <w:bookmarkStart w:id="581" w:name="_Toc508186644"/>
      <w:bookmarkStart w:id="582" w:name="_Toc510708126"/>
      <w:bookmarkStart w:id="583" w:name="_Toc514328822"/>
      <w:r>
        <w:rPr>
          <w:noProof/>
        </w:rPr>
        <w:t>Certification Regulation</w:t>
      </w:r>
      <w:bookmarkEnd w:id="574"/>
      <w:bookmarkEnd w:id="575"/>
      <w:bookmarkEnd w:id="576"/>
      <w:bookmarkEnd w:id="577"/>
      <w:bookmarkEnd w:id="578"/>
      <w:bookmarkEnd w:id="579"/>
      <w:bookmarkEnd w:id="580"/>
      <w:bookmarkEnd w:id="581"/>
      <w:bookmarkEnd w:id="582"/>
      <w:bookmarkEnd w:id="583"/>
      <w:r>
        <w:rPr>
          <w:noProof/>
        </w:rPr>
        <w:t xml:space="preserve"> </w:t>
      </w:r>
    </w:p>
    <w:p w:rsidR="003E180D" w:rsidRDefault="003E180D" w:rsidP="003E180D">
      <w:pPr>
        <w:spacing w:after="120" w:line="240" w:lineRule="auto"/>
        <w:jc w:val="both"/>
        <w:rPr>
          <w:rFonts w:eastAsia="Times New Roman" w:cs="Times New Roman"/>
          <w:noProof/>
          <w:szCs w:val="20"/>
        </w:rPr>
      </w:pPr>
      <w:r>
        <w:rPr>
          <w:rFonts w:eastAsia="Times New Roman" w:cs="Times New Roman"/>
          <w:noProof/>
          <w:szCs w:val="20"/>
        </w:rPr>
        <w:t>By allowing the calculation of the CO</w:t>
      </w:r>
      <w:r>
        <w:rPr>
          <w:rFonts w:eastAsia="Times New Roman" w:cs="Times New Roman"/>
          <w:noProof/>
          <w:szCs w:val="20"/>
          <w:vertAlign w:val="subscript"/>
        </w:rPr>
        <w:t>2</w:t>
      </w:r>
      <w:r>
        <w:rPr>
          <w:rFonts w:eastAsia="Times New Roman" w:cs="Times New Roman"/>
          <w:noProof/>
          <w:szCs w:val="20"/>
        </w:rPr>
        <w:t xml:space="preserve"> emissions and fuel consumption of heavy-duty vehicles in a comparable way, VECTO has laid the ground for a certification methodology for those parameters, as part of the type approval of new heavy-duty vehicles before they are placed on the EU market. This methodology is used instead of the testing on a chassis dynamometer carried out for light-duty vehicles as such an approach is not possible for HDVs due to the numerous types and configurations of vehicles. </w:t>
      </w:r>
    </w:p>
    <w:p w:rsidR="003E180D" w:rsidRDefault="003E180D" w:rsidP="003E180D">
      <w:pPr>
        <w:spacing w:after="120" w:line="240" w:lineRule="auto"/>
        <w:jc w:val="both"/>
        <w:rPr>
          <w:rFonts w:eastAsia="Times New Roman" w:cs="Times New Roman"/>
          <w:noProof/>
          <w:szCs w:val="20"/>
        </w:rPr>
      </w:pPr>
      <w:r>
        <w:rPr>
          <w:rFonts w:eastAsia="Times New Roman" w:cs="Times New Roman"/>
          <w:noProof/>
          <w:szCs w:val="20"/>
        </w:rPr>
        <w:t>According to the new Certification Regulation</w:t>
      </w:r>
      <w:r>
        <w:rPr>
          <w:rFonts w:eastAsia="Times New Roman" w:cs="Times New Roman"/>
          <w:noProof/>
          <w:szCs w:val="20"/>
          <w:vertAlign w:val="superscript"/>
        </w:rPr>
        <w:footnoteReference w:id="68"/>
      </w:r>
      <w:r>
        <w:rPr>
          <w:rFonts w:eastAsia="Times New Roman" w:cs="Times New Roman"/>
          <w:noProof/>
          <w:szCs w:val="20"/>
        </w:rPr>
        <w:t>, which is an implementing act of the existing type approval legislation</w:t>
      </w:r>
      <w:r>
        <w:rPr>
          <w:rFonts w:eastAsia="Times New Roman" w:cs="Times New Roman"/>
          <w:noProof/>
          <w:szCs w:val="20"/>
          <w:vertAlign w:val="superscript"/>
        </w:rPr>
        <w:footnoteReference w:id="69"/>
      </w:r>
      <w:r>
        <w:rPr>
          <w:rFonts w:eastAsia="Times New Roman" w:cs="Times New Roman"/>
          <w:noProof/>
          <w:szCs w:val="20"/>
        </w:rPr>
        <w:t>, each heavy-duty vehicle within the groups covered that is to be placed on the EU market, will need to be simulated with VECTO in order to determine of its CO</w:t>
      </w:r>
      <w:r>
        <w:rPr>
          <w:rFonts w:eastAsia="Times New Roman" w:cs="Times New Roman"/>
          <w:noProof/>
          <w:szCs w:val="20"/>
          <w:vertAlign w:val="subscript"/>
        </w:rPr>
        <w:t>2</w:t>
      </w:r>
      <w:r>
        <w:rPr>
          <w:rFonts w:eastAsia="Times New Roman" w:cs="Times New Roman"/>
          <w:noProof/>
          <w:szCs w:val="20"/>
        </w:rPr>
        <w:t xml:space="preserve"> emissions and fuel consumption. Vehicle manufacturers themselves will perform the simulation on the basis of certified input data of all different vehicle components and of a certified process of sourcing, managing and applying such input data. </w:t>
      </w:r>
    </w:p>
    <w:p w:rsidR="003E180D" w:rsidRDefault="003E180D" w:rsidP="003E180D">
      <w:pPr>
        <w:spacing w:after="120" w:line="240" w:lineRule="auto"/>
        <w:jc w:val="both"/>
        <w:rPr>
          <w:rFonts w:eastAsia="Times New Roman" w:cs="Times New Roman"/>
          <w:noProof/>
          <w:szCs w:val="24"/>
        </w:rPr>
      </w:pPr>
      <w:r>
        <w:rPr>
          <w:rFonts w:eastAsia="Times New Roman" w:cs="Times New Roman"/>
          <w:noProof/>
          <w:szCs w:val="24"/>
        </w:rPr>
        <w:t>For the purpose of the Certification Regulation, lorries have been divided into 18 vehicle groups (groups 0 to 17)</w:t>
      </w:r>
      <w:r>
        <w:rPr>
          <w:rFonts w:eastAsia="Times New Roman" w:cs="Times New Roman"/>
          <w:noProof/>
          <w:szCs w:val="24"/>
          <w:vertAlign w:val="superscript"/>
        </w:rPr>
        <w:footnoteReference w:id="70"/>
      </w:r>
      <w:r>
        <w:rPr>
          <w:rFonts w:eastAsia="Times New Roman" w:cs="Times New Roman"/>
          <w:noProof/>
          <w:szCs w:val="24"/>
        </w:rPr>
        <w:t xml:space="preserve"> depending on their axle configuration (4x</w:t>
      </w:r>
      <w:r>
        <w:rPr>
          <w:rFonts w:cs="Times New Roman"/>
          <w:noProof/>
          <w:szCs w:val="24"/>
        </w:rPr>
        <w:t>2</w:t>
      </w:r>
      <w:r>
        <w:rPr>
          <w:rFonts w:eastAsia="Times New Roman" w:cs="Times New Roman"/>
          <w:noProof/>
          <w:szCs w:val="24"/>
        </w:rPr>
        <w:t>, 6x</w:t>
      </w:r>
      <w:r>
        <w:rPr>
          <w:rFonts w:cs="Times New Roman"/>
          <w:noProof/>
          <w:szCs w:val="24"/>
        </w:rPr>
        <w:t>2</w:t>
      </w:r>
      <w:r>
        <w:rPr>
          <w:rFonts w:eastAsia="Times New Roman" w:cs="Times New Roman"/>
          <w:noProof/>
          <w:szCs w:val="24"/>
        </w:rPr>
        <w:t>, 8x</w:t>
      </w:r>
      <w:r>
        <w:rPr>
          <w:rFonts w:cs="Times New Roman"/>
          <w:noProof/>
          <w:szCs w:val="24"/>
        </w:rPr>
        <w:t>2</w:t>
      </w:r>
      <w:r>
        <w:rPr>
          <w:rFonts w:eastAsia="Times New Roman" w:cs="Times New Roman"/>
          <w:noProof/>
          <w:szCs w:val="24"/>
        </w:rPr>
        <w:t xml:space="preserve"> etc.)</w:t>
      </w:r>
      <w:r>
        <w:rPr>
          <w:rFonts w:eastAsia="Times New Roman" w:cs="Times New Roman"/>
          <w:noProof/>
          <w:szCs w:val="24"/>
          <w:vertAlign w:val="superscript"/>
        </w:rPr>
        <w:footnoteReference w:id="71"/>
      </w:r>
      <w:r>
        <w:rPr>
          <w:rFonts w:eastAsia="Times New Roman" w:cs="Times New Roman"/>
          <w:noProof/>
          <w:szCs w:val="24"/>
        </w:rPr>
        <w:t>, chassis configuration (rigid or tractor) and technically permissible maximum laden mass, also called gross vehicle weight (GVW).</w:t>
      </w:r>
      <w:r>
        <w:rPr>
          <w:rFonts w:eastAsia="Times New Roman" w:cs="Times New Roman"/>
          <w:noProof/>
          <w:szCs w:val="24"/>
          <w:vertAlign w:val="superscript"/>
        </w:rPr>
        <w:footnoteReference w:id="72"/>
      </w:r>
      <w:r>
        <w:rPr>
          <w:rFonts w:eastAsia="Times New Roman" w:cs="Times New Roman"/>
          <w:noProof/>
          <w:szCs w:val="24"/>
        </w:rPr>
        <w:t xml:space="preserve"> </w:t>
      </w:r>
    </w:p>
    <w:p w:rsidR="003E180D" w:rsidRDefault="003E180D" w:rsidP="003E180D">
      <w:pPr>
        <w:spacing w:after="120" w:line="240" w:lineRule="auto"/>
        <w:jc w:val="both"/>
        <w:rPr>
          <w:rFonts w:eastAsia="Times New Roman" w:cs="Times New Roman"/>
          <w:noProof/>
          <w:szCs w:val="24"/>
        </w:rPr>
      </w:pPr>
      <w:r>
        <w:rPr>
          <w:rFonts w:eastAsia="Times New Roman" w:cs="Times New Roman"/>
          <w:noProof/>
          <w:szCs w:val="24"/>
        </w:rPr>
        <w:t>The 18 vehicle groups are attributed five different mission profiles according to their specific use – Long Haul, Regional Delivery, Urban Delivery, Municipal Utility and Construction.</w:t>
      </w:r>
    </w:p>
    <w:p w:rsidR="003E180D" w:rsidRDefault="003E180D" w:rsidP="003E180D">
      <w:pPr>
        <w:spacing w:after="120" w:line="240" w:lineRule="auto"/>
        <w:jc w:val="both"/>
        <w:rPr>
          <w:rFonts w:eastAsia="Times New Roman" w:cs="Times New Roman"/>
          <w:noProof/>
          <w:szCs w:val="24"/>
        </w:rPr>
      </w:pPr>
      <w:r>
        <w:rPr>
          <w:rFonts w:eastAsia="Times New Roman" w:cs="Times New Roman"/>
          <w:noProof/>
          <w:szCs w:val="24"/>
        </w:rPr>
        <w:t>The Certification Regulation applies to:</w:t>
      </w:r>
    </w:p>
    <w:p w:rsidR="003E180D" w:rsidRDefault="003E180D" w:rsidP="003E180D">
      <w:pPr>
        <w:numPr>
          <w:ilvl w:val="0"/>
          <w:numId w:val="3"/>
        </w:numPr>
        <w:spacing w:after="120" w:line="240" w:lineRule="auto"/>
        <w:jc w:val="both"/>
        <w:rPr>
          <w:rFonts w:cs="Times New Roman"/>
          <w:noProof/>
          <w:lang w:eastAsia="en-GB"/>
        </w:rPr>
      </w:pPr>
      <w:r>
        <w:rPr>
          <w:rFonts w:cs="Times New Roman"/>
          <w:noProof/>
          <w:lang w:eastAsia="en-GB"/>
        </w:rPr>
        <w:t xml:space="preserve">vehicles in the groups 4, 5, 9 and 10, as from 1 July 2019; </w:t>
      </w:r>
    </w:p>
    <w:p w:rsidR="003E180D" w:rsidRDefault="003E180D" w:rsidP="003E180D">
      <w:pPr>
        <w:numPr>
          <w:ilvl w:val="0"/>
          <w:numId w:val="3"/>
        </w:numPr>
        <w:spacing w:after="120" w:line="240" w:lineRule="auto"/>
        <w:jc w:val="both"/>
        <w:rPr>
          <w:rFonts w:cs="Times New Roman"/>
          <w:noProof/>
          <w:lang w:eastAsia="en-GB"/>
        </w:rPr>
      </w:pPr>
      <w:r>
        <w:rPr>
          <w:rFonts w:cs="Times New Roman"/>
          <w:noProof/>
          <w:lang w:eastAsia="en-GB"/>
        </w:rPr>
        <w:t>vehicles in the groups 1, 2, and 3, as from 1 January 2020;</w:t>
      </w:r>
    </w:p>
    <w:p w:rsidR="003E180D" w:rsidRDefault="003E180D" w:rsidP="003E180D">
      <w:pPr>
        <w:numPr>
          <w:ilvl w:val="0"/>
          <w:numId w:val="3"/>
        </w:numPr>
        <w:spacing w:after="120" w:line="240" w:lineRule="auto"/>
        <w:jc w:val="both"/>
        <w:rPr>
          <w:rFonts w:cs="Times New Roman"/>
          <w:noProof/>
          <w:lang w:eastAsia="en-GB"/>
        </w:rPr>
      </w:pPr>
      <w:r>
        <w:rPr>
          <w:rFonts w:cs="Times New Roman"/>
          <w:noProof/>
          <w:lang w:eastAsia="en-GB"/>
        </w:rPr>
        <w:t>vehicles in the groups 11, 12 and 16, as from 1 July 2020.</w:t>
      </w:r>
    </w:p>
    <w:p w:rsidR="003E180D" w:rsidRDefault="003E180D" w:rsidP="003E180D">
      <w:pPr>
        <w:spacing w:after="120" w:line="240" w:lineRule="auto"/>
        <w:jc w:val="both"/>
        <w:rPr>
          <w:rFonts w:eastAsia="Times New Roman" w:cs="Times New Roman"/>
          <w:noProof/>
          <w:szCs w:val="24"/>
        </w:rPr>
      </w:pPr>
      <w:r>
        <w:rPr>
          <w:rFonts w:eastAsia="Times New Roman" w:cs="Times New Roman"/>
          <w:noProof/>
          <w:szCs w:val="24"/>
        </w:rPr>
        <w:t xml:space="preserve">The Certification Regulation will later be extended to cover the remaining lorry groups, as well as buses and coaches, and trailers, once VECTO is ready to simulate these vehicles. </w:t>
      </w:r>
    </w:p>
    <w:p w:rsidR="003E180D" w:rsidRDefault="003E180D" w:rsidP="003E180D">
      <w:pPr>
        <w:spacing w:after="120" w:line="240" w:lineRule="auto"/>
        <w:jc w:val="both"/>
        <w:rPr>
          <w:rFonts w:eastAsia="Times New Roman" w:cs="Times New Roman"/>
          <w:noProof/>
          <w:szCs w:val="24"/>
        </w:rPr>
      </w:pPr>
      <w:r>
        <w:rPr>
          <w:rFonts w:eastAsia="Times New Roman" w:cs="Times New Roman"/>
          <w:noProof/>
          <w:szCs w:val="24"/>
        </w:rPr>
        <w:fldChar w:fldCharType="begin"/>
      </w:r>
      <w:r>
        <w:rPr>
          <w:rFonts w:eastAsia="Times New Roman" w:cs="Times New Roman"/>
          <w:noProof/>
          <w:szCs w:val="24"/>
        </w:rPr>
        <w:instrText xml:space="preserve"> REF _Ref508129242 \h </w:instrText>
      </w:r>
      <w:r>
        <w:rPr>
          <w:rFonts w:eastAsia="Times New Roman" w:cs="Times New Roman"/>
          <w:noProof/>
          <w:szCs w:val="24"/>
        </w:rPr>
      </w:r>
      <w:r>
        <w:rPr>
          <w:rFonts w:eastAsia="Times New Roman" w:cs="Times New Roman"/>
          <w:noProof/>
          <w:szCs w:val="24"/>
        </w:rPr>
        <w:fldChar w:fldCharType="separate"/>
      </w:r>
      <w:r>
        <w:rPr>
          <w:b/>
          <w:bCs/>
          <w:noProof/>
          <w:szCs w:val="24"/>
        </w:rPr>
        <w:t>Table 8</w:t>
      </w:r>
      <w:r>
        <w:rPr>
          <w:rFonts w:eastAsia="Times New Roman" w:cs="Times New Roman"/>
          <w:noProof/>
          <w:szCs w:val="24"/>
        </w:rPr>
        <w:fldChar w:fldCharType="end"/>
      </w:r>
      <w:r>
        <w:rPr>
          <w:rFonts w:eastAsia="Times New Roman" w:cs="Times New Roman"/>
          <w:noProof/>
          <w:szCs w:val="24"/>
        </w:rPr>
        <w:t xml:space="preserve"> presents a summarized list of the 18 vehicle groups, while </w:t>
      </w:r>
      <w:r>
        <w:rPr>
          <w:rFonts w:eastAsia="Times New Roman" w:cs="Times New Roman"/>
          <w:noProof/>
          <w:szCs w:val="24"/>
        </w:rPr>
        <w:fldChar w:fldCharType="begin"/>
      </w:r>
      <w:r>
        <w:rPr>
          <w:rFonts w:eastAsia="Times New Roman" w:cs="Times New Roman"/>
          <w:noProof/>
          <w:szCs w:val="24"/>
        </w:rPr>
        <w:instrText xml:space="preserve"> REF _Ref507513600 \h  \* MERGEFORMAT </w:instrText>
      </w:r>
      <w:r>
        <w:rPr>
          <w:rFonts w:eastAsia="Times New Roman" w:cs="Times New Roman"/>
          <w:noProof/>
          <w:szCs w:val="24"/>
        </w:rPr>
      </w:r>
      <w:r>
        <w:rPr>
          <w:rFonts w:eastAsia="Times New Roman" w:cs="Times New Roman"/>
          <w:noProof/>
          <w:szCs w:val="24"/>
        </w:rPr>
        <w:fldChar w:fldCharType="separate"/>
      </w:r>
      <w:r>
        <w:rPr>
          <w:rFonts w:cs="Times New Roman"/>
          <w:bCs/>
          <w:noProof/>
          <w:szCs w:val="24"/>
        </w:rPr>
        <w:t>Table</w:t>
      </w:r>
      <w:r>
        <w:rPr>
          <w:rFonts w:cs="Times New Roman"/>
          <w:b/>
          <w:bCs/>
          <w:noProof/>
          <w:szCs w:val="24"/>
        </w:rPr>
        <w:t xml:space="preserve"> </w:t>
      </w:r>
      <w:r>
        <w:rPr>
          <w:rFonts w:cs="Times New Roman"/>
          <w:bCs/>
          <w:noProof/>
          <w:szCs w:val="24"/>
        </w:rPr>
        <w:t>9</w:t>
      </w:r>
      <w:r>
        <w:rPr>
          <w:rFonts w:eastAsia="Times New Roman" w:cs="Times New Roman"/>
          <w:noProof/>
          <w:szCs w:val="24"/>
        </w:rPr>
        <w:fldChar w:fldCharType="end"/>
      </w:r>
      <w:r>
        <w:rPr>
          <w:rFonts w:eastAsia="Times New Roman" w:cs="Times New Roman"/>
          <w:noProof/>
          <w:szCs w:val="24"/>
        </w:rPr>
        <w:t xml:space="preserve"> provides a visual illustration of the vehicles in the groups 4, 5, 9 and 10, both without and with trailers.</w:t>
      </w:r>
    </w:p>
    <w:p w:rsidR="003E180D" w:rsidRDefault="003E180D" w:rsidP="003E180D">
      <w:pPr>
        <w:spacing w:after="120" w:line="240" w:lineRule="auto"/>
        <w:rPr>
          <w:b/>
          <w:noProof/>
          <w:color w:val="000000" w:themeColor="text1"/>
          <w:szCs w:val="24"/>
        </w:rPr>
      </w:pPr>
      <w:bookmarkStart w:id="584" w:name="_Ref504659924"/>
      <w:bookmarkStart w:id="585" w:name="_Ref508115081"/>
      <w:bookmarkStart w:id="586" w:name="_Ref508129242"/>
      <w:r>
        <w:rPr>
          <w:b/>
          <w:bCs/>
          <w:noProof/>
          <w:szCs w:val="24"/>
        </w:rPr>
        <w:t>Table</w:t>
      </w:r>
      <w:bookmarkEnd w:id="584"/>
      <w:r>
        <w:rPr>
          <w:b/>
          <w:bCs/>
          <w:noProof/>
          <w:szCs w:val="24"/>
        </w:rPr>
        <w:t xml:space="preserve"> </w:t>
      </w:r>
      <w:r>
        <w:rPr>
          <w:b/>
          <w:bCs/>
          <w:noProof/>
          <w:szCs w:val="24"/>
        </w:rPr>
        <w:fldChar w:fldCharType="begin"/>
      </w:r>
      <w:r>
        <w:rPr>
          <w:b/>
          <w:bCs/>
          <w:noProof/>
          <w:szCs w:val="24"/>
        </w:rPr>
        <w:instrText xml:space="preserve"> SEQ Table \* ARABIC </w:instrText>
      </w:r>
      <w:r>
        <w:rPr>
          <w:b/>
          <w:bCs/>
          <w:noProof/>
          <w:szCs w:val="24"/>
        </w:rPr>
        <w:fldChar w:fldCharType="separate"/>
      </w:r>
      <w:r>
        <w:rPr>
          <w:b/>
          <w:bCs/>
          <w:noProof/>
          <w:szCs w:val="24"/>
        </w:rPr>
        <w:t>8</w:t>
      </w:r>
      <w:r>
        <w:rPr>
          <w:b/>
          <w:bCs/>
          <w:noProof/>
          <w:szCs w:val="24"/>
        </w:rPr>
        <w:fldChar w:fldCharType="end"/>
      </w:r>
      <w:bookmarkEnd w:id="585"/>
      <w:bookmarkEnd w:id="586"/>
      <w:r>
        <w:rPr>
          <w:b/>
          <w:bCs/>
          <w:noProof/>
          <w:szCs w:val="24"/>
        </w:rPr>
        <w:t>: Overview of certification vehicle groups</w:t>
      </w:r>
    </w:p>
    <w:tbl>
      <w:tblPr>
        <w:tblStyle w:val="TableGrid"/>
        <w:tblW w:w="5000" w:type="pct"/>
        <w:jc w:val="center"/>
        <w:tblLook w:val="04A0" w:firstRow="1" w:lastRow="0" w:firstColumn="1" w:lastColumn="0" w:noHBand="0" w:noVBand="1"/>
      </w:tblPr>
      <w:tblGrid>
        <w:gridCol w:w="1572"/>
        <w:gridCol w:w="1915"/>
        <w:gridCol w:w="2394"/>
        <w:gridCol w:w="2952"/>
      </w:tblGrid>
      <w:tr w:rsidR="003E180D" w:rsidTr="0088305C">
        <w:trPr>
          <w:cantSplit/>
          <w:trHeight w:val="578"/>
          <w:tblHeader/>
          <w:jc w:val="center"/>
        </w:trPr>
        <w:tc>
          <w:tcPr>
            <w:tcW w:w="889" w:type="pct"/>
            <w:vAlign w:val="center"/>
          </w:tcPr>
          <w:p w:rsidR="003E180D" w:rsidRDefault="003E180D" w:rsidP="0088305C">
            <w:pPr>
              <w:keepNext/>
              <w:spacing w:before="60" w:after="60"/>
              <w:jc w:val="center"/>
              <w:rPr>
                <w:noProof/>
              </w:rPr>
            </w:pPr>
            <w:r>
              <w:rPr>
                <w:b/>
                <w:noProof/>
                <w:color w:val="000000" w:themeColor="text1"/>
              </w:rPr>
              <w:t>Vehicle  group</w:t>
            </w:r>
          </w:p>
        </w:tc>
        <w:tc>
          <w:tcPr>
            <w:tcW w:w="1084" w:type="pct"/>
            <w:vAlign w:val="center"/>
          </w:tcPr>
          <w:p w:rsidR="003E180D" w:rsidRDefault="003E180D" w:rsidP="0088305C">
            <w:pPr>
              <w:keepNext/>
              <w:spacing w:before="60" w:after="60"/>
              <w:jc w:val="center"/>
              <w:rPr>
                <w:b/>
                <w:noProof/>
                <w:color w:val="000000" w:themeColor="text1"/>
              </w:rPr>
            </w:pPr>
            <w:r>
              <w:rPr>
                <w:b/>
                <w:noProof/>
                <w:color w:val="000000" w:themeColor="text1"/>
              </w:rPr>
              <w:t>Axle configuration</w:t>
            </w:r>
          </w:p>
        </w:tc>
        <w:tc>
          <w:tcPr>
            <w:tcW w:w="1355" w:type="pct"/>
            <w:vAlign w:val="center"/>
          </w:tcPr>
          <w:p w:rsidR="003E180D" w:rsidRDefault="003E180D" w:rsidP="0088305C">
            <w:pPr>
              <w:keepNext/>
              <w:spacing w:before="60" w:after="60"/>
              <w:jc w:val="center"/>
              <w:rPr>
                <w:noProof/>
              </w:rPr>
            </w:pPr>
            <w:r>
              <w:rPr>
                <w:b/>
                <w:noProof/>
                <w:color w:val="000000" w:themeColor="text1"/>
              </w:rPr>
              <w:t>Chassis configuration</w:t>
            </w:r>
          </w:p>
        </w:tc>
        <w:tc>
          <w:tcPr>
            <w:tcW w:w="1671" w:type="pct"/>
            <w:vAlign w:val="center"/>
          </w:tcPr>
          <w:p w:rsidR="003E180D" w:rsidRDefault="003E180D" w:rsidP="0088305C">
            <w:pPr>
              <w:keepNext/>
              <w:spacing w:before="60" w:after="60"/>
              <w:jc w:val="center"/>
              <w:rPr>
                <w:noProof/>
              </w:rPr>
            </w:pPr>
            <w:r>
              <w:rPr>
                <w:b/>
                <w:noProof/>
                <w:color w:val="000000" w:themeColor="text1"/>
              </w:rPr>
              <w:t>Technically permissible maximum laden mass (tons)</w:t>
            </w:r>
          </w:p>
        </w:tc>
      </w:tr>
      <w:tr w:rsidR="003E180D" w:rsidTr="0088305C">
        <w:trPr>
          <w:jc w:val="center"/>
        </w:trPr>
        <w:tc>
          <w:tcPr>
            <w:tcW w:w="889" w:type="pct"/>
            <w:vAlign w:val="bottom"/>
          </w:tcPr>
          <w:p w:rsidR="003E180D" w:rsidRDefault="003E180D" w:rsidP="0088305C">
            <w:pPr>
              <w:spacing w:before="60" w:after="60"/>
              <w:jc w:val="center"/>
              <w:rPr>
                <w:noProof/>
              </w:rPr>
            </w:pPr>
            <w:r>
              <w:rPr>
                <w:b/>
                <w:noProof/>
                <w:color w:val="000000" w:themeColor="text1"/>
              </w:rPr>
              <w:t>0</w:t>
            </w:r>
          </w:p>
        </w:tc>
        <w:tc>
          <w:tcPr>
            <w:tcW w:w="1084" w:type="pct"/>
            <w:vAlign w:val="center"/>
          </w:tcPr>
          <w:p w:rsidR="003E180D" w:rsidRDefault="003E180D" w:rsidP="0088305C">
            <w:pPr>
              <w:spacing w:before="60" w:after="60"/>
              <w:jc w:val="center"/>
              <w:rPr>
                <w:noProof/>
                <w:color w:val="000000" w:themeColor="text1"/>
              </w:rPr>
            </w:pPr>
            <w:r>
              <w:rPr>
                <w:noProof/>
                <w:color w:val="000000" w:themeColor="text1"/>
              </w:rPr>
              <w:t>4x2</w:t>
            </w:r>
          </w:p>
        </w:tc>
        <w:tc>
          <w:tcPr>
            <w:tcW w:w="1355" w:type="pct"/>
            <w:vAlign w:val="bottom"/>
          </w:tcPr>
          <w:p w:rsidR="003E180D" w:rsidRDefault="003E180D" w:rsidP="0088305C">
            <w:pPr>
              <w:spacing w:before="60" w:after="60"/>
              <w:jc w:val="center"/>
              <w:rPr>
                <w:noProof/>
              </w:rPr>
            </w:pPr>
            <w:r>
              <w:rPr>
                <w:noProof/>
                <w:color w:val="000000" w:themeColor="text1"/>
              </w:rPr>
              <w:t>Rigid</w:t>
            </w:r>
          </w:p>
        </w:tc>
        <w:tc>
          <w:tcPr>
            <w:tcW w:w="1671" w:type="pct"/>
            <w:vAlign w:val="bottom"/>
          </w:tcPr>
          <w:p w:rsidR="003E180D" w:rsidRDefault="003E180D" w:rsidP="0088305C">
            <w:pPr>
              <w:spacing w:before="60" w:after="60"/>
              <w:jc w:val="center"/>
              <w:rPr>
                <w:noProof/>
              </w:rPr>
            </w:pPr>
            <w:r>
              <w:rPr>
                <w:noProof/>
                <w:color w:val="000000" w:themeColor="text1"/>
              </w:rPr>
              <w:t>&gt;3.5 – &lt;7.5</w:t>
            </w:r>
          </w:p>
        </w:tc>
      </w:tr>
      <w:tr w:rsidR="003E180D" w:rsidTr="0088305C">
        <w:trPr>
          <w:jc w:val="center"/>
        </w:trPr>
        <w:tc>
          <w:tcPr>
            <w:tcW w:w="889" w:type="pct"/>
            <w:vAlign w:val="bottom"/>
          </w:tcPr>
          <w:p w:rsidR="003E180D" w:rsidRDefault="003E180D" w:rsidP="0088305C">
            <w:pPr>
              <w:spacing w:before="60" w:after="60"/>
              <w:jc w:val="center"/>
              <w:rPr>
                <w:noProof/>
              </w:rPr>
            </w:pPr>
            <w:r>
              <w:rPr>
                <w:b/>
                <w:noProof/>
                <w:color w:val="000000" w:themeColor="text1"/>
              </w:rPr>
              <w:t>1</w:t>
            </w:r>
          </w:p>
        </w:tc>
        <w:tc>
          <w:tcPr>
            <w:tcW w:w="1084" w:type="pct"/>
          </w:tcPr>
          <w:p w:rsidR="003E180D" w:rsidRDefault="003E180D" w:rsidP="0088305C">
            <w:pPr>
              <w:spacing w:before="60" w:after="60"/>
              <w:jc w:val="center"/>
              <w:rPr>
                <w:noProof/>
                <w:color w:val="000000" w:themeColor="text1"/>
              </w:rPr>
            </w:pPr>
            <w:r>
              <w:rPr>
                <w:noProof/>
                <w:color w:val="000000" w:themeColor="text1"/>
              </w:rPr>
              <w:t>4x2</w:t>
            </w:r>
          </w:p>
        </w:tc>
        <w:tc>
          <w:tcPr>
            <w:tcW w:w="1355" w:type="pct"/>
            <w:vAlign w:val="bottom"/>
          </w:tcPr>
          <w:p w:rsidR="003E180D" w:rsidRDefault="003E180D" w:rsidP="0088305C">
            <w:pPr>
              <w:spacing w:before="60" w:after="60"/>
              <w:jc w:val="center"/>
              <w:rPr>
                <w:noProof/>
              </w:rPr>
            </w:pPr>
            <w:r>
              <w:rPr>
                <w:noProof/>
                <w:color w:val="000000" w:themeColor="text1"/>
              </w:rPr>
              <w:t>Rigid (or tractor)</w:t>
            </w:r>
          </w:p>
        </w:tc>
        <w:tc>
          <w:tcPr>
            <w:tcW w:w="1671" w:type="pct"/>
            <w:vAlign w:val="bottom"/>
          </w:tcPr>
          <w:p w:rsidR="003E180D" w:rsidRDefault="003E180D" w:rsidP="0088305C">
            <w:pPr>
              <w:spacing w:before="60" w:after="60"/>
              <w:jc w:val="center"/>
              <w:rPr>
                <w:noProof/>
              </w:rPr>
            </w:pPr>
            <w:r>
              <w:rPr>
                <w:noProof/>
                <w:color w:val="000000" w:themeColor="text1"/>
              </w:rPr>
              <w:t>7.5 – 10</w:t>
            </w:r>
          </w:p>
        </w:tc>
      </w:tr>
      <w:tr w:rsidR="003E180D" w:rsidTr="0088305C">
        <w:trPr>
          <w:jc w:val="center"/>
        </w:trPr>
        <w:tc>
          <w:tcPr>
            <w:tcW w:w="889" w:type="pct"/>
            <w:vAlign w:val="bottom"/>
          </w:tcPr>
          <w:p w:rsidR="003E180D" w:rsidRDefault="003E180D" w:rsidP="0088305C">
            <w:pPr>
              <w:spacing w:before="60" w:after="60"/>
              <w:jc w:val="center"/>
              <w:rPr>
                <w:noProof/>
              </w:rPr>
            </w:pPr>
            <w:r>
              <w:rPr>
                <w:b/>
                <w:noProof/>
                <w:color w:val="000000" w:themeColor="text1"/>
              </w:rPr>
              <w:t>2</w:t>
            </w:r>
          </w:p>
        </w:tc>
        <w:tc>
          <w:tcPr>
            <w:tcW w:w="1084" w:type="pct"/>
          </w:tcPr>
          <w:p w:rsidR="003E180D" w:rsidRDefault="003E180D" w:rsidP="0088305C">
            <w:pPr>
              <w:spacing w:before="60" w:after="60"/>
              <w:jc w:val="center"/>
              <w:rPr>
                <w:noProof/>
                <w:color w:val="000000" w:themeColor="text1"/>
              </w:rPr>
            </w:pPr>
            <w:r>
              <w:rPr>
                <w:noProof/>
                <w:color w:val="000000" w:themeColor="text1"/>
              </w:rPr>
              <w:t>4x2</w:t>
            </w:r>
          </w:p>
        </w:tc>
        <w:tc>
          <w:tcPr>
            <w:tcW w:w="1355" w:type="pct"/>
            <w:vAlign w:val="bottom"/>
          </w:tcPr>
          <w:p w:rsidR="003E180D" w:rsidRDefault="003E180D" w:rsidP="0088305C">
            <w:pPr>
              <w:spacing w:before="60" w:after="60"/>
              <w:jc w:val="center"/>
              <w:rPr>
                <w:noProof/>
              </w:rPr>
            </w:pPr>
            <w:r>
              <w:rPr>
                <w:noProof/>
                <w:color w:val="000000" w:themeColor="text1"/>
              </w:rPr>
              <w:t>Rigid (or tractor)</w:t>
            </w:r>
          </w:p>
        </w:tc>
        <w:tc>
          <w:tcPr>
            <w:tcW w:w="1671" w:type="pct"/>
            <w:vAlign w:val="bottom"/>
          </w:tcPr>
          <w:p w:rsidR="003E180D" w:rsidRDefault="003E180D" w:rsidP="0088305C">
            <w:pPr>
              <w:spacing w:before="60" w:after="60"/>
              <w:jc w:val="center"/>
              <w:rPr>
                <w:noProof/>
              </w:rPr>
            </w:pPr>
            <w:r>
              <w:rPr>
                <w:noProof/>
                <w:color w:val="000000" w:themeColor="text1"/>
              </w:rPr>
              <w:t>&gt;10 – 12</w:t>
            </w:r>
          </w:p>
        </w:tc>
      </w:tr>
      <w:tr w:rsidR="003E180D" w:rsidTr="0088305C">
        <w:trPr>
          <w:jc w:val="center"/>
        </w:trPr>
        <w:tc>
          <w:tcPr>
            <w:tcW w:w="889" w:type="pct"/>
            <w:vAlign w:val="bottom"/>
          </w:tcPr>
          <w:p w:rsidR="003E180D" w:rsidRDefault="003E180D" w:rsidP="0088305C">
            <w:pPr>
              <w:spacing w:before="60" w:after="60"/>
              <w:jc w:val="center"/>
              <w:rPr>
                <w:noProof/>
              </w:rPr>
            </w:pPr>
            <w:r>
              <w:rPr>
                <w:b/>
                <w:noProof/>
                <w:color w:val="000000" w:themeColor="text1"/>
              </w:rPr>
              <w:t>3</w:t>
            </w:r>
          </w:p>
        </w:tc>
        <w:tc>
          <w:tcPr>
            <w:tcW w:w="1084" w:type="pct"/>
          </w:tcPr>
          <w:p w:rsidR="003E180D" w:rsidRDefault="003E180D" w:rsidP="0088305C">
            <w:pPr>
              <w:spacing w:before="60" w:after="60"/>
              <w:jc w:val="center"/>
              <w:rPr>
                <w:noProof/>
                <w:color w:val="000000" w:themeColor="text1"/>
              </w:rPr>
            </w:pPr>
            <w:r>
              <w:rPr>
                <w:noProof/>
                <w:color w:val="000000" w:themeColor="text1"/>
              </w:rPr>
              <w:t>4x2</w:t>
            </w:r>
          </w:p>
        </w:tc>
        <w:tc>
          <w:tcPr>
            <w:tcW w:w="1355" w:type="pct"/>
            <w:vAlign w:val="bottom"/>
          </w:tcPr>
          <w:p w:rsidR="003E180D" w:rsidRDefault="003E180D" w:rsidP="0088305C">
            <w:pPr>
              <w:spacing w:before="60" w:after="60"/>
              <w:jc w:val="center"/>
              <w:rPr>
                <w:noProof/>
              </w:rPr>
            </w:pPr>
            <w:r>
              <w:rPr>
                <w:noProof/>
                <w:color w:val="000000" w:themeColor="text1"/>
              </w:rPr>
              <w:t>Rigid (or tractor)</w:t>
            </w:r>
          </w:p>
        </w:tc>
        <w:tc>
          <w:tcPr>
            <w:tcW w:w="1671" w:type="pct"/>
            <w:vAlign w:val="bottom"/>
          </w:tcPr>
          <w:p w:rsidR="003E180D" w:rsidRDefault="003E180D" w:rsidP="0088305C">
            <w:pPr>
              <w:spacing w:before="60" w:after="60"/>
              <w:jc w:val="center"/>
              <w:rPr>
                <w:noProof/>
              </w:rPr>
            </w:pPr>
            <w:r>
              <w:rPr>
                <w:noProof/>
                <w:color w:val="000000" w:themeColor="text1"/>
              </w:rPr>
              <w:t>&gt;12 – 16</w:t>
            </w:r>
          </w:p>
        </w:tc>
      </w:tr>
      <w:tr w:rsidR="003E180D" w:rsidTr="0088305C">
        <w:trPr>
          <w:jc w:val="center"/>
        </w:trPr>
        <w:tc>
          <w:tcPr>
            <w:tcW w:w="889" w:type="pct"/>
            <w:shd w:val="clear" w:color="auto" w:fill="A6A6A6" w:themeFill="background1" w:themeFillShade="A6"/>
            <w:vAlign w:val="bottom"/>
          </w:tcPr>
          <w:p w:rsidR="003E180D" w:rsidRDefault="003E180D" w:rsidP="0088305C">
            <w:pPr>
              <w:spacing w:before="60" w:after="60"/>
              <w:jc w:val="center"/>
              <w:rPr>
                <w:noProof/>
              </w:rPr>
            </w:pPr>
            <w:r>
              <w:rPr>
                <w:b/>
                <w:noProof/>
                <w:color w:val="000000" w:themeColor="text1"/>
              </w:rPr>
              <w:t>4</w:t>
            </w:r>
          </w:p>
        </w:tc>
        <w:tc>
          <w:tcPr>
            <w:tcW w:w="1084" w:type="pct"/>
            <w:shd w:val="clear" w:color="auto" w:fill="A6A6A6" w:themeFill="background1" w:themeFillShade="A6"/>
          </w:tcPr>
          <w:p w:rsidR="003E180D" w:rsidRDefault="003E180D" w:rsidP="0088305C">
            <w:pPr>
              <w:spacing w:before="60" w:after="60"/>
              <w:jc w:val="center"/>
              <w:rPr>
                <w:noProof/>
                <w:color w:val="000000" w:themeColor="text1"/>
              </w:rPr>
            </w:pPr>
            <w:r>
              <w:rPr>
                <w:noProof/>
                <w:color w:val="000000" w:themeColor="text1"/>
              </w:rPr>
              <w:t>4x2</w:t>
            </w:r>
          </w:p>
        </w:tc>
        <w:tc>
          <w:tcPr>
            <w:tcW w:w="1355" w:type="pct"/>
            <w:shd w:val="clear" w:color="auto" w:fill="A6A6A6" w:themeFill="background1" w:themeFillShade="A6"/>
            <w:vAlign w:val="bottom"/>
          </w:tcPr>
          <w:p w:rsidR="003E180D" w:rsidRDefault="003E180D" w:rsidP="0088305C">
            <w:pPr>
              <w:spacing w:before="60" w:after="60"/>
              <w:jc w:val="center"/>
              <w:rPr>
                <w:noProof/>
              </w:rPr>
            </w:pPr>
            <w:r>
              <w:rPr>
                <w:noProof/>
                <w:color w:val="000000" w:themeColor="text1"/>
              </w:rPr>
              <w:t>Rigid</w:t>
            </w:r>
          </w:p>
        </w:tc>
        <w:tc>
          <w:tcPr>
            <w:tcW w:w="1671" w:type="pct"/>
            <w:shd w:val="clear" w:color="auto" w:fill="A6A6A6" w:themeFill="background1" w:themeFillShade="A6"/>
            <w:vAlign w:val="bottom"/>
          </w:tcPr>
          <w:p w:rsidR="003E180D" w:rsidRDefault="003E180D" w:rsidP="0088305C">
            <w:pPr>
              <w:spacing w:before="60" w:after="60"/>
              <w:jc w:val="center"/>
              <w:rPr>
                <w:noProof/>
              </w:rPr>
            </w:pPr>
            <w:r>
              <w:rPr>
                <w:noProof/>
                <w:color w:val="000000" w:themeColor="text1"/>
              </w:rPr>
              <w:t xml:space="preserve"> &gt;16</w:t>
            </w:r>
          </w:p>
        </w:tc>
      </w:tr>
      <w:tr w:rsidR="003E180D" w:rsidTr="0088305C">
        <w:trPr>
          <w:jc w:val="center"/>
        </w:trPr>
        <w:tc>
          <w:tcPr>
            <w:tcW w:w="889" w:type="pct"/>
            <w:shd w:val="clear" w:color="auto" w:fill="A6A6A6" w:themeFill="background1" w:themeFillShade="A6"/>
            <w:vAlign w:val="bottom"/>
          </w:tcPr>
          <w:p w:rsidR="003E180D" w:rsidRDefault="003E180D" w:rsidP="0088305C">
            <w:pPr>
              <w:spacing w:before="60" w:after="60"/>
              <w:jc w:val="center"/>
              <w:rPr>
                <w:noProof/>
              </w:rPr>
            </w:pPr>
            <w:r>
              <w:rPr>
                <w:b/>
                <w:noProof/>
                <w:color w:val="000000" w:themeColor="text1"/>
              </w:rPr>
              <w:t>5</w:t>
            </w:r>
          </w:p>
        </w:tc>
        <w:tc>
          <w:tcPr>
            <w:tcW w:w="1084" w:type="pct"/>
            <w:shd w:val="clear" w:color="auto" w:fill="A6A6A6" w:themeFill="background1" w:themeFillShade="A6"/>
          </w:tcPr>
          <w:p w:rsidR="003E180D" w:rsidRDefault="003E180D" w:rsidP="0088305C">
            <w:pPr>
              <w:spacing w:before="60" w:after="60"/>
              <w:jc w:val="center"/>
              <w:rPr>
                <w:noProof/>
                <w:color w:val="000000" w:themeColor="text1"/>
              </w:rPr>
            </w:pPr>
            <w:r>
              <w:rPr>
                <w:noProof/>
                <w:color w:val="000000" w:themeColor="text1"/>
              </w:rPr>
              <w:t>4x2</w:t>
            </w:r>
          </w:p>
        </w:tc>
        <w:tc>
          <w:tcPr>
            <w:tcW w:w="1355" w:type="pct"/>
            <w:shd w:val="clear" w:color="auto" w:fill="A6A6A6" w:themeFill="background1" w:themeFillShade="A6"/>
            <w:vAlign w:val="bottom"/>
          </w:tcPr>
          <w:p w:rsidR="003E180D" w:rsidRDefault="003E180D" w:rsidP="0088305C">
            <w:pPr>
              <w:spacing w:before="60" w:after="60"/>
              <w:jc w:val="center"/>
              <w:rPr>
                <w:noProof/>
              </w:rPr>
            </w:pPr>
            <w:r>
              <w:rPr>
                <w:noProof/>
                <w:color w:val="000000" w:themeColor="text1"/>
              </w:rPr>
              <w:t>Tractor</w:t>
            </w:r>
          </w:p>
        </w:tc>
        <w:tc>
          <w:tcPr>
            <w:tcW w:w="1671" w:type="pct"/>
            <w:shd w:val="clear" w:color="auto" w:fill="A6A6A6" w:themeFill="background1" w:themeFillShade="A6"/>
            <w:vAlign w:val="bottom"/>
          </w:tcPr>
          <w:p w:rsidR="003E180D" w:rsidRDefault="003E180D" w:rsidP="0088305C">
            <w:pPr>
              <w:spacing w:before="60" w:after="60"/>
              <w:jc w:val="center"/>
              <w:rPr>
                <w:noProof/>
              </w:rPr>
            </w:pPr>
            <w:r>
              <w:rPr>
                <w:noProof/>
                <w:color w:val="000000" w:themeColor="text1"/>
              </w:rPr>
              <w:t>&gt;16</w:t>
            </w:r>
          </w:p>
        </w:tc>
      </w:tr>
      <w:tr w:rsidR="003E180D" w:rsidTr="0088305C">
        <w:trPr>
          <w:jc w:val="center"/>
        </w:trPr>
        <w:tc>
          <w:tcPr>
            <w:tcW w:w="889" w:type="pct"/>
            <w:vAlign w:val="bottom"/>
          </w:tcPr>
          <w:p w:rsidR="003E180D" w:rsidRDefault="003E180D" w:rsidP="0088305C">
            <w:pPr>
              <w:spacing w:before="60" w:after="60"/>
              <w:jc w:val="center"/>
              <w:rPr>
                <w:b/>
                <w:noProof/>
                <w:color w:val="000000" w:themeColor="text1"/>
              </w:rPr>
            </w:pPr>
            <w:r>
              <w:rPr>
                <w:b/>
                <w:noProof/>
                <w:color w:val="000000" w:themeColor="text1"/>
              </w:rPr>
              <w:t>6</w:t>
            </w:r>
          </w:p>
        </w:tc>
        <w:tc>
          <w:tcPr>
            <w:tcW w:w="1084" w:type="pct"/>
            <w:vAlign w:val="center"/>
          </w:tcPr>
          <w:p w:rsidR="003E180D" w:rsidRDefault="003E180D" w:rsidP="0088305C">
            <w:pPr>
              <w:spacing w:before="60" w:after="60"/>
              <w:jc w:val="center"/>
              <w:rPr>
                <w:noProof/>
                <w:color w:val="000000" w:themeColor="text1"/>
              </w:rPr>
            </w:pPr>
            <w:r>
              <w:rPr>
                <w:noProof/>
                <w:color w:val="000000" w:themeColor="text1"/>
              </w:rPr>
              <w:t>4x4</w:t>
            </w:r>
          </w:p>
        </w:tc>
        <w:tc>
          <w:tcPr>
            <w:tcW w:w="1355" w:type="pct"/>
            <w:vAlign w:val="bottom"/>
          </w:tcPr>
          <w:p w:rsidR="003E180D" w:rsidRDefault="003E180D" w:rsidP="0088305C">
            <w:pPr>
              <w:spacing w:before="60" w:after="60"/>
              <w:jc w:val="center"/>
              <w:rPr>
                <w:noProof/>
              </w:rPr>
            </w:pPr>
            <w:r>
              <w:rPr>
                <w:noProof/>
                <w:color w:val="000000" w:themeColor="text1"/>
              </w:rPr>
              <w:t>Rigid</w:t>
            </w:r>
          </w:p>
        </w:tc>
        <w:tc>
          <w:tcPr>
            <w:tcW w:w="1671" w:type="pct"/>
            <w:vAlign w:val="bottom"/>
          </w:tcPr>
          <w:p w:rsidR="003E180D" w:rsidRDefault="003E180D" w:rsidP="0088305C">
            <w:pPr>
              <w:spacing w:before="60" w:after="60"/>
              <w:jc w:val="center"/>
              <w:rPr>
                <w:noProof/>
              </w:rPr>
            </w:pPr>
            <w:r>
              <w:rPr>
                <w:noProof/>
                <w:color w:val="000000" w:themeColor="text1"/>
              </w:rPr>
              <w:t>7.5 – 16</w:t>
            </w:r>
          </w:p>
        </w:tc>
      </w:tr>
      <w:tr w:rsidR="003E180D" w:rsidTr="0088305C">
        <w:trPr>
          <w:jc w:val="center"/>
        </w:trPr>
        <w:tc>
          <w:tcPr>
            <w:tcW w:w="889" w:type="pct"/>
            <w:vAlign w:val="bottom"/>
          </w:tcPr>
          <w:p w:rsidR="003E180D" w:rsidRDefault="003E180D" w:rsidP="0088305C">
            <w:pPr>
              <w:spacing w:before="60" w:after="60"/>
              <w:jc w:val="center"/>
              <w:rPr>
                <w:b/>
                <w:noProof/>
                <w:color w:val="000000" w:themeColor="text1"/>
              </w:rPr>
            </w:pPr>
            <w:r>
              <w:rPr>
                <w:b/>
                <w:noProof/>
                <w:color w:val="000000" w:themeColor="text1"/>
              </w:rPr>
              <w:t>7</w:t>
            </w:r>
          </w:p>
        </w:tc>
        <w:tc>
          <w:tcPr>
            <w:tcW w:w="1084" w:type="pct"/>
          </w:tcPr>
          <w:p w:rsidR="003E180D" w:rsidRDefault="003E180D" w:rsidP="0088305C">
            <w:pPr>
              <w:spacing w:before="60" w:after="60"/>
              <w:jc w:val="center"/>
              <w:rPr>
                <w:noProof/>
                <w:color w:val="000000" w:themeColor="text1"/>
              </w:rPr>
            </w:pPr>
            <w:r>
              <w:rPr>
                <w:noProof/>
                <w:color w:val="000000" w:themeColor="text1"/>
              </w:rPr>
              <w:t>4x4</w:t>
            </w:r>
          </w:p>
        </w:tc>
        <w:tc>
          <w:tcPr>
            <w:tcW w:w="1355" w:type="pct"/>
            <w:vAlign w:val="bottom"/>
          </w:tcPr>
          <w:p w:rsidR="003E180D" w:rsidRDefault="003E180D" w:rsidP="0088305C">
            <w:pPr>
              <w:spacing w:before="60" w:after="60"/>
              <w:jc w:val="center"/>
              <w:rPr>
                <w:noProof/>
              </w:rPr>
            </w:pPr>
            <w:r>
              <w:rPr>
                <w:noProof/>
                <w:color w:val="000000" w:themeColor="text1"/>
              </w:rPr>
              <w:t>Rigid</w:t>
            </w:r>
          </w:p>
        </w:tc>
        <w:tc>
          <w:tcPr>
            <w:tcW w:w="1671" w:type="pct"/>
            <w:vAlign w:val="bottom"/>
          </w:tcPr>
          <w:p w:rsidR="003E180D" w:rsidRDefault="003E180D" w:rsidP="0088305C">
            <w:pPr>
              <w:spacing w:before="60" w:after="60"/>
              <w:jc w:val="center"/>
              <w:rPr>
                <w:noProof/>
              </w:rPr>
            </w:pPr>
            <w:r>
              <w:rPr>
                <w:noProof/>
                <w:color w:val="000000" w:themeColor="text1"/>
              </w:rPr>
              <w:t>&gt;16</w:t>
            </w:r>
          </w:p>
        </w:tc>
      </w:tr>
      <w:tr w:rsidR="003E180D" w:rsidTr="0088305C">
        <w:trPr>
          <w:jc w:val="center"/>
        </w:trPr>
        <w:tc>
          <w:tcPr>
            <w:tcW w:w="889" w:type="pct"/>
            <w:vAlign w:val="bottom"/>
          </w:tcPr>
          <w:p w:rsidR="003E180D" w:rsidRDefault="003E180D" w:rsidP="0088305C">
            <w:pPr>
              <w:spacing w:before="60" w:after="60"/>
              <w:jc w:val="center"/>
              <w:rPr>
                <w:b/>
                <w:noProof/>
                <w:color w:val="000000" w:themeColor="text1"/>
              </w:rPr>
            </w:pPr>
            <w:r>
              <w:rPr>
                <w:b/>
                <w:noProof/>
                <w:color w:val="000000" w:themeColor="text1"/>
              </w:rPr>
              <w:t>8</w:t>
            </w:r>
          </w:p>
        </w:tc>
        <w:tc>
          <w:tcPr>
            <w:tcW w:w="1084" w:type="pct"/>
          </w:tcPr>
          <w:p w:rsidR="003E180D" w:rsidRDefault="003E180D" w:rsidP="0088305C">
            <w:pPr>
              <w:spacing w:before="60" w:after="60"/>
              <w:jc w:val="center"/>
              <w:rPr>
                <w:noProof/>
                <w:color w:val="000000" w:themeColor="text1"/>
              </w:rPr>
            </w:pPr>
            <w:r>
              <w:rPr>
                <w:noProof/>
                <w:color w:val="000000" w:themeColor="text1"/>
              </w:rPr>
              <w:t>4x4</w:t>
            </w:r>
          </w:p>
        </w:tc>
        <w:tc>
          <w:tcPr>
            <w:tcW w:w="1355" w:type="pct"/>
            <w:vAlign w:val="bottom"/>
          </w:tcPr>
          <w:p w:rsidR="003E180D" w:rsidRDefault="003E180D" w:rsidP="0088305C">
            <w:pPr>
              <w:spacing w:before="60" w:after="60"/>
              <w:jc w:val="center"/>
              <w:rPr>
                <w:noProof/>
              </w:rPr>
            </w:pPr>
            <w:r>
              <w:rPr>
                <w:noProof/>
                <w:color w:val="000000" w:themeColor="text1"/>
              </w:rPr>
              <w:t>Tractor</w:t>
            </w:r>
          </w:p>
        </w:tc>
        <w:tc>
          <w:tcPr>
            <w:tcW w:w="1671" w:type="pct"/>
            <w:vAlign w:val="bottom"/>
          </w:tcPr>
          <w:p w:rsidR="003E180D" w:rsidRDefault="003E180D" w:rsidP="0088305C">
            <w:pPr>
              <w:spacing w:before="60" w:after="60"/>
              <w:jc w:val="center"/>
              <w:rPr>
                <w:noProof/>
              </w:rPr>
            </w:pPr>
            <w:r>
              <w:rPr>
                <w:noProof/>
                <w:color w:val="000000" w:themeColor="text1"/>
              </w:rPr>
              <w:t>&gt;16</w:t>
            </w:r>
          </w:p>
        </w:tc>
      </w:tr>
      <w:tr w:rsidR="003E180D" w:rsidTr="0088305C">
        <w:trPr>
          <w:jc w:val="center"/>
        </w:trPr>
        <w:tc>
          <w:tcPr>
            <w:tcW w:w="889" w:type="pct"/>
            <w:shd w:val="clear" w:color="auto" w:fill="A6A6A6" w:themeFill="background1" w:themeFillShade="A6"/>
            <w:vAlign w:val="bottom"/>
          </w:tcPr>
          <w:p w:rsidR="003E180D" w:rsidRDefault="003E180D" w:rsidP="0088305C">
            <w:pPr>
              <w:spacing w:before="60" w:after="60"/>
              <w:jc w:val="center"/>
              <w:rPr>
                <w:b/>
                <w:noProof/>
                <w:color w:val="000000" w:themeColor="text1"/>
              </w:rPr>
            </w:pPr>
            <w:r>
              <w:rPr>
                <w:b/>
                <w:noProof/>
                <w:color w:val="000000" w:themeColor="text1"/>
              </w:rPr>
              <w:t>9</w:t>
            </w:r>
          </w:p>
        </w:tc>
        <w:tc>
          <w:tcPr>
            <w:tcW w:w="1084" w:type="pct"/>
            <w:shd w:val="clear" w:color="auto" w:fill="A6A6A6" w:themeFill="background1" w:themeFillShade="A6"/>
            <w:vAlign w:val="center"/>
          </w:tcPr>
          <w:p w:rsidR="003E180D" w:rsidRDefault="003E180D" w:rsidP="0088305C">
            <w:pPr>
              <w:spacing w:before="60" w:after="60"/>
              <w:jc w:val="center"/>
              <w:rPr>
                <w:noProof/>
                <w:color w:val="000000" w:themeColor="text1"/>
              </w:rPr>
            </w:pPr>
            <w:r>
              <w:rPr>
                <w:noProof/>
                <w:color w:val="000000" w:themeColor="text1"/>
              </w:rPr>
              <w:t>6x2</w:t>
            </w:r>
          </w:p>
        </w:tc>
        <w:tc>
          <w:tcPr>
            <w:tcW w:w="1355" w:type="pct"/>
            <w:shd w:val="clear" w:color="auto" w:fill="A6A6A6" w:themeFill="background1" w:themeFillShade="A6"/>
            <w:vAlign w:val="bottom"/>
          </w:tcPr>
          <w:p w:rsidR="003E180D" w:rsidRDefault="003E180D" w:rsidP="0088305C">
            <w:pPr>
              <w:spacing w:before="60" w:after="60"/>
              <w:jc w:val="center"/>
              <w:rPr>
                <w:noProof/>
              </w:rPr>
            </w:pPr>
            <w:r>
              <w:rPr>
                <w:noProof/>
                <w:color w:val="000000" w:themeColor="text1"/>
              </w:rPr>
              <w:t>Rigid</w:t>
            </w:r>
          </w:p>
        </w:tc>
        <w:tc>
          <w:tcPr>
            <w:tcW w:w="1671" w:type="pct"/>
            <w:shd w:val="clear" w:color="auto" w:fill="A6A6A6" w:themeFill="background1" w:themeFillShade="A6"/>
            <w:vAlign w:val="bottom"/>
          </w:tcPr>
          <w:p w:rsidR="003E180D" w:rsidRDefault="003E180D" w:rsidP="0088305C">
            <w:pPr>
              <w:spacing w:before="60" w:after="60"/>
              <w:jc w:val="center"/>
              <w:rPr>
                <w:noProof/>
              </w:rPr>
            </w:pPr>
            <w:r>
              <w:rPr>
                <w:noProof/>
                <w:color w:val="000000" w:themeColor="text1"/>
              </w:rPr>
              <w:t>all weights</w:t>
            </w:r>
          </w:p>
        </w:tc>
      </w:tr>
      <w:tr w:rsidR="003E180D" w:rsidTr="0088305C">
        <w:trPr>
          <w:jc w:val="center"/>
        </w:trPr>
        <w:tc>
          <w:tcPr>
            <w:tcW w:w="889" w:type="pct"/>
            <w:shd w:val="clear" w:color="auto" w:fill="A6A6A6" w:themeFill="background1" w:themeFillShade="A6"/>
            <w:vAlign w:val="bottom"/>
          </w:tcPr>
          <w:p w:rsidR="003E180D" w:rsidRDefault="003E180D" w:rsidP="0088305C">
            <w:pPr>
              <w:spacing w:before="60" w:after="60"/>
              <w:jc w:val="center"/>
              <w:rPr>
                <w:b/>
                <w:noProof/>
                <w:color w:val="000000" w:themeColor="text1"/>
              </w:rPr>
            </w:pPr>
            <w:r>
              <w:rPr>
                <w:b/>
                <w:noProof/>
                <w:color w:val="000000" w:themeColor="text1"/>
              </w:rPr>
              <w:t>10</w:t>
            </w:r>
          </w:p>
        </w:tc>
        <w:tc>
          <w:tcPr>
            <w:tcW w:w="1084" w:type="pct"/>
            <w:shd w:val="clear" w:color="auto" w:fill="A6A6A6" w:themeFill="background1" w:themeFillShade="A6"/>
            <w:vAlign w:val="center"/>
          </w:tcPr>
          <w:p w:rsidR="003E180D" w:rsidRDefault="003E180D" w:rsidP="0088305C">
            <w:pPr>
              <w:spacing w:before="60" w:after="60"/>
              <w:jc w:val="center"/>
              <w:rPr>
                <w:noProof/>
                <w:color w:val="000000" w:themeColor="text1"/>
              </w:rPr>
            </w:pPr>
            <w:r>
              <w:rPr>
                <w:noProof/>
                <w:color w:val="000000" w:themeColor="text1"/>
              </w:rPr>
              <w:t>6x2</w:t>
            </w:r>
          </w:p>
        </w:tc>
        <w:tc>
          <w:tcPr>
            <w:tcW w:w="1355" w:type="pct"/>
            <w:shd w:val="clear" w:color="auto" w:fill="A6A6A6" w:themeFill="background1" w:themeFillShade="A6"/>
            <w:vAlign w:val="bottom"/>
          </w:tcPr>
          <w:p w:rsidR="003E180D" w:rsidRDefault="003E180D" w:rsidP="0088305C">
            <w:pPr>
              <w:spacing w:before="60" w:after="60"/>
              <w:jc w:val="center"/>
              <w:rPr>
                <w:noProof/>
              </w:rPr>
            </w:pPr>
            <w:r>
              <w:rPr>
                <w:noProof/>
                <w:color w:val="000000" w:themeColor="text1"/>
              </w:rPr>
              <w:t>Tractor</w:t>
            </w:r>
          </w:p>
        </w:tc>
        <w:tc>
          <w:tcPr>
            <w:tcW w:w="1671" w:type="pct"/>
            <w:shd w:val="clear" w:color="auto" w:fill="A6A6A6" w:themeFill="background1" w:themeFillShade="A6"/>
            <w:vAlign w:val="bottom"/>
          </w:tcPr>
          <w:p w:rsidR="003E180D" w:rsidRDefault="003E180D" w:rsidP="0088305C">
            <w:pPr>
              <w:spacing w:before="60" w:after="60"/>
              <w:jc w:val="center"/>
              <w:rPr>
                <w:noProof/>
              </w:rPr>
            </w:pPr>
            <w:r>
              <w:rPr>
                <w:noProof/>
                <w:color w:val="000000" w:themeColor="text1"/>
              </w:rPr>
              <w:t>all weights</w:t>
            </w:r>
          </w:p>
        </w:tc>
      </w:tr>
      <w:tr w:rsidR="003E180D" w:rsidTr="0088305C">
        <w:trPr>
          <w:jc w:val="center"/>
        </w:trPr>
        <w:tc>
          <w:tcPr>
            <w:tcW w:w="889" w:type="pct"/>
            <w:vAlign w:val="bottom"/>
          </w:tcPr>
          <w:p w:rsidR="003E180D" w:rsidRDefault="003E180D" w:rsidP="0088305C">
            <w:pPr>
              <w:spacing w:before="60" w:after="60"/>
              <w:jc w:val="center"/>
              <w:rPr>
                <w:b/>
                <w:noProof/>
                <w:color w:val="000000" w:themeColor="text1"/>
              </w:rPr>
            </w:pPr>
            <w:r>
              <w:rPr>
                <w:b/>
                <w:noProof/>
                <w:color w:val="000000" w:themeColor="text1"/>
              </w:rPr>
              <w:t>11</w:t>
            </w:r>
          </w:p>
        </w:tc>
        <w:tc>
          <w:tcPr>
            <w:tcW w:w="1084" w:type="pct"/>
            <w:vAlign w:val="center"/>
          </w:tcPr>
          <w:p w:rsidR="003E180D" w:rsidRDefault="003E180D" w:rsidP="0088305C">
            <w:pPr>
              <w:spacing w:before="60" w:after="60"/>
              <w:jc w:val="center"/>
              <w:rPr>
                <w:noProof/>
                <w:color w:val="000000" w:themeColor="text1"/>
              </w:rPr>
            </w:pPr>
            <w:r>
              <w:rPr>
                <w:noProof/>
                <w:color w:val="000000" w:themeColor="text1"/>
              </w:rPr>
              <w:t>6x4</w:t>
            </w:r>
          </w:p>
        </w:tc>
        <w:tc>
          <w:tcPr>
            <w:tcW w:w="1355" w:type="pct"/>
            <w:vAlign w:val="bottom"/>
          </w:tcPr>
          <w:p w:rsidR="003E180D" w:rsidRDefault="003E180D" w:rsidP="0088305C">
            <w:pPr>
              <w:spacing w:before="60" w:after="60"/>
              <w:jc w:val="center"/>
              <w:rPr>
                <w:noProof/>
              </w:rPr>
            </w:pPr>
            <w:r>
              <w:rPr>
                <w:noProof/>
                <w:color w:val="000000" w:themeColor="text1"/>
              </w:rPr>
              <w:t>Rigid</w:t>
            </w:r>
          </w:p>
        </w:tc>
        <w:tc>
          <w:tcPr>
            <w:tcW w:w="1671" w:type="pct"/>
            <w:vAlign w:val="bottom"/>
          </w:tcPr>
          <w:p w:rsidR="003E180D" w:rsidRDefault="003E180D" w:rsidP="0088305C">
            <w:pPr>
              <w:spacing w:before="60" w:after="60"/>
              <w:jc w:val="center"/>
              <w:rPr>
                <w:noProof/>
              </w:rPr>
            </w:pPr>
            <w:r>
              <w:rPr>
                <w:noProof/>
                <w:color w:val="000000" w:themeColor="text1"/>
              </w:rPr>
              <w:t>all weights</w:t>
            </w:r>
          </w:p>
        </w:tc>
      </w:tr>
      <w:tr w:rsidR="003E180D" w:rsidTr="0088305C">
        <w:trPr>
          <w:jc w:val="center"/>
        </w:trPr>
        <w:tc>
          <w:tcPr>
            <w:tcW w:w="889" w:type="pct"/>
            <w:vAlign w:val="bottom"/>
          </w:tcPr>
          <w:p w:rsidR="003E180D" w:rsidRDefault="003E180D" w:rsidP="0088305C">
            <w:pPr>
              <w:spacing w:before="60" w:after="60"/>
              <w:jc w:val="center"/>
              <w:rPr>
                <w:b/>
                <w:noProof/>
                <w:color w:val="000000" w:themeColor="text1"/>
              </w:rPr>
            </w:pPr>
            <w:r>
              <w:rPr>
                <w:b/>
                <w:noProof/>
                <w:color w:val="000000" w:themeColor="text1"/>
              </w:rPr>
              <w:t>12</w:t>
            </w:r>
          </w:p>
        </w:tc>
        <w:tc>
          <w:tcPr>
            <w:tcW w:w="1084" w:type="pct"/>
            <w:vAlign w:val="center"/>
          </w:tcPr>
          <w:p w:rsidR="003E180D" w:rsidRDefault="003E180D" w:rsidP="0088305C">
            <w:pPr>
              <w:spacing w:before="60" w:after="60"/>
              <w:jc w:val="center"/>
              <w:rPr>
                <w:noProof/>
                <w:color w:val="000000" w:themeColor="text1"/>
              </w:rPr>
            </w:pPr>
            <w:r>
              <w:rPr>
                <w:noProof/>
                <w:color w:val="000000" w:themeColor="text1"/>
              </w:rPr>
              <w:t>6x4</w:t>
            </w:r>
          </w:p>
        </w:tc>
        <w:tc>
          <w:tcPr>
            <w:tcW w:w="1355" w:type="pct"/>
            <w:vAlign w:val="bottom"/>
          </w:tcPr>
          <w:p w:rsidR="003E180D" w:rsidRDefault="003E180D" w:rsidP="0088305C">
            <w:pPr>
              <w:spacing w:before="60" w:after="60"/>
              <w:jc w:val="center"/>
              <w:rPr>
                <w:noProof/>
              </w:rPr>
            </w:pPr>
            <w:r>
              <w:rPr>
                <w:noProof/>
                <w:color w:val="000000" w:themeColor="text1"/>
              </w:rPr>
              <w:t>Tractor</w:t>
            </w:r>
          </w:p>
        </w:tc>
        <w:tc>
          <w:tcPr>
            <w:tcW w:w="1671" w:type="pct"/>
            <w:vAlign w:val="bottom"/>
          </w:tcPr>
          <w:p w:rsidR="003E180D" w:rsidRDefault="003E180D" w:rsidP="0088305C">
            <w:pPr>
              <w:spacing w:before="60" w:after="60"/>
              <w:jc w:val="center"/>
              <w:rPr>
                <w:noProof/>
              </w:rPr>
            </w:pPr>
            <w:r>
              <w:rPr>
                <w:noProof/>
                <w:color w:val="000000" w:themeColor="text1"/>
              </w:rPr>
              <w:t>all weights</w:t>
            </w:r>
          </w:p>
        </w:tc>
      </w:tr>
      <w:tr w:rsidR="003E180D" w:rsidTr="0088305C">
        <w:trPr>
          <w:jc w:val="center"/>
        </w:trPr>
        <w:tc>
          <w:tcPr>
            <w:tcW w:w="889" w:type="pct"/>
            <w:vAlign w:val="bottom"/>
          </w:tcPr>
          <w:p w:rsidR="003E180D" w:rsidRDefault="003E180D" w:rsidP="0088305C">
            <w:pPr>
              <w:spacing w:before="60" w:after="60"/>
              <w:jc w:val="center"/>
              <w:rPr>
                <w:b/>
                <w:noProof/>
                <w:color w:val="000000" w:themeColor="text1"/>
              </w:rPr>
            </w:pPr>
            <w:r>
              <w:rPr>
                <w:b/>
                <w:noProof/>
                <w:color w:val="000000" w:themeColor="text1"/>
              </w:rPr>
              <w:t>13</w:t>
            </w:r>
          </w:p>
        </w:tc>
        <w:tc>
          <w:tcPr>
            <w:tcW w:w="1084" w:type="pct"/>
            <w:vAlign w:val="center"/>
          </w:tcPr>
          <w:p w:rsidR="003E180D" w:rsidRDefault="003E180D" w:rsidP="0088305C">
            <w:pPr>
              <w:spacing w:before="60" w:after="60"/>
              <w:jc w:val="center"/>
              <w:rPr>
                <w:noProof/>
                <w:color w:val="000000" w:themeColor="text1"/>
              </w:rPr>
            </w:pPr>
            <w:r>
              <w:rPr>
                <w:noProof/>
                <w:color w:val="000000" w:themeColor="text1"/>
              </w:rPr>
              <w:t>6x6</w:t>
            </w:r>
          </w:p>
        </w:tc>
        <w:tc>
          <w:tcPr>
            <w:tcW w:w="1355" w:type="pct"/>
            <w:vAlign w:val="bottom"/>
          </w:tcPr>
          <w:p w:rsidR="003E180D" w:rsidRDefault="003E180D" w:rsidP="0088305C">
            <w:pPr>
              <w:spacing w:before="60" w:after="60"/>
              <w:jc w:val="center"/>
              <w:rPr>
                <w:noProof/>
              </w:rPr>
            </w:pPr>
            <w:r>
              <w:rPr>
                <w:noProof/>
                <w:color w:val="000000" w:themeColor="text1"/>
              </w:rPr>
              <w:t>Rigid</w:t>
            </w:r>
          </w:p>
        </w:tc>
        <w:tc>
          <w:tcPr>
            <w:tcW w:w="1671" w:type="pct"/>
            <w:vAlign w:val="bottom"/>
          </w:tcPr>
          <w:p w:rsidR="003E180D" w:rsidRDefault="003E180D" w:rsidP="0088305C">
            <w:pPr>
              <w:spacing w:before="60" w:after="60"/>
              <w:jc w:val="center"/>
              <w:rPr>
                <w:noProof/>
              </w:rPr>
            </w:pPr>
            <w:r>
              <w:rPr>
                <w:noProof/>
                <w:color w:val="000000" w:themeColor="text1"/>
              </w:rPr>
              <w:t>all weights</w:t>
            </w:r>
          </w:p>
        </w:tc>
      </w:tr>
      <w:tr w:rsidR="003E180D" w:rsidTr="0088305C">
        <w:trPr>
          <w:jc w:val="center"/>
        </w:trPr>
        <w:tc>
          <w:tcPr>
            <w:tcW w:w="889" w:type="pct"/>
            <w:vAlign w:val="bottom"/>
          </w:tcPr>
          <w:p w:rsidR="003E180D" w:rsidRDefault="003E180D" w:rsidP="0088305C">
            <w:pPr>
              <w:spacing w:before="60" w:after="60"/>
              <w:jc w:val="center"/>
              <w:rPr>
                <w:b/>
                <w:noProof/>
                <w:color w:val="000000" w:themeColor="text1"/>
              </w:rPr>
            </w:pPr>
            <w:r>
              <w:rPr>
                <w:b/>
                <w:noProof/>
                <w:color w:val="000000" w:themeColor="text1"/>
              </w:rPr>
              <w:t>14</w:t>
            </w:r>
          </w:p>
        </w:tc>
        <w:tc>
          <w:tcPr>
            <w:tcW w:w="1084" w:type="pct"/>
            <w:vAlign w:val="center"/>
          </w:tcPr>
          <w:p w:rsidR="003E180D" w:rsidRDefault="003E180D" w:rsidP="0088305C">
            <w:pPr>
              <w:spacing w:before="60" w:after="60"/>
              <w:jc w:val="center"/>
              <w:rPr>
                <w:noProof/>
                <w:color w:val="000000" w:themeColor="text1"/>
              </w:rPr>
            </w:pPr>
            <w:r>
              <w:rPr>
                <w:noProof/>
                <w:color w:val="000000" w:themeColor="text1"/>
              </w:rPr>
              <w:t>6x6</w:t>
            </w:r>
          </w:p>
        </w:tc>
        <w:tc>
          <w:tcPr>
            <w:tcW w:w="1355" w:type="pct"/>
            <w:vAlign w:val="bottom"/>
          </w:tcPr>
          <w:p w:rsidR="003E180D" w:rsidRDefault="003E180D" w:rsidP="0088305C">
            <w:pPr>
              <w:spacing w:before="60" w:after="60"/>
              <w:jc w:val="center"/>
              <w:rPr>
                <w:noProof/>
              </w:rPr>
            </w:pPr>
            <w:r>
              <w:rPr>
                <w:noProof/>
                <w:color w:val="000000" w:themeColor="text1"/>
              </w:rPr>
              <w:t>Tractor</w:t>
            </w:r>
          </w:p>
        </w:tc>
        <w:tc>
          <w:tcPr>
            <w:tcW w:w="1671" w:type="pct"/>
            <w:vAlign w:val="bottom"/>
          </w:tcPr>
          <w:p w:rsidR="003E180D" w:rsidRDefault="003E180D" w:rsidP="0088305C">
            <w:pPr>
              <w:spacing w:before="60" w:after="60"/>
              <w:jc w:val="center"/>
              <w:rPr>
                <w:noProof/>
              </w:rPr>
            </w:pPr>
            <w:r>
              <w:rPr>
                <w:noProof/>
                <w:color w:val="000000" w:themeColor="text1"/>
              </w:rPr>
              <w:t>all weights</w:t>
            </w:r>
          </w:p>
        </w:tc>
      </w:tr>
      <w:tr w:rsidR="003E180D" w:rsidTr="0088305C">
        <w:trPr>
          <w:jc w:val="center"/>
        </w:trPr>
        <w:tc>
          <w:tcPr>
            <w:tcW w:w="889" w:type="pct"/>
            <w:vAlign w:val="bottom"/>
          </w:tcPr>
          <w:p w:rsidR="003E180D" w:rsidRDefault="003E180D" w:rsidP="0088305C">
            <w:pPr>
              <w:spacing w:before="60" w:after="60"/>
              <w:jc w:val="center"/>
              <w:rPr>
                <w:b/>
                <w:noProof/>
                <w:color w:val="000000" w:themeColor="text1"/>
              </w:rPr>
            </w:pPr>
            <w:r>
              <w:rPr>
                <w:b/>
                <w:noProof/>
                <w:color w:val="000000" w:themeColor="text1"/>
              </w:rPr>
              <w:t>15</w:t>
            </w:r>
          </w:p>
        </w:tc>
        <w:tc>
          <w:tcPr>
            <w:tcW w:w="1084" w:type="pct"/>
            <w:vAlign w:val="center"/>
          </w:tcPr>
          <w:p w:rsidR="003E180D" w:rsidRDefault="003E180D" w:rsidP="0088305C">
            <w:pPr>
              <w:spacing w:before="60" w:after="60"/>
              <w:jc w:val="center"/>
              <w:rPr>
                <w:noProof/>
                <w:color w:val="000000" w:themeColor="text1"/>
              </w:rPr>
            </w:pPr>
            <w:r>
              <w:rPr>
                <w:noProof/>
                <w:color w:val="000000" w:themeColor="text1"/>
              </w:rPr>
              <w:t>8x2</w:t>
            </w:r>
          </w:p>
        </w:tc>
        <w:tc>
          <w:tcPr>
            <w:tcW w:w="1355" w:type="pct"/>
            <w:vAlign w:val="bottom"/>
          </w:tcPr>
          <w:p w:rsidR="003E180D" w:rsidRDefault="003E180D" w:rsidP="0088305C">
            <w:pPr>
              <w:spacing w:before="60" w:after="60"/>
              <w:jc w:val="center"/>
              <w:rPr>
                <w:noProof/>
              </w:rPr>
            </w:pPr>
            <w:r>
              <w:rPr>
                <w:noProof/>
                <w:color w:val="000000" w:themeColor="text1"/>
              </w:rPr>
              <w:t>Rigid</w:t>
            </w:r>
          </w:p>
        </w:tc>
        <w:tc>
          <w:tcPr>
            <w:tcW w:w="1671" w:type="pct"/>
            <w:vAlign w:val="bottom"/>
          </w:tcPr>
          <w:p w:rsidR="003E180D" w:rsidRDefault="003E180D" w:rsidP="0088305C">
            <w:pPr>
              <w:spacing w:before="60" w:after="60"/>
              <w:jc w:val="center"/>
              <w:rPr>
                <w:noProof/>
              </w:rPr>
            </w:pPr>
            <w:r>
              <w:rPr>
                <w:noProof/>
                <w:color w:val="000000" w:themeColor="text1"/>
              </w:rPr>
              <w:t>all weights</w:t>
            </w:r>
          </w:p>
        </w:tc>
      </w:tr>
      <w:tr w:rsidR="003E180D" w:rsidTr="0088305C">
        <w:trPr>
          <w:jc w:val="center"/>
        </w:trPr>
        <w:tc>
          <w:tcPr>
            <w:tcW w:w="889" w:type="pct"/>
            <w:vAlign w:val="center"/>
          </w:tcPr>
          <w:p w:rsidR="003E180D" w:rsidRDefault="003E180D" w:rsidP="0088305C">
            <w:pPr>
              <w:spacing w:before="60" w:after="60"/>
              <w:jc w:val="center"/>
              <w:rPr>
                <w:b/>
                <w:noProof/>
                <w:color w:val="000000" w:themeColor="text1"/>
              </w:rPr>
            </w:pPr>
            <w:r>
              <w:rPr>
                <w:b/>
                <w:noProof/>
                <w:color w:val="000000" w:themeColor="text1"/>
              </w:rPr>
              <w:t>16</w:t>
            </w:r>
          </w:p>
        </w:tc>
        <w:tc>
          <w:tcPr>
            <w:tcW w:w="1084" w:type="pct"/>
            <w:vAlign w:val="center"/>
          </w:tcPr>
          <w:p w:rsidR="003E180D" w:rsidRDefault="003E180D" w:rsidP="0088305C">
            <w:pPr>
              <w:spacing w:before="60" w:after="60"/>
              <w:jc w:val="center"/>
              <w:rPr>
                <w:noProof/>
                <w:color w:val="000000" w:themeColor="text1"/>
              </w:rPr>
            </w:pPr>
            <w:r>
              <w:rPr>
                <w:noProof/>
                <w:color w:val="000000" w:themeColor="text1"/>
              </w:rPr>
              <w:t>8x4</w:t>
            </w:r>
          </w:p>
        </w:tc>
        <w:tc>
          <w:tcPr>
            <w:tcW w:w="1355" w:type="pct"/>
            <w:vAlign w:val="center"/>
          </w:tcPr>
          <w:p w:rsidR="003E180D" w:rsidRDefault="003E180D" w:rsidP="0088305C">
            <w:pPr>
              <w:spacing w:before="60" w:after="60"/>
              <w:jc w:val="center"/>
              <w:rPr>
                <w:noProof/>
              </w:rPr>
            </w:pPr>
            <w:r>
              <w:rPr>
                <w:noProof/>
                <w:color w:val="000000" w:themeColor="text1"/>
              </w:rPr>
              <w:t>Rigid</w:t>
            </w:r>
          </w:p>
        </w:tc>
        <w:tc>
          <w:tcPr>
            <w:tcW w:w="1671" w:type="pct"/>
            <w:vAlign w:val="center"/>
          </w:tcPr>
          <w:p w:rsidR="003E180D" w:rsidRDefault="003E180D" w:rsidP="0088305C">
            <w:pPr>
              <w:spacing w:before="60" w:after="60"/>
              <w:jc w:val="center"/>
              <w:rPr>
                <w:noProof/>
              </w:rPr>
            </w:pPr>
            <w:r>
              <w:rPr>
                <w:noProof/>
                <w:color w:val="000000" w:themeColor="text1"/>
              </w:rPr>
              <w:t>all weights</w:t>
            </w:r>
          </w:p>
        </w:tc>
      </w:tr>
      <w:tr w:rsidR="003E180D" w:rsidTr="0088305C">
        <w:trPr>
          <w:jc w:val="center"/>
        </w:trPr>
        <w:tc>
          <w:tcPr>
            <w:tcW w:w="889" w:type="pct"/>
            <w:vAlign w:val="center"/>
          </w:tcPr>
          <w:p w:rsidR="003E180D" w:rsidRDefault="003E180D" w:rsidP="0088305C">
            <w:pPr>
              <w:spacing w:before="60" w:after="60"/>
              <w:jc w:val="center"/>
              <w:rPr>
                <w:b/>
                <w:noProof/>
                <w:color w:val="000000" w:themeColor="text1"/>
              </w:rPr>
            </w:pPr>
            <w:r>
              <w:rPr>
                <w:b/>
                <w:noProof/>
                <w:color w:val="000000" w:themeColor="text1"/>
              </w:rPr>
              <w:t>17</w:t>
            </w:r>
          </w:p>
        </w:tc>
        <w:tc>
          <w:tcPr>
            <w:tcW w:w="1084" w:type="pct"/>
            <w:vAlign w:val="center"/>
          </w:tcPr>
          <w:p w:rsidR="003E180D" w:rsidRDefault="003E180D" w:rsidP="0088305C">
            <w:pPr>
              <w:spacing w:before="60" w:after="60"/>
              <w:jc w:val="center"/>
              <w:rPr>
                <w:noProof/>
                <w:color w:val="000000" w:themeColor="text1"/>
              </w:rPr>
            </w:pPr>
            <w:r>
              <w:rPr>
                <w:noProof/>
                <w:color w:val="000000" w:themeColor="text1"/>
              </w:rPr>
              <w:t>8x6 or 8x8</w:t>
            </w:r>
          </w:p>
        </w:tc>
        <w:tc>
          <w:tcPr>
            <w:tcW w:w="1355" w:type="pct"/>
            <w:vAlign w:val="center"/>
          </w:tcPr>
          <w:p w:rsidR="003E180D" w:rsidRDefault="003E180D" w:rsidP="0088305C">
            <w:pPr>
              <w:spacing w:before="60" w:after="60"/>
              <w:jc w:val="center"/>
              <w:rPr>
                <w:noProof/>
              </w:rPr>
            </w:pPr>
            <w:r>
              <w:rPr>
                <w:noProof/>
                <w:color w:val="000000" w:themeColor="text1"/>
              </w:rPr>
              <w:t>Rigid</w:t>
            </w:r>
          </w:p>
        </w:tc>
        <w:tc>
          <w:tcPr>
            <w:tcW w:w="1671" w:type="pct"/>
            <w:vAlign w:val="center"/>
          </w:tcPr>
          <w:p w:rsidR="003E180D" w:rsidRDefault="003E180D" w:rsidP="0088305C">
            <w:pPr>
              <w:spacing w:before="60" w:after="60"/>
              <w:jc w:val="center"/>
              <w:rPr>
                <w:noProof/>
              </w:rPr>
            </w:pPr>
            <w:r>
              <w:rPr>
                <w:noProof/>
                <w:color w:val="000000" w:themeColor="text1"/>
              </w:rPr>
              <w:t>all weights</w:t>
            </w:r>
          </w:p>
        </w:tc>
      </w:tr>
    </w:tbl>
    <w:p w:rsidR="003E180D" w:rsidRDefault="003E180D" w:rsidP="003E180D">
      <w:pPr>
        <w:spacing w:after="0" w:line="240" w:lineRule="auto"/>
        <w:rPr>
          <w:rFonts w:eastAsia="Times New Roman" w:cs="Times New Roman"/>
          <w:b/>
          <w:bCs/>
          <w:noProof/>
          <w:color w:val="000000" w:themeColor="text1"/>
          <w:szCs w:val="24"/>
        </w:rPr>
      </w:pPr>
    </w:p>
    <w:p w:rsidR="003E180D" w:rsidRDefault="003E180D" w:rsidP="003E180D">
      <w:pPr>
        <w:keepNext/>
        <w:spacing w:line="240" w:lineRule="auto"/>
        <w:rPr>
          <w:rFonts w:cs="Times New Roman"/>
          <w:b/>
          <w:bCs/>
          <w:noProof/>
          <w:szCs w:val="24"/>
        </w:rPr>
      </w:pPr>
      <w:bookmarkStart w:id="587" w:name="_Ref507513600"/>
      <w:bookmarkStart w:id="588" w:name="_Ref507513590"/>
      <w:r>
        <w:rPr>
          <w:rFonts w:cs="Times New Roman"/>
          <w:b/>
          <w:bCs/>
          <w:noProof/>
          <w:szCs w:val="24"/>
        </w:rPr>
        <w:t xml:space="preserve">Table </w:t>
      </w:r>
      <w:r>
        <w:rPr>
          <w:rFonts w:cs="Times New Roman"/>
          <w:b/>
          <w:bCs/>
          <w:noProof/>
          <w:szCs w:val="24"/>
        </w:rPr>
        <w:fldChar w:fldCharType="begin"/>
      </w:r>
      <w:r>
        <w:rPr>
          <w:rFonts w:cs="Times New Roman"/>
          <w:b/>
          <w:bCs/>
          <w:noProof/>
          <w:szCs w:val="24"/>
        </w:rPr>
        <w:instrText xml:space="preserve"> SEQ Table \* ARABIC </w:instrText>
      </w:r>
      <w:r>
        <w:rPr>
          <w:rFonts w:cs="Times New Roman"/>
          <w:b/>
          <w:bCs/>
          <w:noProof/>
          <w:szCs w:val="24"/>
        </w:rPr>
        <w:fldChar w:fldCharType="separate"/>
      </w:r>
      <w:r>
        <w:rPr>
          <w:rFonts w:cs="Times New Roman"/>
          <w:b/>
          <w:bCs/>
          <w:noProof/>
          <w:szCs w:val="24"/>
        </w:rPr>
        <w:t>9</w:t>
      </w:r>
      <w:r>
        <w:rPr>
          <w:rFonts w:cs="Times New Roman"/>
          <w:b/>
          <w:bCs/>
          <w:noProof/>
          <w:szCs w:val="24"/>
        </w:rPr>
        <w:fldChar w:fldCharType="end"/>
      </w:r>
      <w:bookmarkEnd w:id="587"/>
      <w:r>
        <w:rPr>
          <w:rFonts w:cs="Times New Roman"/>
          <w:b/>
          <w:bCs/>
          <w:noProof/>
          <w:szCs w:val="24"/>
        </w:rPr>
        <w:t>: Visual illustration of HDVs in groups 4, 5, 9 and 10</w:t>
      </w:r>
      <w:bookmarkEnd w:id="588"/>
    </w:p>
    <w:tbl>
      <w:tblPr>
        <w:tblStyle w:val="TableGrid3"/>
        <w:tblW w:w="5000" w:type="pct"/>
        <w:tblLook w:val="04A0" w:firstRow="1" w:lastRow="0" w:firstColumn="1" w:lastColumn="0" w:noHBand="0" w:noVBand="1"/>
      </w:tblPr>
      <w:tblGrid>
        <w:gridCol w:w="1479"/>
        <w:gridCol w:w="2864"/>
        <w:gridCol w:w="1489"/>
        <w:gridCol w:w="3001"/>
      </w:tblGrid>
      <w:tr w:rsidR="003E180D" w:rsidTr="0088305C">
        <w:trPr>
          <w:trHeight w:val="737"/>
        </w:trPr>
        <w:tc>
          <w:tcPr>
            <w:tcW w:w="950" w:type="pct"/>
            <w:vAlign w:val="center"/>
          </w:tcPr>
          <w:p w:rsidR="003E180D" w:rsidRDefault="003E180D" w:rsidP="0088305C">
            <w:pPr>
              <w:keepNext/>
              <w:spacing w:before="60" w:after="60"/>
              <w:jc w:val="center"/>
              <w:rPr>
                <w:b/>
                <w:noProof/>
              </w:rPr>
            </w:pPr>
            <w:r>
              <w:rPr>
                <w:b/>
                <w:noProof/>
              </w:rPr>
              <w:t>Vehicle group</w:t>
            </w:r>
          </w:p>
        </w:tc>
        <w:tc>
          <w:tcPr>
            <w:tcW w:w="1734" w:type="pct"/>
            <w:vAlign w:val="center"/>
          </w:tcPr>
          <w:p w:rsidR="003E180D" w:rsidRDefault="003E180D" w:rsidP="0088305C">
            <w:pPr>
              <w:keepNext/>
              <w:spacing w:before="60" w:after="60"/>
              <w:jc w:val="center"/>
              <w:rPr>
                <w:b/>
                <w:noProof/>
              </w:rPr>
            </w:pPr>
            <w:r>
              <w:rPr>
                <w:b/>
                <w:noProof/>
              </w:rPr>
              <w:t xml:space="preserve">Axle </w:t>
            </w:r>
            <w:r>
              <w:rPr>
                <w:rFonts w:cs="Times New Roman"/>
                <w:b/>
                <w:noProof/>
              </w:rPr>
              <w:t xml:space="preserve">and chassis </w:t>
            </w:r>
            <w:r>
              <w:rPr>
                <w:b/>
                <w:noProof/>
              </w:rPr>
              <w:t xml:space="preserve">configuration </w:t>
            </w:r>
          </w:p>
        </w:tc>
        <w:tc>
          <w:tcPr>
            <w:tcW w:w="505" w:type="pct"/>
            <w:vAlign w:val="center"/>
          </w:tcPr>
          <w:p w:rsidR="003E180D" w:rsidRDefault="003E180D" w:rsidP="0088305C">
            <w:pPr>
              <w:keepNext/>
              <w:spacing w:before="60" w:after="60"/>
              <w:jc w:val="center"/>
              <w:rPr>
                <w:b/>
                <w:noProof/>
              </w:rPr>
            </w:pPr>
            <w:r>
              <w:rPr>
                <w:rFonts w:cs="Times New Roman"/>
                <w:b/>
                <w:noProof/>
              </w:rPr>
              <w:t>Without trailer</w:t>
            </w:r>
          </w:p>
        </w:tc>
        <w:tc>
          <w:tcPr>
            <w:tcW w:w="1811" w:type="pct"/>
            <w:vAlign w:val="center"/>
          </w:tcPr>
          <w:p w:rsidR="003E180D" w:rsidRDefault="003E180D" w:rsidP="0088305C">
            <w:pPr>
              <w:keepNext/>
              <w:spacing w:before="60" w:after="60"/>
              <w:jc w:val="center"/>
              <w:rPr>
                <w:b/>
                <w:noProof/>
              </w:rPr>
            </w:pPr>
            <w:r>
              <w:rPr>
                <w:b/>
                <w:noProof/>
              </w:rPr>
              <w:t>With trailer</w:t>
            </w:r>
          </w:p>
        </w:tc>
      </w:tr>
      <w:tr w:rsidR="003E180D" w:rsidTr="0088305C">
        <w:trPr>
          <w:trHeight w:val="652"/>
        </w:trPr>
        <w:tc>
          <w:tcPr>
            <w:tcW w:w="950" w:type="pct"/>
            <w:vAlign w:val="center"/>
          </w:tcPr>
          <w:p w:rsidR="003E180D" w:rsidRDefault="003E180D" w:rsidP="0088305C">
            <w:pPr>
              <w:keepNext/>
              <w:jc w:val="center"/>
              <w:rPr>
                <w:b/>
                <w:noProof/>
              </w:rPr>
            </w:pPr>
            <w:r>
              <w:rPr>
                <w:b/>
                <w:noProof/>
              </w:rPr>
              <w:t>4</w:t>
            </w:r>
          </w:p>
        </w:tc>
        <w:tc>
          <w:tcPr>
            <w:tcW w:w="1734" w:type="pct"/>
            <w:vAlign w:val="center"/>
          </w:tcPr>
          <w:p w:rsidR="003E180D" w:rsidRDefault="003E180D" w:rsidP="0088305C">
            <w:pPr>
              <w:keepNext/>
              <w:jc w:val="center"/>
              <w:rPr>
                <w:noProof/>
              </w:rPr>
            </w:pPr>
            <w:r>
              <w:rPr>
                <w:noProof/>
              </w:rPr>
              <w:t>4x2 Rigid</w:t>
            </w:r>
          </w:p>
        </w:tc>
        <w:tc>
          <w:tcPr>
            <w:tcW w:w="505" w:type="pct"/>
            <w:vAlign w:val="center"/>
          </w:tcPr>
          <w:p w:rsidR="003E180D" w:rsidRDefault="003E180D" w:rsidP="0088305C">
            <w:pPr>
              <w:keepNext/>
              <w:jc w:val="center"/>
              <w:rPr>
                <w:noProof/>
              </w:rPr>
            </w:pPr>
            <w:r>
              <w:rPr>
                <w:noProof/>
                <w:lang w:eastAsia="en-GB"/>
              </w:rPr>
              <w:drawing>
                <wp:inline distT="0" distB="0" distL="0" distR="0" wp14:anchorId="6AC02392" wp14:editId="68217998">
                  <wp:extent cx="618490" cy="323215"/>
                  <wp:effectExtent l="0" t="0" r="0" b="635"/>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618490" cy="323215"/>
                          </a:xfrm>
                          <a:prstGeom prst="rect">
                            <a:avLst/>
                          </a:prstGeom>
                        </pic:spPr>
                      </pic:pic>
                    </a:graphicData>
                  </a:graphic>
                </wp:inline>
              </w:drawing>
            </w:r>
          </w:p>
        </w:tc>
        <w:tc>
          <w:tcPr>
            <w:tcW w:w="1811" w:type="pct"/>
            <w:vAlign w:val="center"/>
          </w:tcPr>
          <w:p w:rsidR="003E180D" w:rsidRDefault="003E180D" w:rsidP="0088305C">
            <w:pPr>
              <w:keepNext/>
              <w:jc w:val="center"/>
              <w:rPr>
                <w:noProof/>
              </w:rPr>
            </w:pPr>
            <w:r>
              <w:rPr>
                <w:noProof/>
                <w:lang w:eastAsia="en-GB"/>
              </w:rPr>
              <w:drawing>
                <wp:inline distT="0" distB="0" distL="0" distR="0" wp14:anchorId="6742A916" wp14:editId="035DAE47">
                  <wp:extent cx="1185545" cy="419100"/>
                  <wp:effectExtent l="0" t="0" r="0" b="0"/>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l="11439" t="13092" r="42620" b="75935"/>
                          <a:stretch/>
                        </pic:blipFill>
                        <pic:spPr bwMode="auto">
                          <a:xfrm>
                            <a:off x="0" y="0"/>
                            <a:ext cx="1185545" cy="419100"/>
                          </a:xfrm>
                          <a:prstGeom prst="rect">
                            <a:avLst/>
                          </a:prstGeom>
                          <a:ln>
                            <a:noFill/>
                          </a:ln>
                          <a:extLst>
                            <a:ext uri="{53640926-AAD7-44D8-BBD7-CCE9431645EC}">
                              <a14:shadowObscured xmlns:a14="http://schemas.microsoft.com/office/drawing/2010/main"/>
                            </a:ext>
                          </a:extLst>
                        </pic:spPr>
                      </pic:pic>
                    </a:graphicData>
                  </a:graphic>
                </wp:inline>
              </w:drawing>
            </w:r>
          </w:p>
        </w:tc>
      </w:tr>
      <w:tr w:rsidR="003E180D" w:rsidTr="0088305C">
        <w:trPr>
          <w:trHeight w:val="664"/>
        </w:trPr>
        <w:tc>
          <w:tcPr>
            <w:tcW w:w="950" w:type="pct"/>
            <w:vAlign w:val="center"/>
          </w:tcPr>
          <w:p w:rsidR="003E180D" w:rsidRDefault="003E180D" w:rsidP="0088305C">
            <w:pPr>
              <w:jc w:val="center"/>
              <w:rPr>
                <w:b/>
                <w:noProof/>
              </w:rPr>
            </w:pPr>
            <w:r>
              <w:rPr>
                <w:b/>
                <w:noProof/>
              </w:rPr>
              <w:t>5</w:t>
            </w:r>
          </w:p>
        </w:tc>
        <w:tc>
          <w:tcPr>
            <w:tcW w:w="1734" w:type="pct"/>
            <w:vAlign w:val="center"/>
          </w:tcPr>
          <w:p w:rsidR="003E180D" w:rsidRDefault="003E180D" w:rsidP="0088305C">
            <w:pPr>
              <w:jc w:val="center"/>
              <w:rPr>
                <w:noProof/>
              </w:rPr>
            </w:pPr>
            <w:r>
              <w:rPr>
                <w:noProof/>
              </w:rPr>
              <w:t>4x2 Tractor</w:t>
            </w:r>
          </w:p>
        </w:tc>
        <w:tc>
          <w:tcPr>
            <w:tcW w:w="505" w:type="pct"/>
            <w:vAlign w:val="center"/>
          </w:tcPr>
          <w:p w:rsidR="003E180D" w:rsidRDefault="003E180D" w:rsidP="0088305C">
            <w:pPr>
              <w:jc w:val="center"/>
              <w:rPr>
                <w:noProof/>
              </w:rPr>
            </w:pPr>
            <w:r>
              <w:rPr>
                <w:noProof/>
                <w:lang w:eastAsia="en-GB"/>
              </w:rPr>
              <w:drawing>
                <wp:inline distT="0" distB="0" distL="0" distR="0" wp14:anchorId="3BF381E1" wp14:editId="07CA7566">
                  <wp:extent cx="808689" cy="423169"/>
                  <wp:effectExtent l="0" t="0" r="0" b="0"/>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8857" cy="423257"/>
                          </a:xfrm>
                          <a:prstGeom prst="rect">
                            <a:avLst/>
                          </a:prstGeom>
                          <a:noFill/>
                          <a:ln>
                            <a:noFill/>
                          </a:ln>
                        </pic:spPr>
                      </pic:pic>
                    </a:graphicData>
                  </a:graphic>
                </wp:inline>
              </w:drawing>
            </w:r>
          </w:p>
        </w:tc>
        <w:tc>
          <w:tcPr>
            <w:tcW w:w="1811" w:type="pct"/>
            <w:vAlign w:val="center"/>
          </w:tcPr>
          <w:p w:rsidR="003E180D" w:rsidRDefault="003E180D" w:rsidP="0088305C">
            <w:pPr>
              <w:jc w:val="center"/>
              <w:rPr>
                <w:noProof/>
              </w:rPr>
            </w:pPr>
            <w:r>
              <w:rPr>
                <w:noProof/>
                <w:lang w:eastAsia="en-GB"/>
              </w:rPr>
              <w:drawing>
                <wp:inline distT="0" distB="0" distL="0" distR="0" wp14:anchorId="7D0689AA" wp14:editId="7EDC4720">
                  <wp:extent cx="1233788" cy="345969"/>
                  <wp:effectExtent l="0" t="0" r="5080" b="0"/>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35914" cy="346565"/>
                          </a:xfrm>
                          <a:prstGeom prst="rect">
                            <a:avLst/>
                          </a:prstGeom>
                          <a:noFill/>
                          <a:ln>
                            <a:noFill/>
                          </a:ln>
                        </pic:spPr>
                      </pic:pic>
                    </a:graphicData>
                  </a:graphic>
                </wp:inline>
              </w:drawing>
            </w:r>
          </w:p>
        </w:tc>
      </w:tr>
      <w:tr w:rsidR="003E180D" w:rsidTr="0088305C">
        <w:trPr>
          <w:trHeight w:val="552"/>
        </w:trPr>
        <w:tc>
          <w:tcPr>
            <w:tcW w:w="950" w:type="pct"/>
            <w:vAlign w:val="center"/>
          </w:tcPr>
          <w:p w:rsidR="003E180D" w:rsidRDefault="003E180D" w:rsidP="0088305C">
            <w:pPr>
              <w:jc w:val="center"/>
              <w:rPr>
                <w:b/>
                <w:noProof/>
              </w:rPr>
            </w:pPr>
            <w:r>
              <w:rPr>
                <w:b/>
                <w:noProof/>
              </w:rPr>
              <w:t>9</w:t>
            </w:r>
          </w:p>
        </w:tc>
        <w:tc>
          <w:tcPr>
            <w:tcW w:w="1734" w:type="pct"/>
            <w:vAlign w:val="center"/>
          </w:tcPr>
          <w:p w:rsidR="003E180D" w:rsidRDefault="003E180D" w:rsidP="0088305C">
            <w:pPr>
              <w:jc w:val="center"/>
              <w:rPr>
                <w:noProof/>
              </w:rPr>
            </w:pPr>
            <w:r>
              <w:rPr>
                <w:noProof/>
              </w:rPr>
              <w:t>6x2 Rigid</w:t>
            </w:r>
          </w:p>
        </w:tc>
        <w:tc>
          <w:tcPr>
            <w:tcW w:w="505" w:type="pct"/>
            <w:vAlign w:val="center"/>
          </w:tcPr>
          <w:p w:rsidR="003E180D" w:rsidRDefault="003E180D" w:rsidP="0088305C">
            <w:pPr>
              <w:jc w:val="center"/>
              <w:rPr>
                <w:noProof/>
              </w:rPr>
            </w:pPr>
            <w:r>
              <w:rPr>
                <w:noProof/>
                <w:lang w:eastAsia="en-GB"/>
              </w:rPr>
              <w:drawing>
                <wp:inline distT="0" distB="0" distL="0" distR="0" wp14:anchorId="63A186F1" wp14:editId="46C2B02E">
                  <wp:extent cx="698095" cy="325296"/>
                  <wp:effectExtent l="0" t="0" r="6985" b="0"/>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02325" cy="327267"/>
                          </a:xfrm>
                          <a:prstGeom prst="rect">
                            <a:avLst/>
                          </a:prstGeom>
                          <a:noFill/>
                          <a:ln>
                            <a:noFill/>
                          </a:ln>
                        </pic:spPr>
                      </pic:pic>
                    </a:graphicData>
                  </a:graphic>
                </wp:inline>
              </w:drawing>
            </w:r>
          </w:p>
        </w:tc>
        <w:tc>
          <w:tcPr>
            <w:tcW w:w="1811" w:type="pct"/>
            <w:vAlign w:val="center"/>
          </w:tcPr>
          <w:p w:rsidR="003E180D" w:rsidRDefault="003E180D" w:rsidP="0088305C">
            <w:pPr>
              <w:jc w:val="center"/>
              <w:rPr>
                <w:noProof/>
              </w:rPr>
            </w:pPr>
            <w:r>
              <w:rPr>
                <w:noProof/>
                <w:lang w:eastAsia="en-GB"/>
              </w:rPr>
              <w:drawing>
                <wp:inline distT="0" distB="0" distL="0" distR="0" wp14:anchorId="35EDAC61" wp14:editId="79FACCA4">
                  <wp:extent cx="1432384" cy="344510"/>
                  <wp:effectExtent l="0" t="0" r="0" b="0"/>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2317" cy="344494"/>
                          </a:xfrm>
                          <a:prstGeom prst="rect">
                            <a:avLst/>
                          </a:prstGeom>
                          <a:noFill/>
                          <a:ln>
                            <a:noFill/>
                          </a:ln>
                        </pic:spPr>
                      </pic:pic>
                    </a:graphicData>
                  </a:graphic>
                </wp:inline>
              </w:drawing>
            </w:r>
          </w:p>
        </w:tc>
      </w:tr>
      <w:tr w:rsidR="003E180D" w:rsidTr="0088305C">
        <w:trPr>
          <w:trHeight w:val="57"/>
        </w:trPr>
        <w:tc>
          <w:tcPr>
            <w:tcW w:w="950" w:type="pct"/>
            <w:vAlign w:val="center"/>
          </w:tcPr>
          <w:p w:rsidR="003E180D" w:rsidRDefault="003E180D" w:rsidP="0088305C">
            <w:pPr>
              <w:jc w:val="center"/>
              <w:rPr>
                <w:b/>
                <w:noProof/>
              </w:rPr>
            </w:pPr>
            <w:r>
              <w:rPr>
                <w:b/>
                <w:noProof/>
              </w:rPr>
              <w:t>10</w:t>
            </w:r>
          </w:p>
        </w:tc>
        <w:tc>
          <w:tcPr>
            <w:tcW w:w="1734" w:type="pct"/>
            <w:vAlign w:val="center"/>
          </w:tcPr>
          <w:p w:rsidR="003E180D" w:rsidRDefault="003E180D" w:rsidP="0088305C">
            <w:pPr>
              <w:jc w:val="center"/>
              <w:rPr>
                <w:noProof/>
              </w:rPr>
            </w:pPr>
            <w:r>
              <w:rPr>
                <w:noProof/>
              </w:rPr>
              <w:t>6x2 Tractor</w:t>
            </w:r>
          </w:p>
        </w:tc>
        <w:tc>
          <w:tcPr>
            <w:tcW w:w="505" w:type="pct"/>
            <w:vAlign w:val="center"/>
          </w:tcPr>
          <w:p w:rsidR="003E180D" w:rsidRDefault="003E180D" w:rsidP="0088305C">
            <w:pPr>
              <w:jc w:val="center"/>
              <w:rPr>
                <w:noProof/>
              </w:rPr>
            </w:pPr>
            <w:r>
              <w:rPr>
                <w:noProof/>
                <w:lang w:eastAsia="en-GB"/>
              </w:rPr>
              <w:drawing>
                <wp:inline distT="0" distB="0" distL="0" distR="0" wp14:anchorId="2589B3C1" wp14:editId="2EC1B67A">
                  <wp:extent cx="638886" cy="364703"/>
                  <wp:effectExtent l="0" t="0" r="8890" b="0"/>
                  <wp:docPr id="2488" name="Picture 248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0299" r="4546" b="13790"/>
                          <a:stretch/>
                        </pic:blipFill>
                        <pic:spPr bwMode="auto">
                          <a:xfrm>
                            <a:off x="0" y="0"/>
                            <a:ext cx="638886" cy="3647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11" w:type="pct"/>
            <w:vAlign w:val="center"/>
          </w:tcPr>
          <w:p w:rsidR="003E180D" w:rsidRDefault="003E180D" w:rsidP="0088305C">
            <w:pPr>
              <w:jc w:val="center"/>
              <w:rPr>
                <w:noProof/>
              </w:rPr>
            </w:pPr>
            <w:r>
              <w:rPr>
                <w:noProof/>
                <w:lang w:eastAsia="en-GB"/>
              </w:rPr>
              <w:drawing>
                <wp:inline distT="0" distB="0" distL="0" distR="0" wp14:anchorId="5882251C" wp14:editId="13D68542">
                  <wp:extent cx="1326673" cy="384440"/>
                  <wp:effectExtent l="0" t="0" r="6985" b="0"/>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26673" cy="384440"/>
                          </a:xfrm>
                          <a:prstGeom prst="rect">
                            <a:avLst/>
                          </a:prstGeom>
                          <a:noFill/>
                          <a:ln>
                            <a:noFill/>
                          </a:ln>
                        </pic:spPr>
                      </pic:pic>
                    </a:graphicData>
                  </a:graphic>
                </wp:inline>
              </w:drawing>
            </w:r>
          </w:p>
        </w:tc>
      </w:tr>
    </w:tbl>
    <w:p w:rsidR="003E180D" w:rsidRDefault="003E180D" w:rsidP="003E180D">
      <w:pPr>
        <w:spacing w:before="240" w:after="120" w:line="240" w:lineRule="auto"/>
        <w:jc w:val="both"/>
        <w:rPr>
          <w:rFonts w:eastAsia="Times New Roman" w:cs="Times New Roman"/>
          <w:noProof/>
          <w:szCs w:val="24"/>
        </w:rPr>
      </w:pPr>
      <w:r>
        <w:rPr>
          <w:rFonts w:eastAsia="Times New Roman" w:cs="Times New Roman"/>
          <w:noProof/>
          <w:szCs w:val="24"/>
        </w:rPr>
        <w:t xml:space="preserve">As shown in </w:t>
      </w:r>
      <w:r>
        <w:rPr>
          <w:rFonts w:eastAsia="Times New Roman" w:cs="Times New Roman"/>
          <w:noProof/>
          <w:szCs w:val="24"/>
        </w:rPr>
        <w:fldChar w:fldCharType="begin"/>
      </w:r>
      <w:r>
        <w:rPr>
          <w:rFonts w:eastAsia="Times New Roman" w:cs="Times New Roman"/>
          <w:noProof/>
          <w:szCs w:val="24"/>
        </w:rPr>
        <w:instrText xml:space="preserve"> REF _Ref511919066 \h  \* MERGEFORMAT </w:instrText>
      </w:r>
      <w:r>
        <w:rPr>
          <w:rFonts w:eastAsia="Times New Roman" w:cs="Times New Roman"/>
          <w:noProof/>
          <w:szCs w:val="24"/>
        </w:rPr>
      </w:r>
      <w:r>
        <w:rPr>
          <w:rFonts w:eastAsia="Times New Roman" w:cs="Times New Roman"/>
          <w:noProof/>
          <w:szCs w:val="24"/>
        </w:rPr>
        <w:fldChar w:fldCharType="separate"/>
      </w:r>
      <w:r>
        <w:rPr>
          <w:rFonts w:cs="Times New Roman"/>
          <w:bCs/>
          <w:noProof/>
          <w:color w:val="000000" w:themeColor="text1"/>
          <w:szCs w:val="24"/>
        </w:rPr>
        <w:t xml:space="preserve">Figure </w:t>
      </w:r>
      <w:r>
        <w:rPr>
          <w:rFonts w:eastAsia="Times New Roman" w:cs="Times New Roman"/>
          <w:noProof/>
          <w:szCs w:val="24"/>
        </w:rPr>
        <w:t>12</w:t>
      </w:r>
      <w:r>
        <w:rPr>
          <w:rFonts w:eastAsia="Times New Roman" w:cs="Times New Roman"/>
          <w:noProof/>
          <w:szCs w:val="24"/>
        </w:rPr>
        <w:fldChar w:fldCharType="end"/>
      </w:r>
      <w:r>
        <w:rPr>
          <w:rFonts w:eastAsia="Times New Roman" w:cs="Times New Roman"/>
          <w:noProof/>
          <w:szCs w:val="24"/>
        </w:rPr>
        <w:t>, based on calculations made in 2012</w:t>
      </w:r>
      <w:r>
        <w:rPr>
          <w:rFonts w:eastAsia="Times New Roman" w:cs="Times New Roman"/>
          <w:noProof/>
          <w:szCs w:val="24"/>
          <w:vertAlign w:val="superscript"/>
        </w:rPr>
        <w:footnoteReference w:id="73"/>
      </w:r>
      <w:r>
        <w:rPr>
          <w:rFonts w:eastAsia="Times New Roman" w:cs="Times New Roman"/>
          <w:noProof/>
          <w:szCs w:val="24"/>
        </w:rPr>
        <w:t>, lorries falling in Groups 4, 5, 9 and 10 are together responsible for some 79% of the overall CO</w:t>
      </w:r>
      <w:r>
        <w:rPr>
          <w:rFonts w:eastAsia="Times New Roman" w:cs="Times New Roman"/>
          <w:noProof/>
          <w:szCs w:val="24"/>
          <w:vertAlign w:val="subscript"/>
        </w:rPr>
        <w:t>2</w:t>
      </w:r>
      <w:r>
        <w:rPr>
          <w:noProof/>
        </w:rPr>
        <w:t xml:space="preserve"> </w:t>
      </w:r>
      <w:r>
        <w:rPr>
          <w:rFonts w:eastAsia="Times New Roman" w:cs="Times New Roman"/>
          <w:noProof/>
          <w:szCs w:val="24"/>
        </w:rPr>
        <w:t>emissions of the 18 vehicle groups listed above and about 65% to 70% of total HDV CO</w:t>
      </w:r>
      <w:r>
        <w:rPr>
          <w:rFonts w:eastAsia="Times New Roman" w:cs="Times New Roman"/>
          <w:noProof/>
          <w:szCs w:val="24"/>
          <w:vertAlign w:val="subscript"/>
        </w:rPr>
        <w:t>2</w:t>
      </w:r>
      <w:r>
        <w:rPr>
          <w:noProof/>
        </w:rPr>
        <w:t xml:space="preserve"> </w:t>
      </w:r>
      <w:r>
        <w:rPr>
          <w:rFonts w:eastAsia="Times New Roman" w:cs="Times New Roman"/>
          <w:noProof/>
          <w:szCs w:val="24"/>
        </w:rPr>
        <w:t>emissions. Buses and coaches represent about 10% of the total HDV CO</w:t>
      </w:r>
      <w:r>
        <w:rPr>
          <w:rFonts w:eastAsia="Times New Roman" w:cs="Times New Roman"/>
          <w:noProof/>
          <w:szCs w:val="24"/>
          <w:vertAlign w:val="subscript"/>
        </w:rPr>
        <w:t>2</w:t>
      </w:r>
      <w:r>
        <w:rPr>
          <w:noProof/>
        </w:rPr>
        <w:t xml:space="preserve"> </w:t>
      </w:r>
      <w:r>
        <w:rPr>
          <w:rFonts w:eastAsia="Times New Roman" w:cs="Times New Roman"/>
          <w:noProof/>
          <w:szCs w:val="24"/>
        </w:rPr>
        <w:t xml:space="preserve">emissions. Annually, some 250,000 new lorries falling into these four groups are registered. </w:t>
      </w:r>
    </w:p>
    <w:p w:rsidR="003E180D" w:rsidRDefault="003E180D" w:rsidP="003E180D">
      <w:pPr>
        <w:spacing w:after="120" w:line="240" w:lineRule="auto"/>
        <w:jc w:val="both"/>
        <w:rPr>
          <w:rFonts w:cs="Times New Roman"/>
          <w:b/>
          <w:bCs/>
          <w:noProof/>
          <w:color w:val="000000" w:themeColor="text1"/>
          <w:szCs w:val="24"/>
        </w:rPr>
      </w:pPr>
      <w:r>
        <w:rPr>
          <w:rFonts w:eastAsia="Times New Roman" w:cs="Times New Roman"/>
          <w:noProof/>
          <w:szCs w:val="24"/>
        </w:rPr>
        <w:t>The lorries in group 5 (4x2 tractor with a GVW of more than 16 t) contribute by far the most to the total emissions, accounting for some 54% of the total emissions of the 18 HDV groups shown.</w:t>
      </w:r>
      <w:bookmarkStart w:id="589" w:name="_Ref508202184"/>
      <w:bookmarkStart w:id="590" w:name="_Ref503539251"/>
      <w:bookmarkStart w:id="591" w:name="_Ref504745161"/>
    </w:p>
    <w:p w:rsidR="003E180D" w:rsidRDefault="003E180D" w:rsidP="003E180D">
      <w:pPr>
        <w:spacing w:after="120" w:line="240" w:lineRule="auto"/>
        <w:jc w:val="both"/>
        <w:rPr>
          <w:rFonts w:cs="Times New Roman"/>
          <w:b/>
          <w:bCs/>
          <w:noProof/>
          <w:color w:val="000000" w:themeColor="text1"/>
          <w:szCs w:val="24"/>
        </w:rPr>
      </w:pPr>
      <w:bookmarkStart w:id="592" w:name="_Ref511919066"/>
      <w:r>
        <w:rPr>
          <w:rFonts w:cs="Times New Roman"/>
          <w:b/>
          <w:bCs/>
          <w:noProof/>
          <w:color w:val="000000" w:themeColor="text1"/>
          <w:szCs w:val="24"/>
        </w:rPr>
        <w:t xml:space="preserve">Figure </w:t>
      </w:r>
      <w:r>
        <w:rPr>
          <w:rFonts w:cs="Times New Roman"/>
          <w:b/>
          <w:bCs/>
          <w:noProof/>
          <w:color w:val="000000" w:themeColor="text1"/>
          <w:szCs w:val="24"/>
        </w:rPr>
        <w:fldChar w:fldCharType="begin"/>
      </w:r>
      <w:r>
        <w:rPr>
          <w:rFonts w:eastAsia="Times New Roman" w:cs="Times New Roman"/>
          <w:b/>
          <w:noProof/>
          <w:szCs w:val="24"/>
        </w:rPr>
        <w:instrText xml:space="preserve"> SEQ Figure \* ARABIC </w:instrText>
      </w:r>
      <w:r>
        <w:rPr>
          <w:rFonts w:cs="Times New Roman"/>
          <w:b/>
          <w:bCs/>
          <w:noProof/>
          <w:color w:val="000000" w:themeColor="text1"/>
          <w:szCs w:val="24"/>
        </w:rPr>
        <w:fldChar w:fldCharType="separate"/>
      </w:r>
      <w:r>
        <w:rPr>
          <w:rFonts w:eastAsia="Times New Roman" w:cs="Times New Roman"/>
          <w:b/>
          <w:noProof/>
          <w:szCs w:val="24"/>
        </w:rPr>
        <w:t>12</w:t>
      </w:r>
      <w:r>
        <w:rPr>
          <w:rFonts w:cs="Times New Roman"/>
          <w:b/>
          <w:bCs/>
          <w:noProof/>
          <w:color w:val="000000" w:themeColor="text1"/>
          <w:szCs w:val="24"/>
        </w:rPr>
        <w:fldChar w:fldCharType="end"/>
      </w:r>
      <w:bookmarkEnd w:id="589"/>
      <w:bookmarkEnd w:id="590"/>
      <w:bookmarkEnd w:id="592"/>
      <w:r>
        <w:rPr>
          <w:rFonts w:cs="Times New Roman"/>
          <w:b/>
          <w:bCs/>
          <w:noProof/>
          <w:color w:val="000000" w:themeColor="text1"/>
          <w:szCs w:val="24"/>
        </w:rPr>
        <w:t>: Estimated share of total CO</w:t>
      </w:r>
      <w:r>
        <w:rPr>
          <w:rFonts w:cs="Times New Roman"/>
          <w:b/>
          <w:bCs/>
          <w:noProof/>
          <w:color w:val="000000" w:themeColor="text1"/>
          <w:szCs w:val="24"/>
          <w:vertAlign w:val="subscript"/>
        </w:rPr>
        <w:t>2</w:t>
      </w:r>
      <w:r>
        <w:rPr>
          <w:rFonts w:cs="Times New Roman"/>
          <w:b/>
          <w:bCs/>
          <w:noProof/>
          <w:color w:val="000000" w:themeColor="text1"/>
          <w:szCs w:val="24"/>
        </w:rPr>
        <w:t xml:space="preserve"> emissions from different HDV (lorry) groups</w:t>
      </w:r>
      <w:bookmarkEnd w:id="591"/>
    </w:p>
    <w:p w:rsidR="003E180D" w:rsidRDefault="003E180D" w:rsidP="003E180D">
      <w:pPr>
        <w:keepNext/>
        <w:keepLines/>
        <w:spacing w:after="120" w:line="240" w:lineRule="auto"/>
        <w:jc w:val="center"/>
        <w:rPr>
          <w:rFonts w:eastAsia="Times New Roman" w:cs="Times New Roman"/>
          <w:noProof/>
          <w:szCs w:val="24"/>
        </w:rPr>
      </w:pPr>
      <w:r>
        <w:rPr>
          <w:rFonts w:eastAsia="Times New Roman" w:cs="Times New Roman"/>
          <w:noProof/>
          <w:szCs w:val="24"/>
          <w:lang w:eastAsia="en-GB"/>
        </w:rPr>
        <w:drawing>
          <wp:inline distT="0" distB="0" distL="0" distR="0" wp14:anchorId="27C2DF8A" wp14:editId="7A066B33">
            <wp:extent cx="4921200" cy="284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21200" cy="2847600"/>
                    </a:xfrm>
                    <a:prstGeom prst="rect">
                      <a:avLst/>
                    </a:prstGeom>
                    <a:noFill/>
                  </pic:spPr>
                </pic:pic>
              </a:graphicData>
            </a:graphic>
          </wp:inline>
        </w:drawing>
      </w:r>
    </w:p>
    <w:p w:rsidR="003E180D" w:rsidRDefault="003E180D" w:rsidP="003E180D">
      <w:pPr>
        <w:spacing w:after="120" w:line="240" w:lineRule="auto"/>
        <w:jc w:val="both"/>
        <w:rPr>
          <w:rFonts w:eastAsia="Times New Roman" w:cs="Times New Roman"/>
          <w:noProof/>
          <w:sz w:val="20"/>
          <w:szCs w:val="24"/>
          <w:lang w:val="fr-BE"/>
        </w:rPr>
      </w:pPr>
      <w:r>
        <w:rPr>
          <w:rFonts w:eastAsia="Times New Roman" w:cs="Times New Roman"/>
          <w:bCs/>
          <w:i/>
          <w:noProof/>
          <w:sz w:val="20"/>
          <w:szCs w:val="24"/>
          <w:lang w:val="fr-FR"/>
        </w:rPr>
        <w:t>Source: TU Graz et al, 2012</w:t>
      </w:r>
    </w:p>
    <w:p w:rsidR="003E180D" w:rsidRDefault="003E180D" w:rsidP="003E180D">
      <w:pPr>
        <w:spacing w:after="120" w:line="240" w:lineRule="auto"/>
        <w:jc w:val="both"/>
        <w:rPr>
          <w:rFonts w:eastAsia="Times New Roman" w:cs="Times New Roman"/>
          <w:noProof/>
          <w:szCs w:val="24"/>
        </w:rPr>
      </w:pPr>
      <w:r>
        <w:rPr>
          <w:rFonts w:eastAsia="Times New Roman" w:cs="Times New Roman"/>
          <w:noProof/>
          <w:szCs w:val="24"/>
        </w:rPr>
        <w:t>In view of the high share of total CO</w:t>
      </w:r>
      <w:r>
        <w:rPr>
          <w:rFonts w:eastAsia="Times New Roman" w:cs="Times New Roman"/>
          <w:noProof/>
          <w:szCs w:val="24"/>
          <w:vertAlign w:val="subscript"/>
        </w:rPr>
        <w:t xml:space="preserve">2 </w:t>
      </w:r>
      <w:r>
        <w:rPr>
          <w:rFonts w:eastAsia="Times New Roman" w:cs="Times New Roman"/>
          <w:noProof/>
          <w:szCs w:val="24"/>
        </w:rPr>
        <w:t xml:space="preserve">emissions of HDV groups 4, 5, 9 and 10, these groups were selected as the first vehicles to be covered by VECTO and to which the Certification Regulation will apply. </w:t>
      </w:r>
    </w:p>
    <w:p w:rsidR="003E180D" w:rsidRDefault="003E180D" w:rsidP="003E180D">
      <w:pPr>
        <w:spacing w:after="120" w:line="240" w:lineRule="auto"/>
        <w:jc w:val="both"/>
        <w:rPr>
          <w:rFonts w:eastAsia="Times New Roman" w:cs="Times New Roman"/>
          <w:noProof/>
          <w:szCs w:val="24"/>
        </w:rPr>
      </w:pPr>
      <w:r>
        <w:rPr>
          <w:rFonts w:eastAsia="Times New Roman" w:cs="Times New Roman"/>
          <w:noProof/>
          <w:szCs w:val="24"/>
        </w:rPr>
        <w:t>In order to ensure that the fuel and CO</w:t>
      </w:r>
      <w:r>
        <w:rPr>
          <w:rFonts w:eastAsia="Times New Roman" w:cs="Times New Roman"/>
          <w:noProof/>
          <w:szCs w:val="24"/>
          <w:vertAlign w:val="subscript"/>
        </w:rPr>
        <w:t>2</w:t>
      </w:r>
      <w:r>
        <w:rPr>
          <w:noProof/>
        </w:rPr>
        <w:t xml:space="preserve"> </w:t>
      </w:r>
      <w:r>
        <w:rPr>
          <w:rFonts w:eastAsia="Times New Roman" w:cs="Times New Roman"/>
          <w:noProof/>
          <w:szCs w:val="24"/>
        </w:rPr>
        <w:t>values declared by the vehicle manufacturer accurately reflect the actual values, provisions for verifying such conformity have been introduced in the certification procedure, so-called conformity of production provisions. These tests apply to both vehicle and components manufacturers. The verification test for the whole vehicle is currently being developed, whereas the tests for component manufacturers are already defined in the Regulation.</w:t>
      </w:r>
    </w:p>
    <w:p w:rsidR="003E180D" w:rsidRDefault="003E180D" w:rsidP="003E180D">
      <w:pPr>
        <w:spacing w:after="120" w:line="240" w:lineRule="auto"/>
        <w:jc w:val="both"/>
        <w:rPr>
          <w:rFonts w:eastAsia="Times New Roman" w:cs="Times New Roman"/>
          <w:noProof/>
          <w:szCs w:val="24"/>
        </w:rPr>
      </w:pPr>
      <w:r>
        <w:rPr>
          <w:rFonts w:eastAsia="Times New Roman" w:cs="Times New Roman"/>
          <w:noProof/>
          <w:szCs w:val="24"/>
        </w:rPr>
        <w:t>Once, the vehicle manufacturer has uploaded, according to the certification procedure, the characteristics of the vehicle and the certified input data from the different components into the VECTO simulation tool at the end of the production line, the outcome of the simulation will be a set of files containing a list of parameters, so-called output data.</w:t>
      </w:r>
    </w:p>
    <w:p w:rsidR="003E180D" w:rsidRDefault="003E180D" w:rsidP="003E180D">
      <w:pPr>
        <w:spacing w:after="120" w:line="240" w:lineRule="auto"/>
        <w:jc w:val="both"/>
        <w:rPr>
          <w:rFonts w:eastAsia="Times New Roman" w:cs="Times New Roman"/>
          <w:noProof/>
          <w:szCs w:val="24"/>
        </w:rPr>
      </w:pPr>
      <w:r>
        <w:rPr>
          <w:rFonts w:eastAsia="Times New Roman" w:cs="Times New Roman"/>
          <w:noProof/>
          <w:szCs w:val="24"/>
        </w:rPr>
        <w:t>In particular the VECTO simulation tool will produce two files: the manufacturer’s record file and the customer information file. The manufacturer’s record file includes information on the CO</w:t>
      </w:r>
      <w:r>
        <w:rPr>
          <w:rFonts w:eastAsia="Times New Roman" w:cs="Times New Roman"/>
          <w:noProof/>
          <w:szCs w:val="24"/>
          <w:vertAlign w:val="subscript"/>
        </w:rPr>
        <w:t>2</w:t>
      </w:r>
      <w:r>
        <w:rPr>
          <w:noProof/>
        </w:rPr>
        <w:t xml:space="preserve"> </w:t>
      </w:r>
      <w:r>
        <w:rPr>
          <w:rFonts w:eastAsia="Times New Roman" w:cs="Times New Roman"/>
          <w:noProof/>
          <w:szCs w:val="24"/>
        </w:rPr>
        <w:t xml:space="preserve">emission and fuel consumption of the vehicle for the different </w:t>
      </w:r>
      <w:r>
        <w:rPr>
          <w:rFonts w:eastAsia="Times New Roman"/>
          <w:noProof/>
        </w:rPr>
        <w:t>mission profiles</w:t>
      </w:r>
      <w:r>
        <w:rPr>
          <w:rFonts w:eastAsia="Times New Roman" w:cs="Times New Roman"/>
          <w:noProof/>
          <w:szCs w:val="24"/>
        </w:rPr>
        <w:t>, loads and fuel combination that are specific to the vehicle as declared by the vehicle manufacturer.</w:t>
      </w:r>
    </w:p>
    <w:p w:rsidR="003E180D" w:rsidRDefault="003E180D" w:rsidP="003E180D">
      <w:pPr>
        <w:spacing w:after="120" w:line="240" w:lineRule="auto"/>
        <w:jc w:val="both"/>
        <w:rPr>
          <w:rFonts w:eastAsia="Times New Roman" w:cs="Times New Roman"/>
          <w:noProof/>
          <w:szCs w:val="24"/>
        </w:rPr>
      </w:pPr>
      <w:r>
        <w:rPr>
          <w:rFonts w:eastAsia="Times New Roman" w:cs="Times New Roman"/>
          <w:noProof/>
          <w:szCs w:val="24"/>
        </w:rPr>
        <w:t>The customer information file is a summary of the most relevant parameters for the buyer of the vehicle, including the CO</w:t>
      </w:r>
      <w:r>
        <w:rPr>
          <w:rFonts w:eastAsia="Times New Roman" w:cs="Times New Roman"/>
          <w:noProof/>
          <w:szCs w:val="24"/>
          <w:vertAlign w:val="subscript"/>
        </w:rPr>
        <w:t>2</w:t>
      </w:r>
      <w:r>
        <w:rPr>
          <w:noProof/>
        </w:rPr>
        <w:t xml:space="preserve"> </w:t>
      </w:r>
      <w:r>
        <w:rPr>
          <w:rFonts w:eastAsia="Times New Roman" w:cs="Times New Roman"/>
          <w:noProof/>
          <w:szCs w:val="24"/>
        </w:rPr>
        <w:t xml:space="preserve">emission and fuel consumption values, in order to provide more transparency on the performance of the vehicle, which currently is lacking in the HDV market. </w:t>
      </w:r>
    </w:p>
    <w:p w:rsidR="003E180D" w:rsidRDefault="003E180D" w:rsidP="003E180D">
      <w:pPr>
        <w:pStyle w:val="Heading2"/>
        <w:numPr>
          <w:ilvl w:val="1"/>
          <w:numId w:val="22"/>
        </w:numPr>
        <w:spacing w:before="240" w:after="240"/>
        <w:rPr>
          <w:noProof/>
        </w:rPr>
      </w:pPr>
      <w:bookmarkStart w:id="593" w:name="_Ref505782769"/>
      <w:bookmarkStart w:id="594" w:name="_Toc506305326"/>
      <w:bookmarkStart w:id="595" w:name="_Toc506305559"/>
      <w:bookmarkStart w:id="596" w:name="_Toc506487736"/>
      <w:bookmarkStart w:id="597" w:name="_Toc507516321"/>
      <w:bookmarkStart w:id="598" w:name="_Toc507517476"/>
      <w:bookmarkStart w:id="599" w:name="_Toc507519028"/>
      <w:bookmarkStart w:id="600" w:name="_Toc507519380"/>
      <w:bookmarkStart w:id="601" w:name="_Toc507580438"/>
      <w:bookmarkStart w:id="602" w:name="_Toc507581251"/>
      <w:bookmarkStart w:id="603" w:name="_Toc507582270"/>
      <w:bookmarkStart w:id="604" w:name="_Toc507598219"/>
      <w:bookmarkStart w:id="605" w:name="_Toc508124797"/>
      <w:bookmarkStart w:id="606" w:name="_Toc508126162"/>
      <w:bookmarkStart w:id="607" w:name="_Toc508127535"/>
      <w:bookmarkStart w:id="608" w:name="_Toc508127889"/>
      <w:bookmarkStart w:id="609" w:name="_Toc508129661"/>
      <w:bookmarkStart w:id="610" w:name="_Toc508181052"/>
      <w:bookmarkStart w:id="611" w:name="_Toc508186645"/>
      <w:bookmarkStart w:id="612" w:name="_Toc510708127"/>
      <w:bookmarkStart w:id="613" w:name="_Ref504465509"/>
      <w:bookmarkStart w:id="614" w:name="_Toc514328823"/>
      <w:r>
        <w:rPr>
          <w:noProof/>
        </w:rPr>
        <w:t>Monitoring and reporting</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4"/>
    </w:p>
    <w:p w:rsidR="003E180D" w:rsidRDefault="003E180D" w:rsidP="003E180D">
      <w:pPr>
        <w:spacing w:after="120" w:line="240" w:lineRule="auto"/>
        <w:jc w:val="both"/>
        <w:rPr>
          <w:rFonts w:eastAsia="Times New Roman" w:cs="Times New Roman"/>
          <w:noProof/>
          <w:szCs w:val="24"/>
        </w:rPr>
      </w:pPr>
      <w:r>
        <w:rPr>
          <w:rFonts w:eastAsia="Times New Roman" w:cs="Times New Roman"/>
          <w:noProof/>
          <w:szCs w:val="24"/>
        </w:rPr>
        <w:t>Under the proposed Regulation on monitoring and reporting of CO</w:t>
      </w:r>
      <w:r>
        <w:rPr>
          <w:rFonts w:eastAsia="Times New Roman" w:cs="Times New Roman"/>
          <w:noProof/>
          <w:szCs w:val="24"/>
          <w:vertAlign w:val="subscript"/>
        </w:rPr>
        <w:t>2</w:t>
      </w:r>
      <w:r>
        <w:rPr>
          <w:rFonts w:eastAsia="Times New Roman" w:cs="Times New Roman"/>
          <w:noProof/>
          <w:szCs w:val="24"/>
        </w:rPr>
        <w:t xml:space="preserve"> emissions data from HDV, the Commission will collect the CO</w:t>
      </w:r>
      <w:r>
        <w:rPr>
          <w:rFonts w:eastAsia="Times New Roman" w:cs="Times New Roman"/>
          <w:noProof/>
          <w:szCs w:val="24"/>
          <w:vertAlign w:val="subscript"/>
        </w:rPr>
        <w:t>2</w:t>
      </w:r>
      <w:r>
        <w:rPr>
          <w:noProof/>
        </w:rPr>
        <w:t xml:space="preserve"> </w:t>
      </w:r>
      <w:r>
        <w:rPr>
          <w:rFonts w:eastAsia="Times New Roman" w:cs="Times New Roman"/>
          <w:noProof/>
          <w:szCs w:val="24"/>
        </w:rPr>
        <w:t>emissions and fuel consumption data</w:t>
      </w:r>
      <w:r>
        <w:rPr>
          <w:rFonts w:eastAsia="Times New Roman"/>
          <w:noProof/>
        </w:rPr>
        <w:t xml:space="preserve"> </w:t>
      </w:r>
      <w:r>
        <w:rPr>
          <w:rFonts w:eastAsia="Times New Roman" w:cs="Times New Roman"/>
          <w:noProof/>
          <w:szCs w:val="24"/>
        </w:rPr>
        <w:t xml:space="preserve">resulting from the certification procedure. </w:t>
      </w:r>
    </w:p>
    <w:p w:rsidR="003E180D" w:rsidRDefault="003E180D" w:rsidP="003E180D">
      <w:pPr>
        <w:spacing w:after="120" w:line="240" w:lineRule="auto"/>
        <w:jc w:val="both"/>
        <w:rPr>
          <w:rFonts w:eastAsia="Times New Roman" w:cs="Times New Roman"/>
          <w:noProof/>
          <w:szCs w:val="24"/>
        </w:rPr>
      </w:pPr>
      <w:r>
        <w:rPr>
          <w:rFonts w:eastAsia="Times New Roman" w:cs="Times New Roman"/>
          <w:noProof/>
          <w:szCs w:val="24"/>
        </w:rPr>
        <w:t>The data will be made publicly available by the European Environment Agency (EEA) on behalf of the Commission, starting in 2020 to cover data monitored in 2019. This will increase transparency in the HDV market.</w:t>
      </w:r>
    </w:p>
    <w:p w:rsidR="003E180D" w:rsidRDefault="003E180D" w:rsidP="003E180D">
      <w:pPr>
        <w:spacing w:after="120" w:line="240" w:lineRule="auto"/>
        <w:jc w:val="both"/>
        <w:rPr>
          <w:rFonts w:eastAsia="Times New Roman" w:cs="Times New Roman"/>
          <w:noProof/>
          <w:szCs w:val="24"/>
        </w:rPr>
      </w:pPr>
      <w:r>
        <w:rPr>
          <w:rFonts w:eastAsia="Times New Roman" w:cs="Times New Roman"/>
          <w:noProof/>
          <w:szCs w:val="24"/>
        </w:rPr>
        <w:t>The monitoring data include a subset of the manufacturer’s record file provided by VECTO under the certification procedure, and in particular the CO</w:t>
      </w:r>
      <w:r>
        <w:rPr>
          <w:rFonts w:eastAsia="Times New Roman" w:cs="Times New Roman"/>
          <w:noProof/>
          <w:szCs w:val="24"/>
          <w:vertAlign w:val="subscript"/>
        </w:rPr>
        <w:t>2</w:t>
      </w:r>
      <w:r>
        <w:rPr>
          <w:noProof/>
        </w:rPr>
        <w:t xml:space="preserve"> </w:t>
      </w:r>
      <w:r>
        <w:rPr>
          <w:rFonts w:eastAsia="Times New Roman" w:cs="Times New Roman"/>
          <w:noProof/>
          <w:szCs w:val="24"/>
        </w:rPr>
        <w:t xml:space="preserve">emissions, fuel consumption and other relevant technical parameters. </w:t>
      </w:r>
    </w:p>
    <w:p w:rsidR="003E180D" w:rsidRDefault="003E180D" w:rsidP="003E180D">
      <w:pPr>
        <w:spacing w:after="120" w:line="240" w:lineRule="auto"/>
        <w:jc w:val="both"/>
        <w:rPr>
          <w:rFonts w:eastAsia="Times New Roman" w:cs="Times New Roman"/>
          <w:noProof/>
          <w:szCs w:val="24"/>
        </w:rPr>
      </w:pPr>
      <w:r>
        <w:rPr>
          <w:rFonts w:eastAsia="Times New Roman" w:cs="Times New Roman"/>
          <w:noProof/>
          <w:szCs w:val="24"/>
        </w:rPr>
        <w:t>The EEA will combine the registration data from national authorities with the monitoring data from manufacturers and publish annual monitoring data for each new vehicle registered in the EU that was subject to the certification procedure. For those HDVs not yet covered by the certification, and for which therefore no monitoring data is available yet, the EEA will publish the registration data provided by national authorities.</w:t>
      </w:r>
      <w:bookmarkEnd w:id="613"/>
    </w:p>
    <w:p w:rsidR="003E180D" w:rsidRDefault="003E180D" w:rsidP="003E180D">
      <w:pPr>
        <w:spacing w:after="120" w:line="240" w:lineRule="auto"/>
        <w:jc w:val="both"/>
        <w:rPr>
          <w:rFonts w:eastAsia="Times New Roman" w:cs="Times New Roman"/>
          <w:noProof/>
          <w:szCs w:val="24"/>
        </w:rPr>
      </w:pPr>
    </w:p>
    <w:p w:rsidR="003E180D" w:rsidRDefault="003E180D" w:rsidP="003E180D">
      <w:pPr>
        <w:rPr>
          <w:rFonts w:eastAsia="Times New Roman" w:cs="Times New Roman"/>
          <w:b/>
          <w:smallCaps/>
          <w:noProof/>
          <w:szCs w:val="24"/>
        </w:rPr>
      </w:pPr>
      <w:r>
        <w:rPr>
          <w:noProof/>
        </w:rPr>
        <w:br w:type="page"/>
      </w:r>
    </w:p>
    <w:p w:rsidR="003E180D" w:rsidRDefault="003E180D" w:rsidP="003E180D">
      <w:pPr>
        <w:pStyle w:val="Heading1"/>
        <w:numPr>
          <w:ilvl w:val="0"/>
          <w:numId w:val="22"/>
        </w:numPr>
        <w:rPr>
          <w:noProof/>
        </w:rPr>
      </w:pPr>
      <w:bookmarkStart w:id="615" w:name="_Toc508124798"/>
      <w:bookmarkStart w:id="616" w:name="_Toc508126163"/>
      <w:bookmarkStart w:id="617" w:name="_Toc508127536"/>
      <w:bookmarkStart w:id="618" w:name="_Toc508127890"/>
      <w:bookmarkStart w:id="619" w:name="_Toc508129662"/>
      <w:bookmarkStart w:id="620" w:name="_Toc508181053"/>
      <w:bookmarkStart w:id="621" w:name="_Toc508186646"/>
      <w:bookmarkStart w:id="622" w:name="_Toc510708128"/>
      <w:bookmarkStart w:id="623" w:name="_Toc514328824"/>
      <w:r>
        <w:rPr>
          <w:noProof/>
        </w:rPr>
        <w:t>Annex 9 – Description of the options - complementary information</w:t>
      </w:r>
      <w:bookmarkEnd w:id="615"/>
      <w:bookmarkEnd w:id="616"/>
      <w:bookmarkEnd w:id="617"/>
      <w:bookmarkEnd w:id="618"/>
      <w:bookmarkEnd w:id="619"/>
      <w:bookmarkEnd w:id="620"/>
      <w:bookmarkEnd w:id="621"/>
      <w:bookmarkEnd w:id="622"/>
      <w:bookmarkEnd w:id="623"/>
    </w:p>
    <w:p w:rsidR="003E180D" w:rsidRDefault="003E180D" w:rsidP="003E180D">
      <w:pPr>
        <w:pStyle w:val="Heading2"/>
        <w:numPr>
          <w:ilvl w:val="1"/>
          <w:numId w:val="22"/>
        </w:numPr>
        <w:spacing w:before="240" w:after="240"/>
        <w:rPr>
          <w:noProof/>
        </w:rPr>
      </w:pPr>
      <w:bookmarkStart w:id="624" w:name="_Toc508124800"/>
      <w:bookmarkStart w:id="625" w:name="_Toc508126165"/>
      <w:bookmarkStart w:id="626" w:name="_Toc508127538"/>
      <w:bookmarkStart w:id="627" w:name="_Toc508127892"/>
      <w:bookmarkStart w:id="628" w:name="_Toc508129686"/>
      <w:bookmarkStart w:id="629" w:name="_Toc508181054"/>
      <w:bookmarkStart w:id="630" w:name="_Toc508186647"/>
      <w:bookmarkStart w:id="631" w:name="_Toc510708129"/>
      <w:bookmarkStart w:id="632" w:name="_Toc514328825"/>
      <w:r>
        <w:rPr>
          <w:noProof/>
        </w:rPr>
        <w:t>Policy option categories</w:t>
      </w:r>
      <w:bookmarkEnd w:id="624"/>
      <w:bookmarkEnd w:id="625"/>
      <w:bookmarkEnd w:id="626"/>
      <w:bookmarkEnd w:id="627"/>
      <w:bookmarkEnd w:id="628"/>
      <w:bookmarkEnd w:id="629"/>
      <w:bookmarkEnd w:id="630"/>
      <w:bookmarkEnd w:id="631"/>
      <w:bookmarkEnd w:id="632"/>
      <w:r>
        <w:rPr>
          <w:noProof/>
        </w:rPr>
        <w:t xml:space="preserve"> </w:t>
      </w:r>
    </w:p>
    <w:p w:rsidR="003E180D" w:rsidRDefault="003E180D" w:rsidP="003E180D">
      <w:pPr>
        <w:tabs>
          <w:tab w:val="left" w:pos="2302"/>
        </w:tabs>
        <w:spacing w:after="120" w:line="240" w:lineRule="auto"/>
        <w:jc w:val="both"/>
        <w:rPr>
          <w:rFonts w:eastAsia="Times New Roman" w:cs="Times New Roman"/>
          <w:noProof/>
          <w:szCs w:val="24"/>
        </w:rPr>
      </w:pPr>
      <w:r>
        <w:rPr>
          <w:rFonts w:eastAsia="Times New Roman" w:cs="Times New Roman"/>
          <w:noProof/>
          <w:szCs w:val="24"/>
        </w:rPr>
        <w:t>The options considered in the Impact Assessment cover a number of elements, which are grouped into five categories: (i) CO</w:t>
      </w:r>
      <w:r>
        <w:rPr>
          <w:rFonts w:eastAsia="Times New Roman" w:cs="Times New Roman"/>
          <w:noProof/>
          <w:szCs w:val="24"/>
          <w:vertAlign w:val="subscript"/>
        </w:rPr>
        <w:t>2</w:t>
      </w:r>
      <w:r>
        <w:rPr>
          <w:rFonts w:eastAsia="Times New Roman" w:cs="Times New Roman"/>
          <w:noProof/>
          <w:szCs w:val="24"/>
        </w:rPr>
        <w:t xml:space="preserve"> emission targets; (ii) Distribution of target across vehicle groups and manufacturers; (iii) Incentives for zero- and low-emission vehicles; (iv) Elements for cost-effective implementation and (v) Governance.</w:t>
      </w:r>
    </w:p>
    <w:p w:rsidR="003E180D" w:rsidRDefault="003E180D" w:rsidP="003E180D">
      <w:pPr>
        <w:pStyle w:val="Text1"/>
        <w:ind w:left="0"/>
        <w:rPr>
          <w:b/>
          <w:noProof/>
        </w:rPr>
      </w:pPr>
      <w:r>
        <w:rPr>
          <w:noProof/>
          <w:szCs w:val="24"/>
        </w:rPr>
        <w:fldChar w:fldCharType="begin"/>
      </w:r>
      <w:r>
        <w:rPr>
          <w:noProof/>
          <w:szCs w:val="24"/>
        </w:rPr>
        <w:instrText xml:space="preserve"> REF _Ref508123230 \h  \* MERGEFORMAT </w:instrText>
      </w:r>
      <w:r>
        <w:rPr>
          <w:noProof/>
          <w:szCs w:val="24"/>
        </w:rPr>
      </w:r>
      <w:r>
        <w:rPr>
          <w:noProof/>
          <w:szCs w:val="24"/>
        </w:rPr>
        <w:fldChar w:fldCharType="separate"/>
      </w:r>
      <w:r>
        <w:rPr>
          <w:noProof/>
          <w:szCs w:val="24"/>
        </w:rPr>
        <w:t>Table 10</w:t>
      </w:r>
      <w:r>
        <w:rPr>
          <w:noProof/>
          <w:szCs w:val="24"/>
        </w:rPr>
        <w:fldChar w:fldCharType="end"/>
      </w:r>
      <w:r>
        <w:rPr>
          <w:noProof/>
        </w:rPr>
        <w:t xml:space="preserve"> shows how these categories are related to the problems outlined in Section </w:t>
      </w:r>
      <w:r>
        <w:rPr>
          <w:noProof/>
          <w:szCs w:val="24"/>
        </w:rPr>
        <w:t>4 of the Impact Assessment.</w:t>
      </w:r>
    </w:p>
    <w:p w:rsidR="003E180D" w:rsidRDefault="003E180D" w:rsidP="003E180D">
      <w:pPr>
        <w:rPr>
          <w:rFonts w:cs="Times New Roman"/>
          <w:b/>
          <w:noProof/>
          <w:szCs w:val="24"/>
        </w:rPr>
      </w:pPr>
      <w:bookmarkStart w:id="633" w:name="_Ref506305836"/>
      <w:bookmarkStart w:id="634" w:name="_Ref508123230"/>
      <w:bookmarkStart w:id="635" w:name="_Ref503876918"/>
      <w:r>
        <w:rPr>
          <w:rFonts w:cs="Times New Roman"/>
          <w:b/>
          <w:noProof/>
          <w:szCs w:val="24"/>
        </w:rPr>
        <w:t xml:space="preserve">Table </w:t>
      </w:r>
      <w:r>
        <w:rPr>
          <w:rFonts w:cs="Times New Roman"/>
          <w:b/>
          <w:noProof/>
          <w:szCs w:val="24"/>
        </w:rPr>
        <w:fldChar w:fldCharType="begin"/>
      </w:r>
      <w:r>
        <w:rPr>
          <w:rFonts w:cs="Times New Roman"/>
          <w:b/>
          <w:noProof/>
          <w:szCs w:val="24"/>
        </w:rPr>
        <w:instrText xml:space="preserve"> SEQ Table \* ARABIC </w:instrText>
      </w:r>
      <w:r>
        <w:rPr>
          <w:rFonts w:cs="Times New Roman"/>
          <w:b/>
          <w:noProof/>
          <w:szCs w:val="24"/>
        </w:rPr>
        <w:fldChar w:fldCharType="separate"/>
      </w:r>
      <w:r>
        <w:rPr>
          <w:rFonts w:cs="Times New Roman"/>
          <w:b/>
          <w:noProof/>
          <w:szCs w:val="24"/>
        </w:rPr>
        <w:t>10</w:t>
      </w:r>
      <w:r>
        <w:rPr>
          <w:rFonts w:cs="Times New Roman"/>
          <w:b/>
          <w:noProof/>
          <w:szCs w:val="24"/>
        </w:rPr>
        <w:fldChar w:fldCharType="end"/>
      </w:r>
      <w:bookmarkEnd w:id="633"/>
      <w:bookmarkEnd w:id="634"/>
      <w:r>
        <w:rPr>
          <w:rFonts w:cs="Times New Roman"/>
          <w:b/>
          <w:noProof/>
          <w:szCs w:val="24"/>
        </w:rPr>
        <w:t xml:space="preserve">: </w:t>
      </w:r>
      <w:bookmarkEnd w:id="635"/>
      <w:r>
        <w:rPr>
          <w:rFonts w:cs="Times New Roman"/>
          <w:b/>
          <w:noProof/>
          <w:szCs w:val="24"/>
        </w:rPr>
        <w:t>Policy options and problems</w:t>
      </w:r>
      <w:bookmarkStart w:id="636" w:name="_Toc508116350"/>
      <w:bookmarkStart w:id="637" w:name="_Toc508116978"/>
      <w:bookmarkEnd w:id="636"/>
      <w:bookmarkEnd w:id="637"/>
    </w:p>
    <w:tbl>
      <w:tblPr>
        <w:tblStyle w:val="CV13"/>
        <w:tblW w:w="9180" w:type="dxa"/>
        <w:tblLook w:val="04A0" w:firstRow="1" w:lastRow="0" w:firstColumn="1" w:lastColumn="0" w:noHBand="0" w:noVBand="1"/>
      </w:tblPr>
      <w:tblGrid>
        <w:gridCol w:w="2518"/>
        <w:gridCol w:w="1985"/>
        <w:gridCol w:w="2268"/>
        <w:gridCol w:w="2409"/>
      </w:tblGrid>
      <w:tr w:rsidR="003E180D" w:rsidTr="0088305C">
        <w:tc>
          <w:tcPr>
            <w:tcW w:w="2518" w:type="dxa"/>
          </w:tcPr>
          <w:p w:rsidR="003E180D" w:rsidRDefault="003E180D" w:rsidP="0088305C">
            <w:pPr>
              <w:spacing w:after="120"/>
              <w:rPr>
                <w:rFonts w:eastAsiaTheme="minorHAnsi"/>
                <w:b/>
                <w:noProof/>
                <w:szCs w:val="24"/>
              </w:rPr>
            </w:pPr>
            <w:r>
              <w:rPr>
                <w:b/>
                <w:noProof/>
                <w:szCs w:val="24"/>
              </w:rPr>
              <w:t>Key Policy Areas</w:t>
            </w:r>
            <w:bookmarkStart w:id="638" w:name="_Toc508116351"/>
            <w:bookmarkStart w:id="639" w:name="_Toc508116979"/>
            <w:bookmarkEnd w:id="638"/>
            <w:bookmarkEnd w:id="639"/>
          </w:p>
        </w:tc>
        <w:tc>
          <w:tcPr>
            <w:tcW w:w="1985" w:type="dxa"/>
          </w:tcPr>
          <w:p w:rsidR="003E180D" w:rsidRDefault="003E180D" w:rsidP="0088305C">
            <w:pPr>
              <w:spacing w:after="120"/>
              <w:jc w:val="center"/>
              <w:rPr>
                <w:rFonts w:eastAsiaTheme="minorHAnsi"/>
                <w:noProof/>
                <w:szCs w:val="24"/>
              </w:rPr>
            </w:pPr>
            <w:r>
              <w:rPr>
                <w:noProof/>
                <w:szCs w:val="24"/>
              </w:rPr>
              <w:t>Problem 1: HDV sector source of growing emissions</w:t>
            </w:r>
            <w:bookmarkStart w:id="640" w:name="_Toc508116352"/>
            <w:bookmarkStart w:id="641" w:name="_Toc508116980"/>
            <w:bookmarkEnd w:id="640"/>
            <w:bookmarkEnd w:id="641"/>
          </w:p>
        </w:tc>
        <w:tc>
          <w:tcPr>
            <w:tcW w:w="2268" w:type="dxa"/>
          </w:tcPr>
          <w:p w:rsidR="003E180D" w:rsidRDefault="003E180D" w:rsidP="0088305C">
            <w:pPr>
              <w:spacing w:after="120"/>
              <w:jc w:val="center"/>
              <w:rPr>
                <w:rFonts w:eastAsiaTheme="minorHAnsi"/>
                <w:noProof/>
                <w:szCs w:val="24"/>
              </w:rPr>
            </w:pPr>
            <w:r>
              <w:rPr>
                <w:noProof/>
                <w:szCs w:val="24"/>
              </w:rPr>
              <w:t>Problem 2: Transport operators missing out on fuel savings</w:t>
            </w:r>
            <w:bookmarkStart w:id="642" w:name="_Toc508116353"/>
            <w:bookmarkStart w:id="643" w:name="_Toc508116981"/>
            <w:bookmarkEnd w:id="642"/>
            <w:bookmarkEnd w:id="643"/>
          </w:p>
        </w:tc>
        <w:tc>
          <w:tcPr>
            <w:tcW w:w="2409" w:type="dxa"/>
          </w:tcPr>
          <w:p w:rsidR="003E180D" w:rsidRDefault="003E180D" w:rsidP="0088305C">
            <w:pPr>
              <w:spacing w:after="120"/>
              <w:jc w:val="center"/>
              <w:rPr>
                <w:rFonts w:eastAsiaTheme="minorHAnsi"/>
                <w:noProof/>
                <w:szCs w:val="24"/>
              </w:rPr>
            </w:pPr>
            <w:r>
              <w:rPr>
                <w:noProof/>
                <w:szCs w:val="24"/>
              </w:rPr>
              <w:t>Problem 3: HDV sector risks to loose technological leadership</w:t>
            </w:r>
            <w:bookmarkStart w:id="644" w:name="_Toc508116354"/>
            <w:bookmarkStart w:id="645" w:name="_Toc508116982"/>
            <w:bookmarkEnd w:id="644"/>
            <w:bookmarkEnd w:id="645"/>
          </w:p>
        </w:tc>
        <w:bookmarkStart w:id="646" w:name="_Toc508116355"/>
        <w:bookmarkStart w:id="647" w:name="_Toc508116983"/>
        <w:bookmarkEnd w:id="646"/>
        <w:bookmarkEnd w:id="647"/>
      </w:tr>
      <w:tr w:rsidR="003E180D" w:rsidTr="0088305C">
        <w:tc>
          <w:tcPr>
            <w:tcW w:w="2518" w:type="dxa"/>
          </w:tcPr>
          <w:p w:rsidR="003E180D" w:rsidRDefault="003E180D" w:rsidP="0088305C">
            <w:pPr>
              <w:spacing w:after="120"/>
              <w:rPr>
                <w:rFonts w:eastAsiaTheme="minorHAnsi"/>
                <w:noProof/>
                <w:szCs w:val="24"/>
              </w:rPr>
            </w:pPr>
            <w:r>
              <w:rPr>
                <w:noProof/>
                <w:szCs w:val="24"/>
              </w:rPr>
              <w:t>CO</w:t>
            </w:r>
            <w:r>
              <w:rPr>
                <w:noProof/>
                <w:szCs w:val="24"/>
                <w:vertAlign w:val="subscript"/>
              </w:rPr>
              <w:t>2</w:t>
            </w:r>
            <w:r>
              <w:rPr>
                <w:noProof/>
                <w:szCs w:val="24"/>
              </w:rPr>
              <w:t xml:space="preserve"> emission targets</w:t>
            </w:r>
            <w:bookmarkStart w:id="648" w:name="_Toc508116356"/>
            <w:bookmarkStart w:id="649" w:name="_Toc508116984"/>
            <w:bookmarkEnd w:id="648"/>
            <w:bookmarkEnd w:id="649"/>
          </w:p>
        </w:tc>
        <w:tc>
          <w:tcPr>
            <w:tcW w:w="1985" w:type="dxa"/>
            <w:tcBorders>
              <w:bottom w:val="single" w:sz="4" w:space="0" w:color="auto"/>
            </w:tcBorders>
            <w:shd w:val="clear" w:color="auto" w:fill="FFFFFF" w:themeFill="background1"/>
          </w:tcPr>
          <w:p w:rsidR="003E180D" w:rsidRDefault="003E180D" w:rsidP="0088305C">
            <w:pPr>
              <w:spacing w:after="120"/>
              <w:jc w:val="center"/>
              <w:rPr>
                <w:rFonts w:eastAsiaTheme="minorHAnsi"/>
                <w:noProof/>
                <w:szCs w:val="24"/>
              </w:rPr>
            </w:pPr>
            <w:r>
              <w:rPr>
                <w:noProof/>
                <w:szCs w:val="24"/>
              </w:rPr>
              <w:sym w:font="Wingdings" w:char="F0FC"/>
            </w:r>
            <w:bookmarkStart w:id="650" w:name="_Toc508116357"/>
            <w:bookmarkStart w:id="651" w:name="_Toc508116985"/>
            <w:bookmarkEnd w:id="650"/>
            <w:bookmarkEnd w:id="651"/>
          </w:p>
        </w:tc>
        <w:tc>
          <w:tcPr>
            <w:tcW w:w="2268" w:type="dxa"/>
            <w:tcBorders>
              <w:bottom w:val="single" w:sz="4" w:space="0" w:color="auto"/>
            </w:tcBorders>
            <w:shd w:val="clear" w:color="auto" w:fill="FFFFFF" w:themeFill="background1"/>
          </w:tcPr>
          <w:p w:rsidR="003E180D" w:rsidRDefault="003E180D" w:rsidP="0088305C">
            <w:pPr>
              <w:spacing w:after="120"/>
              <w:jc w:val="center"/>
              <w:rPr>
                <w:rFonts w:eastAsiaTheme="minorHAnsi"/>
                <w:noProof/>
                <w:szCs w:val="24"/>
              </w:rPr>
            </w:pPr>
            <w:r>
              <w:rPr>
                <w:noProof/>
                <w:szCs w:val="24"/>
              </w:rPr>
              <w:sym w:font="Wingdings" w:char="F0FC"/>
            </w:r>
            <w:bookmarkStart w:id="652" w:name="_Toc508116358"/>
            <w:bookmarkStart w:id="653" w:name="_Toc508116986"/>
            <w:bookmarkEnd w:id="652"/>
            <w:bookmarkEnd w:id="653"/>
          </w:p>
        </w:tc>
        <w:tc>
          <w:tcPr>
            <w:tcW w:w="2409" w:type="dxa"/>
            <w:tcBorders>
              <w:bottom w:val="single" w:sz="4" w:space="0" w:color="auto"/>
            </w:tcBorders>
            <w:shd w:val="clear" w:color="auto" w:fill="FFFFFF" w:themeFill="background1"/>
          </w:tcPr>
          <w:p w:rsidR="003E180D" w:rsidRDefault="003E180D" w:rsidP="0088305C">
            <w:pPr>
              <w:spacing w:after="120"/>
              <w:jc w:val="center"/>
              <w:rPr>
                <w:rFonts w:eastAsiaTheme="minorHAnsi"/>
                <w:noProof/>
                <w:szCs w:val="24"/>
              </w:rPr>
            </w:pPr>
            <w:r>
              <w:rPr>
                <w:noProof/>
                <w:szCs w:val="24"/>
              </w:rPr>
              <w:sym w:font="Wingdings" w:char="F0FC"/>
            </w:r>
            <w:bookmarkStart w:id="654" w:name="_Toc508116359"/>
            <w:bookmarkStart w:id="655" w:name="_Toc508116987"/>
            <w:bookmarkEnd w:id="654"/>
            <w:bookmarkEnd w:id="655"/>
          </w:p>
        </w:tc>
        <w:bookmarkStart w:id="656" w:name="_Toc508116360"/>
        <w:bookmarkStart w:id="657" w:name="_Toc508116988"/>
        <w:bookmarkEnd w:id="656"/>
        <w:bookmarkEnd w:id="657"/>
      </w:tr>
      <w:tr w:rsidR="003E180D" w:rsidTr="0088305C">
        <w:tc>
          <w:tcPr>
            <w:tcW w:w="2518" w:type="dxa"/>
          </w:tcPr>
          <w:p w:rsidR="003E180D" w:rsidRDefault="003E180D" w:rsidP="0088305C">
            <w:pPr>
              <w:spacing w:after="120"/>
              <w:rPr>
                <w:rFonts w:eastAsiaTheme="minorHAnsi"/>
                <w:noProof/>
                <w:szCs w:val="24"/>
              </w:rPr>
            </w:pPr>
            <w:r>
              <w:rPr>
                <w:noProof/>
                <w:szCs w:val="24"/>
              </w:rPr>
              <w:t>Distribution of target across vehicle groups and manufacturers</w:t>
            </w:r>
            <w:bookmarkStart w:id="658" w:name="_Toc508116361"/>
            <w:bookmarkStart w:id="659" w:name="_Toc508116989"/>
            <w:bookmarkEnd w:id="658"/>
            <w:bookmarkEnd w:id="659"/>
          </w:p>
        </w:tc>
        <w:tc>
          <w:tcPr>
            <w:tcW w:w="1985" w:type="dxa"/>
            <w:tcBorders>
              <w:bottom w:val="single" w:sz="4" w:space="0" w:color="auto"/>
            </w:tcBorders>
            <w:shd w:val="clear" w:color="auto" w:fill="FFFFFF" w:themeFill="background1"/>
            <w:vAlign w:val="center"/>
          </w:tcPr>
          <w:p w:rsidR="003E180D" w:rsidRDefault="003E180D" w:rsidP="0088305C">
            <w:pPr>
              <w:spacing w:after="120"/>
              <w:jc w:val="center"/>
              <w:rPr>
                <w:rFonts w:eastAsiaTheme="minorHAnsi"/>
                <w:noProof/>
                <w:szCs w:val="24"/>
              </w:rPr>
            </w:pPr>
            <w:bookmarkStart w:id="660" w:name="_Toc508116362"/>
            <w:bookmarkStart w:id="661" w:name="_Toc508116990"/>
            <w:bookmarkEnd w:id="660"/>
            <w:bookmarkEnd w:id="661"/>
          </w:p>
        </w:tc>
        <w:tc>
          <w:tcPr>
            <w:tcW w:w="2268" w:type="dxa"/>
            <w:tcBorders>
              <w:bottom w:val="single" w:sz="4" w:space="0" w:color="auto"/>
            </w:tcBorders>
            <w:shd w:val="clear" w:color="auto" w:fill="FFFFFF" w:themeFill="background1"/>
            <w:vAlign w:val="center"/>
          </w:tcPr>
          <w:p w:rsidR="003E180D" w:rsidRDefault="003E180D" w:rsidP="0088305C">
            <w:pPr>
              <w:spacing w:after="120"/>
              <w:jc w:val="center"/>
              <w:rPr>
                <w:rFonts w:eastAsiaTheme="minorHAnsi"/>
                <w:noProof/>
                <w:szCs w:val="24"/>
              </w:rPr>
            </w:pPr>
            <w:r>
              <w:rPr>
                <w:noProof/>
                <w:szCs w:val="24"/>
              </w:rPr>
              <w:sym w:font="Wingdings" w:char="F0FC"/>
            </w:r>
            <w:bookmarkStart w:id="662" w:name="_Toc508116363"/>
            <w:bookmarkStart w:id="663" w:name="_Toc508116991"/>
            <w:bookmarkEnd w:id="662"/>
            <w:bookmarkEnd w:id="663"/>
          </w:p>
        </w:tc>
        <w:tc>
          <w:tcPr>
            <w:tcW w:w="2409" w:type="dxa"/>
            <w:tcBorders>
              <w:bottom w:val="single" w:sz="4" w:space="0" w:color="auto"/>
            </w:tcBorders>
            <w:shd w:val="clear" w:color="auto" w:fill="FFFFFF" w:themeFill="background1"/>
            <w:vAlign w:val="center"/>
          </w:tcPr>
          <w:p w:rsidR="003E180D" w:rsidRDefault="003E180D" w:rsidP="0088305C">
            <w:pPr>
              <w:spacing w:after="120"/>
              <w:jc w:val="center"/>
              <w:rPr>
                <w:rFonts w:eastAsiaTheme="minorHAnsi"/>
                <w:noProof/>
                <w:szCs w:val="24"/>
              </w:rPr>
            </w:pPr>
            <w:r>
              <w:rPr>
                <w:noProof/>
                <w:szCs w:val="24"/>
              </w:rPr>
              <w:sym w:font="Wingdings" w:char="F0FC"/>
            </w:r>
            <w:bookmarkStart w:id="664" w:name="_Toc508116364"/>
            <w:bookmarkStart w:id="665" w:name="_Toc508116992"/>
            <w:bookmarkEnd w:id="664"/>
            <w:bookmarkEnd w:id="665"/>
          </w:p>
        </w:tc>
        <w:bookmarkStart w:id="666" w:name="_Toc508116365"/>
        <w:bookmarkStart w:id="667" w:name="_Toc508116993"/>
        <w:bookmarkEnd w:id="666"/>
        <w:bookmarkEnd w:id="667"/>
      </w:tr>
      <w:tr w:rsidR="003E180D" w:rsidTr="0088305C">
        <w:tc>
          <w:tcPr>
            <w:tcW w:w="2518" w:type="dxa"/>
          </w:tcPr>
          <w:p w:rsidR="003E180D" w:rsidRDefault="003E180D" w:rsidP="0088305C">
            <w:pPr>
              <w:spacing w:after="120"/>
              <w:rPr>
                <w:noProof/>
                <w:szCs w:val="24"/>
              </w:rPr>
            </w:pPr>
            <w:r>
              <w:rPr>
                <w:noProof/>
                <w:szCs w:val="24"/>
              </w:rPr>
              <w:t>Incentives for zero- and low-emission vehicles</w:t>
            </w:r>
          </w:p>
        </w:tc>
        <w:tc>
          <w:tcPr>
            <w:tcW w:w="1985" w:type="dxa"/>
            <w:tcBorders>
              <w:bottom w:val="single" w:sz="4" w:space="0" w:color="auto"/>
            </w:tcBorders>
            <w:shd w:val="clear" w:color="auto" w:fill="FFFFFF" w:themeFill="background1"/>
            <w:vAlign w:val="center"/>
          </w:tcPr>
          <w:p w:rsidR="003E180D" w:rsidRDefault="003E180D" w:rsidP="0088305C">
            <w:pPr>
              <w:spacing w:after="120"/>
              <w:jc w:val="center"/>
              <w:rPr>
                <w:noProof/>
                <w:szCs w:val="24"/>
              </w:rPr>
            </w:pPr>
            <w:r>
              <w:rPr>
                <w:noProof/>
                <w:szCs w:val="24"/>
              </w:rPr>
              <w:sym w:font="Wingdings" w:char="F0FC"/>
            </w:r>
          </w:p>
        </w:tc>
        <w:tc>
          <w:tcPr>
            <w:tcW w:w="2268" w:type="dxa"/>
            <w:tcBorders>
              <w:bottom w:val="single" w:sz="4" w:space="0" w:color="auto"/>
            </w:tcBorders>
            <w:shd w:val="clear" w:color="auto" w:fill="FFFFFF" w:themeFill="background1"/>
            <w:vAlign w:val="center"/>
          </w:tcPr>
          <w:p w:rsidR="003E180D" w:rsidRDefault="003E180D" w:rsidP="0088305C">
            <w:pPr>
              <w:spacing w:after="120"/>
              <w:jc w:val="center"/>
              <w:rPr>
                <w:noProof/>
                <w:szCs w:val="24"/>
              </w:rPr>
            </w:pPr>
          </w:p>
        </w:tc>
        <w:tc>
          <w:tcPr>
            <w:tcW w:w="2409" w:type="dxa"/>
            <w:tcBorders>
              <w:bottom w:val="single" w:sz="4" w:space="0" w:color="auto"/>
            </w:tcBorders>
            <w:shd w:val="clear" w:color="auto" w:fill="FFFFFF" w:themeFill="background1"/>
            <w:vAlign w:val="center"/>
          </w:tcPr>
          <w:p w:rsidR="003E180D" w:rsidRDefault="003E180D" w:rsidP="0088305C">
            <w:pPr>
              <w:spacing w:after="120"/>
              <w:jc w:val="center"/>
              <w:rPr>
                <w:noProof/>
                <w:szCs w:val="24"/>
              </w:rPr>
            </w:pPr>
            <w:r>
              <w:rPr>
                <w:noProof/>
                <w:szCs w:val="24"/>
              </w:rPr>
              <w:sym w:font="Wingdings" w:char="F0FC"/>
            </w:r>
          </w:p>
        </w:tc>
      </w:tr>
      <w:tr w:rsidR="003E180D" w:rsidTr="0088305C">
        <w:tc>
          <w:tcPr>
            <w:tcW w:w="2518" w:type="dxa"/>
          </w:tcPr>
          <w:p w:rsidR="003E180D" w:rsidRDefault="003E180D" w:rsidP="0088305C">
            <w:pPr>
              <w:spacing w:after="120"/>
              <w:rPr>
                <w:noProof/>
                <w:szCs w:val="24"/>
              </w:rPr>
            </w:pPr>
            <w:r>
              <w:rPr>
                <w:noProof/>
                <w:szCs w:val="24"/>
              </w:rPr>
              <w:t>Elements for cost-effective implementation</w:t>
            </w:r>
          </w:p>
        </w:tc>
        <w:tc>
          <w:tcPr>
            <w:tcW w:w="1985" w:type="dxa"/>
            <w:tcBorders>
              <w:bottom w:val="single" w:sz="4" w:space="0" w:color="auto"/>
            </w:tcBorders>
            <w:shd w:val="clear" w:color="auto" w:fill="FFFFFF" w:themeFill="background1"/>
            <w:vAlign w:val="center"/>
          </w:tcPr>
          <w:p w:rsidR="003E180D" w:rsidRDefault="003E180D" w:rsidP="0088305C">
            <w:pPr>
              <w:spacing w:after="120"/>
              <w:jc w:val="center"/>
              <w:rPr>
                <w:noProof/>
                <w:szCs w:val="24"/>
              </w:rPr>
            </w:pPr>
          </w:p>
        </w:tc>
        <w:tc>
          <w:tcPr>
            <w:tcW w:w="2268" w:type="dxa"/>
            <w:tcBorders>
              <w:bottom w:val="single" w:sz="4" w:space="0" w:color="auto"/>
            </w:tcBorders>
            <w:shd w:val="clear" w:color="auto" w:fill="FFFFFF" w:themeFill="background1"/>
            <w:vAlign w:val="center"/>
          </w:tcPr>
          <w:p w:rsidR="003E180D" w:rsidRDefault="003E180D" w:rsidP="0088305C">
            <w:pPr>
              <w:spacing w:after="120"/>
              <w:jc w:val="center"/>
              <w:rPr>
                <w:noProof/>
                <w:szCs w:val="24"/>
              </w:rPr>
            </w:pPr>
            <w:r>
              <w:rPr>
                <w:noProof/>
                <w:szCs w:val="24"/>
              </w:rPr>
              <w:sym w:font="Wingdings" w:char="F0FC"/>
            </w:r>
          </w:p>
        </w:tc>
        <w:tc>
          <w:tcPr>
            <w:tcW w:w="2409" w:type="dxa"/>
            <w:tcBorders>
              <w:bottom w:val="single" w:sz="4" w:space="0" w:color="auto"/>
            </w:tcBorders>
            <w:shd w:val="clear" w:color="auto" w:fill="FFFFFF" w:themeFill="background1"/>
            <w:vAlign w:val="center"/>
          </w:tcPr>
          <w:p w:rsidR="003E180D" w:rsidRDefault="003E180D" w:rsidP="0088305C">
            <w:pPr>
              <w:spacing w:after="120"/>
              <w:jc w:val="center"/>
              <w:rPr>
                <w:noProof/>
                <w:szCs w:val="24"/>
              </w:rPr>
            </w:pPr>
            <w:r>
              <w:rPr>
                <w:noProof/>
                <w:szCs w:val="24"/>
              </w:rPr>
              <w:sym w:font="Wingdings" w:char="F0FC"/>
            </w:r>
          </w:p>
        </w:tc>
      </w:tr>
      <w:tr w:rsidR="003E180D" w:rsidTr="0088305C">
        <w:tc>
          <w:tcPr>
            <w:tcW w:w="2518" w:type="dxa"/>
          </w:tcPr>
          <w:p w:rsidR="003E180D" w:rsidRDefault="003E180D" w:rsidP="0088305C">
            <w:pPr>
              <w:spacing w:after="120"/>
              <w:rPr>
                <w:noProof/>
                <w:szCs w:val="24"/>
              </w:rPr>
            </w:pPr>
            <w:r>
              <w:rPr>
                <w:noProof/>
                <w:szCs w:val="24"/>
              </w:rPr>
              <w:t>Governance</w:t>
            </w:r>
          </w:p>
        </w:tc>
        <w:tc>
          <w:tcPr>
            <w:tcW w:w="1985" w:type="dxa"/>
            <w:tcBorders>
              <w:bottom w:val="single" w:sz="4" w:space="0" w:color="auto"/>
            </w:tcBorders>
            <w:shd w:val="clear" w:color="auto" w:fill="FFFFFF" w:themeFill="background1"/>
            <w:vAlign w:val="center"/>
          </w:tcPr>
          <w:p w:rsidR="003E180D" w:rsidRDefault="003E180D" w:rsidP="0088305C">
            <w:pPr>
              <w:spacing w:after="120"/>
              <w:jc w:val="center"/>
              <w:rPr>
                <w:noProof/>
                <w:szCs w:val="24"/>
              </w:rPr>
            </w:pPr>
            <w:r>
              <w:rPr>
                <w:noProof/>
                <w:szCs w:val="24"/>
              </w:rPr>
              <w:sym w:font="Wingdings" w:char="F0FC"/>
            </w:r>
          </w:p>
        </w:tc>
        <w:tc>
          <w:tcPr>
            <w:tcW w:w="2268" w:type="dxa"/>
            <w:tcBorders>
              <w:bottom w:val="single" w:sz="4" w:space="0" w:color="auto"/>
            </w:tcBorders>
            <w:shd w:val="clear" w:color="auto" w:fill="FFFFFF" w:themeFill="background1"/>
            <w:vAlign w:val="center"/>
          </w:tcPr>
          <w:p w:rsidR="003E180D" w:rsidRDefault="003E180D" w:rsidP="0088305C">
            <w:pPr>
              <w:spacing w:after="120"/>
              <w:jc w:val="center"/>
              <w:rPr>
                <w:noProof/>
                <w:szCs w:val="24"/>
              </w:rPr>
            </w:pPr>
            <w:r>
              <w:rPr>
                <w:noProof/>
                <w:szCs w:val="24"/>
              </w:rPr>
              <w:sym w:font="Wingdings" w:char="F0FC"/>
            </w:r>
          </w:p>
        </w:tc>
        <w:tc>
          <w:tcPr>
            <w:tcW w:w="2409" w:type="dxa"/>
            <w:tcBorders>
              <w:bottom w:val="single" w:sz="4" w:space="0" w:color="auto"/>
            </w:tcBorders>
            <w:shd w:val="clear" w:color="auto" w:fill="FFFFFF" w:themeFill="background1"/>
            <w:vAlign w:val="center"/>
          </w:tcPr>
          <w:p w:rsidR="003E180D" w:rsidRDefault="003E180D" w:rsidP="0088305C">
            <w:pPr>
              <w:spacing w:after="120"/>
              <w:jc w:val="center"/>
              <w:rPr>
                <w:noProof/>
                <w:szCs w:val="24"/>
              </w:rPr>
            </w:pPr>
          </w:p>
        </w:tc>
      </w:tr>
    </w:tbl>
    <w:p w:rsidR="003E180D" w:rsidRDefault="003E180D" w:rsidP="003E180D">
      <w:pPr>
        <w:pStyle w:val="Text1"/>
        <w:ind w:left="0"/>
        <w:rPr>
          <w:b/>
          <w:noProof/>
          <w:szCs w:val="24"/>
        </w:rPr>
      </w:pPr>
    </w:p>
    <w:p w:rsidR="003E180D" w:rsidRDefault="003E180D" w:rsidP="003E180D">
      <w:pPr>
        <w:pStyle w:val="Heading2"/>
        <w:numPr>
          <w:ilvl w:val="1"/>
          <w:numId w:val="22"/>
        </w:numPr>
        <w:spacing w:before="240" w:after="240"/>
        <w:rPr>
          <w:noProof/>
        </w:rPr>
      </w:pPr>
      <w:bookmarkStart w:id="668" w:name="_Toc508124801"/>
      <w:bookmarkStart w:id="669" w:name="_Toc508126166"/>
      <w:bookmarkStart w:id="670" w:name="_Toc508127539"/>
      <w:bookmarkStart w:id="671" w:name="_Toc508127893"/>
      <w:bookmarkStart w:id="672" w:name="_Toc508129687"/>
      <w:bookmarkStart w:id="673" w:name="_Toc508181055"/>
      <w:bookmarkStart w:id="674" w:name="_Toc508186648"/>
      <w:bookmarkStart w:id="675" w:name="_Toc510708130"/>
      <w:bookmarkStart w:id="676" w:name="_Toc514328826"/>
      <w:r>
        <w:rPr>
          <w:noProof/>
        </w:rPr>
        <w:t>Target levels – baseline and overview of options</w:t>
      </w:r>
      <w:bookmarkEnd w:id="668"/>
      <w:bookmarkEnd w:id="669"/>
      <w:bookmarkEnd w:id="670"/>
      <w:bookmarkEnd w:id="671"/>
      <w:bookmarkEnd w:id="672"/>
      <w:bookmarkEnd w:id="673"/>
      <w:bookmarkEnd w:id="674"/>
      <w:bookmarkEnd w:id="675"/>
      <w:bookmarkEnd w:id="676"/>
    </w:p>
    <w:p w:rsidR="003E180D" w:rsidRDefault="003E180D" w:rsidP="003E180D">
      <w:pPr>
        <w:keepNext/>
        <w:spacing w:after="120" w:line="240" w:lineRule="auto"/>
        <w:jc w:val="both"/>
        <w:rPr>
          <w:rFonts w:cs="Times New Roman"/>
          <w:b/>
          <w:noProof/>
        </w:rPr>
      </w:pPr>
      <w:r>
        <w:rPr>
          <w:rFonts w:cs="Times New Roman"/>
          <w:b/>
          <w:noProof/>
        </w:rPr>
        <w:t xml:space="preserve">Figure </w:t>
      </w:r>
      <w:r>
        <w:rPr>
          <w:i/>
          <w:noProof/>
        </w:rPr>
        <w:fldChar w:fldCharType="begin"/>
      </w:r>
      <w:r>
        <w:rPr>
          <w:rFonts w:cs="Times New Roman"/>
          <w:b/>
          <w:noProof/>
        </w:rPr>
        <w:instrText xml:space="preserve"> SEQ Figure \* ARABIC </w:instrText>
      </w:r>
      <w:r>
        <w:rPr>
          <w:i/>
          <w:noProof/>
        </w:rPr>
        <w:fldChar w:fldCharType="separate"/>
      </w:r>
      <w:r>
        <w:rPr>
          <w:rFonts w:cs="Times New Roman"/>
          <w:b/>
          <w:noProof/>
        </w:rPr>
        <w:t>13</w:t>
      </w:r>
      <w:r>
        <w:rPr>
          <w:i/>
          <w:noProof/>
        </w:rPr>
        <w:fldChar w:fldCharType="end"/>
      </w:r>
      <w:r>
        <w:rPr>
          <w:rFonts w:cs="Times New Roman"/>
          <w:b/>
          <w:noProof/>
        </w:rPr>
        <w:t>: EU fleet-wide CO</w:t>
      </w:r>
      <w:r>
        <w:rPr>
          <w:rFonts w:cs="Times New Roman"/>
          <w:b/>
          <w:noProof/>
          <w:vertAlign w:val="subscript"/>
        </w:rPr>
        <w:t>2</w:t>
      </w:r>
      <w:r>
        <w:rPr>
          <w:rFonts w:cs="Times New Roman"/>
          <w:b/>
          <w:noProof/>
        </w:rPr>
        <w:t xml:space="preserve"> emission target level trajectories under different policy options and emission reductions expected under the baseline</w:t>
      </w:r>
      <w:bookmarkStart w:id="677" w:name="_Toc508030236"/>
      <w:bookmarkStart w:id="678" w:name="_Toc508030428"/>
      <w:bookmarkStart w:id="679" w:name="_Toc508030586"/>
      <w:bookmarkStart w:id="680" w:name="_Toc508031591"/>
      <w:bookmarkStart w:id="681" w:name="_Toc508032368"/>
      <w:bookmarkStart w:id="682" w:name="_Toc508032526"/>
      <w:bookmarkStart w:id="683" w:name="_Toc508032684"/>
      <w:bookmarkStart w:id="684" w:name="_Toc508032842"/>
      <w:bookmarkStart w:id="685" w:name="_Toc508033000"/>
      <w:bookmarkStart w:id="686" w:name="_Toc508033735"/>
      <w:bookmarkStart w:id="687" w:name="_Toc508034285"/>
      <w:bookmarkStart w:id="688" w:name="_Toc508035740"/>
      <w:bookmarkStart w:id="689" w:name="_Toc508036150"/>
      <w:bookmarkStart w:id="690" w:name="_Toc508036560"/>
      <w:bookmarkStart w:id="691" w:name="_Toc508036970"/>
      <w:bookmarkStart w:id="692" w:name="_Toc508037380"/>
      <w:bookmarkStart w:id="693" w:name="_Toc508037790"/>
      <w:bookmarkStart w:id="694" w:name="_Toc508038202"/>
      <w:bookmarkStart w:id="695" w:name="_Toc508100390"/>
      <w:bookmarkStart w:id="696" w:name="_Toc508116388"/>
      <w:bookmarkStart w:id="697" w:name="_Toc50811701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rsidR="003E180D" w:rsidRDefault="003E180D" w:rsidP="003E180D">
      <w:pPr>
        <w:jc w:val="center"/>
        <w:rPr>
          <w:noProof/>
        </w:rPr>
      </w:pPr>
      <w:r>
        <w:rPr>
          <w:noProof/>
          <w:lang w:eastAsia="en-GB"/>
        </w:rPr>
        <w:drawing>
          <wp:inline distT="0" distB="0" distL="0" distR="0" wp14:anchorId="634B7AF6" wp14:editId="61B91DBC">
            <wp:extent cx="5356126" cy="3501745"/>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61093" cy="3504992"/>
                    </a:xfrm>
                    <a:prstGeom prst="rect">
                      <a:avLst/>
                    </a:prstGeom>
                    <a:noFill/>
                  </pic:spPr>
                </pic:pic>
              </a:graphicData>
            </a:graphic>
          </wp:inline>
        </w:drawing>
      </w:r>
      <w:bookmarkStart w:id="698" w:name="_Toc508030237"/>
      <w:bookmarkStart w:id="699" w:name="_Toc508030429"/>
      <w:bookmarkStart w:id="700" w:name="_Toc508030587"/>
      <w:bookmarkStart w:id="701" w:name="_Toc508031592"/>
      <w:bookmarkStart w:id="702" w:name="_Toc508032369"/>
      <w:bookmarkStart w:id="703" w:name="_Toc508032527"/>
      <w:bookmarkStart w:id="704" w:name="_Toc508032685"/>
      <w:bookmarkStart w:id="705" w:name="_Toc508032843"/>
      <w:bookmarkStart w:id="706" w:name="_Toc508033001"/>
      <w:bookmarkStart w:id="707" w:name="_Toc508033736"/>
      <w:bookmarkStart w:id="708" w:name="_Toc508034286"/>
      <w:bookmarkStart w:id="709" w:name="_Toc508035741"/>
      <w:bookmarkStart w:id="710" w:name="_Toc508036151"/>
      <w:bookmarkStart w:id="711" w:name="_Toc508036561"/>
      <w:bookmarkStart w:id="712" w:name="_Toc508036971"/>
      <w:bookmarkStart w:id="713" w:name="_Toc508037381"/>
      <w:bookmarkStart w:id="714" w:name="_Toc508037791"/>
      <w:bookmarkStart w:id="715" w:name="_Toc508038203"/>
      <w:bookmarkStart w:id="716" w:name="_Toc508100391"/>
      <w:bookmarkStart w:id="717" w:name="_Toc508116389"/>
      <w:bookmarkStart w:id="718" w:name="_Toc50811701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rsidR="003E180D" w:rsidRDefault="003E180D" w:rsidP="003E180D">
      <w:pPr>
        <w:rPr>
          <w:rFonts w:cs="Times New Roman"/>
          <w:noProof/>
        </w:rPr>
      </w:pPr>
      <w:bookmarkStart w:id="719" w:name="_Ref506194632"/>
      <w:bookmarkStart w:id="720" w:name="_Toc506305356"/>
      <w:bookmarkStart w:id="721" w:name="_Toc506305589"/>
      <w:bookmarkStart w:id="722" w:name="_Toc506487773"/>
      <w:bookmarkStart w:id="723" w:name="_Toc507516351"/>
      <w:bookmarkStart w:id="724" w:name="_Toc507517506"/>
      <w:bookmarkStart w:id="725" w:name="_Toc507519058"/>
      <w:bookmarkStart w:id="726" w:name="_Toc507519411"/>
      <w:bookmarkStart w:id="727" w:name="_Toc507580470"/>
      <w:bookmarkStart w:id="728" w:name="_Toc507581281"/>
      <w:bookmarkStart w:id="729" w:name="_Toc507582302"/>
      <w:bookmarkStart w:id="730" w:name="_Toc507598249"/>
    </w:p>
    <w:p w:rsidR="003E180D" w:rsidRDefault="003E180D" w:rsidP="003E180D">
      <w:pPr>
        <w:rPr>
          <w:rFonts w:cs="Times New Roman"/>
          <w:b/>
          <w:noProof/>
          <w:szCs w:val="24"/>
        </w:rPr>
      </w:pPr>
      <w:bookmarkStart w:id="731" w:name="_Toc508124802"/>
      <w:bookmarkStart w:id="732" w:name="_Toc508126167"/>
      <w:bookmarkStart w:id="733" w:name="_Toc508127540"/>
      <w:bookmarkStart w:id="734" w:name="_Toc508127894"/>
      <w:bookmarkStart w:id="735" w:name="_Toc508129688"/>
      <w:bookmarkStart w:id="736" w:name="_Toc508181056"/>
      <w:bookmarkStart w:id="737" w:name="_Toc508186649"/>
      <w:r>
        <w:rPr>
          <w:noProof/>
        </w:rPr>
        <w:br w:type="page"/>
      </w:r>
    </w:p>
    <w:p w:rsidR="003E180D" w:rsidRDefault="003E180D" w:rsidP="003E180D">
      <w:pPr>
        <w:pStyle w:val="Heading2"/>
        <w:numPr>
          <w:ilvl w:val="1"/>
          <w:numId w:val="22"/>
        </w:numPr>
        <w:spacing w:before="240" w:after="240"/>
        <w:rPr>
          <w:noProof/>
          <w:lang w:val="en-US"/>
        </w:rPr>
      </w:pPr>
      <w:bookmarkStart w:id="738" w:name="_Toc510708131"/>
      <w:bookmarkStart w:id="739" w:name="_Toc514328827"/>
      <w:r>
        <w:rPr>
          <w:noProof/>
        </w:rPr>
        <w:t>Incentives for Zero- and Low-Emission Vehicles (ZEV/LEV)</w:t>
      </w:r>
      <w:bookmarkEnd w:id="719"/>
      <w:bookmarkEnd w:id="720"/>
      <w:bookmarkEnd w:id="721"/>
      <w:bookmarkEnd w:id="722"/>
      <w:bookmarkEnd w:id="723"/>
      <w:bookmarkEnd w:id="724"/>
      <w:bookmarkEnd w:id="725"/>
      <w:bookmarkEnd w:id="726"/>
      <w:bookmarkEnd w:id="727"/>
      <w:bookmarkEnd w:id="728"/>
      <w:bookmarkEnd w:id="729"/>
      <w:bookmarkEnd w:id="730"/>
      <w:r>
        <w:rPr>
          <w:noProof/>
        </w:rPr>
        <w:t>- context</w:t>
      </w:r>
      <w:bookmarkEnd w:id="731"/>
      <w:bookmarkEnd w:id="732"/>
      <w:bookmarkEnd w:id="733"/>
      <w:bookmarkEnd w:id="734"/>
      <w:bookmarkEnd w:id="735"/>
      <w:bookmarkEnd w:id="736"/>
      <w:bookmarkEnd w:id="737"/>
      <w:bookmarkEnd w:id="738"/>
      <w:bookmarkEnd w:id="739"/>
    </w:p>
    <w:p w:rsidR="003E180D" w:rsidRDefault="003E180D" w:rsidP="003E180D">
      <w:pPr>
        <w:tabs>
          <w:tab w:val="left" w:pos="284"/>
        </w:tabs>
        <w:spacing w:after="120" w:line="240" w:lineRule="auto"/>
        <w:jc w:val="both"/>
        <w:rPr>
          <w:rFonts w:eastAsia="Times New Roman" w:cs="Times New Roman"/>
          <w:bCs/>
          <w:noProof/>
          <w:szCs w:val="24"/>
        </w:rPr>
      </w:pPr>
      <w:r>
        <w:rPr>
          <w:rFonts w:eastAsia="Times New Roman" w:cs="Times New Roman"/>
          <w:bCs/>
          <w:noProof/>
          <w:szCs w:val="24"/>
          <w:lang w:val="en"/>
        </w:rPr>
        <w:t xml:space="preserve">The </w:t>
      </w:r>
      <w:r>
        <w:rPr>
          <w:rFonts w:eastAsia="Times New Roman" w:cs="Times New Roman"/>
          <w:bCs/>
          <w:noProof/>
          <w:szCs w:val="24"/>
        </w:rPr>
        <w:t>July 2016 Commission's European Strategy for Low-Emission mobility</w:t>
      </w:r>
      <w:r>
        <w:rPr>
          <w:rFonts w:eastAsia="Times New Roman" w:cs="Times New Roman"/>
          <w:bCs/>
          <w:noProof/>
          <w:szCs w:val="24"/>
          <w:vertAlign w:val="superscript"/>
        </w:rPr>
        <w:footnoteReference w:id="74"/>
      </w:r>
      <w:r>
        <w:rPr>
          <w:rFonts w:eastAsia="Times New Roman" w:cs="Times New Roman"/>
          <w:bCs/>
          <w:noProof/>
          <w:szCs w:val="24"/>
        </w:rPr>
        <w:t xml:space="preserve"> highlighted the increasing role of zero- and low-emission vehicles in delivering CO</w:t>
      </w:r>
      <w:r>
        <w:rPr>
          <w:rFonts w:eastAsia="Times New Roman" w:cs="Times New Roman"/>
          <w:bCs/>
          <w:noProof/>
          <w:szCs w:val="24"/>
          <w:vertAlign w:val="subscript"/>
        </w:rPr>
        <w:t xml:space="preserve">2 </w:t>
      </w:r>
      <w:r>
        <w:rPr>
          <w:rFonts w:eastAsia="Times New Roman" w:cs="Times New Roman"/>
          <w:bCs/>
          <w:noProof/>
          <w:szCs w:val="24"/>
        </w:rPr>
        <w:t xml:space="preserve">reductions in the road transport sector, especially in the medium- and long-term. </w:t>
      </w:r>
    </w:p>
    <w:p w:rsidR="003E180D" w:rsidRDefault="003E180D" w:rsidP="003E180D">
      <w:pPr>
        <w:tabs>
          <w:tab w:val="left" w:pos="284"/>
        </w:tabs>
        <w:spacing w:after="120" w:line="240" w:lineRule="auto"/>
        <w:jc w:val="both"/>
        <w:rPr>
          <w:rFonts w:eastAsia="Times New Roman" w:cs="Times New Roman"/>
          <w:noProof/>
          <w:szCs w:val="24"/>
        </w:rPr>
      </w:pPr>
      <w:r>
        <w:rPr>
          <w:rFonts w:eastAsia="Times New Roman" w:cs="Times New Roman"/>
          <w:noProof/>
          <w:szCs w:val="24"/>
        </w:rPr>
        <w:t>For the Impact Assessment, two main types of vehicles will be considered:</w:t>
      </w:r>
    </w:p>
    <w:p w:rsidR="003E180D" w:rsidRDefault="003E180D" w:rsidP="003E180D">
      <w:pPr>
        <w:pStyle w:val="ListParagraph"/>
        <w:numPr>
          <w:ilvl w:val="0"/>
          <w:numId w:val="6"/>
        </w:numPr>
        <w:tabs>
          <w:tab w:val="left" w:pos="284"/>
        </w:tabs>
        <w:spacing w:after="120" w:line="240" w:lineRule="auto"/>
        <w:contextualSpacing w:val="0"/>
        <w:jc w:val="both"/>
        <w:rPr>
          <w:rFonts w:cs="Times New Roman"/>
          <w:noProof/>
          <w:szCs w:val="24"/>
        </w:rPr>
      </w:pPr>
      <w:r>
        <w:rPr>
          <w:rFonts w:cs="Times New Roman"/>
          <w:b/>
          <w:noProof/>
          <w:szCs w:val="24"/>
        </w:rPr>
        <w:t>Zero-emission vehicles (ZEV)</w:t>
      </w:r>
      <w:r>
        <w:rPr>
          <w:rFonts w:cs="Times New Roman"/>
          <w:noProof/>
          <w:szCs w:val="24"/>
        </w:rPr>
        <w:t>: vehicles having no CO</w:t>
      </w:r>
      <w:r>
        <w:rPr>
          <w:rFonts w:cs="Times New Roman"/>
          <w:noProof/>
          <w:szCs w:val="24"/>
          <w:vertAlign w:val="subscript"/>
        </w:rPr>
        <w:t>2</w:t>
      </w:r>
      <w:r>
        <w:rPr>
          <w:rFonts w:cs="Times New Roman"/>
          <w:noProof/>
          <w:szCs w:val="24"/>
        </w:rPr>
        <w:t xml:space="preserve"> tailpipe emissions during operation – these are either fully electric or hydrogen-fuelled vehicles;</w:t>
      </w:r>
    </w:p>
    <w:p w:rsidR="003E180D" w:rsidRDefault="003E180D" w:rsidP="003E180D">
      <w:pPr>
        <w:pStyle w:val="ListParagraph"/>
        <w:numPr>
          <w:ilvl w:val="0"/>
          <w:numId w:val="6"/>
        </w:numPr>
        <w:tabs>
          <w:tab w:val="left" w:pos="284"/>
        </w:tabs>
        <w:spacing w:after="120" w:line="240" w:lineRule="auto"/>
        <w:contextualSpacing w:val="0"/>
        <w:jc w:val="both"/>
        <w:rPr>
          <w:rFonts w:cs="Times New Roman"/>
          <w:noProof/>
          <w:szCs w:val="24"/>
        </w:rPr>
      </w:pPr>
      <w:r>
        <w:rPr>
          <w:rFonts w:cs="Times New Roman"/>
          <w:b/>
          <w:noProof/>
          <w:szCs w:val="24"/>
        </w:rPr>
        <w:t>Low-emission vehicles (LEV)</w:t>
      </w:r>
      <w:r>
        <w:rPr>
          <w:rFonts w:cs="Times New Roman"/>
          <w:noProof/>
          <w:szCs w:val="24"/>
        </w:rPr>
        <w:t>: vehicles having tailpipe CO</w:t>
      </w:r>
      <w:r>
        <w:rPr>
          <w:rFonts w:cs="Times New Roman"/>
          <w:noProof/>
          <w:szCs w:val="24"/>
          <w:vertAlign w:val="subscript"/>
        </w:rPr>
        <w:t>2</w:t>
      </w:r>
      <w:r>
        <w:rPr>
          <w:rFonts w:cs="Times New Roman"/>
          <w:noProof/>
          <w:szCs w:val="24"/>
        </w:rPr>
        <w:t xml:space="preserve"> emissions, which are significantly lower than those of "average" conventional vehicles. </w:t>
      </w:r>
    </w:p>
    <w:p w:rsidR="003E180D" w:rsidRDefault="003E180D" w:rsidP="003E180D">
      <w:pPr>
        <w:tabs>
          <w:tab w:val="left" w:pos="284"/>
        </w:tabs>
        <w:spacing w:after="120" w:line="240" w:lineRule="auto"/>
        <w:jc w:val="both"/>
        <w:rPr>
          <w:rFonts w:eastAsia="Times New Roman" w:cs="Times New Roman"/>
          <w:noProof/>
          <w:szCs w:val="24"/>
        </w:rPr>
      </w:pPr>
      <w:r>
        <w:rPr>
          <w:rFonts w:eastAsia="Times New Roman" w:cs="Times New Roman"/>
          <w:noProof/>
          <w:szCs w:val="24"/>
        </w:rPr>
        <w:t>While electrification technologies similar to those available for LDV exist for the smaller HDVs, the barriers for their uptake are much bigger for the heavier lorries in groups 4, 5, 9 and 10, which are the main focus of this Impact Assessment. This is because of their greater size and weight and their more rugged operations. For those lorries, the main challenge is finding ways to reduce battery needs. One way of doing so is through electric road systems (ERS) providing electricity along the road using either overhead catenary lines or inductive power transfer.</w:t>
      </w:r>
      <w:r>
        <w:rPr>
          <w:rFonts w:eastAsia="Times New Roman" w:cs="Times New Roman"/>
          <w:noProof/>
          <w:szCs w:val="24"/>
          <w:vertAlign w:val="superscript"/>
        </w:rPr>
        <w:footnoteReference w:id="75"/>
      </w:r>
      <w:r>
        <w:rPr>
          <w:rFonts w:eastAsia="Times New Roman" w:cs="Times New Roman"/>
          <w:noProof/>
          <w:szCs w:val="24"/>
        </w:rPr>
        <w:t xml:space="preserve"> Pilot applications in Germany, Sweden and the United States have begun installing catenary lines along roadways</w:t>
      </w:r>
      <w:r>
        <w:rPr>
          <w:rFonts w:eastAsia="Times New Roman" w:cs="Times New Roman"/>
          <w:noProof/>
          <w:szCs w:val="24"/>
          <w:vertAlign w:val="superscript"/>
        </w:rPr>
        <w:footnoteReference w:id="76"/>
      </w:r>
      <w:r>
        <w:rPr>
          <w:rFonts w:eastAsia="Times New Roman" w:cs="Times New Roman"/>
          <w:noProof/>
          <w:szCs w:val="24"/>
        </w:rPr>
        <w:t>.</w:t>
      </w:r>
    </w:p>
    <w:p w:rsidR="003E180D" w:rsidRDefault="003E180D" w:rsidP="003E180D">
      <w:pPr>
        <w:spacing w:after="120" w:line="240" w:lineRule="auto"/>
        <w:jc w:val="both"/>
        <w:rPr>
          <w:rFonts w:eastAsia="Times New Roman" w:cs="Times New Roman"/>
          <w:noProof/>
          <w:szCs w:val="24"/>
        </w:rPr>
      </w:pPr>
      <w:r>
        <w:rPr>
          <w:rFonts w:eastAsia="Times New Roman" w:cs="Times New Roman"/>
          <w:noProof/>
          <w:szCs w:val="24"/>
        </w:rPr>
        <w:t>Battery and f</w:t>
      </w:r>
      <w:r>
        <w:rPr>
          <w:rFonts w:eastAsia="Times New Roman" w:cs="Times New Roman"/>
          <w:bCs/>
          <w:noProof/>
          <w:szCs w:val="24"/>
        </w:rPr>
        <w:t>uel cell</w:t>
      </w:r>
      <w:r>
        <w:rPr>
          <w:rFonts w:eastAsia="Times New Roman" w:cs="Times New Roman"/>
          <w:noProof/>
          <w:szCs w:val="24"/>
        </w:rPr>
        <w:t xml:space="preserve"> electric lorries are currently in the pilot or early deployment stages, mainly amongst the vehicle groups outside the scope of this impact assessment</w:t>
      </w:r>
      <w:r>
        <w:rPr>
          <w:rFonts w:eastAsia="Times New Roman" w:cs="Times New Roman"/>
          <w:noProof/>
          <w:szCs w:val="24"/>
          <w:vertAlign w:val="superscript"/>
        </w:rPr>
        <w:footnoteReference w:id="77"/>
      </w:r>
      <w:r>
        <w:rPr>
          <w:rFonts w:eastAsia="Times New Roman" w:cs="Times New Roman"/>
          <w:noProof/>
          <w:szCs w:val="24"/>
        </w:rPr>
        <w:t xml:space="preserve">. Some manufacturers have announced plans to develop zero-emission lorries, as illustrated in Annex 7.4. However, only a very limited number of these vehicles are currently being used. </w:t>
      </w:r>
    </w:p>
    <w:p w:rsidR="003E180D" w:rsidRDefault="003E180D" w:rsidP="003E180D">
      <w:pPr>
        <w:spacing w:after="120" w:line="240" w:lineRule="auto"/>
        <w:jc w:val="both"/>
        <w:rPr>
          <w:rFonts w:eastAsia="Times New Roman" w:cs="Times New Roman"/>
          <w:noProof/>
          <w:szCs w:val="24"/>
        </w:rPr>
      </w:pPr>
      <w:r>
        <w:rPr>
          <w:rFonts w:eastAsia="Times New Roman" w:cs="Times New Roman"/>
          <w:noProof/>
          <w:szCs w:val="24"/>
        </w:rPr>
        <w:t>High costs remain one of the main hurdles faced by these lorry technologies. An additional barrier for the uptake of zero- and low-emission vehicles, in addition to the high costs of the vehicle technology, is the current lack of recharging and refuelling infrastructure. This was recently highlighted and addressed in the Commission's Communication establishing an Action Plan on Alternative Fuels Infrastructure.</w:t>
      </w:r>
      <w:r>
        <w:rPr>
          <w:rFonts w:eastAsia="Times New Roman" w:cs="Times New Roman"/>
          <w:noProof/>
          <w:szCs w:val="24"/>
          <w:vertAlign w:val="superscript"/>
        </w:rPr>
        <w:footnoteReference w:id="78"/>
      </w:r>
    </w:p>
    <w:p w:rsidR="003E180D" w:rsidRDefault="003E180D" w:rsidP="003E180D">
      <w:pPr>
        <w:rPr>
          <w:rFonts w:cs="Times New Roman"/>
          <w:b/>
          <w:noProof/>
          <w:szCs w:val="24"/>
          <w:lang w:val="en-US"/>
        </w:rPr>
      </w:pPr>
      <w:r>
        <w:rPr>
          <w:noProof/>
          <w:lang w:val="en-US"/>
        </w:rPr>
        <w:br w:type="page"/>
      </w:r>
    </w:p>
    <w:p w:rsidR="003E180D" w:rsidRDefault="003E180D" w:rsidP="003E180D">
      <w:pPr>
        <w:pStyle w:val="Heading2"/>
        <w:numPr>
          <w:ilvl w:val="1"/>
          <w:numId w:val="22"/>
        </w:numPr>
        <w:spacing w:before="240" w:after="240"/>
        <w:rPr>
          <w:noProof/>
          <w:lang w:val="en-US"/>
        </w:rPr>
      </w:pPr>
      <w:bookmarkStart w:id="740" w:name="_Toc508124803"/>
      <w:bookmarkStart w:id="741" w:name="_Toc508126168"/>
      <w:bookmarkStart w:id="742" w:name="_Toc508127541"/>
      <w:bookmarkStart w:id="743" w:name="_Toc508127895"/>
      <w:bookmarkStart w:id="744" w:name="_Toc508129689"/>
      <w:bookmarkStart w:id="745" w:name="_Toc508181057"/>
      <w:bookmarkStart w:id="746" w:name="_Toc508186650"/>
      <w:bookmarkStart w:id="747" w:name="_Toc510708132"/>
      <w:bookmarkStart w:id="748" w:name="_Toc514328828"/>
      <w:r>
        <w:rPr>
          <w:noProof/>
          <w:lang w:val="en-US"/>
        </w:rPr>
        <w:t>Banking and borrowing – design elements</w:t>
      </w:r>
      <w:bookmarkEnd w:id="740"/>
      <w:bookmarkEnd w:id="741"/>
      <w:bookmarkEnd w:id="742"/>
      <w:bookmarkEnd w:id="743"/>
      <w:bookmarkEnd w:id="744"/>
      <w:bookmarkEnd w:id="745"/>
      <w:bookmarkEnd w:id="746"/>
      <w:bookmarkEnd w:id="747"/>
      <w:bookmarkEnd w:id="748"/>
    </w:p>
    <w:p w:rsidR="003E180D" w:rsidRDefault="003E180D" w:rsidP="003E180D">
      <w:pPr>
        <w:spacing w:after="120" w:line="240" w:lineRule="auto"/>
        <w:jc w:val="both"/>
        <w:rPr>
          <w:rFonts w:eastAsia="Times New Roman" w:cs="Times New Roman"/>
          <w:noProof/>
          <w:szCs w:val="24"/>
        </w:rPr>
      </w:pPr>
      <w:r>
        <w:rPr>
          <w:rFonts w:eastAsia="Times New Roman" w:cs="Times New Roman"/>
          <w:noProof/>
          <w:szCs w:val="24"/>
        </w:rPr>
        <w:t xml:space="preserve">Regarding the option of banking and borrowing, parameters should be set to avoid possible abuse and excessive accumulation of credits. Therefore, the following key parameters would be set as part of this option, as illustrated in </w:t>
      </w:r>
      <w:r>
        <w:rPr>
          <w:rFonts w:eastAsia="Times New Roman" w:cs="Times New Roman"/>
          <w:noProof/>
          <w:szCs w:val="24"/>
        </w:rPr>
        <w:fldChar w:fldCharType="begin"/>
      </w:r>
      <w:r>
        <w:rPr>
          <w:rFonts w:eastAsia="Times New Roman" w:cs="Times New Roman"/>
          <w:noProof/>
          <w:szCs w:val="24"/>
        </w:rPr>
        <w:instrText xml:space="preserve"> REF _Ref506309570 \h  \* MERGEFORMAT </w:instrText>
      </w:r>
      <w:r>
        <w:rPr>
          <w:rFonts w:eastAsia="Times New Roman" w:cs="Times New Roman"/>
          <w:noProof/>
          <w:szCs w:val="24"/>
        </w:rPr>
      </w:r>
      <w:r>
        <w:rPr>
          <w:rFonts w:eastAsia="Times New Roman" w:cs="Times New Roman"/>
          <w:noProof/>
          <w:szCs w:val="24"/>
        </w:rPr>
        <w:fldChar w:fldCharType="separate"/>
      </w:r>
      <w:r>
        <w:rPr>
          <w:rFonts w:eastAsia="Times New Roman" w:cs="Times New Roman"/>
          <w:noProof/>
          <w:szCs w:val="24"/>
        </w:rPr>
        <w:t xml:space="preserve">Figure </w:t>
      </w:r>
      <w:r>
        <w:rPr>
          <w:rFonts w:cs="Times New Roman"/>
          <w:noProof/>
          <w:szCs w:val="24"/>
        </w:rPr>
        <w:t>14</w:t>
      </w:r>
      <w:r>
        <w:rPr>
          <w:rFonts w:eastAsia="Times New Roman" w:cs="Times New Roman"/>
          <w:noProof/>
          <w:szCs w:val="24"/>
        </w:rPr>
        <w:fldChar w:fldCharType="end"/>
      </w:r>
      <w:r>
        <w:rPr>
          <w:rFonts w:eastAsia="Times New Roman" w:cs="Times New Roman"/>
          <w:noProof/>
          <w:szCs w:val="24"/>
        </w:rPr>
        <w:t>:</w:t>
      </w:r>
    </w:p>
    <w:p w:rsidR="003E180D" w:rsidRDefault="003E180D" w:rsidP="003E180D">
      <w:pPr>
        <w:pStyle w:val="ListParagraph"/>
        <w:numPr>
          <w:ilvl w:val="0"/>
          <w:numId w:val="5"/>
        </w:numPr>
        <w:spacing w:after="120" w:line="240" w:lineRule="auto"/>
        <w:contextualSpacing w:val="0"/>
        <w:jc w:val="both"/>
        <w:rPr>
          <w:rFonts w:cs="Times New Roman"/>
          <w:noProof/>
          <w:szCs w:val="24"/>
        </w:rPr>
      </w:pPr>
      <w:r>
        <w:rPr>
          <w:rFonts w:eastAsia="Times New Roman" w:cs="Times New Roman"/>
          <w:noProof/>
          <w:szCs w:val="24"/>
        </w:rPr>
        <w:t xml:space="preserve">During the </w:t>
      </w:r>
      <w:r>
        <w:rPr>
          <w:rFonts w:cs="Times New Roman"/>
          <w:b/>
          <w:noProof/>
          <w:szCs w:val="24"/>
        </w:rPr>
        <w:t>period 2019-2024</w:t>
      </w:r>
      <w:r>
        <w:rPr>
          <w:rFonts w:eastAsia="Times New Roman" w:cs="Times New Roman"/>
          <w:noProof/>
          <w:szCs w:val="24"/>
        </w:rPr>
        <w:t xml:space="preserve">, banking would be allowed in order to reward manufacturers for early action. Credits could be gained if emissions are below a linear trajectory between the 2019 emission levels and the 2025 target of the manufacturer. The credits banked during this period could be used in the year 2025 only. </w:t>
      </w:r>
    </w:p>
    <w:p w:rsidR="003E180D" w:rsidRDefault="003E180D" w:rsidP="003E180D">
      <w:pPr>
        <w:pStyle w:val="ListParagraph"/>
        <w:numPr>
          <w:ilvl w:val="0"/>
          <w:numId w:val="5"/>
        </w:numPr>
        <w:spacing w:after="120" w:line="240" w:lineRule="auto"/>
        <w:contextualSpacing w:val="0"/>
        <w:jc w:val="both"/>
        <w:rPr>
          <w:rFonts w:cs="Times New Roman"/>
          <w:noProof/>
          <w:szCs w:val="24"/>
        </w:rPr>
      </w:pPr>
      <w:r>
        <w:rPr>
          <w:rFonts w:eastAsia="Times New Roman" w:cs="Times New Roman"/>
          <w:noProof/>
          <w:szCs w:val="24"/>
        </w:rPr>
        <w:t>During</w:t>
      </w:r>
      <w:r>
        <w:rPr>
          <w:rFonts w:cs="Times New Roman"/>
          <w:noProof/>
          <w:szCs w:val="24"/>
        </w:rPr>
        <w:t xml:space="preserve"> the </w:t>
      </w:r>
      <w:r>
        <w:rPr>
          <w:rFonts w:cs="Times New Roman"/>
          <w:b/>
          <w:noProof/>
          <w:szCs w:val="24"/>
        </w:rPr>
        <w:t>period 2025-2029</w:t>
      </w:r>
      <w:r>
        <w:rPr>
          <w:rFonts w:cs="Times New Roman"/>
          <w:noProof/>
          <w:szCs w:val="24"/>
        </w:rPr>
        <w:t>, the</w:t>
      </w:r>
      <w:r>
        <w:rPr>
          <w:rFonts w:eastAsia="Times New Roman" w:cs="Times New Roman"/>
          <w:noProof/>
          <w:szCs w:val="24"/>
        </w:rPr>
        <w:t xml:space="preserve"> linear </w:t>
      </w:r>
      <w:r>
        <w:rPr>
          <w:rFonts w:cs="Times New Roman"/>
          <w:noProof/>
          <w:szCs w:val="24"/>
        </w:rPr>
        <w:t xml:space="preserve">trajectory for banking is defined </w:t>
      </w:r>
      <w:r>
        <w:rPr>
          <w:rFonts w:eastAsia="Times New Roman" w:cs="Times New Roman"/>
          <w:noProof/>
          <w:szCs w:val="24"/>
        </w:rPr>
        <w:t>by</w:t>
      </w:r>
      <w:r>
        <w:rPr>
          <w:rFonts w:cs="Times New Roman"/>
          <w:noProof/>
          <w:szCs w:val="24"/>
        </w:rPr>
        <w:t xml:space="preserve"> the 2025 and the 2030 CO</w:t>
      </w:r>
      <w:r>
        <w:rPr>
          <w:rFonts w:cs="Times New Roman"/>
          <w:noProof/>
          <w:szCs w:val="24"/>
          <w:vertAlign w:val="subscript"/>
        </w:rPr>
        <w:t>2</w:t>
      </w:r>
      <w:r>
        <w:rPr>
          <w:rFonts w:cs="Times New Roman"/>
          <w:noProof/>
          <w:szCs w:val="24"/>
        </w:rPr>
        <w:t xml:space="preserve"> targets of the manufacturer. In case the 2030 target </w:t>
      </w:r>
      <w:r>
        <w:rPr>
          <w:rFonts w:eastAsia="Times New Roman" w:cs="Times New Roman"/>
          <w:noProof/>
          <w:szCs w:val="24"/>
        </w:rPr>
        <w:t xml:space="preserve">would be </w:t>
      </w:r>
      <w:r>
        <w:rPr>
          <w:rFonts w:cs="Times New Roman"/>
          <w:noProof/>
          <w:szCs w:val="24"/>
        </w:rPr>
        <w:t xml:space="preserve">indicative (option Timing 1), the </w:t>
      </w:r>
      <w:r>
        <w:rPr>
          <w:rFonts w:eastAsia="Times New Roman" w:cs="Times New Roman"/>
          <w:noProof/>
          <w:szCs w:val="24"/>
        </w:rPr>
        <w:t>trajectory</w:t>
      </w:r>
      <w:r>
        <w:rPr>
          <w:rFonts w:cs="Times New Roman"/>
          <w:noProof/>
          <w:szCs w:val="24"/>
        </w:rPr>
        <w:t xml:space="preserve"> could be established as part of the review of the legislation in 2022. Credits accumulated could not be carried over to 2030 or beyond. </w:t>
      </w:r>
    </w:p>
    <w:p w:rsidR="003E180D" w:rsidRDefault="003E180D" w:rsidP="003E180D">
      <w:pPr>
        <w:pStyle w:val="ListParagraph"/>
        <w:numPr>
          <w:ilvl w:val="0"/>
          <w:numId w:val="5"/>
        </w:numPr>
        <w:spacing w:after="120" w:line="240" w:lineRule="auto"/>
        <w:contextualSpacing w:val="0"/>
        <w:jc w:val="both"/>
        <w:rPr>
          <w:rFonts w:cs="Times New Roman"/>
          <w:noProof/>
          <w:szCs w:val="24"/>
        </w:rPr>
      </w:pPr>
      <w:r>
        <w:rPr>
          <w:rFonts w:cs="Times New Roman"/>
          <w:noProof/>
          <w:szCs w:val="24"/>
        </w:rPr>
        <w:t xml:space="preserve">In case of exceedance of </w:t>
      </w:r>
      <w:r>
        <w:rPr>
          <w:rFonts w:eastAsia="Times New Roman" w:cs="Times New Roman"/>
          <w:noProof/>
          <w:szCs w:val="24"/>
        </w:rPr>
        <w:t>the</w:t>
      </w:r>
      <w:r>
        <w:rPr>
          <w:rFonts w:cs="Times New Roman"/>
          <w:noProof/>
          <w:szCs w:val="24"/>
        </w:rPr>
        <w:t xml:space="preserve"> emissions target, a manufacturer could choose whether to pay the penalties or to borrow CO</w:t>
      </w:r>
      <w:r>
        <w:rPr>
          <w:rFonts w:cs="Times New Roman"/>
          <w:noProof/>
          <w:szCs w:val="24"/>
          <w:vertAlign w:val="subscript"/>
        </w:rPr>
        <w:t xml:space="preserve">2 </w:t>
      </w:r>
      <w:r>
        <w:rPr>
          <w:rFonts w:cs="Times New Roman"/>
          <w:noProof/>
          <w:szCs w:val="24"/>
        </w:rPr>
        <w:t>credits to be redeemed in subsequent years. Borrowing would be limited to a maximum of 5% of the specific emissions target.</w:t>
      </w:r>
    </w:p>
    <w:p w:rsidR="003E180D" w:rsidRDefault="003E180D" w:rsidP="003E180D">
      <w:pPr>
        <w:keepNext/>
        <w:tabs>
          <w:tab w:val="left" w:pos="0"/>
          <w:tab w:val="left" w:pos="426"/>
        </w:tabs>
        <w:spacing w:before="120" w:after="120" w:line="240" w:lineRule="auto"/>
        <w:jc w:val="both"/>
        <w:rPr>
          <w:rFonts w:cs="Times New Roman"/>
          <w:b/>
          <w:noProof/>
          <w:szCs w:val="24"/>
        </w:rPr>
      </w:pPr>
      <w:bookmarkStart w:id="749" w:name="_Ref506309570"/>
      <w:r>
        <w:rPr>
          <w:rFonts w:eastAsia="Times New Roman" w:cs="Times New Roman"/>
          <w:b/>
          <w:noProof/>
          <w:szCs w:val="24"/>
        </w:rPr>
        <w:t xml:space="preserve">Figure </w:t>
      </w:r>
      <w:r>
        <w:rPr>
          <w:rFonts w:cs="Times New Roman"/>
          <w:b/>
          <w:noProof/>
          <w:szCs w:val="24"/>
        </w:rPr>
        <w:fldChar w:fldCharType="begin"/>
      </w:r>
      <w:r>
        <w:rPr>
          <w:rFonts w:cs="Times New Roman"/>
          <w:b/>
          <w:noProof/>
          <w:szCs w:val="24"/>
        </w:rPr>
        <w:instrText xml:space="preserve"> SEQ Figure \* ARABIC </w:instrText>
      </w:r>
      <w:r>
        <w:rPr>
          <w:rFonts w:cs="Times New Roman"/>
          <w:b/>
          <w:noProof/>
          <w:szCs w:val="24"/>
        </w:rPr>
        <w:fldChar w:fldCharType="separate"/>
      </w:r>
      <w:r>
        <w:rPr>
          <w:rFonts w:cs="Times New Roman"/>
          <w:b/>
          <w:noProof/>
          <w:szCs w:val="24"/>
        </w:rPr>
        <w:t>14</w:t>
      </w:r>
      <w:r>
        <w:rPr>
          <w:rFonts w:cs="Times New Roman"/>
          <w:b/>
          <w:noProof/>
          <w:szCs w:val="24"/>
        </w:rPr>
        <w:fldChar w:fldCharType="end"/>
      </w:r>
      <w:bookmarkEnd w:id="749"/>
      <w:r>
        <w:rPr>
          <w:rFonts w:cs="Times New Roman"/>
          <w:b/>
          <w:noProof/>
          <w:szCs w:val="24"/>
        </w:rPr>
        <w:t xml:space="preserve"> </w:t>
      </w:r>
      <w:r>
        <w:rPr>
          <w:rFonts w:eastAsia="Times New Roman" w:cs="Times New Roman"/>
          <w:b/>
          <w:noProof/>
          <w:szCs w:val="24"/>
        </w:rPr>
        <w:t>: Banking and borrowing - illustration of the design elements</w:t>
      </w:r>
    </w:p>
    <w:p w:rsidR="003E180D" w:rsidRDefault="003E180D" w:rsidP="003E180D">
      <w:pPr>
        <w:tabs>
          <w:tab w:val="left" w:pos="0"/>
          <w:tab w:val="left" w:pos="426"/>
        </w:tabs>
        <w:spacing w:after="120" w:line="240" w:lineRule="auto"/>
        <w:jc w:val="center"/>
        <w:rPr>
          <w:rFonts w:eastAsia="Times New Roman" w:cs="Times New Roman"/>
          <w:noProof/>
          <w:szCs w:val="24"/>
        </w:rPr>
      </w:pPr>
      <w:r>
        <w:rPr>
          <w:rFonts w:eastAsia="Times New Roman" w:cs="Times New Roman"/>
          <w:noProof/>
          <w:szCs w:val="24"/>
          <w:lang w:eastAsia="en-GB"/>
        </w:rPr>
        <w:drawing>
          <wp:inline distT="0" distB="0" distL="0" distR="0" wp14:anchorId="15B6A47E" wp14:editId="1AD13E88">
            <wp:extent cx="5004563" cy="3348000"/>
            <wp:effectExtent l="0" t="0" r="571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04563" cy="3348000"/>
                    </a:xfrm>
                    <a:prstGeom prst="rect">
                      <a:avLst/>
                    </a:prstGeom>
                    <a:noFill/>
                    <a:ln>
                      <a:noFill/>
                    </a:ln>
                  </pic:spPr>
                </pic:pic>
              </a:graphicData>
            </a:graphic>
          </wp:inline>
        </w:drawing>
      </w:r>
    </w:p>
    <w:p w:rsidR="003E180D" w:rsidRDefault="003E180D" w:rsidP="003E180D">
      <w:pPr>
        <w:rPr>
          <w:rFonts w:eastAsia="Times New Roman" w:cs="Times New Roman"/>
          <w:b/>
          <w:smallCaps/>
          <w:noProof/>
          <w:szCs w:val="24"/>
        </w:rPr>
      </w:pPr>
      <w:r>
        <w:rPr>
          <w:noProof/>
        </w:rPr>
        <w:br w:type="page"/>
      </w:r>
    </w:p>
    <w:p w:rsidR="003E180D" w:rsidRDefault="003E180D" w:rsidP="003E180D">
      <w:pPr>
        <w:pStyle w:val="Heading1"/>
        <w:numPr>
          <w:ilvl w:val="0"/>
          <w:numId w:val="22"/>
        </w:numPr>
        <w:rPr>
          <w:noProof/>
        </w:rPr>
      </w:pPr>
      <w:bookmarkStart w:id="750" w:name="_Toc508124804"/>
      <w:bookmarkStart w:id="751" w:name="_Toc508126169"/>
      <w:bookmarkStart w:id="752" w:name="_Toc508127542"/>
      <w:bookmarkStart w:id="753" w:name="_Toc508127896"/>
      <w:bookmarkStart w:id="754" w:name="_Toc508129690"/>
      <w:bookmarkStart w:id="755" w:name="_Toc508181058"/>
      <w:bookmarkStart w:id="756" w:name="_Toc508186651"/>
      <w:bookmarkStart w:id="757" w:name="_Toc510708133"/>
      <w:bookmarkStart w:id="758" w:name="_Toc514328829"/>
      <w:r>
        <w:rPr>
          <w:noProof/>
        </w:rPr>
        <w:t>Annex 10: Impacts of policy options – complementary information</w:t>
      </w:r>
      <w:bookmarkEnd w:id="750"/>
      <w:bookmarkEnd w:id="751"/>
      <w:bookmarkEnd w:id="752"/>
      <w:bookmarkEnd w:id="753"/>
      <w:bookmarkEnd w:id="754"/>
      <w:bookmarkEnd w:id="755"/>
      <w:bookmarkEnd w:id="756"/>
      <w:bookmarkEnd w:id="757"/>
      <w:bookmarkEnd w:id="758"/>
    </w:p>
    <w:p w:rsidR="003E180D" w:rsidRDefault="003E180D" w:rsidP="003E180D">
      <w:pPr>
        <w:pStyle w:val="Text1"/>
        <w:spacing w:after="120"/>
        <w:ind w:left="0"/>
        <w:rPr>
          <w:noProof/>
        </w:rPr>
      </w:pPr>
      <w:r>
        <w:rPr>
          <w:noProof/>
        </w:rPr>
        <w:t>The information in this Annex complements Section 6.2 of the Impact Assessment.</w:t>
      </w:r>
    </w:p>
    <w:p w:rsidR="003E180D" w:rsidRDefault="003E180D" w:rsidP="003E180D">
      <w:pPr>
        <w:pStyle w:val="Heading2"/>
        <w:numPr>
          <w:ilvl w:val="1"/>
          <w:numId w:val="22"/>
        </w:numPr>
        <w:spacing w:before="240" w:after="240"/>
        <w:rPr>
          <w:noProof/>
        </w:rPr>
      </w:pPr>
      <w:bookmarkStart w:id="759" w:name="_Toc508124805"/>
      <w:bookmarkStart w:id="760" w:name="_Toc508126170"/>
      <w:bookmarkStart w:id="761" w:name="_Toc508127543"/>
      <w:bookmarkStart w:id="762" w:name="_Toc508127897"/>
      <w:bookmarkStart w:id="763" w:name="_Toc508129691"/>
      <w:r>
        <w:rPr>
          <w:noProof/>
          <w:color w:val="000000" w:themeColor="text1"/>
        </w:rPr>
        <w:t xml:space="preserve"> </w:t>
      </w:r>
      <w:bookmarkStart w:id="764" w:name="_Toc510708134"/>
      <w:bookmarkStart w:id="765" w:name="_Toc508181059"/>
      <w:bookmarkStart w:id="766" w:name="_Toc508186652"/>
      <w:bookmarkStart w:id="767" w:name="_Toc514328830"/>
      <w:r>
        <w:rPr>
          <w:noProof/>
        </w:rPr>
        <w:t>Fleet composition under different target level options</w:t>
      </w:r>
      <w:bookmarkEnd w:id="764"/>
      <w:bookmarkEnd w:id="767"/>
    </w:p>
    <w:p w:rsidR="003E180D" w:rsidRDefault="003E180D" w:rsidP="003E180D">
      <w:pPr>
        <w:pStyle w:val="Text1"/>
        <w:spacing w:after="120"/>
        <w:ind w:left="0"/>
        <w:rPr>
          <w:noProof/>
        </w:rPr>
      </w:pPr>
      <w:r>
        <w:rPr>
          <w:noProof/>
        </w:rPr>
        <w:t>In the PRIMES-TREMOVE model, the uptake of LNG lorries is limited due to some assumptions about the availability of LNG fuel and supply infrastructure. With these limitations on LNG lorries and the cost curves applied, certain emission reduction targets could not be achieved. For the base cost assumptions, this was the case for the 35% reduction target in 2030 and for the high cost assumptions, this occurred for all targets with more than 30% reduction. Therefore, for modelling those options, limitations in PRIMES-TREMOVE were removed allowing further CO</w:t>
      </w:r>
      <w:r>
        <w:rPr>
          <w:noProof/>
          <w:vertAlign w:val="subscript"/>
        </w:rPr>
        <w:t>2</w:t>
      </w:r>
      <w:r>
        <w:rPr>
          <w:noProof/>
        </w:rPr>
        <w:t xml:space="preserve"> emission reductions up to the target level by increasing the LNG share in the fleet.</w:t>
      </w:r>
    </w:p>
    <w:p w:rsidR="003E180D" w:rsidRDefault="003E180D" w:rsidP="003E180D">
      <w:pPr>
        <w:pStyle w:val="Text1"/>
        <w:ind w:left="0"/>
        <w:rPr>
          <w:b/>
          <w:bCs/>
          <w:noProof/>
          <w:szCs w:val="18"/>
        </w:rPr>
      </w:pPr>
      <w:r>
        <w:rPr>
          <w:noProof/>
        </w:rPr>
        <w:fldChar w:fldCharType="begin"/>
      </w:r>
      <w:r>
        <w:rPr>
          <w:noProof/>
        </w:rPr>
        <w:instrText xml:space="preserve"> REF _Ref510691937 \h </w:instrText>
      </w:r>
      <w:r>
        <w:rPr>
          <w:noProof/>
        </w:rPr>
      </w:r>
      <w:r>
        <w:rPr>
          <w:noProof/>
        </w:rPr>
        <w:fldChar w:fldCharType="separate"/>
      </w:r>
      <w:r>
        <w:rPr>
          <w:noProof/>
        </w:rPr>
        <w:t>Table 11</w:t>
      </w:r>
      <w:r>
        <w:rPr>
          <w:noProof/>
        </w:rPr>
        <w:fldChar w:fldCharType="end"/>
      </w:r>
      <w:r>
        <w:rPr>
          <w:noProof/>
        </w:rPr>
        <w:t xml:space="preserve"> shows the composition of the new lorry fleet in terms of diesel and LNG vehicle share under the baseline and different target level options.</w:t>
      </w:r>
    </w:p>
    <w:p w:rsidR="003E180D" w:rsidRDefault="003E180D" w:rsidP="003E180D">
      <w:pPr>
        <w:pStyle w:val="Caption"/>
        <w:jc w:val="both"/>
        <w:rPr>
          <w:noProof/>
        </w:rPr>
      </w:pPr>
      <w:bookmarkStart w:id="768" w:name="_Ref510691937"/>
      <w:r>
        <w:rPr>
          <w:noProof/>
        </w:rPr>
        <w:t xml:space="preserve">Table </w:t>
      </w:r>
      <w:r>
        <w:rPr>
          <w:noProof/>
        </w:rPr>
        <w:fldChar w:fldCharType="begin"/>
      </w:r>
      <w:r>
        <w:rPr>
          <w:noProof/>
        </w:rPr>
        <w:instrText xml:space="preserve"> SEQ Table \* ARABIC </w:instrText>
      </w:r>
      <w:r>
        <w:rPr>
          <w:noProof/>
        </w:rPr>
        <w:fldChar w:fldCharType="separate"/>
      </w:r>
      <w:r>
        <w:rPr>
          <w:noProof/>
        </w:rPr>
        <w:t>11</w:t>
      </w:r>
      <w:r>
        <w:rPr>
          <w:noProof/>
        </w:rPr>
        <w:fldChar w:fldCharType="end"/>
      </w:r>
      <w:bookmarkEnd w:id="768"/>
      <w:r>
        <w:rPr>
          <w:noProof/>
        </w:rPr>
        <w:t>: New lorry fleet composition in 2025 and 2030 under the baseline and different target level options, using the base and high cost assumptions, respectively</w:t>
      </w:r>
    </w:p>
    <w:tbl>
      <w:tblPr>
        <w:tblStyle w:val="TableGrid"/>
        <w:tblW w:w="5000" w:type="pct"/>
        <w:jc w:val="center"/>
        <w:tblLook w:val="04A0" w:firstRow="1" w:lastRow="0" w:firstColumn="1" w:lastColumn="0" w:noHBand="0" w:noVBand="1"/>
      </w:tblPr>
      <w:tblGrid>
        <w:gridCol w:w="2483"/>
        <w:gridCol w:w="1587"/>
        <w:gridCol w:w="1587"/>
        <w:gridCol w:w="1588"/>
        <w:gridCol w:w="1588"/>
      </w:tblGrid>
      <w:tr w:rsidR="003E180D" w:rsidTr="0088305C">
        <w:trPr>
          <w:trHeight w:val="300"/>
          <w:jc w:val="center"/>
        </w:trPr>
        <w:tc>
          <w:tcPr>
            <w:tcW w:w="1212" w:type="pct"/>
            <w:noWrap/>
            <w:hideMark/>
          </w:tcPr>
          <w:p w:rsidR="003E180D" w:rsidRDefault="003E180D" w:rsidP="0088305C">
            <w:pPr>
              <w:spacing w:after="120"/>
              <w:rPr>
                <w:noProof/>
                <w:szCs w:val="24"/>
              </w:rPr>
            </w:pPr>
            <w:r>
              <w:rPr>
                <w:b/>
                <w:noProof/>
                <w:szCs w:val="24"/>
              </w:rPr>
              <w:t>Base</w:t>
            </w:r>
            <w:r>
              <w:rPr>
                <w:noProof/>
                <w:szCs w:val="24"/>
              </w:rPr>
              <w:t xml:space="preserve"> costs assumptions   </w:t>
            </w:r>
          </w:p>
        </w:tc>
        <w:tc>
          <w:tcPr>
            <w:tcW w:w="1894" w:type="pct"/>
            <w:gridSpan w:val="2"/>
            <w:noWrap/>
            <w:hideMark/>
          </w:tcPr>
          <w:p w:rsidR="003E180D" w:rsidRDefault="003E180D" w:rsidP="0088305C">
            <w:pPr>
              <w:spacing w:after="120"/>
              <w:jc w:val="center"/>
              <w:rPr>
                <w:b/>
                <w:noProof/>
                <w:szCs w:val="24"/>
              </w:rPr>
            </w:pPr>
            <w:r>
              <w:rPr>
                <w:b/>
                <w:noProof/>
                <w:szCs w:val="24"/>
              </w:rPr>
              <w:t>2025</w:t>
            </w:r>
          </w:p>
        </w:tc>
        <w:tc>
          <w:tcPr>
            <w:tcW w:w="1894" w:type="pct"/>
            <w:gridSpan w:val="2"/>
            <w:noWrap/>
            <w:hideMark/>
          </w:tcPr>
          <w:p w:rsidR="003E180D" w:rsidRDefault="003E180D" w:rsidP="0088305C">
            <w:pPr>
              <w:spacing w:after="120"/>
              <w:jc w:val="center"/>
              <w:rPr>
                <w:b/>
                <w:noProof/>
                <w:szCs w:val="24"/>
              </w:rPr>
            </w:pPr>
            <w:r>
              <w:rPr>
                <w:b/>
                <w:noProof/>
                <w:szCs w:val="24"/>
              </w:rPr>
              <w:t>2030</w:t>
            </w:r>
          </w:p>
        </w:tc>
      </w:tr>
      <w:tr w:rsidR="003E180D" w:rsidTr="0088305C">
        <w:trPr>
          <w:trHeight w:val="300"/>
          <w:jc w:val="center"/>
        </w:trPr>
        <w:tc>
          <w:tcPr>
            <w:tcW w:w="1212" w:type="pct"/>
            <w:noWrap/>
            <w:hideMark/>
          </w:tcPr>
          <w:p w:rsidR="003E180D" w:rsidRDefault="003E180D" w:rsidP="0088305C">
            <w:pPr>
              <w:spacing w:after="120"/>
              <w:rPr>
                <w:noProof/>
                <w:szCs w:val="24"/>
              </w:rPr>
            </w:pPr>
          </w:p>
        </w:tc>
        <w:tc>
          <w:tcPr>
            <w:tcW w:w="947" w:type="pct"/>
            <w:noWrap/>
            <w:hideMark/>
          </w:tcPr>
          <w:p w:rsidR="003E180D" w:rsidRDefault="003E180D" w:rsidP="0088305C">
            <w:pPr>
              <w:spacing w:after="120"/>
              <w:jc w:val="center"/>
              <w:rPr>
                <w:noProof/>
                <w:szCs w:val="24"/>
              </w:rPr>
            </w:pPr>
            <w:r>
              <w:rPr>
                <w:noProof/>
                <w:szCs w:val="24"/>
              </w:rPr>
              <w:t>Diesel</w:t>
            </w:r>
          </w:p>
        </w:tc>
        <w:tc>
          <w:tcPr>
            <w:tcW w:w="947" w:type="pct"/>
            <w:noWrap/>
            <w:hideMark/>
          </w:tcPr>
          <w:p w:rsidR="003E180D" w:rsidRDefault="003E180D" w:rsidP="0088305C">
            <w:pPr>
              <w:spacing w:after="120"/>
              <w:jc w:val="center"/>
              <w:rPr>
                <w:noProof/>
                <w:szCs w:val="24"/>
              </w:rPr>
            </w:pPr>
            <w:r>
              <w:rPr>
                <w:noProof/>
                <w:szCs w:val="24"/>
              </w:rPr>
              <w:t>LNG</w:t>
            </w:r>
          </w:p>
        </w:tc>
        <w:tc>
          <w:tcPr>
            <w:tcW w:w="947" w:type="pct"/>
            <w:noWrap/>
            <w:hideMark/>
          </w:tcPr>
          <w:p w:rsidR="003E180D" w:rsidRDefault="003E180D" w:rsidP="0088305C">
            <w:pPr>
              <w:spacing w:after="120"/>
              <w:jc w:val="center"/>
              <w:rPr>
                <w:noProof/>
                <w:szCs w:val="24"/>
              </w:rPr>
            </w:pPr>
            <w:r>
              <w:rPr>
                <w:noProof/>
                <w:szCs w:val="24"/>
              </w:rPr>
              <w:t>Diesel</w:t>
            </w:r>
          </w:p>
        </w:tc>
        <w:tc>
          <w:tcPr>
            <w:tcW w:w="947" w:type="pct"/>
            <w:noWrap/>
            <w:hideMark/>
          </w:tcPr>
          <w:p w:rsidR="003E180D" w:rsidRDefault="003E180D" w:rsidP="0088305C">
            <w:pPr>
              <w:spacing w:after="120"/>
              <w:jc w:val="center"/>
              <w:rPr>
                <w:noProof/>
                <w:szCs w:val="24"/>
              </w:rPr>
            </w:pPr>
            <w:r>
              <w:rPr>
                <w:noProof/>
                <w:szCs w:val="24"/>
              </w:rPr>
              <w:t>LNG</w:t>
            </w:r>
          </w:p>
        </w:tc>
      </w:tr>
      <w:tr w:rsidR="003E180D" w:rsidTr="0088305C">
        <w:trPr>
          <w:trHeight w:val="300"/>
          <w:jc w:val="center"/>
        </w:trPr>
        <w:tc>
          <w:tcPr>
            <w:tcW w:w="1212" w:type="pct"/>
            <w:noWrap/>
            <w:hideMark/>
          </w:tcPr>
          <w:p w:rsidR="003E180D" w:rsidRDefault="003E180D" w:rsidP="0088305C">
            <w:pPr>
              <w:spacing w:after="120"/>
              <w:rPr>
                <w:noProof/>
                <w:szCs w:val="24"/>
              </w:rPr>
            </w:pPr>
            <w:r>
              <w:rPr>
                <w:noProof/>
                <w:szCs w:val="24"/>
              </w:rPr>
              <w:t>Baseline</w:t>
            </w:r>
          </w:p>
        </w:tc>
        <w:tc>
          <w:tcPr>
            <w:tcW w:w="947" w:type="pct"/>
            <w:shd w:val="clear" w:color="auto" w:fill="auto"/>
            <w:noWrap/>
            <w:hideMark/>
          </w:tcPr>
          <w:p w:rsidR="003E180D" w:rsidRDefault="003E180D" w:rsidP="0088305C">
            <w:pPr>
              <w:spacing w:after="120"/>
              <w:jc w:val="center"/>
              <w:rPr>
                <w:noProof/>
                <w:szCs w:val="24"/>
              </w:rPr>
            </w:pPr>
            <w:r>
              <w:rPr>
                <w:noProof/>
                <w:szCs w:val="24"/>
              </w:rPr>
              <w:t>97.6%</w:t>
            </w:r>
          </w:p>
        </w:tc>
        <w:tc>
          <w:tcPr>
            <w:tcW w:w="947" w:type="pct"/>
            <w:shd w:val="clear" w:color="auto" w:fill="auto"/>
            <w:noWrap/>
            <w:hideMark/>
          </w:tcPr>
          <w:p w:rsidR="003E180D" w:rsidRDefault="003E180D" w:rsidP="0088305C">
            <w:pPr>
              <w:spacing w:after="120"/>
              <w:jc w:val="center"/>
              <w:rPr>
                <w:noProof/>
                <w:szCs w:val="24"/>
              </w:rPr>
            </w:pPr>
            <w:r>
              <w:rPr>
                <w:noProof/>
                <w:szCs w:val="24"/>
              </w:rPr>
              <w:t>2.4%</w:t>
            </w:r>
          </w:p>
        </w:tc>
        <w:tc>
          <w:tcPr>
            <w:tcW w:w="947" w:type="pct"/>
            <w:shd w:val="clear" w:color="auto" w:fill="auto"/>
            <w:noWrap/>
            <w:hideMark/>
          </w:tcPr>
          <w:p w:rsidR="003E180D" w:rsidRDefault="003E180D" w:rsidP="0088305C">
            <w:pPr>
              <w:spacing w:after="120"/>
              <w:jc w:val="center"/>
              <w:rPr>
                <w:noProof/>
                <w:szCs w:val="24"/>
              </w:rPr>
            </w:pPr>
            <w:r>
              <w:rPr>
                <w:noProof/>
                <w:szCs w:val="24"/>
              </w:rPr>
              <w:t>96.3%</w:t>
            </w:r>
          </w:p>
        </w:tc>
        <w:tc>
          <w:tcPr>
            <w:tcW w:w="947" w:type="pct"/>
            <w:shd w:val="clear" w:color="auto" w:fill="auto"/>
            <w:noWrap/>
            <w:hideMark/>
          </w:tcPr>
          <w:p w:rsidR="003E180D" w:rsidRDefault="003E180D" w:rsidP="0088305C">
            <w:pPr>
              <w:spacing w:after="120"/>
              <w:jc w:val="center"/>
              <w:rPr>
                <w:noProof/>
                <w:szCs w:val="24"/>
              </w:rPr>
            </w:pPr>
            <w:r>
              <w:rPr>
                <w:noProof/>
                <w:szCs w:val="24"/>
              </w:rPr>
              <w:t>3.7%</w:t>
            </w:r>
          </w:p>
        </w:tc>
      </w:tr>
      <w:tr w:rsidR="003E180D" w:rsidTr="0088305C">
        <w:trPr>
          <w:trHeight w:val="300"/>
          <w:jc w:val="center"/>
        </w:trPr>
        <w:tc>
          <w:tcPr>
            <w:tcW w:w="1212" w:type="pct"/>
            <w:noWrap/>
            <w:hideMark/>
          </w:tcPr>
          <w:p w:rsidR="003E180D" w:rsidRDefault="003E180D" w:rsidP="0088305C">
            <w:pPr>
              <w:spacing w:after="120"/>
              <w:rPr>
                <w:noProof/>
                <w:szCs w:val="24"/>
              </w:rPr>
            </w:pPr>
            <w:r>
              <w:rPr>
                <w:noProof/>
                <w:szCs w:val="24"/>
              </w:rPr>
              <w:t>TL20</w:t>
            </w:r>
          </w:p>
        </w:tc>
        <w:tc>
          <w:tcPr>
            <w:tcW w:w="947" w:type="pct"/>
            <w:shd w:val="clear" w:color="auto" w:fill="auto"/>
            <w:noWrap/>
            <w:hideMark/>
          </w:tcPr>
          <w:p w:rsidR="003E180D" w:rsidRDefault="003E180D" w:rsidP="0088305C">
            <w:pPr>
              <w:spacing w:after="120"/>
              <w:jc w:val="center"/>
              <w:rPr>
                <w:noProof/>
                <w:szCs w:val="24"/>
              </w:rPr>
            </w:pPr>
            <w:r>
              <w:rPr>
                <w:noProof/>
                <w:szCs w:val="24"/>
              </w:rPr>
              <w:t>94.0%</w:t>
            </w:r>
          </w:p>
        </w:tc>
        <w:tc>
          <w:tcPr>
            <w:tcW w:w="947" w:type="pct"/>
            <w:shd w:val="clear" w:color="auto" w:fill="auto"/>
            <w:noWrap/>
            <w:hideMark/>
          </w:tcPr>
          <w:p w:rsidR="003E180D" w:rsidRDefault="003E180D" w:rsidP="0088305C">
            <w:pPr>
              <w:spacing w:after="120"/>
              <w:jc w:val="center"/>
              <w:rPr>
                <w:noProof/>
                <w:szCs w:val="24"/>
              </w:rPr>
            </w:pPr>
            <w:r>
              <w:rPr>
                <w:noProof/>
                <w:szCs w:val="24"/>
              </w:rPr>
              <w:t>6.0%</w:t>
            </w:r>
          </w:p>
        </w:tc>
        <w:tc>
          <w:tcPr>
            <w:tcW w:w="947" w:type="pct"/>
            <w:shd w:val="clear" w:color="auto" w:fill="auto"/>
            <w:noWrap/>
            <w:hideMark/>
          </w:tcPr>
          <w:p w:rsidR="003E180D" w:rsidRDefault="003E180D" w:rsidP="0088305C">
            <w:pPr>
              <w:spacing w:after="120"/>
              <w:jc w:val="center"/>
              <w:rPr>
                <w:noProof/>
                <w:szCs w:val="24"/>
              </w:rPr>
            </w:pPr>
            <w:r>
              <w:rPr>
                <w:noProof/>
                <w:szCs w:val="24"/>
              </w:rPr>
              <w:t>89.6%</w:t>
            </w:r>
          </w:p>
        </w:tc>
        <w:tc>
          <w:tcPr>
            <w:tcW w:w="947" w:type="pct"/>
            <w:shd w:val="clear" w:color="auto" w:fill="auto"/>
            <w:noWrap/>
            <w:hideMark/>
          </w:tcPr>
          <w:p w:rsidR="003E180D" w:rsidRDefault="003E180D" w:rsidP="0088305C">
            <w:pPr>
              <w:spacing w:after="120"/>
              <w:jc w:val="center"/>
              <w:rPr>
                <w:noProof/>
                <w:szCs w:val="24"/>
              </w:rPr>
            </w:pPr>
            <w:r>
              <w:rPr>
                <w:noProof/>
                <w:szCs w:val="24"/>
              </w:rPr>
              <w:t>10.4%</w:t>
            </w:r>
          </w:p>
        </w:tc>
      </w:tr>
      <w:tr w:rsidR="003E180D" w:rsidTr="0088305C">
        <w:trPr>
          <w:trHeight w:val="300"/>
          <w:jc w:val="center"/>
        </w:trPr>
        <w:tc>
          <w:tcPr>
            <w:tcW w:w="1212" w:type="pct"/>
            <w:noWrap/>
            <w:hideMark/>
          </w:tcPr>
          <w:p w:rsidR="003E180D" w:rsidRDefault="003E180D" w:rsidP="0088305C">
            <w:pPr>
              <w:spacing w:after="120"/>
              <w:rPr>
                <w:noProof/>
                <w:szCs w:val="24"/>
              </w:rPr>
            </w:pPr>
            <w:r>
              <w:rPr>
                <w:noProof/>
                <w:szCs w:val="24"/>
              </w:rPr>
              <w:t>TL30NL</w:t>
            </w:r>
          </w:p>
        </w:tc>
        <w:tc>
          <w:tcPr>
            <w:tcW w:w="947" w:type="pct"/>
            <w:shd w:val="clear" w:color="auto" w:fill="auto"/>
            <w:noWrap/>
          </w:tcPr>
          <w:p w:rsidR="003E180D" w:rsidRDefault="003E180D" w:rsidP="0088305C">
            <w:pPr>
              <w:spacing w:after="120"/>
              <w:jc w:val="center"/>
              <w:rPr>
                <w:noProof/>
                <w:szCs w:val="24"/>
              </w:rPr>
            </w:pPr>
            <w:r>
              <w:rPr>
                <w:noProof/>
                <w:szCs w:val="24"/>
              </w:rPr>
              <w:t>91.4%</w:t>
            </w:r>
          </w:p>
        </w:tc>
        <w:tc>
          <w:tcPr>
            <w:tcW w:w="947" w:type="pct"/>
            <w:shd w:val="clear" w:color="auto" w:fill="auto"/>
            <w:noWrap/>
          </w:tcPr>
          <w:p w:rsidR="003E180D" w:rsidRDefault="003E180D" w:rsidP="0088305C">
            <w:pPr>
              <w:spacing w:after="120"/>
              <w:jc w:val="center"/>
              <w:rPr>
                <w:noProof/>
                <w:szCs w:val="24"/>
              </w:rPr>
            </w:pPr>
            <w:r>
              <w:rPr>
                <w:noProof/>
                <w:szCs w:val="24"/>
              </w:rPr>
              <w:t>8.6%</w:t>
            </w:r>
          </w:p>
        </w:tc>
        <w:tc>
          <w:tcPr>
            <w:tcW w:w="947" w:type="pct"/>
            <w:shd w:val="clear" w:color="auto" w:fill="auto"/>
            <w:noWrap/>
          </w:tcPr>
          <w:p w:rsidR="003E180D" w:rsidRDefault="003E180D" w:rsidP="0088305C">
            <w:pPr>
              <w:spacing w:after="120"/>
              <w:jc w:val="center"/>
              <w:rPr>
                <w:noProof/>
                <w:szCs w:val="24"/>
              </w:rPr>
            </w:pPr>
            <w:r>
              <w:rPr>
                <w:noProof/>
                <w:szCs w:val="24"/>
              </w:rPr>
              <w:t>81.9%</w:t>
            </w:r>
          </w:p>
        </w:tc>
        <w:tc>
          <w:tcPr>
            <w:tcW w:w="947" w:type="pct"/>
            <w:shd w:val="clear" w:color="auto" w:fill="auto"/>
            <w:noWrap/>
          </w:tcPr>
          <w:p w:rsidR="003E180D" w:rsidRDefault="003E180D" w:rsidP="0088305C">
            <w:pPr>
              <w:spacing w:after="120"/>
              <w:jc w:val="center"/>
              <w:rPr>
                <w:noProof/>
                <w:szCs w:val="24"/>
              </w:rPr>
            </w:pPr>
            <w:r>
              <w:rPr>
                <w:noProof/>
                <w:szCs w:val="24"/>
              </w:rPr>
              <w:t>18.1%</w:t>
            </w:r>
          </w:p>
        </w:tc>
      </w:tr>
      <w:tr w:rsidR="003E180D" w:rsidTr="0088305C">
        <w:trPr>
          <w:trHeight w:val="300"/>
          <w:jc w:val="center"/>
        </w:trPr>
        <w:tc>
          <w:tcPr>
            <w:tcW w:w="1212" w:type="pct"/>
            <w:noWrap/>
            <w:hideMark/>
          </w:tcPr>
          <w:p w:rsidR="003E180D" w:rsidRDefault="003E180D" w:rsidP="0088305C">
            <w:pPr>
              <w:spacing w:after="120"/>
              <w:rPr>
                <w:noProof/>
                <w:szCs w:val="24"/>
              </w:rPr>
            </w:pPr>
            <w:r>
              <w:rPr>
                <w:noProof/>
                <w:szCs w:val="24"/>
              </w:rPr>
              <w:t>TL30</w:t>
            </w:r>
          </w:p>
        </w:tc>
        <w:tc>
          <w:tcPr>
            <w:tcW w:w="947" w:type="pct"/>
            <w:shd w:val="clear" w:color="auto" w:fill="auto"/>
            <w:noWrap/>
          </w:tcPr>
          <w:p w:rsidR="003E180D" w:rsidRDefault="003E180D" w:rsidP="0088305C">
            <w:pPr>
              <w:spacing w:after="120"/>
              <w:jc w:val="center"/>
              <w:rPr>
                <w:noProof/>
                <w:szCs w:val="24"/>
              </w:rPr>
            </w:pPr>
            <w:r>
              <w:rPr>
                <w:noProof/>
                <w:szCs w:val="24"/>
              </w:rPr>
              <w:t>90.6%</w:t>
            </w:r>
          </w:p>
        </w:tc>
        <w:tc>
          <w:tcPr>
            <w:tcW w:w="947" w:type="pct"/>
            <w:shd w:val="clear" w:color="auto" w:fill="auto"/>
            <w:noWrap/>
          </w:tcPr>
          <w:p w:rsidR="003E180D" w:rsidRDefault="003E180D" w:rsidP="0088305C">
            <w:pPr>
              <w:spacing w:after="120"/>
              <w:jc w:val="center"/>
              <w:rPr>
                <w:noProof/>
                <w:szCs w:val="24"/>
              </w:rPr>
            </w:pPr>
            <w:r>
              <w:rPr>
                <w:noProof/>
                <w:szCs w:val="24"/>
              </w:rPr>
              <w:t>9.4%</w:t>
            </w:r>
          </w:p>
        </w:tc>
        <w:tc>
          <w:tcPr>
            <w:tcW w:w="947" w:type="pct"/>
            <w:shd w:val="clear" w:color="auto" w:fill="auto"/>
            <w:noWrap/>
          </w:tcPr>
          <w:p w:rsidR="003E180D" w:rsidRDefault="003E180D" w:rsidP="0088305C">
            <w:pPr>
              <w:spacing w:after="120"/>
              <w:jc w:val="center"/>
              <w:rPr>
                <w:noProof/>
                <w:szCs w:val="24"/>
              </w:rPr>
            </w:pPr>
            <w:r>
              <w:rPr>
                <w:noProof/>
                <w:szCs w:val="24"/>
              </w:rPr>
              <w:t>81.3%</w:t>
            </w:r>
          </w:p>
        </w:tc>
        <w:tc>
          <w:tcPr>
            <w:tcW w:w="947" w:type="pct"/>
            <w:shd w:val="clear" w:color="auto" w:fill="auto"/>
            <w:noWrap/>
          </w:tcPr>
          <w:p w:rsidR="003E180D" w:rsidRDefault="003E180D" w:rsidP="0088305C">
            <w:pPr>
              <w:spacing w:after="120"/>
              <w:jc w:val="center"/>
              <w:rPr>
                <w:noProof/>
                <w:szCs w:val="24"/>
              </w:rPr>
            </w:pPr>
            <w:r>
              <w:rPr>
                <w:noProof/>
                <w:szCs w:val="24"/>
              </w:rPr>
              <w:t>18.7%</w:t>
            </w:r>
          </w:p>
        </w:tc>
      </w:tr>
      <w:tr w:rsidR="003E180D" w:rsidTr="0088305C">
        <w:trPr>
          <w:trHeight w:val="300"/>
          <w:jc w:val="center"/>
        </w:trPr>
        <w:tc>
          <w:tcPr>
            <w:tcW w:w="1212" w:type="pct"/>
            <w:noWrap/>
            <w:hideMark/>
          </w:tcPr>
          <w:p w:rsidR="003E180D" w:rsidRDefault="003E180D" w:rsidP="0088305C">
            <w:pPr>
              <w:spacing w:after="120"/>
              <w:rPr>
                <w:noProof/>
                <w:szCs w:val="24"/>
              </w:rPr>
            </w:pPr>
            <w:r>
              <w:rPr>
                <w:noProof/>
                <w:szCs w:val="24"/>
              </w:rPr>
              <w:t>TL32</w:t>
            </w:r>
          </w:p>
        </w:tc>
        <w:tc>
          <w:tcPr>
            <w:tcW w:w="947" w:type="pct"/>
            <w:noWrap/>
            <w:hideMark/>
          </w:tcPr>
          <w:p w:rsidR="003E180D" w:rsidRDefault="003E180D" w:rsidP="0088305C">
            <w:pPr>
              <w:spacing w:after="120"/>
              <w:jc w:val="center"/>
              <w:rPr>
                <w:noProof/>
                <w:szCs w:val="24"/>
              </w:rPr>
            </w:pPr>
            <w:r>
              <w:rPr>
                <w:noProof/>
                <w:szCs w:val="24"/>
              </w:rPr>
              <w:t>89.0%</w:t>
            </w:r>
          </w:p>
        </w:tc>
        <w:tc>
          <w:tcPr>
            <w:tcW w:w="947" w:type="pct"/>
            <w:noWrap/>
            <w:hideMark/>
          </w:tcPr>
          <w:p w:rsidR="003E180D" w:rsidRDefault="003E180D" w:rsidP="0088305C">
            <w:pPr>
              <w:spacing w:after="120"/>
              <w:jc w:val="center"/>
              <w:rPr>
                <w:noProof/>
                <w:szCs w:val="24"/>
              </w:rPr>
            </w:pPr>
            <w:r>
              <w:rPr>
                <w:noProof/>
                <w:szCs w:val="24"/>
              </w:rPr>
              <w:t>11.0%</w:t>
            </w:r>
          </w:p>
        </w:tc>
        <w:tc>
          <w:tcPr>
            <w:tcW w:w="947" w:type="pct"/>
            <w:noWrap/>
            <w:hideMark/>
          </w:tcPr>
          <w:p w:rsidR="003E180D" w:rsidRDefault="003E180D" w:rsidP="0088305C">
            <w:pPr>
              <w:spacing w:after="120"/>
              <w:jc w:val="center"/>
              <w:rPr>
                <w:noProof/>
                <w:szCs w:val="24"/>
              </w:rPr>
            </w:pPr>
            <w:r>
              <w:rPr>
                <w:noProof/>
                <w:szCs w:val="24"/>
              </w:rPr>
              <w:t>79.6%</w:t>
            </w:r>
          </w:p>
        </w:tc>
        <w:tc>
          <w:tcPr>
            <w:tcW w:w="947" w:type="pct"/>
            <w:noWrap/>
            <w:hideMark/>
          </w:tcPr>
          <w:p w:rsidR="003E180D" w:rsidRDefault="003E180D" w:rsidP="0088305C">
            <w:pPr>
              <w:spacing w:after="120"/>
              <w:jc w:val="center"/>
              <w:rPr>
                <w:noProof/>
                <w:szCs w:val="24"/>
              </w:rPr>
            </w:pPr>
            <w:r>
              <w:rPr>
                <w:noProof/>
                <w:szCs w:val="24"/>
              </w:rPr>
              <w:t>20.4%</w:t>
            </w:r>
          </w:p>
        </w:tc>
      </w:tr>
      <w:tr w:rsidR="003E180D" w:rsidTr="0088305C">
        <w:trPr>
          <w:trHeight w:val="300"/>
          <w:jc w:val="center"/>
        </w:trPr>
        <w:tc>
          <w:tcPr>
            <w:tcW w:w="1212" w:type="pct"/>
            <w:noWrap/>
            <w:hideMark/>
          </w:tcPr>
          <w:p w:rsidR="003E180D" w:rsidRDefault="003E180D" w:rsidP="0088305C">
            <w:pPr>
              <w:spacing w:after="120"/>
              <w:rPr>
                <w:noProof/>
                <w:szCs w:val="24"/>
              </w:rPr>
            </w:pPr>
            <w:r>
              <w:rPr>
                <w:noProof/>
                <w:szCs w:val="24"/>
              </w:rPr>
              <w:t>TL35</w:t>
            </w:r>
          </w:p>
        </w:tc>
        <w:tc>
          <w:tcPr>
            <w:tcW w:w="947" w:type="pct"/>
            <w:shd w:val="clear" w:color="auto" w:fill="auto"/>
            <w:noWrap/>
            <w:hideMark/>
          </w:tcPr>
          <w:p w:rsidR="003E180D" w:rsidRDefault="003E180D" w:rsidP="0088305C">
            <w:pPr>
              <w:spacing w:after="120"/>
              <w:jc w:val="center"/>
              <w:rPr>
                <w:noProof/>
                <w:szCs w:val="24"/>
              </w:rPr>
            </w:pPr>
            <w:r>
              <w:rPr>
                <w:noProof/>
                <w:szCs w:val="24"/>
              </w:rPr>
              <w:t>87.2%</w:t>
            </w:r>
          </w:p>
        </w:tc>
        <w:tc>
          <w:tcPr>
            <w:tcW w:w="947" w:type="pct"/>
            <w:shd w:val="clear" w:color="auto" w:fill="auto"/>
            <w:noWrap/>
            <w:hideMark/>
          </w:tcPr>
          <w:p w:rsidR="003E180D" w:rsidRDefault="003E180D" w:rsidP="0088305C">
            <w:pPr>
              <w:spacing w:after="120"/>
              <w:jc w:val="center"/>
              <w:rPr>
                <w:noProof/>
                <w:szCs w:val="24"/>
              </w:rPr>
            </w:pPr>
            <w:r>
              <w:rPr>
                <w:noProof/>
                <w:szCs w:val="24"/>
              </w:rPr>
              <w:t>12.8%</w:t>
            </w:r>
          </w:p>
        </w:tc>
        <w:tc>
          <w:tcPr>
            <w:tcW w:w="947" w:type="pct"/>
            <w:shd w:val="clear" w:color="auto" w:fill="auto"/>
            <w:noWrap/>
            <w:hideMark/>
          </w:tcPr>
          <w:p w:rsidR="003E180D" w:rsidRDefault="003E180D" w:rsidP="0088305C">
            <w:pPr>
              <w:spacing w:after="120"/>
              <w:jc w:val="center"/>
              <w:rPr>
                <w:noProof/>
                <w:szCs w:val="24"/>
              </w:rPr>
            </w:pPr>
            <w:r>
              <w:rPr>
                <w:noProof/>
                <w:szCs w:val="24"/>
              </w:rPr>
              <w:t>77.5%</w:t>
            </w:r>
          </w:p>
        </w:tc>
        <w:tc>
          <w:tcPr>
            <w:tcW w:w="947" w:type="pct"/>
            <w:shd w:val="clear" w:color="auto" w:fill="auto"/>
            <w:noWrap/>
            <w:hideMark/>
          </w:tcPr>
          <w:p w:rsidR="003E180D" w:rsidRDefault="003E180D" w:rsidP="0088305C">
            <w:pPr>
              <w:spacing w:after="120"/>
              <w:jc w:val="center"/>
              <w:rPr>
                <w:noProof/>
                <w:szCs w:val="24"/>
              </w:rPr>
            </w:pPr>
            <w:r>
              <w:rPr>
                <w:noProof/>
                <w:szCs w:val="24"/>
              </w:rPr>
              <w:t>22.5%</w:t>
            </w:r>
          </w:p>
        </w:tc>
      </w:tr>
    </w:tbl>
    <w:p w:rsidR="003E180D" w:rsidRDefault="003E180D" w:rsidP="003E180D">
      <w:pPr>
        <w:pStyle w:val="Caption"/>
        <w:spacing w:after="0"/>
        <w:jc w:val="both"/>
        <w:rPr>
          <w:b w:val="0"/>
          <w:noProof/>
          <w:sz w:val="16"/>
        </w:rPr>
      </w:pPr>
    </w:p>
    <w:tbl>
      <w:tblPr>
        <w:tblStyle w:val="TableGrid"/>
        <w:tblW w:w="5000" w:type="pct"/>
        <w:jc w:val="center"/>
        <w:tblLook w:val="04A0" w:firstRow="1" w:lastRow="0" w:firstColumn="1" w:lastColumn="0" w:noHBand="0" w:noVBand="1"/>
      </w:tblPr>
      <w:tblGrid>
        <w:gridCol w:w="2510"/>
        <w:gridCol w:w="1578"/>
        <w:gridCol w:w="1583"/>
        <w:gridCol w:w="1582"/>
        <w:gridCol w:w="1580"/>
      </w:tblGrid>
      <w:tr w:rsidR="003E180D" w:rsidTr="0088305C">
        <w:trPr>
          <w:trHeight w:val="300"/>
          <w:jc w:val="center"/>
        </w:trPr>
        <w:tc>
          <w:tcPr>
            <w:tcW w:w="1398" w:type="pct"/>
            <w:noWrap/>
            <w:hideMark/>
          </w:tcPr>
          <w:p w:rsidR="003E180D" w:rsidRDefault="003E180D" w:rsidP="0088305C">
            <w:pPr>
              <w:spacing w:after="120"/>
              <w:rPr>
                <w:noProof/>
                <w:szCs w:val="24"/>
              </w:rPr>
            </w:pPr>
            <w:r>
              <w:rPr>
                <w:b/>
                <w:noProof/>
                <w:szCs w:val="24"/>
              </w:rPr>
              <w:t>High</w:t>
            </w:r>
            <w:r>
              <w:rPr>
                <w:noProof/>
                <w:szCs w:val="24"/>
              </w:rPr>
              <w:t xml:space="preserve"> costs assumptions   </w:t>
            </w:r>
          </w:p>
        </w:tc>
        <w:tc>
          <w:tcPr>
            <w:tcW w:w="1801" w:type="pct"/>
            <w:gridSpan w:val="2"/>
            <w:noWrap/>
            <w:hideMark/>
          </w:tcPr>
          <w:p w:rsidR="003E180D" w:rsidRDefault="003E180D" w:rsidP="0088305C">
            <w:pPr>
              <w:spacing w:after="120"/>
              <w:jc w:val="center"/>
              <w:rPr>
                <w:b/>
                <w:noProof/>
                <w:szCs w:val="24"/>
              </w:rPr>
            </w:pPr>
            <w:r>
              <w:rPr>
                <w:b/>
                <w:noProof/>
                <w:szCs w:val="24"/>
              </w:rPr>
              <w:t>2025</w:t>
            </w:r>
          </w:p>
        </w:tc>
        <w:tc>
          <w:tcPr>
            <w:tcW w:w="1801" w:type="pct"/>
            <w:gridSpan w:val="2"/>
            <w:noWrap/>
            <w:hideMark/>
          </w:tcPr>
          <w:p w:rsidR="003E180D" w:rsidRDefault="003E180D" w:rsidP="0088305C">
            <w:pPr>
              <w:spacing w:after="120"/>
              <w:jc w:val="center"/>
              <w:rPr>
                <w:b/>
                <w:noProof/>
                <w:szCs w:val="24"/>
              </w:rPr>
            </w:pPr>
            <w:r>
              <w:rPr>
                <w:b/>
                <w:noProof/>
                <w:szCs w:val="24"/>
              </w:rPr>
              <w:t>2030</w:t>
            </w:r>
          </w:p>
        </w:tc>
      </w:tr>
      <w:tr w:rsidR="003E180D" w:rsidTr="0088305C">
        <w:trPr>
          <w:trHeight w:val="300"/>
          <w:jc w:val="center"/>
        </w:trPr>
        <w:tc>
          <w:tcPr>
            <w:tcW w:w="1398" w:type="pct"/>
            <w:noWrap/>
            <w:hideMark/>
          </w:tcPr>
          <w:p w:rsidR="003E180D" w:rsidRDefault="003E180D" w:rsidP="0088305C">
            <w:pPr>
              <w:spacing w:after="120"/>
              <w:rPr>
                <w:noProof/>
                <w:szCs w:val="24"/>
              </w:rPr>
            </w:pPr>
          </w:p>
        </w:tc>
        <w:tc>
          <w:tcPr>
            <w:tcW w:w="899" w:type="pct"/>
            <w:noWrap/>
            <w:hideMark/>
          </w:tcPr>
          <w:p w:rsidR="003E180D" w:rsidRDefault="003E180D" w:rsidP="0088305C">
            <w:pPr>
              <w:spacing w:after="120"/>
              <w:jc w:val="center"/>
              <w:rPr>
                <w:noProof/>
                <w:szCs w:val="24"/>
              </w:rPr>
            </w:pPr>
            <w:r>
              <w:rPr>
                <w:noProof/>
                <w:szCs w:val="24"/>
              </w:rPr>
              <w:t>Diesel</w:t>
            </w:r>
          </w:p>
        </w:tc>
        <w:tc>
          <w:tcPr>
            <w:tcW w:w="902" w:type="pct"/>
            <w:noWrap/>
            <w:hideMark/>
          </w:tcPr>
          <w:p w:rsidR="003E180D" w:rsidRDefault="003E180D" w:rsidP="0088305C">
            <w:pPr>
              <w:spacing w:after="120"/>
              <w:jc w:val="center"/>
              <w:rPr>
                <w:noProof/>
                <w:szCs w:val="24"/>
              </w:rPr>
            </w:pPr>
            <w:r>
              <w:rPr>
                <w:noProof/>
                <w:szCs w:val="24"/>
              </w:rPr>
              <w:t>LNG</w:t>
            </w:r>
          </w:p>
        </w:tc>
        <w:tc>
          <w:tcPr>
            <w:tcW w:w="901" w:type="pct"/>
            <w:noWrap/>
            <w:hideMark/>
          </w:tcPr>
          <w:p w:rsidR="003E180D" w:rsidRDefault="003E180D" w:rsidP="0088305C">
            <w:pPr>
              <w:spacing w:after="120"/>
              <w:jc w:val="center"/>
              <w:rPr>
                <w:noProof/>
                <w:szCs w:val="24"/>
              </w:rPr>
            </w:pPr>
            <w:r>
              <w:rPr>
                <w:noProof/>
                <w:szCs w:val="24"/>
              </w:rPr>
              <w:t>Diesel</w:t>
            </w:r>
          </w:p>
        </w:tc>
        <w:tc>
          <w:tcPr>
            <w:tcW w:w="900" w:type="pct"/>
            <w:noWrap/>
            <w:hideMark/>
          </w:tcPr>
          <w:p w:rsidR="003E180D" w:rsidRDefault="003E180D" w:rsidP="0088305C">
            <w:pPr>
              <w:spacing w:after="120"/>
              <w:jc w:val="center"/>
              <w:rPr>
                <w:noProof/>
                <w:szCs w:val="24"/>
              </w:rPr>
            </w:pPr>
            <w:r>
              <w:rPr>
                <w:noProof/>
                <w:szCs w:val="24"/>
              </w:rPr>
              <w:t>LNG</w:t>
            </w:r>
          </w:p>
        </w:tc>
      </w:tr>
      <w:tr w:rsidR="003E180D" w:rsidTr="0088305C">
        <w:trPr>
          <w:trHeight w:val="300"/>
          <w:jc w:val="center"/>
        </w:trPr>
        <w:tc>
          <w:tcPr>
            <w:tcW w:w="1398" w:type="pct"/>
            <w:noWrap/>
            <w:hideMark/>
          </w:tcPr>
          <w:p w:rsidR="003E180D" w:rsidRDefault="003E180D" w:rsidP="0088305C">
            <w:pPr>
              <w:spacing w:after="120"/>
              <w:rPr>
                <w:noProof/>
                <w:szCs w:val="24"/>
              </w:rPr>
            </w:pPr>
            <w:r>
              <w:rPr>
                <w:noProof/>
                <w:szCs w:val="24"/>
              </w:rPr>
              <w:t>Baseline</w:t>
            </w:r>
          </w:p>
        </w:tc>
        <w:tc>
          <w:tcPr>
            <w:tcW w:w="899" w:type="pct"/>
            <w:shd w:val="clear" w:color="auto" w:fill="auto"/>
            <w:noWrap/>
            <w:vAlign w:val="bottom"/>
          </w:tcPr>
          <w:p w:rsidR="003E180D" w:rsidRDefault="003E180D" w:rsidP="0088305C">
            <w:pPr>
              <w:spacing w:after="120"/>
              <w:jc w:val="center"/>
              <w:rPr>
                <w:noProof/>
                <w:szCs w:val="24"/>
                <w:highlight w:val="green"/>
              </w:rPr>
            </w:pPr>
            <w:r>
              <w:rPr>
                <w:noProof/>
                <w:color w:val="000000"/>
                <w:szCs w:val="24"/>
              </w:rPr>
              <w:t>97.6%</w:t>
            </w:r>
          </w:p>
        </w:tc>
        <w:tc>
          <w:tcPr>
            <w:tcW w:w="902" w:type="pct"/>
            <w:shd w:val="clear" w:color="auto" w:fill="auto"/>
            <w:noWrap/>
            <w:vAlign w:val="bottom"/>
          </w:tcPr>
          <w:p w:rsidR="003E180D" w:rsidRDefault="003E180D" w:rsidP="0088305C">
            <w:pPr>
              <w:spacing w:after="120"/>
              <w:jc w:val="center"/>
              <w:rPr>
                <w:noProof/>
                <w:szCs w:val="24"/>
                <w:highlight w:val="green"/>
              </w:rPr>
            </w:pPr>
            <w:r>
              <w:rPr>
                <w:noProof/>
                <w:color w:val="000000"/>
                <w:szCs w:val="24"/>
              </w:rPr>
              <w:t>2.4%</w:t>
            </w:r>
          </w:p>
        </w:tc>
        <w:tc>
          <w:tcPr>
            <w:tcW w:w="901" w:type="pct"/>
            <w:shd w:val="clear" w:color="auto" w:fill="auto"/>
            <w:noWrap/>
            <w:vAlign w:val="bottom"/>
          </w:tcPr>
          <w:p w:rsidR="003E180D" w:rsidRDefault="003E180D" w:rsidP="0088305C">
            <w:pPr>
              <w:spacing w:after="120"/>
              <w:jc w:val="center"/>
              <w:rPr>
                <w:noProof/>
                <w:szCs w:val="24"/>
                <w:highlight w:val="green"/>
              </w:rPr>
            </w:pPr>
            <w:r>
              <w:rPr>
                <w:noProof/>
                <w:color w:val="000000"/>
                <w:szCs w:val="24"/>
              </w:rPr>
              <w:t>96.3%</w:t>
            </w:r>
          </w:p>
        </w:tc>
        <w:tc>
          <w:tcPr>
            <w:tcW w:w="900" w:type="pct"/>
            <w:shd w:val="clear" w:color="auto" w:fill="auto"/>
            <w:noWrap/>
            <w:vAlign w:val="bottom"/>
          </w:tcPr>
          <w:p w:rsidR="003E180D" w:rsidRDefault="003E180D" w:rsidP="0088305C">
            <w:pPr>
              <w:spacing w:after="120"/>
              <w:jc w:val="center"/>
              <w:rPr>
                <w:noProof/>
                <w:szCs w:val="24"/>
                <w:highlight w:val="green"/>
              </w:rPr>
            </w:pPr>
            <w:r>
              <w:rPr>
                <w:noProof/>
                <w:color w:val="000000"/>
                <w:szCs w:val="24"/>
              </w:rPr>
              <w:t>3.7%</w:t>
            </w:r>
          </w:p>
        </w:tc>
      </w:tr>
      <w:tr w:rsidR="003E180D" w:rsidTr="0088305C">
        <w:trPr>
          <w:trHeight w:val="300"/>
          <w:jc w:val="center"/>
        </w:trPr>
        <w:tc>
          <w:tcPr>
            <w:tcW w:w="1398" w:type="pct"/>
            <w:noWrap/>
            <w:hideMark/>
          </w:tcPr>
          <w:p w:rsidR="003E180D" w:rsidRDefault="003E180D" w:rsidP="0088305C">
            <w:pPr>
              <w:spacing w:after="120"/>
              <w:rPr>
                <w:noProof/>
                <w:szCs w:val="24"/>
              </w:rPr>
            </w:pPr>
            <w:r>
              <w:rPr>
                <w:noProof/>
                <w:szCs w:val="24"/>
              </w:rPr>
              <w:t>TL20</w:t>
            </w:r>
          </w:p>
        </w:tc>
        <w:tc>
          <w:tcPr>
            <w:tcW w:w="899" w:type="pct"/>
            <w:shd w:val="clear" w:color="auto" w:fill="auto"/>
            <w:noWrap/>
            <w:vAlign w:val="bottom"/>
          </w:tcPr>
          <w:p w:rsidR="003E180D" w:rsidRDefault="003E180D" w:rsidP="0088305C">
            <w:pPr>
              <w:spacing w:after="120"/>
              <w:jc w:val="center"/>
              <w:rPr>
                <w:noProof/>
                <w:szCs w:val="24"/>
                <w:highlight w:val="green"/>
              </w:rPr>
            </w:pPr>
            <w:r>
              <w:rPr>
                <w:noProof/>
                <w:color w:val="000000"/>
                <w:szCs w:val="24"/>
              </w:rPr>
              <w:t>93.2%</w:t>
            </w:r>
          </w:p>
        </w:tc>
        <w:tc>
          <w:tcPr>
            <w:tcW w:w="902" w:type="pct"/>
            <w:shd w:val="clear" w:color="auto" w:fill="auto"/>
            <w:noWrap/>
            <w:vAlign w:val="bottom"/>
          </w:tcPr>
          <w:p w:rsidR="003E180D" w:rsidRDefault="003E180D" w:rsidP="0088305C">
            <w:pPr>
              <w:spacing w:after="120"/>
              <w:jc w:val="center"/>
              <w:rPr>
                <w:noProof/>
                <w:szCs w:val="24"/>
                <w:highlight w:val="green"/>
              </w:rPr>
            </w:pPr>
            <w:r>
              <w:rPr>
                <w:noProof/>
                <w:color w:val="000000"/>
                <w:szCs w:val="24"/>
              </w:rPr>
              <w:t>6.8%</w:t>
            </w:r>
          </w:p>
        </w:tc>
        <w:tc>
          <w:tcPr>
            <w:tcW w:w="901" w:type="pct"/>
            <w:shd w:val="clear" w:color="auto" w:fill="auto"/>
            <w:noWrap/>
            <w:vAlign w:val="bottom"/>
          </w:tcPr>
          <w:p w:rsidR="003E180D" w:rsidRDefault="003E180D" w:rsidP="0088305C">
            <w:pPr>
              <w:spacing w:after="120"/>
              <w:jc w:val="center"/>
              <w:rPr>
                <w:noProof/>
                <w:szCs w:val="24"/>
                <w:highlight w:val="green"/>
              </w:rPr>
            </w:pPr>
            <w:r>
              <w:rPr>
                <w:noProof/>
                <w:color w:val="000000"/>
                <w:szCs w:val="24"/>
              </w:rPr>
              <w:t>88.1%</w:t>
            </w:r>
          </w:p>
        </w:tc>
        <w:tc>
          <w:tcPr>
            <w:tcW w:w="900" w:type="pct"/>
            <w:shd w:val="clear" w:color="auto" w:fill="auto"/>
            <w:noWrap/>
            <w:vAlign w:val="bottom"/>
          </w:tcPr>
          <w:p w:rsidR="003E180D" w:rsidRDefault="003E180D" w:rsidP="0088305C">
            <w:pPr>
              <w:spacing w:after="120"/>
              <w:jc w:val="center"/>
              <w:rPr>
                <w:noProof/>
                <w:szCs w:val="24"/>
                <w:highlight w:val="green"/>
              </w:rPr>
            </w:pPr>
            <w:r>
              <w:rPr>
                <w:noProof/>
                <w:color w:val="000000"/>
                <w:szCs w:val="24"/>
              </w:rPr>
              <w:t>11.9%</w:t>
            </w:r>
          </w:p>
        </w:tc>
      </w:tr>
      <w:tr w:rsidR="003E180D" w:rsidTr="0088305C">
        <w:trPr>
          <w:trHeight w:val="300"/>
          <w:jc w:val="center"/>
        </w:trPr>
        <w:tc>
          <w:tcPr>
            <w:tcW w:w="1398" w:type="pct"/>
            <w:noWrap/>
            <w:hideMark/>
          </w:tcPr>
          <w:p w:rsidR="003E180D" w:rsidRDefault="003E180D" w:rsidP="0088305C">
            <w:pPr>
              <w:spacing w:after="120"/>
              <w:rPr>
                <w:noProof/>
                <w:szCs w:val="24"/>
              </w:rPr>
            </w:pPr>
            <w:r>
              <w:rPr>
                <w:noProof/>
                <w:szCs w:val="24"/>
              </w:rPr>
              <w:t>TL30NL</w:t>
            </w:r>
          </w:p>
        </w:tc>
        <w:tc>
          <w:tcPr>
            <w:tcW w:w="899" w:type="pct"/>
            <w:shd w:val="clear" w:color="auto" w:fill="auto"/>
            <w:noWrap/>
            <w:vAlign w:val="bottom"/>
          </w:tcPr>
          <w:p w:rsidR="003E180D" w:rsidRDefault="003E180D" w:rsidP="0088305C">
            <w:pPr>
              <w:spacing w:after="120"/>
              <w:jc w:val="center"/>
              <w:rPr>
                <w:noProof/>
                <w:szCs w:val="24"/>
                <w:highlight w:val="green"/>
              </w:rPr>
            </w:pPr>
            <w:r>
              <w:rPr>
                <w:noProof/>
                <w:color w:val="000000"/>
                <w:szCs w:val="24"/>
              </w:rPr>
              <w:t>89.6%</w:t>
            </w:r>
          </w:p>
        </w:tc>
        <w:tc>
          <w:tcPr>
            <w:tcW w:w="902" w:type="pct"/>
            <w:shd w:val="clear" w:color="auto" w:fill="auto"/>
            <w:noWrap/>
            <w:vAlign w:val="bottom"/>
          </w:tcPr>
          <w:p w:rsidR="003E180D" w:rsidRDefault="003E180D" w:rsidP="0088305C">
            <w:pPr>
              <w:spacing w:after="120"/>
              <w:jc w:val="center"/>
              <w:rPr>
                <w:noProof/>
                <w:szCs w:val="24"/>
                <w:highlight w:val="green"/>
              </w:rPr>
            </w:pPr>
            <w:r>
              <w:rPr>
                <w:noProof/>
                <w:color w:val="000000"/>
                <w:szCs w:val="24"/>
              </w:rPr>
              <w:t>10.4%</w:t>
            </w:r>
          </w:p>
        </w:tc>
        <w:tc>
          <w:tcPr>
            <w:tcW w:w="901" w:type="pct"/>
            <w:shd w:val="clear" w:color="auto" w:fill="auto"/>
            <w:noWrap/>
            <w:vAlign w:val="bottom"/>
          </w:tcPr>
          <w:p w:rsidR="003E180D" w:rsidRDefault="003E180D" w:rsidP="0088305C">
            <w:pPr>
              <w:spacing w:after="120"/>
              <w:jc w:val="center"/>
              <w:rPr>
                <w:noProof/>
                <w:szCs w:val="24"/>
                <w:highlight w:val="green"/>
              </w:rPr>
            </w:pPr>
            <w:r>
              <w:rPr>
                <w:noProof/>
                <w:color w:val="000000"/>
                <w:szCs w:val="24"/>
              </w:rPr>
              <w:t>80.4%</w:t>
            </w:r>
          </w:p>
        </w:tc>
        <w:tc>
          <w:tcPr>
            <w:tcW w:w="900" w:type="pct"/>
            <w:shd w:val="clear" w:color="auto" w:fill="auto"/>
            <w:noWrap/>
            <w:vAlign w:val="bottom"/>
          </w:tcPr>
          <w:p w:rsidR="003E180D" w:rsidRDefault="003E180D" w:rsidP="0088305C">
            <w:pPr>
              <w:spacing w:after="120"/>
              <w:jc w:val="center"/>
              <w:rPr>
                <w:noProof/>
                <w:szCs w:val="24"/>
                <w:highlight w:val="green"/>
              </w:rPr>
            </w:pPr>
            <w:r>
              <w:rPr>
                <w:noProof/>
                <w:color w:val="000000"/>
                <w:szCs w:val="24"/>
              </w:rPr>
              <w:t>19.6%</w:t>
            </w:r>
          </w:p>
        </w:tc>
      </w:tr>
      <w:tr w:rsidR="003E180D" w:rsidTr="0088305C">
        <w:trPr>
          <w:trHeight w:val="300"/>
          <w:jc w:val="center"/>
        </w:trPr>
        <w:tc>
          <w:tcPr>
            <w:tcW w:w="1398" w:type="pct"/>
            <w:noWrap/>
            <w:hideMark/>
          </w:tcPr>
          <w:p w:rsidR="003E180D" w:rsidRDefault="003E180D" w:rsidP="0088305C">
            <w:pPr>
              <w:spacing w:after="120"/>
              <w:rPr>
                <w:noProof/>
                <w:szCs w:val="24"/>
              </w:rPr>
            </w:pPr>
            <w:r>
              <w:rPr>
                <w:noProof/>
                <w:szCs w:val="24"/>
              </w:rPr>
              <w:t>TL30</w:t>
            </w:r>
          </w:p>
        </w:tc>
        <w:tc>
          <w:tcPr>
            <w:tcW w:w="899" w:type="pct"/>
            <w:shd w:val="clear" w:color="auto" w:fill="auto"/>
            <w:noWrap/>
            <w:vAlign w:val="bottom"/>
          </w:tcPr>
          <w:p w:rsidR="003E180D" w:rsidRDefault="003E180D" w:rsidP="0088305C">
            <w:pPr>
              <w:spacing w:after="120"/>
              <w:jc w:val="center"/>
              <w:rPr>
                <w:noProof/>
                <w:szCs w:val="24"/>
                <w:highlight w:val="green"/>
              </w:rPr>
            </w:pPr>
            <w:r>
              <w:rPr>
                <w:noProof/>
                <w:color w:val="000000"/>
                <w:szCs w:val="24"/>
              </w:rPr>
              <w:t>88.9%</w:t>
            </w:r>
          </w:p>
        </w:tc>
        <w:tc>
          <w:tcPr>
            <w:tcW w:w="902" w:type="pct"/>
            <w:shd w:val="clear" w:color="auto" w:fill="auto"/>
            <w:noWrap/>
            <w:vAlign w:val="bottom"/>
          </w:tcPr>
          <w:p w:rsidR="003E180D" w:rsidRDefault="003E180D" w:rsidP="0088305C">
            <w:pPr>
              <w:spacing w:after="120"/>
              <w:jc w:val="center"/>
              <w:rPr>
                <w:noProof/>
                <w:szCs w:val="24"/>
                <w:highlight w:val="green"/>
              </w:rPr>
            </w:pPr>
            <w:r>
              <w:rPr>
                <w:noProof/>
                <w:color w:val="000000"/>
                <w:szCs w:val="24"/>
              </w:rPr>
              <w:t>11.1%</w:t>
            </w:r>
          </w:p>
        </w:tc>
        <w:tc>
          <w:tcPr>
            <w:tcW w:w="901" w:type="pct"/>
            <w:shd w:val="clear" w:color="auto" w:fill="auto"/>
            <w:noWrap/>
            <w:vAlign w:val="bottom"/>
          </w:tcPr>
          <w:p w:rsidR="003E180D" w:rsidRDefault="003E180D" w:rsidP="0088305C">
            <w:pPr>
              <w:spacing w:after="120"/>
              <w:jc w:val="center"/>
              <w:rPr>
                <w:noProof/>
                <w:szCs w:val="24"/>
                <w:highlight w:val="green"/>
              </w:rPr>
            </w:pPr>
            <w:r>
              <w:rPr>
                <w:noProof/>
                <w:color w:val="000000"/>
                <w:szCs w:val="24"/>
              </w:rPr>
              <w:t>79.9%</w:t>
            </w:r>
          </w:p>
        </w:tc>
        <w:tc>
          <w:tcPr>
            <w:tcW w:w="900" w:type="pct"/>
            <w:shd w:val="clear" w:color="auto" w:fill="auto"/>
            <w:noWrap/>
            <w:vAlign w:val="bottom"/>
          </w:tcPr>
          <w:p w:rsidR="003E180D" w:rsidRDefault="003E180D" w:rsidP="0088305C">
            <w:pPr>
              <w:spacing w:after="120"/>
              <w:jc w:val="center"/>
              <w:rPr>
                <w:noProof/>
                <w:szCs w:val="24"/>
                <w:highlight w:val="green"/>
              </w:rPr>
            </w:pPr>
            <w:r>
              <w:rPr>
                <w:noProof/>
                <w:color w:val="000000"/>
                <w:szCs w:val="24"/>
              </w:rPr>
              <w:t>20.1%</w:t>
            </w:r>
          </w:p>
        </w:tc>
      </w:tr>
      <w:tr w:rsidR="003E180D" w:rsidTr="0088305C">
        <w:trPr>
          <w:trHeight w:val="300"/>
          <w:jc w:val="center"/>
        </w:trPr>
        <w:tc>
          <w:tcPr>
            <w:tcW w:w="1398" w:type="pct"/>
            <w:noWrap/>
            <w:hideMark/>
          </w:tcPr>
          <w:p w:rsidR="003E180D" w:rsidRDefault="003E180D" w:rsidP="0088305C">
            <w:pPr>
              <w:spacing w:after="120"/>
              <w:rPr>
                <w:noProof/>
                <w:szCs w:val="24"/>
              </w:rPr>
            </w:pPr>
            <w:r>
              <w:rPr>
                <w:noProof/>
                <w:szCs w:val="24"/>
              </w:rPr>
              <w:t>TL32</w:t>
            </w:r>
          </w:p>
        </w:tc>
        <w:tc>
          <w:tcPr>
            <w:tcW w:w="899" w:type="pct"/>
            <w:noWrap/>
            <w:vAlign w:val="bottom"/>
          </w:tcPr>
          <w:p w:rsidR="003E180D" w:rsidRDefault="003E180D" w:rsidP="0088305C">
            <w:pPr>
              <w:spacing w:after="120"/>
              <w:jc w:val="center"/>
              <w:rPr>
                <w:noProof/>
                <w:szCs w:val="24"/>
                <w:highlight w:val="green"/>
              </w:rPr>
            </w:pPr>
            <w:r>
              <w:rPr>
                <w:noProof/>
                <w:color w:val="000000"/>
                <w:szCs w:val="24"/>
              </w:rPr>
              <w:t>87.7%</w:t>
            </w:r>
          </w:p>
        </w:tc>
        <w:tc>
          <w:tcPr>
            <w:tcW w:w="902" w:type="pct"/>
            <w:noWrap/>
            <w:vAlign w:val="bottom"/>
          </w:tcPr>
          <w:p w:rsidR="003E180D" w:rsidRDefault="003E180D" w:rsidP="0088305C">
            <w:pPr>
              <w:spacing w:after="120"/>
              <w:jc w:val="center"/>
              <w:rPr>
                <w:noProof/>
                <w:szCs w:val="24"/>
                <w:highlight w:val="green"/>
              </w:rPr>
            </w:pPr>
            <w:r>
              <w:rPr>
                <w:noProof/>
                <w:color w:val="000000"/>
                <w:szCs w:val="24"/>
              </w:rPr>
              <w:t>12.3%</w:t>
            </w:r>
          </w:p>
        </w:tc>
        <w:tc>
          <w:tcPr>
            <w:tcW w:w="901" w:type="pct"/>
            <w:noWrap/>
            <w:vAlign w:val="bottom"/>
          </w:tcPr>
          <w:p w:rsidR="003E180D" w:rsidRDefault="003E180D" w:rsidP="0088305C">
            <w:pPr>
              <w:spacing w:after="120"/>
              <w:jc w:val="center"/>
              <w:rPr>
                <w:noProof/>
                <w:szCs w:val="24"/>
                <w:highlight w:val="green"/>
              </w:rPr>
            </w:pPr>
            <w:r>
              <w:rPr>
                <w:noProof/>
                <w:color w:val="000000"/>
                <w:szCs w:val="24"/>
              </w:rPr>
              <w:t>78.8%</w:t>
            </w:r>
          </w:p>
        </w:tc>
        <w:tc>
          <w:tcPr>
            <w:tcW w:w="900" w:type="pct"/>
            <w:noWrap/>
            <w:vAlign w:val="bottom"/>
          </w:tcPr>
          <w:p w:rsidR="003E180D" w:rsidRDefault="003E180D" w:rsidP="0088305C">
            <w:pPr>
              <w:spacing w:after="120"/>
              <w:jc w:val="center"/>
              <w:rPr>
                <w:noProof/>
                <w:szCs w:val="24"/>
                <w:highlight w:val="green"/>
              </w:rPr>
            </w:pPr>
            <w:r>
              <w:rPr>
                <w:noProof/>
                <w:color w:val="000000"/>
                <w:szCs w:val="24"/>
              </w:rPr>
              <w:t>21.2%</w:t>
            </w:r>
          </w:p>
        </w:tc>
      </w:tr>
      <w:tr w:rsidR="003E180D" w:rsidTr="0088305C">
        <w:trPr>
          <w:trHeight w:val="300"/>
          <w:jc w:val="center"/>
        </w:trPr>
        <w:tc>
          <w:tcPr>
            <w:tcW w:w="1398" w:type="pct"/>
            <w:noWrap/>
            <w:hideMark/>
          </w:tcPr>
          <w:p w:rsidR="003E180D" w:rsidRDefault="003E180D" w:rsidP="0088305C">
            <w:pPr>
              <w:spacing w:after="120"/>
              <w:rPr>
                <w:noProof/>
                <w:szCs w:val="24"/>
              </w:rPr>
            </w:pPr>
            <w:r>
              <w:rPr>
                <w:noProof/>
                <w:szCs w:val="24"/>
              </w:rPr>
              <w:t>TL35</w:t>
            </w:r>
          </w:p>
        </w:tc>
        <w:tc>
          <w:tcPr>
            <w:tcW w:w="899" w:type="pct"/>
            <w:shd w:val="clear" w:color="auto" w:fill="auto"/>
            <w:noWrap/>
            <w:vAlign w:val="bottom"/>
          </w:tcPr>
          <w:p w:rsidR="003E180D" w:rsidRDefault="003E180D" w:rsidP="0088305C">
            <w:pPr>
              <w:spacing w:after="120"/>
              <w:jc w:val="center"/>
              <w:rPr>
                <w:noProof/>
                <w:szCs w:val="24"/>
                <w:highlight w:val="green"/>
              </w:rPr>
            </w:pPr>
            <w:r>
              <w:rPr>
                <w:noProof/>
                <w:color w:val="000000"/>
                <w:szCs w:val="24"/>
              </w:rPr>
              <w:t>86.9%</w:t>
            </w:r>
          </w:p>
        </w:tc>
        <w:tc>
          <w:tcPr>
            <w:tcW w:w="902" w:type="pct"/>
            <w:shd w:val="clear" w:color="auto" w:fill="auto"/>
            <w:noWrap/>
            <w:vAlign w:val="bottom"/>
          </w:tcPr>
          <w:p w:rsidR="003E180D" w:rsidRDefault="003E180D" w:rsidP="0088305C">
            <w:pPr>
              <w:spacing w:after="120"/>
              <w:jc w:val="center"/>
              <w:rPr>
                <w:noProof/>
                <w:szCs w:val="24"/>
                <w:highlight w:val="green"/>
              </w:rPr>
            </w:pPr>
            <w:r>
              <w:rPr>
                <w:noProof/>
                <w:color w:val="000000"/>
                <w:szCs w:val="24"/>
              </w:rPr>
              <w:t>13.1%</w:t>
            </w:r>
          </w:p>
        </w:tc>
        <w:tc>
          <w:tcPr>
            <w:tcW w:w="901" w:type="pct"/>
            <w:shd w:val="clear" w:color="auto" w:fill="auto"/>
            <w:noWrap/>
            <w:vAlign w:val="bottom"/>
          </w:tcPr>
          <w:p w:rsidR="003E180D" w:rsidRDefault="003E180D" w:rsidP="0088305C">
            <w:pPr>
              <w:spacing w:after="120"/>
              <w:jc w:val="center"/>
              <w:rPr>
                <w:noProof/>
                <w:szCs w:val="24"/>
                <w:highlight w:val="green"/>
              </w:rPr>
            </w:pPr>
            <w:r>
              <w:rPr>
                <w:noProof/>
                <w:color w:val="000000"/>
                <w:szCs w:val="24"/>
              </w:rPr>
              <w:t>78.4%</w:t>
            </w:r>
          </w:p>
        </w:tc>
        <w:tc>
          <w:tcPr>
            <w:tcW w:w="900" w:type="pct"/>
            <w:shd w:val="clear" w:color="auto" w:fill="auto"/>
            <w:noWrap/>
            <w:vAlign w:val="bottom"/>
          </w:tcPr>
          <w:p w:rsidR="003E180D" w:rsidRDefault="003E180D" w:rsidP="0088305C">
            <w:pPr>
              <w:spacing w:after="120"/>
              <w:jc w:val="center"/>
              <w:rPr>
                <w:noProof/>
                <w:szCs w:val="24"/>
                <w:highlight w:val="green"/>
              </w:rPr>
            </w:pPr>
            <w:r>
              <w:rPr>
                <w:noProof/>
                <w:color w:val="000000"/>
                <w:szCs w:val="24"/>
              </w:rPr>
              <w:t>21.6%</w:t>
            </w:r>
          </w:p>
        </w:tc>
      </w:tr>
    </w:tbl>
    <w:p w:rsidR="003E180D" w:rsidRDefault="003E180D" w:rsidP="003E180D">
      <w:pPr>
        <w:rPr>
          <w:noProof/>
        </w:rPr>
      </w:pPr>
    </w:p>
    <w:p w:rsidR="003E180D" w:rsidRDefault="003E180D" w:rsidP="003E180D">
      <w:pPr>
        <w:pStyle w:val="Heading2"/>
        <w:numPr>
          <w:ilvl w:val="1"/>
          <w:numId w:val="22"/>
        </w:numPr>
        <w:spacing w:before="240" w:after="240"/>
        <w:rPr>
          <w:noProof/>
        </w:rPr>
      </w:pPr>
      <w:bookmarkStart w:id="769" w:name="_Toc510708135"/>
      <w:bookmarkStart w:id="770" w:name="_Toc514328831"/>
      <w:r>
        <w:rPr>
          <w:noProof/>
        </w:rPr>
        <w:t>Net economic savings over the vehicle lifetime from a societal perspective</w:t>
      </w:r>
      <w:bookmarkEnd w:id="765"/>
      <w:bookmarkEnd w:id="766"/>
      <w:bookmarkEnd w:id="769"/>
      <w:bookmarkEnd w:id="770"/>
    </w:p>
    <w:p w:rsidR="003E180D" w:rsidRDefault="003E180D" w:rsidP="003E180D">
      <w:pPr>
        <w:pStyle w:val="Caption"/>
        <w:keepNext/>
        <w:spacing w:after="120"/>
        <w:jc w:val="both"/>
        <w:rPr>
          <w:smallCaps/>
          <w:noProof/>
        </w:rPr>
      </w:pPr>
      <w:bookmarkStart w:id="771" w:name="_Ref507575723"/>
      <w:bookmarkStart w:id="772" w:name="_Ref507575718"/>
      <w:bookmarkStart w:id="773" w:name="_Toc508181060"/>
      <w:r>
        <w:rPr>
          <w:noProof/>
        </w:rPr>
        <w:t xml:space="preserve">Table </w:t>
      </w:r>
      <w:r>
        <w:rPr>
          <w:smallCaps/>
          <w:noProof/>
        </w:rPr>
        <w:fldChar w:fldCharType="begin"/>
      </w:r>
      <w:r>
        <w:rPr>
          <w:smallCaps/>
          <w:noProof/>
        </w:rPr>
        <w:instrText xml:space="preserve"> SEQ Table \* ARABIC </w:instrText>
      </w:r>
      <w:r>
        <w:rPr>
          <w:smallCaps/>
          <w:noProof/>
        </w:rPr>
        <w:fldChar w:fldCharType="separate"/>
      </w:r>
      <w:r>
        <w:rPr>
          <w:smallCaps/>
          <w:noProof/>
        </w:rPr>
        <w:t>12</w:t>
      </w:r>
      <w:r>
        <w:rPr>
          <w:smallCaps/>
          <w:noProof/>
        </w:rPr>
        <w:fldChar w:fldCharType="end"/>
      </w:r>
      <w:bookmarkEnd w:id="771"/>
      <w:r>
        <w:rPr>
          <w:smallCaps/>
          <w:noProof/>
        </w:rPr>
        <w:t xml:space="preserve">: </w:t>
      </w:r>
      <w:r>
        <w:rPr>
          <w:noProof/>
        </w:rPr>
        <w:t>Net economic savings over the vehicle lifetime from a societal perspective in 2025 and 2030 (EUR/lorry)</w:t>
      </w:r>
      <w:bookmarkEnd w:id="772"/>
      <w:bookmarkEnd w:id="7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1861"/>
        <w:gridCol w:w="966"/>
        <w:gridCol w:w="1036"/>
        <w:gridCol w:w="973"/>
        <w:gridCol w:w="973"/>
        <w:gridCol w:w="973"/>
      </w:tblGrid>
      <w:tr w:rsidR="003E180D" w:rsidTr="0088305C">
        <w:trPr>
          <w:trHeight w:val="315"/>
        </w:trPr>
        <w:tc>
          <w:tcPr>
            <w:tcW w:w="1161" w:type="pct"/>
            <w:shd w:val="clear" w:color="auto" w:fill="D9D9D9" w:themeFill="background1" w:themeFillShade="D9"/>
            <w:noWrap/>
            <w:vAlign w:val="center"/>
            <w:hideMark/>
          </w:tcPr>
          <w:p w:rsidR="003E180D" w:rsidRDefault="003E180D" w:rsidP="0088305C">
            <w:pPr>
              <w:spacing w:after="0" w:line="240" w:lineRule="auto"/>
              <w:rPr>
                <w:rFonts w:eastAsia="Times New Roman" w:cs="Times New Roman"/>
                <w:b/>
                <w:noProof/>
                <w:color w:val="000000"/>
                <w:sz w:val="22"/>
                <w:lang w:eastAsia="en-GB"/>
              </w:rPr>
            </w:pPr>
            <w:r>
              <w:rPr>
                <w:rFonts w:eastAsia="Times New Roman" w:cs="Times New Roman"/>
                <w:b/>
                <w:noProof/>
                <w:color w:val="000000"/>
                <w:sz w:val="22"/>
                <w:lang w:eastAsia="en-GB"/>
              </w:rPr>
              <w:t>2025 (EUR/lorry)</w:t>
            </w:r>
          </w:p>
        </w:tc>
        <w:tc>
          <w:tcPr>
            <w:tcW w:w="1053" w:type="pct"/>
            <w:shd w:val="clear" w:color="auto" w:fill="D9D9D9" w:themeFill="background1" w:themeFillShade="D9"/>
            <w:noWrap/>
            <w:vAlign w:val="center"/>
            <w:hideMark/>
          </w:tcPr>
          <w:p w:rsidR="003E180D" w:rsidRDefault="003E180D" w:rsidP="0088305C">
            <w:pPr>
              <w:spacing w:after="0" w:line="240" w:lineRule="auto"/>
              <w:rPr>
                <w:rFonts w:eastAsia="Times New Roman" w:cs="Times New Roman"/>
                <w:b/>
                <w:noProof/>
                <w:color w:val="000000"/>
                <w:sz w:val="22"/>
                <w:lang w:eastAsia="en-GB"/>
              </w:rPr>
            </w:pPr>
            <w:r>
              <w:rPr>
                <w:rFonts w:eastAsia="Times New Roman" w:cs="Times New Roman"/>
                <w:b/>
                <w:noProof/>
                <w:color w:val="000000"/>
                <w:sz w:val="22"/>
                <w:lang w:eastAsia="en-GB"/>
              </w:rPr>
              <w:t>Cost assumptions</w:t>
            </w:r>
          </w:p>
        </w:tc>
        <w:tc>
          <w:tcPr>
            <w:tcW w:w="547" w:type="pct"/>
            <w:shd w:val="clear" w:color="auto" w:fill="D9D9D9" w:themeFill="background1" w:themeFillShade="D9"/>
            <w:noWrap/>
            <w:vAlign w:val="bottom"/>
            <w:hideMark/>
          </w:tcPr>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TL20</w:t>
            </w:r>
          </w:p>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(10%)</w:t>
            </w:r>
          </w:p>
        </w:tc>
        <w:tc>
          <w:tcPr>
            <w:tcW w:w="586" w:type="pct"/>
            <w:shd w:val="clear" w:color="auto" w:fill="D9D9D9" w:themeFill="background1" w:themeFillShade="D9"/>
            <w:noWrap/>
            <w:vAlign w:val="bottom"/>
            <w:hideMark/>
          </w:tcPr>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TL30NL</w:t>
            </w:r>
          </w:p>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(12.5%)</w:t>
            </w:r>
          </w:p>
        </w:tc>
        <w:tc>
          <w:tcPr>
            <w:tcW w:w="551" w:type="pct"/>
            <w:shd w:val="clear" w:color="auto" w:fill="D9D9D9" w:themeFill="background1" w:themeFillShade="D9"/>
            <w:noWrap/>
            <w:vAlign w:val="bottom"/>
            <w:hideMark/>
          </w:tcPr>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TL30</w:t>
            </w:r>
          </w:p>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(15%)</w:t>
            </w:r>
          </w:p>
        </w:tc>
        <w:tc>
          <w:tcPr>
            <w:tcW w:w="551" w:type="pct"/>
            <w:shd w:val="clear" w:color="auto" w:fill="D9D9D9" w:themeFill="background1" w:themeFillShade="D9"/>
            <w:noWrap/>
            <w:vAlign w:val="bottom"/>
            <w:hideMark/>
          </w:tcPr>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TL32</w:t>
            </w:r>
          </w:p>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(17.5%)</w:t>
            </w:r>
          </w:p>
        </w:tc>
        <w:tc>
          <w:tcPr>
            <w:tcW w:w="551" w:type="pct"/>
            <w:shd w:val="clear" w:color="auto" w:fill="D9D9D9" w:themeFill="background1" w:themeFillShade="D9"/>
            <w:noWrap/>
            <w:vAlign w:val="bottom"/>
            <w:hideMark/>
          </w:tcPr>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TL35</w:t>
            </w:r>
          </w:p>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(20%)</w:t>
            </w:r>
          </w:p>
        </w:tc>
      </w:tr>
      <w:tr w:rsidR="003E180D" w:rsidTr="0088305C">
        <w:trPr>
          <w:trHeight w:val="330"/>
        </w:trPr>
        <w:tc>
          <w:tcPr>
            <w:tcW w:w="1161" w:type="pct"/>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r>
              <w:rPr>
                <w:rFonts w:eastAsia="Times New Roman" w:cs="Times New Roman"/>
                <w:i/>
                <w:noProof/>
                <w:color w:val="000000"/>
                <w:sz w:val="22"/>
                <w:lang w:eastAsia="en-GB"/>
              </w:rPr>
              <w:t>Capital cost [1]</w:t>
            </w:r>
          </w:p>
        </w:tc>
        <w:tc>
          <w:tcPr>
            <w:tcW w:w="1053" w:type="pct"/>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r>
              <w:rPr>
                <w:rFonts w:eastAsia="Times New Roman" w:cs="Times New Roman"/>
                <w:i/>
                <w:noProof/>
                <w:color w:val="000000"/>
                <w:sz w:val="22"/>
                <w:lang w:eastAsia="en-GB"/>
              </w:rPr>
              <w:t>Base</w:t>
            </w:r>
          </w:p>
        </w:tc>
        <w:tc>
          <w:tcPr>
            <w:tcW w:w="547" w:type="pct"/>
            <w:shd w:val="clear" w:color="auto" w:fill="auto"/>
            <w:noWrap/>
            <w:hideMark/>
          </w:tcPr>
          <w:p w:rsidR="003E180D" w:rsidRDefault="003E180D" w:rsidP="0088305C">
            <w:pPr>
              <w:spacing w:after="0" w:line="240" w:lineRule="auto"/>
              <w:jc w:val="center"/>
              <w:rPr>
                <w:rFonts w:eastAsia="Times New Roman" w:cs="Times New Roman"/>
                <w:i/>
                <w:noProof/>
                <w:color w:val="000000"/>
                <w:sz w:val="22"/>
                <w:lang w:eastAsia="en-GB"/>
              </w:rPr>
            </w:pPr>
            <w:r>
              <w:rPr>
                <w:rFonts w:cs="Times New Roman"/>
                <w:noProof/>
                <w:sz w:val="22"/>
              </w:rPr>
              <w:t>858</w:t>
            </w:r>
          </w:p>
        </w:tc>
        <w:tc>
          <w:tcPr>
            <w:tcW w:w="586" w:type="pct"/>
            <w:shd w:val="clear" w:color="auto" w:fill="auto"/>
            <w:noWrap/>
            <w:hideMark/>
          </w:tcPr>
          <w:p w:rsidR="003E180D" w:rsidRDefault="003E180D" w:rsidP="0088305C">
            <w:pPr>
              <w:spacing w:after="0" w:line="240" w:lineRule="auto"/>
              <w:jc w:val="center"/>
              <w:rPr>
                <w:rFonts w:eastAsia="Times New Roman" w:cs="Times New Roman"/>
                <w:i/>
                <w:noProof/>
                <w:color w:val="000000"/>
                <w:sz w:val="22"/>
                <w:lang w:eastAsia="en-GB"/>
              </w:rPr>
            </w:pPr>
            <w:r>
              <w:rPr>
                <w:rFonts w:cs="Times New Roman"/>
                <w:noProof/>
                <w:sz w:val="22"/>
              </w:rPr>
              <w:t>1,770</w:t>
            </w:r>
          </w:p>
        </w:tc>
        <w:tc>
          <w:tcPr>
            <w:tcW w:w="551" w:type="pct"/>
            <w:shd w:val="clear" w:color="auto" w:fill="auto"/>
            <w:noWrap/>
            <w:hideMark/>
          </w:tcPr>
          <w:p w:rsidR="003E180D" w:rsidRDefault="003E180D" w:rsidP="0088305C">
            <w:pPr>
              <w:spacing w:after="0" w:line="240" w:lineRule="auto"/>
              <w:jc w:val="center"/>
              <w:rPr>
                <w:rFonts w:eastAsia="Times New Roman" w:cs="Times New Roman"/>
                <w:i/>
                <w:noProof/>
                <w:color w:val="000000"/>
                <w:sz w:val="22"/>
                <w:lang w:eastAsia="en-GB"/>
              </w:rPr>
            </w:pPr>
            <w:r>
              <w:rPr>
                <w:rFonts w:cs="Times New Roman"/>
                <w:noProof/>
                <w:sz w:val="22"/>
              </w:rPr>
              <w:t>3,088</w:t>
            </w:r>
          </w:p>
        </w:tc>
        <w:tc>
          <w:tcPr>
            <w:tcW w:w="551" w:type="pct"/>
            <w:shd w:val="clear" w:color="auto" w:fill="auto"/>
            <w:noWrap/>
            <w:hideMark/>
          </w:tcPr>
          <w:p w:rsidR="003E180D" w:rsidRDefault="003E180D" w:rsidP="0088305C">
            <w:pPr>
              <w:spacing w:after="0" w:line="240" w:lineRule="auto"/>
              <w:jc w:val="center"/>
              <w:rPr>
                <w:rFonts w:eastAsia="Times New Roman" w:cs="Times New Roman"/>
                <w:i/>
                <w:noProof/>
                <w:color w:val="000000"/>
                <w:sz w:val="22"/>
                <w:lang w:eastAsia="en-GB"/>
              </w:rPr>
            </w:pPr>
            <w:r>
              <w:rPr>
                <w:rFonts w:cs="Times New Roman"/>
                <w:noProof/>
                <w:sz w:val="22"/>
              </w:rPr>
              <w:t>4,492</w:t>
            </w:r>
          </w:p>
        </w:tc>
        <w:tc>
          <w:tcPr>
            <w:tcW w:w="551" w:type="pct"/>
            <w:shd w:val="clear" w:color="auto" w:fill="auto"/>
            <w:noWrap/>
            <w:hideMark/>
          </w:tcPr>
          <w:p w:rsidR="003E180D" w:rsidRDefault="003E180D" w:rsidP="0088305C">
            <w:pPr>
              <w:spacing w:after="0" w:line="240" w:lineRule="auto"/>
              <w:jc w:val="center"/>
              <w:rPr>
                <w:rFonts w:eastAsia="Times New Roman" w:cs="Times New Roman"/>
                <w:i/>
                <w:noProof/>
                <w:color w:val="000000"/>
                <w:sz w:val="22"/>
                <w:lang w:eastAsia="en-GB"/>
              </w:rPr>
            </w:pPr>
            <w:r>
              <w:rPr>
                <w:rFonts w:cs="Times New Roman"/>
                <w:noProof/>
                <w:sz w:val="22"/>
              </w:rPr>
              <w:t>7,339</w:t>
            </w:r>
          </w:p>
        </w:tc>
      </w:tr>
      <w:tr w:rsidR="003E180D" w:rsidTr="0088305C">
        <w:trPr>
          <w:trHeight w:val="315"/>
        </w:trPr>
        <w:tc>
          <w:tcPr>
            <w:tcW w:w="1161" w:type="pct"/>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p>
        </w:tc>
        <w:tc>
          <w:tcPr>
            <w:tcW w:w="1053" w:type="pct"/>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r>
              <w:rPr>
                <w:rFonts w:eastAsia="Times New Roman" w:cs="Times New Roman"/>
                <w:i/>
                <w:noProof/>
                <w:color w:val="000000"/>
                <w:sz w:val="22"/>
                <w:lang w:eastAsia="en-GB"/>
              </w:rPr>
              <w:t>High</w:t>
            </w:r>
          </w:p>
        </w:tc>
        <w:tc>
          <w:tcPr>
            <w:tcW w:w="547" w:type="pct"/>
            <w:shd w:val="clear" w:color="auto" w:fill="auto"/>
            <w:noWrap/>
            <w:hideMark/>
          </w:tcPr>
          <w:p w:rsidR="003E180D" w:rsidRDefault="003E180D" w:rsidP="0088305C">
            <w:pPr>
              <w:spacing w:after="0" w:line="240" w:lineRule="auto"/>
              <w:jc w:val="center"/>
              <w:rPr>
                <w:rFonts w:eastAsia="Times New Roman" w:cs="Times New Roman"/>
                <w:i/>
                <w:noProof/>
                <w:color w:val="000000"/>
                <w:sz w:val="22"/>
                <w:lang w:eastAsia="en-GB"/>
              </w:rPr>
            </w:pPr>
            <w:r>
              <w:rPr>
                <w:rFonts w:cs="Times New Roman"/>
                <w:noProof/>
                <w:sz w:val="22"/>
              </w:rPr>
              <w:t>3,077</w:t>
            </w:r>
          </w:p>
        </w:tc>
        <w:tc>
          <w:tcPr>
            <w:tcW w:w="586" w:type="pct"/>
            <w:shd w:val="clear" w:color="auto" w:fill="auto"/>
            <w:noWrap/>
            <w:hideMark/>
          </w:tcPr>
          <w:p w:rsidR="003E180D" w:rsidRDefault="003E180D" w:rsidP="0088305C">
            <w:pPr>
              <w:spacing w:after="0" w:line="240" w:lineRule="auto"/>
              <w:jc w:val="center"/>
              <w:rPr>
                <w:rFonts w:eastAsia="Times New Roman" w:cs="Times New Roman"/>
                <w:i/>
                <w:noProof/>
                <w:color w:val="000000"/>
                <w:sz w:val="22"/>
                <w:lang w:eastAsia="en-GB"/>
              </w:rPr>
            </w:pPr>
            <w:r>
              <w:rPr>
                <w:rFonts w:cs="Times New Roman"/>
                <w:noProof/>
                <w:sz w:val="22"/>
              </w:rPr>
              <w:t>6,344</w:t>
            </w:r>
          </w:p>
        </w:tc>
        <w:tc>
          <w:tcPr>
            <w:tcW w:w="551" w:type="pct"/>
            <w:shd w:val="clear" w:color="auto" w:fill="auto"/>
            <w:noWrap/>
            <w:hideMark/>
          </w:tcPr>
          <w:p w:rsidR="003E180D" w:rsidRDefault="003E180D" w:rsidP="0088305C">
            <w:pPr>
              <w:spacing w:after="0" w:line="240" w:lineRule="auto"/>
              <w:jc w:val="center"/>
              <w:rPr>
                <w:rFonts w:eastAsia="Times New Roman" w:cs="Times New Roman"/>
                <w:i/>
                <w:noProof/>
                <w:color w:val="000000"/>
                <w:sz w:val="22"/>
                <w:lang w:eastAsia="en-GB"/>
              </w:rPr>
            </w:pPr>
            <w:r>
              <w:rPr>
                <w:rFonts w:cs="Times New Roman"/>
                <w:noProof/>
                <w:sz w:val="22"/>
              </w:rPr>
              <w:t>10,800</w:t>
            </w:r>
          </w:p>
        </w:tc>
        <w:tc>
          <w:tcPr>
            <w:tcW w:w="551" w:type="pct"/>
            <w:shd w:val="clear" w:color="auto" w:fill="auto"/>
            <w:noWrap/>
            <w:hideMark/>
          </w:tcPr>
          <w:p w:rsidR="003E180D" w:rsidRDefault="003E180D" w:rsidP="0088305C">
            <w:pPr>
              <w:spacing w:after="0" w:line="240" w:lineRule="auto"/>
              <w:jc w:val="center"/>
              <w:rPr>
                <w:rFonts w:eastAsia="Times New Roman" w:cs="Times New Roman"/>
                <w:i/>
                <w:noProof/>
                <w:color w:val="000000"/>
                <w:sz w:val="22"/>
                <w:lang w:eastAsia="en-GB"/>
              </w:rPr>
            </w:pPr>
            <w:r>
              <w:rPr>
                <w:rFonts w:cs="Times New Roman"/>
                <w:noProof/>
                <w:sz w:val="22"/>
              </w:rPr>
              <w:t>17,720</w:t>
            </w:r>
          </w:p>
        </w:tc>
        <w:tc>
          <w:tcPr>
            <w:tcW w:w="551" w:type="pct"/>
            <w:shd w:val="clear" w:color="auto" w:fill="auto"/>
            <w:noWrap/>
            <w:hideMark/>
          </w:tcPr>
          <w:p w:rsidR="003E180D" w:rsidRDefault="003E180D" w:rsidP="0088305C">
            <w:pPr>
              <w:spacing w:after="0" w:line="240" w:lineRule="auto"/>
              <w:jc w:val="center"/>
              <w:rPr>
                <w:rFonts w:eastAsia="Times New Roman" w:cs="Times New Roman"/>
                <w:i/>
                <w:noProof/>
                <w:color w:val="000000"/>
                <w:sz w:val="22"/>
                <w:lang w:eastAsia="en-GB"/>
              </w:rPr>
            </w:pPr>
            <w:r>
              <w:rPr>
                <w:rFonts w:cs="Times New Roman"/>
                <w:noProof/>
                <w:sz w:val="22"/>
              </w:rPr>
              <w:t>27,797</w:t>
            </w:r>
          </w:p>
        </w:tc>
      </w:tr>
      <w:tr w:rsidR="003E180D" w:rsidTr="0088305C">
        <w:trPr>
          <w:trHeight w:val="330"/>
        </w:trPr>
        <w:tc>
          <w:tcPr>
            <w:tcW w:w="1161" w:type="pct"/>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r>
              <w:rPr>
                <w:rFonts w:eastAsia="Times New Roman" w:cs="Times New Roman"/>
                <w:i/>
                <w:noProof/>
                <w:color w:val="000000"/>
                <w:sz w:val="22"/>
                <w:lang w:eastAsia="en-GB"/>
              </w:rPr>
              <w:t>Fuel Savings [2]</w:t>
            </w:r>
          </w:p>
        </w:tc>
        <w:tc>
          <w:tcPr>
            <w:tcW w:w="1053" w:type="pct"/>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r>
              <w:rPr>
                <w:rFonts w:eastAsia="Times New Roman" w:cs="Times New Roman"/>
                <w:i/>
                <w:noProof/>
                <w:color w:val="000000"/>
                <w:sz w:val="22"/>
                <w:lang w:eastAsia="en-GB"/>
              </w:rPr>
              <w:t>Base</w:t>
            </w:r>
          </w:p>
        </w:tc>
        <w:tc>
          <w:tcPr>
            <w:tcW w:w="547" w:type="pct"/>
            <w:shd w:val="clear" w:color="auto" w:fill="auto"/>
            <w:noWrap/>
            <w:hideMark/>
          </w:tcPr>
          <w:p w:rsidR="003E180D" w:rsidRDefault="003E180D" w:rsidP="0088305C">
            <w:pPr>
              <w:spacing w:after="0" w:line="240" w:lineRule="auto"/>
              <w:jc w:val="center"/>
              <w:rPr>
                <w:rFonts w:eastAsia="Times New Roman" w:cs="Times New Roman"/>
                <w:i/>
                <w:noProof/>
                <w:color w:val="000000"/>
                <w:sz w:val="22"/>
                <w:lang w:eastAsia="en-GB"/>
              </w:rPr>
            </w:pPr>
            <w:r>
              <w:rPr>
                <w:rFonts w:cs="Times New Roman"/>
                <w:noProof/>
                <w:sz w:val="22"/>
              </w:rPr>
              <w:t>8,995</w:t>
            </w:r>
          </w:p>
        </w:tc>
        <w:tc>
          <w:tcPr>
            <w:tcW w:w="586" w:type="pct"/>
            <w:shd w:val="clear" w:color="auto" w:fill="auto"/>
            <w:noWrap/>
            <w:hideMark/>
          </w:tcPr>
          <w:p w:rsidR="003E180D" w:rsidRDefault="003E180D" w:rsidP="0088305C">
            <w:pPr>
              <w:spacing w:after="0" w:line="240" w:lineRule="auto"/>
              <w:jc w:val="center"/>
              <w:rPr>
                <w:rFonts w:eastAsia="Times New Roman" w:cs="Times New Roman"/>
                <w:i/>
                <w:noProof/>
                <w:color w:val="000000"/>
                <w:sz w:val="22"/>
                <w:lang w:eastAsia="en-GB"/>
              </w:rPr>
            </w:pPr>
            <w:r>
              <w:rPr>
                <w:rFonts w:cs="Times New Roman"/>
                <w:noProof/>
                <w:sz w:val="22"/>
              </w:rPr>
              <w:t>18,396</w:t>
            </w:r>
          </w:p>
        </w:tc>
        <w:tc>
          <w:tcPr>
            <w:tcW w:w="551" w:type="pct"/>
            <w:shd w:val="clear" w:color="auto" w:fill="auto"/>
            <w:noWrap/>
            <w:hideMark/>
          </w:tcPr>
          <w:p w:rsidR="003E180D" w:rsidRDefault="003E180D" w:rsidP="0088305C">
            <w:pPr>
              <w:spacing w:after="0" w:line="240" w:lineRule="auto"/>
              <w:jc w:val="center"/>
              <w:rPr>
                <w:rFonts w:eastAsia="Times New Roman" w:cs="Times New Roman"/>
                <w:i/>
                <w:noProof/>
                <w:color w:val="000000"/>
                <w:sz w:val="22"/>
                <w:lang w:eastAsia="en-GB"/>
              </w:rPr>
            </w:pPr>
            <w:r>
              <w:rPr>
                <w:rFonts w:cs="Times New Roman"/>
                <w:noProof/>
                <w:sz w:val="22"/>
              </w:rPr>
              <w:t>30,613</w:t>
            </w:r>
          </w:p>
        </w:tc>
        <w:tc>
          <w:tcPr>
            <w:tcW w:w="551" w:type="pct"/>
            <w:shd w:val="clear" w:color="auto" w:fill="auto"/>
            <w:noWrap/>
            <w:hideMark/>
          </w:tcPr>
          <w:p w:rsidR="003E180D" w:rsidRDefault="003E180D" w:rsidP="0088305C">
            <w:pPr>
              <w:spacing w:after="0" w:line="240" w:lineRule="auto"/>
              <w:jc w:val="center"/>
              <w:rPr>
                <w:rFonts w:eastAsia="Times New Roman" w:cs="Times New Roman"/>
                <w:i/>
                <w:noProof/>
                <w:color w:val="000000"/>
                <w:sz w:val="22"/>
                <w:lang w:eastAsia="en-GB"/>
              </w:rPr>
            </w:pPr>
            <w:r>
              <w:rPr>
                <w:rFonts w:cs="Times New Roman"/>
                <w:noProof/>
                <w:sz w:val="22"/>
              </w:rPr>
              <w:t>39,312</w:t>
            </w:r>
          </w:p>
        </w:tc>
        <w:tc>
          <w:tcPr>
            <w:tcW w:w="551" w:type="pct"/>
            <w:shd w:val="clear" w:color="auto" w:fill="auto"/>
            <w:noWrap/>
            <w:hideMark/>
          </w:tcPr>
          <w:p w:rsidR="003E180D" w:rsidRDefault="003E180D" w:rsidP="0088305C">
            <w:pPr>
              <w:spacing w:after="0" w:line="240" w:lineRule="auto"/>
              <w:jc w:val="center"/>
              <w:rPr>
                <w:rFonts w:eastAsia="Times New Roman" w:cs="Times New Roman"/>
                <w:i/>
                <w:noProof/>
                <w:color w:val="000000"/>
                <w:sz w:val="22"/>
                <w:lang w:eastAsia="en-GB"/>
              </w:rPr>
            </w:pPr>
            <w:r>
              <w:rPr>
                <w:rFonts w:cs="Times New Roman"/>
                <w:noProof/>
                <w:sz w:val="22"/>
              </w:rPr>
              <w:t>51,539</w:t>
            </w:r>
          </w:p>
        </w:tc>
      </w:tr>
      <w:tr w:rsidR="003E180D" w:rsidTr="0088305C">
        <w:trPr>
          <w:trHeight w:val="315"/>
        </w:trPr>
        <w:tc>
          <w:tcPr>
            <w:tcW w:w="1161" w:type="pct"/>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p>
        </w:tc>
        <w:tc>
          <w:tcPr>
            <w:tcW w:w="1053" w:type="pct"/>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r>
              <w:rPr>
                <w:rFonts w:eastAsia="Times New Roman" w:cs="Times New Roman"/>
                <w:i/>
                <w:noProof/>
                <w:color w:val="000000"/>
                <w:sz w:val="22"/>
                <w:lang w:eastAsia="en-GB"/>
              </w:rPr>
              <w:t>High</w:t>
            </w:r>
          </w:p>
        </w:tc>
        <w:tc>
          <w:tcPr>
            <w:tcW w:w="547" w:type="pct"/>
            <w:shd w:val="clear" w:color="auto" w:fill="auto"/>
            <w:noWrap/>
            <w:hideMark/>
          </w:tcPr>
          <w:p w:rsidR="003E180D" w:rsidRDefault="003E180D" w:rsidP="0088305C">
            <w:pPr>
              <w:spacing w:after="0" w:line="240" w:lineRule="auto"/>
              <w:jc w:val="center"/>
              <w:rPr>
                <w:rFonts w:eastAsia="Times New Roman" w:cs="Times New Roman"/>
                <w:i/>
                <w:noProof/>
                <w:color w:val="000000"/>
                <w:sz w:val="22"/>
                <w:lang w:eastAsia="en-GB"/>
              </w:rPr>
            </w:pPr>
            <w:r>
              <w:rPr>
                <w:rFonts w:cs="Times New Roman"/>
                <w:noProof/>
                <w:sz w:val="22"/>
              </w:rPr>
              <w:t>17,418</w:t>
            </w:r>
          </w:p>
        </w:tc>
        <w:tc>
          <w:tcPr>
            <w:tcW w:w="586" w:type="pct"/>
            <w:shd w:val="clear" w:color="auto" w:fill="auto"/>
            <w:noWrap/>
            <w:hideMark/>
          </w:tcPr>
          <w:p w:rsidR="003E180D" w:rsidRDefault="003E180D" w:rsidP="0088305C">
            <w:pPr>
              <w:spacing w:after="0" w:line="240" w:lineRule="auto"/>
              <w:jc w:val="center"/>
              <w:rPr>
                <w:rFonts w:eastAsia="Times New Roman" w:cs="Times New Roman"/>
                <w:i/>
                <w:noProof/>
                <w:color w:val="000000"/>
                <w:sz w:val="22"/>
                <w:lang w:eastAsia="en-GB"/>
              </w:rPr>
            </w:pPr>
            <w:r>
              <w:rPr>
                <w:rFonts w:cs="Times New Roman"/>
                <w:noProof/>
                <w:sz w:val="22"/>
              </w:rPr>
              <w:t>29,278</w:t>
            </w:r>
          </w:p>
        </w:tc>
        <w:tc>
          <w:tcPr>
            <w:tcW w:w="551" w:type="pct"/>
            <w:shd w:val="clear" w:color="auto" w:fill="auto"/>
            <w:noWrap/>
            <w:hideMark/>
          </w:tcPr>
          <w:p w:rsidR="003E180D" w:rsidRDefault="003E180D" w:rsidP="0088305C">
            <w:pPr>
              <w:spacing w:after="0" w:line="240" w:lineRule="auto"/>
              <w:jc w:val="center"/>
              <w:rPr>
                <w:rFonts w:eastAsia="Times New Roman" w:cs="Times New Roman"/>
                <w:i/>
                <w:noProof/>
                <w:color w:val="000000"/>
                <w:sz w:val="22"/>
                <w:lang w:eastAsia="en-GB"/>
              </w:rPr>
            </w:pPr>
            <w:r>
              <w:rPr>
                <w:rFonts w:cs="Times New Roman"/>
                <w:noProof/>
                <w:sz w:val="22"/>
              </w:rPr>
              <w:t>39,488</w:t>
            </w:r>
          </w:p>
        </w:tc>
        <w:tc>
          <w:tcPr>
            <w:tcW w:w="551" w:type="pct"/>
            <w:shd w:val="clear" w:color="auto" w:fill="auto"/>
            <w:noWrap/>
            <w:hideMark/>
          </w:tcPr>
          <w:p w:rsidR="003E180D" w:rsidRDefault="003E180D" w:rsidP="0088305C">
            <w:pPr>
              <w:spacing w:after="0" w:line="240" w:lineRule="auto"/>
              <w:jc w:val="center"/>
              <w:rPr>
                <w:rFonts w:eastAsia="Times New Roman" w:cs="Times New Roman"/>
                <w:i/>
                <w:noProof/>
                <w:color w:val="000000"/>
                <w:sz w:val="22"/>
                <w:lang w:eastAsia="en-GB"/>
              </w:rPr>
            </w:pPr>
            <w:r>
              <w:rPr>
                <w:rFonts w:cs="Times New Roman"/>
                <w:noProof/>
                <w:sz w:val="22"/>
              </w:rPr>
              <w:t>50,175</w:t>
            </w:r>
          </w:p>
        </w:tc>
        <w:tc>
          <w:tcPr>
            <w:tcW w:w="551" w:type="pct"/>
            <w:shd w:val="clear" w:color="auto" w:fill="auto"/>
            <w:noWrap/>
            <w:hideMark/>
          </w:tcPr>
          <w:p w:rsidR="003E180D" w:rsidRDefault="003E180D" w:rsidP="0088305C">
            <w:pPr>
              <w:spacing w:after="0" w:line="240" w:lineRule="auto"/>
              <w:jc w:val="center"/>
              <w:rPr>
                <w:rFonts w:eastAsia="Times New Roman" w:cs="Times New Roman"/>
                <w:i/>
                <w:noProof/>
                <w:color w:val="000000"/>
                <w:sz w:val="22"/>
                <w:lang w:eastAsia="en-GB"/>
              </w:rPr>
            </w:pPr>
            <w:r>
              <w:rPr>
                <w:rFonts w:cs="Times New Roman"/>
                <w:noProof/>
                <w:sz w:val="22"/>
              </w:rPr>
              <w:t>60,123</w:t>
            </w:r>
          </w:p>
        </w:tc>
      </w:tr>
      <w:tr w:rsidR="003E180D" w:rsidTr="0088305C">
        <w:trPr>
          <w:trHeight w:val="330"/>
        </w:trPr>
        <w:tc>
          <w:tcPr>
            <w:tcW w:w="1161" w:type="pct"/>
            <w:shd w:val="clear" w:color="auto" w:fill="auto"/>
            <w:noWrap/>
            <w:vAlign w:val="center"/>
            <w:hideMark/>
          </w:tcPr>
          <w:p w:rsidR="003E180D" w:rsidRDefault="003E180D" w:rsidP="0088305C">
            <w:pPr>
              <w:spacing w:after="0" w:line="240" w:lineRule="auto"/>
              <w:rPr>
                <w:rFonts w:eastAsia="Times New Roman" w:cs="Times New Roman"/>
                <w:b/>
                <w:i/>
                <w:noProof/>
                <w:color w:val="000000"/>
                <w:sz w:val="22"/>
                <w:lang w:eastAsia="en-GB"/>
              </w:rPr>
            </w:pPr>
            <w:r>
              <w:rPr>
                <w:rFonts w:eastAsia="Times New Roman" w:cs="Times New Roman"/>
                <w:b/>
                <w:i/>
                <w:noProof/>
                <w:color w:val="000000"/>
                <w:sz w:val="22"/>
                <w:lang w:eastAsia="en-GB"/>
              </w:rPr>
              <w:t>Net Savings [2] - [1]</w:t>
            </w:r>
          </w:p>
        </w:tc>
        <w:tc>
          <w:tcPr>
            <w:tcW w:w="1053" w:type="pct"/>
            <w:shd w:val="clear" w:color="auto" w:fill="auto"/>
            <w:noWrap/>
            <w:vAlign w:val="center"/>
            <w:hideMark/>
          </w:tcPr>
          <w:p w:rsidR="003E180D" w:rsidRDefault="003E180D" w:rsidP="0088305C">
            <w:pPr>
              <w:spacing w:after="0" w:line="240" w:lineRule="auto"/>
              <w:rPr>
                <w:rFonts w:eastAsia="Times New Roman" w:cs="Times New Roman"/>
                <w:b/>
                <w:i/>
                <w:noProof/>
                <w:color w:val="000000"/>
                <w:sz w:val="22"/>
                <w:lang w:eastAsia="en-GB"/>
              </w:rPr>
            </w:pPr>
            <w:r>
              <w:rPr>
                <w:rFonts w:eastAsia="Times New Roman" w:cs="Times New Roman"/>
                <w:b/>
                <w:i/>
                <w:noProof/>
                <w:color w:val="000000"/>
                <w:sz w:val="22"/>
                <w:lang w:eastAsia="en-GB"/>
              </w:rPr>
              <w:t>Base</w:t>
            </w:r>
          </w:p>
        </w:tc>
        <w:tc>
          <w:tcPr>
            <w:tcW w:w="547" w:type="pct"/>
            <w:shd w:val="clear" w:color="auto" w:fill="auto"/>
            <w:noWrap/>
            <w:hideMark/>
          </w:tcPr>
          <w:p w:rsidR="003E180D" w:rsidRDefault="003E180D" w:rsidP="0088305C">
            <w:pPr>
              <w:spacing w:after="0" w:line="240" w:lineRule="auto"/>
              <w:jc w:val="center"/>
              <w:rPr>
                <w:rFonts w:eastAsia="Times New Roman" w:cs="Times New Roman"/>
                <w:b/>
                <w:i/>
                <w:noProof/>
                <w:color w:val="000000"/>
                <w:sz w:val="22"/>
                <w:lang w:eastAsia="en-GB"/>
              </w:rPr>
            </w:pPr>
            <w:r>
              <w:rPr>
                <w:rFonts w:cs="Times New Roman"/>
                <w:b/>
                <w:noProof/>
                <w:sz w:val="22"/>
              </w:rPr>
              <w:t>8,137</w:t>
            </w:r>
          </w:p>
        </w:tc>
        <w:tc>
          <w:tcPr>
            <w:tcW w:w="586" w:type="pct"/>
            <w:shd w:val="clear" w:color="auto" w:fill="auto"/>
            <w:noWrap/>
            <w:hideMark/>
          </w:tcPr>
          <w:p w:rsidR="003E180D" w:rsidRDefault="003E180D" w:rsidP="0088305C">
            <w:pPr>
              <w:spacing w:after="0" w:line="240" w:lineRule="auto"/>
              <w:jc w:val="center"/>
              <w:rPr>
                <w:rFonts w:eastAsia="Times New Roman" w:cs="Times New Roman"/>
                <w:b/>
                <w:i/>
                <w:noProof/>
                <w:color w:val="000000"/>
                <w:sz w:val="22"/>
                <w:lang w:eastAsia="en-GB"/>
              </w:rPr>
            </w:pPr>
            <w:r>
              <w:rPr>
                <w:rFonts w:cs="Times New Roman"/>
                <w:b/>
                <w:noProof/>
                <w:sz w:val="22"/>
              </w:rPr>
              <w:t>16,627</w:t>
            </w:r>
          </w:p>
        </w:tc>
        <w:tc>
          <w:tcPr>
            <w:tcW w:w="551" w:type="pct"/>
            <w:shd w:val="clear" w:color="auto" w:fill="auto"/>
            <w:noWrap/>
            <w:hideMark/>
          </w:tcPr>
          <w:p w:rsidR="003E180D" w:rsidRDefault="003E180D" w:rsidP="0088305C">
            <w:pPr>
              <w:spacing w:after="0" w:line="240" w:lineRule="auto"/>
              <w:jc w:val="center"/>
              <w:rPr>
                <w:rFonts w:eastAsia="Times New Roman" w:cs="Times New Roman"/>
                <w:b/>
                <w:i/>
                <w:noProof/>
                <w:color w:val="000000"/>
                <w:sz w:val="22"/>
                <w:lang w:eastAsia="en-GB"/>
              </w:rPr>
            </w:pPr>
            <w:r>
              <w:rPr>
                <w:rFonts w:cs="Times New Roman"/>
                <w:b/>
                <w:noProof/>
                <w:sz w:val="22"/>
              </w:rPr>
              <w:t>27,525</w:t>
            </w:r>
          </w:p>
        </w:tc>
        <w:tc>
          <w:tcPr>
            <w:tcW w:w="551" w:type="pct"/>
            <w:shd w:val="clear" w:color="auto" w:fill="auto"/>
            <w:noWrap/>
            <w:hideMark/>
          </w:tcPr>
          <w:p w:rsidR="003E180D" w:rsidRDefault="003E180D" w:rsidP="0088305C">
            <w:pPr>
              <w:spacing w:after="0" w:line="240" w:lineRule="auto"/>
              <w:jc w:val="center"/>
              <w:rPr>
                <w:rFonts w:eastAsia="Times New Roman" w:cs="Times New Roman"/>
                <w:b/>
                <w:i/>
                <w:noProof/>
                <w:color w:val="000000"/>
                <w:sz w:val="22"/>
                <w:lang w:eastAsia="en-GB"/>
              </w:rPr>
            </w:pPr>
            <w:r>
              <w:rPr>
                <w:rFonts w:cs="Times New Roman"/>
                <w:b/>
                <w:noProof/>
                <w:sz w:val="22"/>
              </w:rPr>
              <w:t>34,820</w:t>
            </w:r>
          </w:p>
        </w:tc>
        <w:tc>
          <w:tcPr>
            <w:tcW w:w="551" w:type="pct"/>
            <w:shd w:val="clear" w:color="auto" w:fill="auto"/>
            <w:noWrap/>
            <w:hideMark/>
          </w:tcPr>
          <w:p w:rsidR="003E180D" w:rsidRDefault="003E180D" w:rsidP="0088305C">
            <w:pPr>
              <w:spacing w:after="0" w:line="240" w:lineRule="auto"/>
              <w:jc w:val="center"/>
              <w:rPr>
                <w:rFonts w:eastAsia="Times New Roman" w:cs="Times New Roman"/>
                <w:b/>
                <w:i/>
                <w:noProof/>
                <w:color w:val="000000"/>
                <w:sz w:val="22"/>
                <w:lang w:eastAsia="en-GB"/>
              </w:rPr>
            </w:pPr>
            <w:r>
              <w:rPr>
                <w:rFonts w:cs="Times New Roman"/>
                <w:b/>
                <w:noProof/>
                <w:sz w:val="22"/>
              </w:rPr>
              <w:t>44,200</w:t>
            </w:r>
          </w:p>
        </w:tc>
      </w:tr>
      <w:tr w:rsidR="003E180D" w:rsidTr="0088305C">
        <w:trPr>
          <w:trHeight w:val="315"/>
        </w:trPr>
        <w:tc>
          <w:tcPr>
            <w:tcW w:w="1161" w:type="pct"/>
            <w:shd w:val="clear" w:color="auto" w:fill="auto"/>
            <w:noWrap/>
            <w:vAlign w:val="center"/>
            <w:hideMark/>
          </w:tcPr>
          <w:p w:rsidR="003E180D" w:rsidRDefault="003E180D" w:rsidP="0088305C">
            <w:pPr>
              <w:spacing w:after="0" w:line="240" w:lineRule="auto"/>
              <w:rPr>
                <w:rFonts w:eastAsia="Times New Roman" w:cs="Times New Roman"/>
                <w:b/>
                <w:i/>
                <w:noProof/>
                <w:color w:val="000000"/>
                <w:sz w:val="22"/>
                <w:lang w:eastAsia="en-GB"/>
              </w:rPr>
            </w:pPr>
          </w:p>
        </w:tc>
        <w:tc>
          <w:tcPr>
            <w:tcW w:w="1053" w:type="pct"/>
            <w:shd w:val="clear" w:color="auto" w:fill="auto"/>
            <w:noWrap/>
            <w:vAlign w:val="center"/>
            <w:hideMark/>
          </w:tcPr>
          <w:p w:rsidR="003E180D" w:rsidRDefault="003E180D" w:rsidP="0088305C">
            <w:pPr>
              <w:spacing w:after="0" w:line="240" w:lineRule="auto"/>
              <w:rPr>
                <w:rFonts w:eastAsia="Times New Roman" w:cs="Times New Roman"/>
                <w:b/>
                <w:i/>
                <w:noProof/>
                <w:color w:val="000000"/>
                <w:sz w:val="22"/>
                <w:lang w:eastAsia="en-GB"/>
              </w:rPr>
            </w:pPr>
            <w:r>
              <w:rPr>
                <w:rFonts w:eastAsia="Times New Roman" w:cs="Times New Roman"/>
                <w:b/>
                <w:i/>
                <w:noProof/>
                <w:color w:val="000000"/>
                <w:sz w:val="22"/>
                <w:lang w:eastAsia="en-GB"/>
              </w:rPr>
              <w:t>High</w:t>
            </w:r>
          </w:p>
        </w:tc>
        <w:tc>
          <w:tcPr>
            <w:tcW w:w="547" w:type="pct"/>
            <w:shd w:val="clear" w:color="auto" w:fill="auto"/>
            <w:noWrap/>
            <w:hideMark/>
          </w:tcPr>
          <w:p w:rsidR="003E180D" w:rsidRDefault="003E180D" w:rsidP="0088305C">
            <w:pPr>
              <w:spacing w:after="0" w:line="240" w:lineRule="auto"/>
              <w:jc w:val="center"/>
              <w:rPr>
                <w:rFonts w:eastAsia="Times New Roman" w:cs="Times New Roman"/>
                <w:b/>
                <w:i/>
                <w:noProof/>
                <w:color w:val="000000"/>
                <w:sz w:val="22"/>
                <w:lang w:eastAsia="en-GB"/>
              </w:rPr>
            </w:pPr>
            <w:r>
              <w:rPr>
                <w:rFonts w:cs="Times New Roman"/>
                <w:b/>
                <w:noProof/>
                <w:sz w:val="22"/>
              </w:rPr>
              <w:t>14,341</w:t>
            </w:r>
          </w:p>
        </w:tc>
        <w:tc>
          <w:tcPr>
            <w:tcW w:w="586" w:type="pct"/>
            <w:shd w:val="clear" w:color="auto" w:fill="auto"/>
            <w:noWrap/>
            <w:hideMark/>
          </w:tcPr>
          <w:p w:rsidR="003E180D" w:rsidRDefault="003E180D" w:rsidP="0088305C">
            <w:pPr>
              <w:spacing w:after="0" w:line="240" w:lineRule="auto"/>
              <w:jc w:val="center"/>
              <w:rPr>
                <w:rFonts w:eastAsia="Times New Roman" w:cs="Times New Roman"/>
                <w:b/>
                <w:i/>
                <w:noProof/>
                <w:color w:val="000000"/>
                <w:sz w:val="22"/>
                <w:lang w:eastAsia="en-GB"/>
              </w:rPr>
            </w:pPr>
            <w:r>
              <w:rPr>
                <w:rFonts w:cs="Times New Roman"/>
                <w:b/>
                <w:noProof/>
                <w:sz w:val="22"/>
              </w:rPr>
              <w:t>22,934</w:t>
            </w:r>
          </w:p>
        </w:tc>
        <w:tc>
          <w:tcPr>
            <w:tcW w:w="551" w:type="pct"/>
            <w:shd w:val="clear" w:color="auto" w:fill="auto"/>
            <w:noWrap/>
            <w:hideMark/>
          </w:tcPr>
          <w:p w:rsidR="003E180D" w:rsidRDefault="003E180D" w:rsidP="0088305C">
            <w:pPr>
              <w:spacing w:after="0" w:line="240" w:lineRule="auto"/>
              <w:jc w:val="center"/>
              <w:rPr>
                <w:rFonts w:eastAsia="Times New Roman" w:cs="Times New Roman"/>
                <w:b/>
                <w:i/>
                <w:noProof/>
                <w:color w:val="000000"/>
                <w:sz w:val="22"/>
                <w:lang w:eastAsia="en-GB"/>
              </w:rPr>
            </w:pPr>
            <w:r>
              <w:rPr>
                <w:rFonts w:cs="Times New Roman"/>
                <w:b/>
                <w:noProof/>
                <w:sz w:val="22"/>
              </w:rPr>
              <w:t>28,687</w:t>
            </w:r>
          </w:p>
        </w:tc>
        <w:tc>
          <w:tcPr>
            <w:tcW w:w="551" w:type="pct"/>
            <w:shd w:val="clear" w:color="auto" w:fill="auto"/>
            <w:noWrap/>
            <w:hideMark/>
          </w:tcPr>
          <w:p w:rsidR="003E180D" w:rsidRDefault="003E180D" w:rsidP="0088305C">
            <w:pPr>
              <w:spacing w:after="0" w:line="240" w:lineRule="auto"/>
              <w:jc w:val="center"/>
              <w:rPr>
                <w:rFonts w:eastAsia="Times New Roman" w:cs="Times New Roman"/>
                <w:b/>
                <w:i/>
                <w:noProof/>
                <w:color w:val="000000"/>
                <w:sz w:val="22"/>
                <w:lang w:eastAsia="en-GB"/>
              </w:rPr>
            </w:pPr>
            <w:r>
              <w:rPr>
                <w:rFonts w:cs="Times New Roman"/>
                <w:b/>
                <w:noProof/>
                <w:sz w:val="22"/>
              </w:rPr>
              <w:t>32,455</w:t>
            </w:r>
          </w:p>
        </w:tc>
        <w:tc>
          <w:tcPr>
            <w:tcW w:w="551" w:type="pct"/>
            <w:shd w:val="clear" w:color="auto" w:fill="auto"/>
            <w:noWrap/>
            <w:hideMark/>
          </w:tcPr>
          <w:p w:rsidR="003E180D" w:rsidRDefault="003E180D" w:rsidP="0088305C">
            <w:pPr>
              <w:spacing w:after="0" w:line="240" w:lineRule="auto"/>
              <w:jc w:val="center"/>
              <w:rPr>
                <w:rFonts w:eastAsia="Times New Roman" w:cs="Times New Roman"/>
                <w:b/>
                <w:i/>
                <w:noProof/>
                <w:color w:val="000000"/>
                <w:sz w:val="22"/>
                <w:lang w:eastAsia="en-GB"/>
              </w:rPr>
            </w:pPr>
            <w:r>
              <w:rPr>
                <w:rFonts w:cs="Times New Roman"/>
                <w:b/>
                <w:noProof/>
                <w:sz w:val="22"/>
              </w:rPr>
              <w:t>32,326</w:t>
            </w:r>
          </w:p>
        </w:tc>
      </w:tr>
      <w:tr w:rsidR="003E180D" w:rsidTr="0088305C">
        <w:trPr>
          <w:trHeight w:val="315"/>
        </w:trPr>
        <w:tc>
          <w:tcPr>
            <w:tcW w:w="116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E180D" w:rsidRDefault="003E180D" w:rsidP="0088305C">
            <w:pPr>
              <w:spacing w:after="0" w:line="240" w:lineRule="auto"/>
              <w:rPr>
                <w:rFonts w:eastAsia="Times New Roman" w:cs="Times New Roman"/>
                <w:b/>
                <w:noProof/>
                <w:color w:val="000000"/>
                <w:sz w:val="22"/>
                <w:lang w:eastAsia="en-GB"/>
              </w:rPr>
            </w:pPr>
            <w:r>
              <w:rPr>
                <w:rFonts w:eastAsia="Times New Roman" w:cs="Times New Roman"/>
                <w:b/>
                <w:noProof/>
                <w:color w:val="000000"/>
                <w:sz w:val="22"/>
                <w:lang w:eastAsia="en-GB"/>
              </w:rPr>
              <w:t>2030 (EUR/lorry)</w:t>
            </w:r>
          </w:p>
        </w:tc>
        <w:tc>
          <w:tcPr>
            <w:tcW w:w="105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E180D" w:rsidRDefault="003E180D" w:rsidP="0088305C">
            <w:pPr>
              <w:spacing w:after="0" w:line="240" w:lineRule="auto"/>
              <w:rPr>
                <w:rFonts w:eastAsia="Times New Roman" w:cs="Times New Roman"/>
                <w:b/>
                <w:noProof/>
                <w:color w:val="000000"/>
                <w:sz w:val="22"/>
                <w:lang w:eastAsia="en-GB"/>
              </w:rPr>
            </w:pPr>
            <w:r>
              <w:rPr>
                <w:rFonts w:eastAsia="Times New Roman" w:cs="Times New Roman"/>
                <w:b/>
                <w:noProof/>
                <w:color w:val="000000"/>
                <w:sz w:val="22"/>
                <w:lang w:eastAsia="en-GB"/>
              </w:rPr>
              <w:t>Cost assumptions</w:t>
            </w:r>
          </w:p>
        </w:tc>
        <w:tc>
          <w:tcPr>
            <w:tcW w:w="5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E180D" w:rsidRDefault="003E180D" w:rsidP="0088305C">
            <w:pPr>
              <w:spacing w:after="0" w:line="240" w:lineRule="auto"/>
              <w:jc w:val="center"/>
              <w:rPr>
                <w:rFonts w:cs="Times New Roman"/>
                <w:b/>
                <w:noProof/>
                <w:sz w:val="22"/>
              </w:rPr>
            </w:pPr>
            <w:r>
              <w:rPr>
                <w:b/>
                <w:noProof/>
                <w:sz w:val="22"/>
                <w:szCs w:val="24"/>
              </w:rPr>
              <w:t>TL20</w:t>
            </w:r>
            <w:r>
              <w:rPr>
                <w:b/>
                <w:noProof/>
                <w:sz w:val="22"/>
                <w:szCs w:val="24"/>
              </w:rPr>
              <w:br/>
              <w:t>(20%)</w:t>
            </w:r>
          </w:p>
        </w:tc>
        <w:tc>
          <w:tcPr>
            <w:tcW w:w="113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E180D" w:rsidRDefault="003E180D" w:rsidP="0088305C">
            <w:pPr>
              <w:spacing w:after="0" w:line="240" w:lineRule="auto"/>
              <w:jc w:val="center"/>
              <w:rPr>
                <w:rFonts w:cs="Times New Roman"/>
                <w:b/>
                <w:noProof/>
                <w:sz w:val="22"/>
              </w:rPr>
            </w:pPr>
            <w:r>
              <w:rPr>
                <w:b/>
                <w:noProof/>
                <w:sz w:val="22"/>
                <w:szCs w:val="24"/>
              </w:rPr>
              <w:t>TL30 *</w:t>
            </w:r>
            <w:r>
              <w:rPr>
                <w:b/>
                <w:noProof/>
                <w:sz w:val="22"/>
                <w:szCs w:val="24"/>
              </w:rPr>
              <w:br/>
              <w:t>(30%)</w:t>
            </w:r>
          </w:p>
        </w:tc>
        <w:tc>
          <w:tcPr>
            <w:tcW w:w="55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E180D" w:rsidRDefault="003E180D" w:rsidP="0088305C">
            <w:pPr>
              <w:spacing w:after="0" w:line="240" w:lineRule="auto"/>
              <w:jc w:val="center"/>
              <w:rPr>
                <w:rFonts w:cs="Times New Roman"/>
                <w:b/>
                <w:noProof/>
                <w:sz w:val="22"/>
              </w:rPr>
            </w:pPr>
            <w:r>
              <w:rPr>
                <w:b/>
                <w:noProof/>
                <w:sz w:val="22"/>
                <w:szCs w:val="24"/>
              </w:rPr>
              <w:t>TL32</w:t>
            </w:r>
            <w:r>
              <w:rPr>
                <w:b/>
                <w:noProof/>
                <w:sz w:val="22"/>
                <w:szCs w:val="24"/>
              </w:rPr>
              <w:br/>
              <w:t>(32%)</w:t>
            </w:r>
          </w:p>
        </w:tc>
        <w:tc>
          <w:tcPr>
            <w:tcW w:w="55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E180D" w:rsidRDefault="003E180D" w:rsidP="0088305C">
            <w:pPr>
              <w:spacing w:after="0" w:line="240" w:lineRule="auto"/>
              <w:jc w:val="center"/>
              <w:rPr>
                <w:rFonts w:cs="Times New Roman"/>
                <w:b/>
                <w:noProof/>
                <w:sz w:val="22"/>
              </w:rPr>
            </w:pPr>
            <w:r>
              <w:rPr>
                <w:b/>
                <w:noProof/>
                <w:sz w:val="22"/>
                <w:szCs w:val="24"/>
              </w:rPr>
              <w:t>TL35</w:t>
            </w:r>
            <w:r>
              <w:rPr>
                <w:b/>
                <w:noProof/>
                <w:sz w:val="22"/>
                <w:szCs w:val="24"/>
              </w:rPr>
              <w:br/>
              <w:t>(35%)</w:t>
            </w:r>
          </w:p>
        </w:tc>
      </w:tr>
      <w:tr w:rsidR="003E180D" w:rsidTr="008830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1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r>
              <w:rPr>
                <w:rFonts w:eastAsia="Times New Roman" w:cs="Times New Roman"/>
                <w:i/>
                <w:noProof/>
                <w:color w:val="000000"/>
                <w:sz w:val="22"/>
                <w:lang w:eastAsia="en-GB"/>
              </w:rPr>
              <w:t>Capital cost [1]</w:t>
            </w: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r>
              <w:rPr>
                <w:rFonts w:eastAsia="Times New Roman" w:cs="Times New Roman"/>
                <w:i/>
                <w:noProof/>
                <w:color w:val="000000"/>
                <w:sz w:val="22"/>
                <w:lang w:eastAsia="en-GB"/>
              </w:rPr>
              <w:t>Base</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szCs w:val="24"/>
              </w:rPr>
              <w:t xml:space="preserve">4,657 </w:t>
            </w:r>
          </w:p>
        </w:tc>
        <w:tc>
          <w:tcPr>
            <w:tcW w:w="1137"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szCs w:val="24"/>
              </w:rPr>
              <w:t xml:space="preserve">19,291 </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szCs w:val="24"/>
              </w:rPr>
              <w:t xml:space="preserve">26,572 </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szCs w:val="24"/>
              </w:rPr>
              <w:t xml:space="preserve">33,185 </w:t>
            </w:r>
          </w:p>
        </w:tc>
      </w:tr>
      <w:tr w:rsidR="003E180D" w:rsidTr="008830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1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r>
              <w:rPr>
                <w:rFonts w:eastAsia="Times New Roman" w:cs="Times New Roman"/>
                <w:i/>
                <w:noProof/>
                <w:color w:val="000000"/>
                <w:sz w:val="22"/>
                <w:lang w:eastAsia="en-GB"/>
              </w:rPr>
              <w:t>High</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szCs w:val="24"/>
              </w:rPr>
              <w:t xml:space="preserve">13,721 </w:t>
            </w:r>
          </w:p>
        </w:tc>
        <w:tc>
          <w:tcPr>
            <w:tcW w:w="1137"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szCs w:val="24"/>
              </w:rPr>
              <w:t xml:space="preserve">47,618 </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szCs w:val="24"/>
              </w:rPr>
              <w:t xml:space="preserve">52,073 </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szCs w:val="24"/>
              </w:rPr>
              <w:t xml:space="preserve">58,760 </w:t>
            </w:r>
          </w:p>
        </w:tc>
      </w:tr>
      <w:tr w:rsidR="003E180D" w:rsidTr="008830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1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r>
              <w:rPr>
                <w:rFonts w:eastAsia="Times New Roman" w:cs="Times New Roman"/>
                <w:i/>
                <w:noProof/>
                <w:color w:val="000000"/>
                <w:sz w:val="22"/>
                <w:lang w:eastAsia="en-GB"/>
              </w:rPr>
              <w:t>Fuel Savings [2]</w:t>
            </w: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r>
              <w:rPr>
                <w:rFonts w:eastAsia="Times New Roman" w:cs="Times New Roman"/>
                <w:i/>
                <w:noProof/>
                <w:color w:val="000000"/>
                <w:sz w:val="22"/>
                <w:lang w:eastAsia="en-GB"/>
              </w:rPr>
              <w:t>Base</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szCs w:val="24"/>
              </w:rPr>
              <w:t xml:space="preserve">39,393 </w:t>
            </w:r>
          </w:p>
        </w:tc>
        <w:tc>
          <w:tcPr>
            <w:tcW w:w="1137"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szCs w:val="24"/>
              </w:rPr>
              <w:t xml:space="preserve">82,363 </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szCs w:val="24"/>
              </w:rPr>
              <w:t xml:space="preserve">90,881 </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szCs w:val="24"/>
              </w:rPr>
              <w:t xml:space="preserve">102,793 </w:t>
            </w:r>
          </w:p>
        </w:tc>
      </w:tr>
      <w:tr w:rsidR="003E180D" w:rsidTr="008830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1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r>
              <w:rPr>
                <w:rFonts w:eastAsia="Times New Roman" w:cs="Times New Roman"/>
                <w:i/>
                <w:noProof/>
                <w:color w:val="000000"/>
                <w:sz w:val="22"/>
                <w:lang w:eastAsia="en-GB"/>
              </w:rPr>
              <w:t>High</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szCs w:val="24"/>
              </w:rPr>
              <w:t xml:space="preserve">48,841 </w:t>
            </w:r>
          </w:p>
        </w:tc>
        <w:tc>
          <w:tcPr>
            <w:tcW w:w="1137"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szCs w:val="24"/>
              </w:rPr>
              <w:t xml:space="preserve">91,054 </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szCs w:val="24"/>
              </w:rPr>
              <w:t xml:space="preserve">101,198 </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szCs w:val="24"/>
              </w:rPr>
              <w:t xml:space="preserve">116,404 </w:t>
            </w:r>
          </w:p>
        </w:tc>
      </w:tr>
      <w:tr w:rsidR="003E180D" w:rsidTr="008830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1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b/>
                <w:i/>
                <w:noProof/>
                <w:color w:val="000000"/>
                <w:sz w:val="22"/>
                <w:lang w:eastAsia="en-GB"/>
              </w:rPr>
            </w:pPr>
            <w:r>
              <w:rPr>
                <w:rFonts w:eastAsia="Times New Roman" w:cs="Times New Roman"/>
                <w:b/>
                <w:i/>
                <w:noProof/>
                <w:color w:val="000000"/>
                <w:sz w:val="22"/>
                <w:lang w:eastAsia="en-GB"/>
              </w:rPr>
              <w:t>Net Savings [2] - [1]</w:t>
            </w: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b/>
                <w:i/>
                <w:noProof/>
                <w:color w:val="000000"/>
                <w:sz w:val="22"/>
                <w:lang w:eastAsia="en-GB"/>
              </w:rPr>
            </w:pPr>
            <w:r>
              <w:rPr>
                <w:rFonts w:eastAsia="Times New Roman" w:cs="Times New Roman"/>
                <w:b/>
                <w:i/>
                <w:noProof/>
                <w:color w:val="000000"/>
                <w:sz w:val="22"/>
                <w:lang w:eastAsia="en-GB"/>
              </w:rPr>
              <w:t>Base</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b/>
                <w:noProof/>
                <w:sz w:val="22"/>
                <w:szCs w:val="24"/>
              </w:rPr>
            </w:pPr>
            <w:r>
              <w:rPr>
                <w:b/>
                <w:noProof/>
                <w:sz w:val="22"/>
                <w:szCs w:val="24"/>
              </w:rPr>
              <w:t xml:space="preserve">34,736 </w:t>
            </w:r>
          </w:p>
        </w:tc>
        <w:tc>
          <w:tcPr>
            <w:tcW w:w="1137"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b/>
                <w:noProof/>
                <w:sz w:val="22"/>
                <w:szCs w:val="24"/>
              </w:rPr>
            </w:pPr>
            <w:r>
              <w:rPr>
                <w:b/>
                <w:noProof/>
                <w:sz w:val="22"/>
                <w:szCs w:val="24"/>
              </w:rPr>
              <w:t xml:space="preserve">63,071 </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b/>
                <w:noProof/>
                <w:sz w:val="22"/>
                <w:szCs w:val="24"/>
              </w:rPr>
            </w:pPr>
            <w:r>
              <w:rPr>
                <w:b/>
                <w:noProof/>
                <w:sz w:val="22"/>
                <w:szCs w:val="24"/>
              </w:rPr>
              <w:t xml:space="preserve">64,308 </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b/>
                <w:noProof/>
                <w:sz w:val="22"/>
                <w:szCs w:val="24"/>
              </w:rPr>
            </w:pPr>
            <w:r>
              <w:rPr>
                <w:b/>
                <w:noProof/>
                <w:sz w:val="22"/>
                <w:szCs w:val="24"/>
              </w:rPr>
              <w:t xml:space="preserve">69,608 </w:t>
            </w:r>
          </w:p>
        </w:tc>
      </w:tr>
      <w:tr w:rsidR="003E180D" w:rsidTr="008830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1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b/>
                <w:i/>
                <w:noProof/>
                <w:color w:val="000000"/>
                <w:sz w:val="22"/>
                <w:lang w:eastAsia="en-GB"/>
              </w:rPr>
            </w:pP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b/>
                <w:i/>
                <w:noProof/>
                <w:color w:val="000000"/>
                <w:sz w:val="22"/>
                <w:lang w:eastAsia="en-GB"/>
              </w:rPr>
            </w:pPr>
            <w:r>
              <w:rPr>
                <w:rFonts w:eastAsia="Times New Roman" w:cs="Times New Roman"/>
                <w:b/>
                <w:i/>
                <w:noProof/>
                <w:color w:val="000000"/>
                <w:sz w:val="22"/>
                <w:lang w:eastAsia="en-GB"/>
              </w:rPr>
              <w:t>High</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b/>
                <w:noProof/>
                <w:sz w:val="22"/>
                <w:szCs w:val="24"/>
              </w:rPr>
            </w:pPr>
            <w:r>
              <w:rPr>
                <w:b/>
                <w:noProof/>
                <w:sz w:val="22"/>
                <w:szCs w:val="24"/>
              </w:rPr>
              <w:t xml:space="preserve">35,120 </w:t>
            </w:r>
          </w:p>
        </w:tc>
        <w:tc>
          <w:tcPr>
            <w:tcW w:w="1137"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b/>
                <w:noProof/>
                <w:sz w:val="22"/>
                <w:szCs w:val="24"/>
              </w:rPr>
            </w:pPr>
            <w:r>
              <w:rPr>
                <w:b/>
                <w:noProof/>
                <w:sz w:val="22"/>
                <w:szCs w:val="24"/>
              </w:rPr>
              <w:t xml:space="preserve">43,436 </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b/>
                <w:noProof/>
                <w:sz w:val="22"/>
                <w:szCs w:val="24"/>
              </w:rPr>
            </w:pPr>
            <w:r>
              <w:rPr>
                <w:b/>
                <w:noProof/>
                <w:sz w:val="22"/>
                <w:szCs w:val="24"/>
              </w:rPr>
              <w:t xml:space="preserve">49,125 </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b/>
                <w:noProof/>
                <w:sz w:val="22"/>
                <w:szCs w:val="24"/>
              </w:rPr>
            </w:pPr>
            <w:r>
              <w:rPr>
                <w:b/>
                <w:noProof/>
                <w:sz w:val="22"/>
                <w:szCs w:val="24"/>
              </w:rPr>
              <w:t xml:space="preserve">57,644 </w:t>
            </w:r>
          </w:p>
        </w:tc>
      </w:tr>
    </w:tbl>
    <w:p w:rsidR="003E180D" w:rsidRDefault="003E180D" w:rsidP="003E180D">
      <w:pPr>
        <w:tabs>
          <w:tab w:val="left" w:pos="1995"/>
          <w:tab w:val="left" w:pos="4416"/>
          <w:tab w:val="left" w:pos="5716"/>
          <w:tab w:val="left" w:pos="6956"/>
          <w:tab w:val="left" w:pos="8196"/>
          <w:tab w:val="left" w:pos="9590"/>
          <w:tab w:val="left" w:pos="10930"/>
          <w:tab w:val="left" w:pos="12119"/>
          <w:tab w:val="left" w:pos="13476"/>
        </w:tabs>
        <w:spacing w:after="0" w:line="240" w:lineRule="auto"/>
        <w:rPr>
          <w:rFonts w:eastAsia="Times New Roman" w:cs="Times New Roman"/>
          <w:noProof/>
          <w:color w:val="000000"/>
          <w:sz w:val="20"/>
          <w:szCs w:val="24"/>
          <w:lang w:val="en-US" w:eastAsia="fr-BE"/>
        </w:rPr>
      </w:pPr>
      <w:bookmarkStart w:id="774" w:name="_Toc508181061"/>
      <w:bookmarkStart w:id="775" w:name="_Toc508186653"/>
      <w:r>
        <w:rPr>
          <w:noProof/>
          <w:sz w:val="20"/>
        </w:rPr>
        <w:t>* Results for TL30NL in 2030 are very similar to those for TL30</w:t>
      </w:r>
    </w:p>
    <w:p w:rsidR="003E180D" w:rsidRDefault="003E180D" w:rsidP="003E180D">
      <w:pPr>
        <w:spacing w:before="240" w:after="120" w:line="240" w:lineRule="auto"/>
        <w:jc w:val="both"/>
        <w:rPr>
          <w:b/>
          <w:noProof/>
          <w:color w:val="000000" w:themeColor="text1"/>
        </w:rPr>
      </w:pPr>
      <w:r>
        <w:rPr>
          <w:noProof/>
          <w:color w:val="000000" w:themeColor="text1"/>
        </w:rPr>
        <w:fldChar w:fldCharType="begin"/>
      </w:r>
      <w:r>
        <w:rPr>
          <w:noProof/>
          <w:color w:val="000000" w:themeColor="text1"/>
        </w:rPr>
        <w:instrText xml:space="preserve"> REF _Ref510713939 \h  \* MERGEFORMAT </w:instrText>
      </w:r>
      <w:r>
        <w:rPr>
          <w:noProof/>
          <w:color w:val="000000" w:themeColor="text1"/>
        </w:rPr>
      </w:r>
      <w:r>
        <w:rPr>
          <w:noProof/>
          <w:color w:val="000000" w:themeColor="text1"/>
        </w:rPr>
        <w:fldChar w:fldCharType="separate"/>
      </w:r>
      <w:r>
        <w:rPr>
          <w:noProof/>
          <w:color w:val="000000" w:themeColor="text1"/>
        </w:rPr>
        <w:t xml:space="preserve">Table </w:t>
      </w:r>
      <w:r>
        <w:rPr>
          <w:smallCaps/>
          <w:noProof/>
          <w:color w:val="000000" w:themeColor="text1"/>
        </w:rPr>
        <w:t>13</w:t>
      </w:r>
      <w:r>
        <w:rPr>
          <w:noProof/>
          <w:color w:val="000000" w:themeColor="text1"/>
        </w:rPr>
        <w:fldChar w:fldCharType="end"/>
      </w:r>
      <w:r>
        <w:rPr>
          <w:noProof/>
          <w:color w:val="000000" w:themeColor="text1"/>
        </w:rPr>
        <w:t xml:space="preserve"> shows the average additional manufacturing costs under the different target level options (i.e. the capital costs shown in </w:t>
      </w:r>
      <w:r>
        <w:rPr>
          <w:noProof/>
          <w:color w:val="000000" w:themeColor="text1"/>
        </w:rPr>
        <w:fldChar w:fldCharType="begin"/>
      </w:r>
      <w:r>
        <w:rPr>
          <w:noProof/>
          <w:color w:val="000000" w:themeColor="text1"/>
        </w:rPr>
        <w:instrText xml:space="preserve"> REF _Ref507575723 \h  \* MERGEFORMAT </w:instrText>
      </w:r>
      <w:r>
        <w:rPr>
          <w:noProof/>
          <w:color w:val="000000" w:themeColor="text1"/>
        </w:rPr>
      </w:r>
      <w:r>
        <w:rPr>
          <w:noProof/>
          <w:color w:val="000000" w:themeColor="text1"/>
        </w:rPr>
        <w:fldChar w:fldCharType="separate"/>
      </w:r>
      <w:r>
        <w:rPr>
          <w:noProof/>
        </w:rPr>
        <w:t xml:space="preserve">Table </w:t>
      </w:r>
      <w:r>
        <w:rPr>
          <w:smallCaps/>
          <w:noProof/>
        </w:rPr>
        <w:t>12</w:t>
      </w:r>
      <w:r>
        <w:rPr>
          <w:noProof/>
          <w:color w:val="000000" w:themeColor="text1"/>
        </w:rPr>
        <w:fldChar w:fldCharType="end"/>
      </w:r>
      <w:r>
        <w:rPr>
          <w:noProof/>
          <w:color w:val="000000" w:themeColor="text1"/>
        </w:rPr>
        <w:t>) as a percentage of the purchase price of an average lorry, which is assumed to be around 110,000 EUR. It shows that the relative additional manufacturing costs are quite limited in 2025, in particular under the less ambitious target levels options and when taking the base costs assumptions. However, the average relative costs become high, up to half of the vehicle price at the higher target levels in 2030 and when using the high cost assumptions.</w:t>
      </w:r>
    </w:p>
    <w:p w:rsidR="003E180D" w:rsidRDefault="003E180D" w:rsidP="003E180D">
      <w:pPr>
        <w:pStyle w:val="Caption"/>
        <w:keepNext/>
        <w:spacing w:after="120"/>
        <w:jc w:val="both"/>
        <w:rPr>
          <w:smallCaps/>
          <w:noProof/>
        </w:rPr>
      </w:pPr>
      <w:bookmarkStart w:id="776" w:name="_Ref510713939"/>
      <w:r>
        <w:rPr>
          <w:noProof/>
        </w:rPr>
        <w:t xml:space="preserve">Table </w:t>
      </w:r>
      <w:r>
        <w:rPr>
          <w:smallCaps/>
          <w:noProof/>
        </w:rPr>
        <w:fldChar w:fldCharType="begin"/>
      </w:r>
      <w:r>
        <w:rPr>
          <w:smallCaps/>
          <w:noProof/>
        </w:rPr>
        <w:instrText xml:space="preserve"> SEQ Table \* ARABIC </w:instrText>
      </w:r>
      <w:r>
        <w:rPr>
          <w:smallCaps/>
          <w:noProof/>
        </w:rPr>
        <w:fldChar w:fldCharType="separate"/>
      </w:r>
      <w:r>
        <w:rPr>
          <w:smallCaps/>
          <w:noProof/>
        </w:rPr>
        <w:t>13</w:t>
      </w:r>
      <w:r>
        <w:rPr>
          <w:smallCaps/>
          <w:noProof/>
        </w:rPr>
        <w:fldChar w:fldCharType="end"/>
      </w:r>
      <w:bookmarkEnd w:id="776"/>
      <w:r>
        <w:rPr>
          <w:smallCaps/>
          <w:noProof/>
        </w:rPr>
        <w:t xml:space="preserve">: </w:t>
      </w:r>
      <w:r>
        <w:rPr>
          <w:rFonts w:ascii="Times New Roman Bold" w:hAnsi="Times New Roman Bold"/>
          <w:noProof/>
        </w:rPr>
        <w:t>Additional manufacturing costs</w:t>
      </w:r>
      <w:r>
        <w:rPr>
          <w:noProof/>
        </w:rPr>
        <w:t xml:space="preserve"> in 2025 and 2030 (as a percentage of the vehicle purchase price)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1861"/>
        <w:gridCol w:w="966"/>
        <w:gridCol w:w="1036"/>
        <w:gridCol w:w="973"/>
        <w:gridCol w:w="973"/>
        <w:gridCol w:w="973"/>
      </w:tblGrid>
      <w:tr w:rsidR="003E180D" w:rsidTr="0088305C">
        <w:trPr>
          <w:trHeight w:val="315"/>
        </w:trPr>
        <w:tc>
          <w:tcPr>
            <w:tcW w:w="1161" w:type="pct"/>
            <w:shd w:val="clear" w:color="auto" w:fill="D9D9D9" w:themeFill="background1" w:themeFillShade="D9"/>
            <w:noWrap/>
            <w:vAlign w:val="center"/>
            <w:hideMark/>
          </w:tcPr>
          <w:p w:rsidR="003E180D" w:rsidRDefault="003E180D" w:rsidP="0088305C">
            <w:pPr>
              <w:spacing w:after="0" w:line="240" w:lineRule="auto"/>
              <w:rPr>
                <w:rFonts w:eastAsia="Times New Roman" w:cs="Times New Roman"/>
                <w:b/>
                <w:noProof/>
                <w:color w:val="000000"/>
                <w:sz w:val="22"/>
                <w:lang w:eastAsia="en-GB"/>
              </w:rPr>
            </w:pPr>
            <w:r>
              <w:rPr>
                <w:rFonts w:eastAsia="Times New Roman" w:cs="Times New Roman"/>
                <w:b/>
                <w:noProof/>
                <w:color w:val="000000"/>
                <w:sz w:val="22"/>
                <w:lang w:eastAsia="en-GB"/>
              </w:rPr>
              <w:t>2025 capital cost</w:t>
            </w:r>
          </w:p>
        </w:tc>
        <w:tc>
          <w:tcPr>
            <w:tcW w:w="1053" w:type="pct"/>
            <w:shd w:val="clear" w:color="auto" w:fill="D9D9D9" w:themeFill="background1" w:themeFillShade="D9"/>
            <w:noWrap/>
            <w:vAlign w:val="center"/>
            <w:hideMark/>
          </w:tcPr>
          <w:p w:rsidR="003E180D" w:rsidRDefault="003E180D" w:rsidP="0088305C">
            <w:pPr>
              <w:spacing w:after="0" w:line="240" w:lineRule="auto"/>
              <w:rPr>
                <w:rFonts w:eastAsia="Times New Roman" w:cs="Times New Roman"/>
                <w:b/>
                <w:noProof/>
                <w:color w:val="000000"/>
                <w:sz w:val="22"/>
                <w:lang w:eastAsia="en-GB"/>
              </w:rPr>
            </w:pPr>
            <w:r>
              <w:rPr>
                <w:rFonts w:eastAsia="Times New Roman" w:cs="Times New Roman"/>
                <w:b/>
                <w:noProof/>
                <w:color w:val="000000"/>
                <w:sz w:val="22"/>
                <w:lang w:eastAsia="en-GB"/>
              </w:rPr>
              <w:t>Cost assumptions</w:t>
            </w:r>
          </w:p>
        </w:tc>
        <w:tc>
          <w:tcPr>
            <w:tcW w:w="547" w:type="pct"/>
            <w:shd w:val="clear" w:color="auto" w:fill="D9D9D9" w:themeFill="background1" w:themeFillShade="D9"/>
            <w:noWrap/>
            <w:vAlign w:val="bottom"/>
            <w:hideMark/>
          </w:tcPr>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TL20</w:t>
            </w:r>
          </w:p>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(10%)</w:t>
            </w:r>
          </w:p>
        </w:tc>
        <w:tc>
          <w:tcPr>
            <w:tcW w:w="586" w:type="pct"/>
            <w:shd w:val="clear" w:color="auto" w:fill="D9D9D9" w:themeFill="background1" w:themeFillShade="D9"/>
            <w:noWrap/>
            <w:vAlign w:val="bottom"/>
            <w:hideMark/>
          </w:tcPr>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TL30NL</w:t>
            </w:r>
          </w:p>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(12.5%)</w:t>
            </w:r>
          </w:p>
        </w:tc>
        <w:tc>
          <w:tcPr>
            <w:tcW w:w="551" w:type="pct"/>
            <w:shd w:val="clear" w:color="auto" w:fill="D9D9D9" w:themeFill="background1" w:themeFillShade="D9"/>
            <w:noWrap/>
            <w:vAlign w:val="bottom"/>
            <w:hideMark/>
          </w:tcPr>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TL30</w:t>
            </w:r>
          </w:p>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(15%)</w:t>
            </w:r>
          </w:p>
        </w:tc>
        <w:tc>
          <w:tcPr>
            <w:tcW w:w="551" w:type="pct"/>
            <w:shd w:val="clear" w:color="auto" w:fill="D9D9D9" w:themeFill="background1" w:themeFillShade="D9"/>
            <w:noWrap/>
            <w:vAlign w:val="bottom"/>
            <w:hideMark/>
          </w:tcPr>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TL32</w:t>
            </w:r>
          </w:p>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(17.5%)</w:t>
            </w:r>
          </w:p>
        </w:tc>
        <w:tc>
          <w:tcPr>
            <w:tcW w:w="551" w:type="pct"/>
            <w:shd w:val="clear" w:color="auto" w:fill="D9D9D9" w:themeFill="background1" w:themeFillShade="D9"/>
            <w:noWrap/>
            <w:vAlign w:val="bottom"/>
            <w:hideMark/>
          </w:tcPr>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TL35</w:t>
            </w:r>
          </w:p>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(20%)</w:t>
            </w:r>
          </w:p>
        </w:tc>
      </w:tr>
      <w:tr w:rsidR="003E180D" w:rsidTr="0088305C">
        <w:trPr>
          <w:trHeight w:val="330"/>
        </w:trPr>
        <w:tc>
          <w:tcPr>
            <w:tcW w:w="1161" w:type="pct"/>
            <w:vMerge w:val="restart"/>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r>
              <w:rPr>
                <w:rFonts w:eastAsia="Times New Roman" w:cs="Times New Roman"/>
                <w:i/>
                <w:noProof/>
                <w:color w:val="000000"/>
                <w:sz w:val="22"/>
                <w:lang w:eastAsia="en-GB"/>
              </w:rPr>
              <w:t xml:space="preserve">(% of vehicle </w:t>
            </w:r>
            <w:r>
              <w:rPr>
                <w:rFonts w:eastAsia="Times New Roman" w:cs="Times New Roman"/>
                <w:i/>
                <w:noProof/>
                <w:color w:val="000000"/>
                <w:sz w:val="22"/>
                <w:lang w:eastAsia="en-GB"/>
              </w:rPr>
              <w:br/>
              <w:t>purchase price)</w:t>
            </w:r>
          </w:p>
        </w:tc>
        <w:tc>
          <w:tcPr>
            <w:tcW w:w="1053" w:type="pct"/>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r>
              <w:rPr>
                <w:rFonts w:eastAsia="Times New Roman" w:cs="Times New Roman"/>
                <w:i/>
                <w:noProof/>
                <w:color w:val="000000"/>
                <w:sz w:val="22"/>
                <w:lang w:eastAsia="en-GB"/>
              </w:rPr>
              <w:t>Base</w:t>
            </w:r>
          </w:p>
        </w:tc>
        <w:tc>
          <w:tcPr>
            <w:tcW w:w="547" w:type="pct"/>
            <w:shd w:val="clear" w:color="auto" w:fill="auto"/>
            <w:noWrap/>
            <w:vAlign w:val="center"/>
          </w:tcPr>
          <w:p w:rsidR="003E180D" w:rsidRDefault="003E180D" w:rsidP="0088305C">
            <w:pPr>
              <w:spacing w:after="0" w:line="240" w:lineRule="auto"/>
              <w:jc w:val="center"/>
              <w:rPr>
                <w:rFonts w:eastAsia="Times New Roman" w:cs="Times New Roman"/>
                <w:i/>
                <w:noProof/>
                <w:color w:val="000000"/>
                <w:sz w:val="22"/>
                <w:lang w:eastAsia="en-GB"/>
              </w:rPr>
            </w:pPr>
            <w:r>
              <w:rPr>
                <w:rFonts w:cs="Times New Roman"/>
                <w:noProof/>
                <w:color w:val="000000"/>
                <w:sz w:val="22"/>
              </w:rPr>
              <w:t>0.8%</w:t>
            </w:r>
          </w:p>
        </w:tc>
        <w:tc>
          <w:tcPr>
            <w:tcW w:w="586" w:type="pct"/>
            <w:shd w:val="clear" w:color="auto" w:fill="auto"/>
            <w:noWrap/>
            <w:vAlign w:val="center"/>
          </w:tcPr>
          <w:p w:rsidR="003E180D" w:rsidRDefault="003E180D" w:rsidP="0088305C">
            <w:pPr>
              <w:spacing w:after="0" w:line="240" w:lineRule="auto"/>
              <w:jc w:val="center"/>
              <w:rPr>
                <w:rFonts w:eastAsia="Times New Roman" w:cs="Times New Roman"/>
                <w:i/>
                <w:noProof/>
                <w:color w:val="000000"/>
                <w:sz w:val="22"/>
                <w:lang w:eastAsia="en-GB"/>
              </w:rPr>
            </w:pPr>
            <w:r>
              <w:rPr>
                <w:rFonts w:cs="Times New Roman"/>
                <w:noProof/>
                <w:color w:val="000000"/>
                <w:sz w:val="22"/>
              </w:rPr>
              <w:t>1.6%</w:t>
            </w:r>
          </w:p>
        </w:tc>
        <w:tc>
          <w:tcPr>
            <w:tcW w:w="551" w:type="pct"/>
            <w:shd w:val="clear" w:color="auto" w:fill="auto"/>
            <w:noWrap/>
            <w:vAlign w:val="center"/>
          </w:tcPr>
          <w:p w:rsidR="003E180D" w:rsidRDefault="003E180D" w:rsidP="0088305C">
            <w:pPr>
              <w:spacing w:after="0" w:line="240" w:lineRule="auto"/>
              <w:jc w:val="center"/>
              <w:rPr>
                <w:rFonts w:eastAsia="Times New Roman" w:cs="Times New Roman"/>
                <w:i/>
                <w:noProof/>
                <w:color w:val="000000"/>
                <w:sz w:val="22"/>
                <w:lang w:eastAsia="en-GB"/>
              </w:rPr>
            </w:pPr>
            <w:r>
              <w:rPr>
                <w:rFonts w:cs="Times New Roman"/>
                <w:noProof/>
                <w:color w:val="000000"/>
                <w:sz w:val="22"/>
              </w:rPr>
              <w:t>2.8%</w:t>
            </w:r>
          </w:p>
        </w:tc>
        <w:tc>
          <w:tcPr>
            <w:tcW w:w="551" w:type="pct"/>
            <w:shd w:val="clear" w:color="auto" w:fill="auto"/>
            <w:noWrap/>
            <w:vAlign w:val="center"/>
          </w:tcPr>
          <w:p w:rsidR="003E180D" w:rsidRDefault="003E180D" w:rsidP="0088305C">
            <w:pPr>
              <w:spacing w:after="0" w:line="240" w:lineRule="auto"/>
              <w:jc w:val="center"/>
              <w:rPr>
                <w:rFonts w:eastAsia="Times New Roman" w:cs="Times New Roman"/>
                <w:i/>
                <w:noProof/>
                <w:color w:val="000000"/>
                <w:sz w:val="22"/>
                <w:lang w:eastAsia="en-GB"/>
              </w:rPr>
            </w:pPr>
            <w:r>
              <w:rPr>
                <w:rFonts w:cs="Times New Roman"/>
                <w:noProof/>
                <w:color w:val="000000"/>
                <w:sz w:val="22"/>
              </w:rPr>
              <w:t>4.1%</w:t>
            </w:r>
          </w:p>
        </w:tc>
        <w:tc>
          <w:tcPr>
            <w:tcW w:w="551" w:type="pct"/>
            <w:shd w:val="clear" w:color="auto" w:fill="auto"/>
            <w:noWrap/>
            <w:vAlign w:val="center"/>
          </w:tcPr>
          <w:p w:rsidR="003E180D" w:rsidRDefault="003E180D" w:rsidP="0088305C">
            <w:pPr>
              <w:spacing w:after="0" w:line="240" w:lineRule="auto"/>
              <w:jc w:val="center"/>
              <w:rPr>
                <w:rFonts w:eastAsia="Times New Roman" w:cs="Times New Roman"/>
                <w:i/>
                <w:noProof/>
                <w:color w:val="000000"/>
                <w:sz w:val="22"/>
                <w:lang w:eastAsia="en-GB"/>
              </w:rPr>
            </w:pPr>
            <w:r>
              <w:rPr>
                <w:rFonts w:cs="Times New Roman"/>
                <w:noProof/>
                <w:color w:val="000000"/>
                <w:sz w:val="22"/>
              </w:rPr>
              <w:t>6.7%</w:t>
            </w:r>
          </w:p>
        </w:tc>
      </w:tr>
      <w:tr w:rsidR="003E180D" w:rsidTr="0088305C">
        <w:trPr>
          <w:trHeight w:val="315"/>
        </w:trPr>
        <w:tc>
          <w:tcPr>
            <w:tcW w:w="1161" w:type="pct"/>
            <w:vMerge/>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p>
        </w:tc>
        <w:tc>
          <w:tcPr>
            <w:tcW w:w="1053" w:type="pct"/>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r>
              <w:rPr>
                <w:rFonts w:eastAsia="Times New Roman" w:cs="Times New Roman"/>
                <w:i/>
                <w:noProof/>
                <w:color w:val="000000"/>
                <w:sz w:val="22"/>
                <w:lang w:eastAsia="en-GB"/>
              </w:rPr>
              <w:t>High</w:t>
            </w:r>
          </w:p>
        </w:tc>
        <w:tc>
          <w:tcPr>
            <w:tcW w:w="547" w:type="pct"/>
            <w:shd w:val="clear" w:color="auto" w:fill="auto"/>
            <w:noWrap/>
            <w:vAlign w:val="center"/>
          </w:tcPr>
          <w:p w:rsidR="003E180D" w:rsidRDefault="003E180D" w:rsidP="0088305C">
            <w:pPr>
              <w:spacing w:after="0" w:line="240" w:lineRule="auto"/>
              <w:jc w:val="center"/>
              <w:rPr>
                <w:rFonts w:eastAsia="Times New Roman" w:cs="Times New Roman"/>
                <w:i/>
                <w:noProof/>
                <w:color w:val="000000"/>
                <w:sz w:val="22"/>
                <w:lang w:eastAsia="en-GB"/>
              </w:rPr>
            </w:pPr>
            <w:r>
              <w:rPr>
                <w:rFonts w:cs="Times New Roman"/>
                <w:noProof/>
                <w:color w:val="000000"/>
                <w:sz w:val="22"/>
              </w:rPr>
              <w:t>2.8%</w:t>
            </w:r>
          </w:p>
        </w:tc>
        <w:tc>
          <w:tcPr>
            <w:tcW w:w="586" w:type="pct"/>
            <w:shd w:val="clear" w:color="auto" w:fill="auto"/>
            <w:noWrap/>
            <w:vAlign w:val="center"/>
          </w:tcPr>
          <w:p w:rsidR="003E180D" w:rsidRDefault="003E180D" w:rsidP="0088305C">
            <w:pPr>
              <w:spacing w:after="0" w:line="240" w:lineRule="auto"/>
              <w:jc w:val="center"/>
              <w:rPr>
                <w:rFonts w:eastAsia="Times New Roman" w:cs="Times New Roman"/>
                <w:i/>
                <w:noProof/>
                <w:color w:val="000000"/>
                <w:sz w:val="22"/>
                <w:lang w:eastAsia="en-GB"/>
              </w:rPr>
            </w:pPr>
            <w:r>
              <w:rPr>
                <w:rFonts w:cs="Times New Roman"/>
                <w:noProof/>
                <w:color w:val="000000"/>
                <w:sz w:val="22"/>
              </w:rPr>
              <w:t>5.8%</w:t>
            </w:r>
          </w:p>
        </w:tc>
        <w:tc>
          <w:tcPr>
            <w:tcW w:w="551" w:type="pct"/>
            <w:shd w:val="clear" w:color="auto" w:fill="auto"/>
            <w:noWrap/>
            <w:vAlign w:val="center"/>
          </w:tcPr>
          <w:p w:rsidR="003E180D" w:rsidRDefault="003E180D" w:rsidP="0088305C">
            <w:pPr>
              <w:spacing w:after="0" w:line="240" w:lineRule="auto"/>
              <w:jc w:val="center"/>
              <w:rPr>
                <w:rFonts w:eastAsia="Times New Roman" w:cs="Times New Roman"/>
                <w:i/>
                <w:noProof/>
                <w:color w:val="000000"/>
                <w:sz w:val="22"/>
                <w:lang w:eastAsia="en-GB"/>
              </w:rPr>
            </w:pPr>
            <w:r>
              <w:rPr>
                <w:rFonts w:cs="Times New Roman"/>
                <w:noProof/>
                <w:color w:val="000000"/>
                <w:sz w:val="22"/>
              </w:rPr>
              <w:t>9.8%</w:t>
            </w:r>
          </w:p>
        </w:tc>
        <w:tc>
          <w:tcPr>
            <w:tcW w:w="551" w:type="pct"/>
            <w:shd w:val="clear" w:color="auto" w:fill="auto"/>
            <w:noWrap/>
            <w:vAlign w:val="center"/>
          </w:tcPr>
          <w:p w:rsidR="003E180D" w:rsidRDefault="003E180D" w:rsidP="0088305C">
            <w:pPr>
              <w:spacing w:after="0" w:line="240" w:lineRule="auto"/>
              <w:jc w:val="center"/>
              <w:rPr>
                <w:rFonts w:eastAsia="Times New Roman" w:cs="Times New Roman"/>
                <w:i/>
                <w:noProof/>
                <w:color w:val="000000"/>
                <w:sz w:val="22"/>
                <w:lang w:eastAsia="en-GB"/>
              </w:rPr>
            </w:pPr>
            <w:r>
              <w:rPr>
                <w:rFonts w:cs="Times New Roman"/>
                <w:noProof/>
                <w:color w:val="000000"/>
                <w:sz w:val="22"/>
              </w:rPr>
              <w:t>16.1%</w:t>
            </w:r>
          </w:p>
        </w:tc>
        <w:tc>
          <w:tcPr>
            <w:tcW w:w="551" w:type="pct"/>
            <w:shd w:val="clear" w:color="auto" w:fill="auto"/>
            <w:noWrap/>
            <w:vAlign w:val="center"/>
          </w:tcPr>
          <w:p w:rsidR="003E180D" w:rsidRDefault="003E180D" w:rsidP="0088305C">
            <w:pPr>
              <w:spacing w:after="0" w:line="240" w:lineRule="auto"/>
              <w:jc w:val="center"/>
              <w:rPr>
                <w:rFonts w:eastAsia="Times New Roman" w:cs="Times New Roman"/>
                <w:i/>
                <w:noProof/>
                <w:color w:val="000000"/>
                <w:sz w:val="22"/>
                <w:lang w:eastAsia="en-GB"/>
              </w:rPr>
            </w:pPr>
            <w:r>
              <w:rPr>
                <w:rFonts w:cs="Times New Roman"/>
                <w:noProof/>
                <w:color w:val="000000"/>
                <w:sz w:val="22"/>
              </w:rPr>
              <w:t>25.3%</w:t>
            </w:r>
          </w:p>
        </w:tc>
      </w:tr>
      <w:tr w:rsidR="003E180D" w:rsidTr="0088305C">
        <w:trPr>
          <w:trHeight w:val="315"/>
        </w:trPr>
        <w:tc>
          <w:tcPr>
            <w:tcW w:w="116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E180D" w:rsidRDefault="003E180D" w:rsidP="0088305C">
            <w:pPr>
              <w:spacing w:after="0" w:line="240" w:lineRule="auto"/>
              <w:rPr>
                <w:rFonts w:eastAsia="Times New Roman" w:cs="Times New Roman"/>
                <w:b/>
                <w:noProof/>
                <w:color w:val="000000"/>
                <w:sz w:val="22"/>
                <w:lang w:eastAsia="en-GB"/>
              </w:rPr>
            </w:pPr>
            <w:r>
              <w:rPr>
                <w:rFonts w:eastAsia="Times New Roman" w:cs="Times New Roman"/>
                <w:b/>
                <w:noProof/>
                <w:color w:val="000000"/>
                <w:sz w:val="22"/>
                <w:lang w:eastAsia="en-GB"/>
              </w:rPr>
              <w:t>2030 capital cost</w:t>
            </w:r>
          </w:p>
        </w:tc>
        <w:tc>
          <w:tcPr>
            <w:tcW w:w="105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E180D" w:rsidRDefault="003E180D" w:rsidP="0088305C">
            <w:pPr>
              <w:spacing w:after="0" w:line="240" w:lineRule="auto"/>
              <w:rPr>
                <w:rFonts w:eastAsia="Times New Roman" w:cs="Times New Roman"/>
                <w:b/>
                <w:noProof/>
                <w:color w:val="000000"/>
                <w:sz w:val="22"/>
                <w:lang w:eastAsia="en-GB"/>
              </w:rPr>
            </w:pPr>
            <w:r>
              <w:rPr>
                <w:rFonts w:eastAsia="Times New Roman" w:cs="Times New Roman"/>
                <w:b/>
                <w:noProof/>
                <w:color w:val="000000"/>
                <w:sz w:val="22"/>
                <w:lang w:eastAsia="en-GB"/>
              </w:rPr>
              <w:t>Cost assumptions</w:t>
            </w:r>
          </w:p>
        </w:tc>
        <w:tc>
          <w:tcPr>
            <w:tcW w:w="5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E180D" w:rsidRDefault="003E180D" w:rsidP="0088305C">
            <w:pPr>
              <w:spacing w:after="0" w:line="240" w:lineRule="auto"/>
              <w:jc w:val="center"/>
              <w:rPr>
                <w:rFonts w:cs="Times New Roman"/>
                <w:b/>
                <w:noProof/>
                <w:sz w:val="22"/>
              </w:rPr>
            </w:pPr>
            <w:r>
              <w:rPr>
                <w:b/>
                <w:noProof/>
                <w:sz w:val="22"/>
                <w:szCs w:val="24"/>
              </w:rPr>
              <w:t>TL20</w:t>
            </w:r>
            <w:r>
              <w:rPr>
                <w:b/>
                <w:noProof/>
                <w:sz w:val="22"/>
                <w:szCs w:val="24"/>
              </w:rPr>
              <w:br/>
              <w:t>(20%)</w:t>
            </w:r>
          </w:p>
        </w:tc>
        <w:tc>
          <w:tcPr>
            <w:tcW w:w="113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E180D" w:rsidRDefault="003E180D" w:rsidP="0088305C">
            <w:pPr>
              <w:spacing w:after="0" w:line="240" w:lineRule="auto"/>
              <w:jc w:val="center"/>
              <w:rPr>
                <w:rFonts w:cs="Times New Roman"/>
                <w:b/>
                <w:noProof/>
                <w:sz w:val="22"/>
              </w:rPr>
            </w:pPr>
            <w:r>
              <w:rPr>
                <w:b/>
                <w:noProof/>
                <w:sz w:val="22"/>
                <w:szCs w:val="24"/>
              </w:rPr>
              <w:t>TL30 *</w:t>
            </w:r>
            <w:r>
              <w:rPr>
                <w:b/>
                <w:noProof/>
                <w:sz w:val="22"/>
                <w:szCs w:val="24"/>
              </w:rPr>
              <w:br/>
              <w:t>(30%)</w:t>
            </w:r>
          </w:p>
        </w:tc>
        <w:tc>
          <w:tcPr>
            <w:tcW w:w="55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E180D" w:rsidRDefault="003E180D" w:rsidP="0088305C">
            <w:pPr>
              <w:spacing w:after="0" w:line="240" w:lineRule="auto"/>
              <w:jc w:val="center"/>
              <w:rPr>
                <w:rFonts w:cs="Times New Roman"/>
                <w:b/>
                <w:noProof/>
                <w:sz w:val="22"/>
              </w:rPr>
            </w:pPr>
            <w:r>
              <w:rPr>
                <w:b/>
                <w:noProof/>
                <w:sz w:val="22"/>
                <w:szCs w:val="24"/>
              </w:rPr>
              <w:t>TL32</w:t>
            </w:r>
            <w:r>
              <w:rPr>
                <w:b/>
                <w:noProof/>
                <w:sz w:val="22"/>
                <w:szCs w:val="24"/>
              </w:rPr>
              <w:br/>
              <w:t>(32%)</w:t>
            </w:r>
          </w:p>
        </w:tc>
        <w:tc>
          <w:tcPr>
            <w:tcW w:w="55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E180D" w:rsidRDefault="003E180D" w:rsidP="0088305C">
            <w:pPr>
              <w:spacing w:after="0" w:line="240" w:lineRule="auto"/>
              <w:jc w:val="center"/>
              <w:rPr>
                <w:rFonts w:cs="Times New Roman"/>
                <w:b/>
                <w:noProof/>
                <w:sz w:val="22"/>
              </w:rPr>
            </w:pPr>
            <w:r>
              <w:rPr>
                <w:b/>
                <w:noProof/>
                <w:sz w:val="22"/>
                <w:szCs w:val="24"/>
              </w:rPr>
              <w:t>TL35</w:t>
            </w:r>
            <w:r>
              <w:rPr>
                <w:b/>
                <w:noProof/>
                <w:sz w:val="22"/>
                <w:szCs w:val="24"/>
              </w:rPr>
              <w:br/>
              <w:t>(35%)</w:t>
            </w:r>
          </w:p>
        </w:tc>
      </w:tr>
      <w:tr w:rsidR="003E180D" w:rsidTr="0088305C">
        <w:trPr>
          <w:trHeight w:val="315"/>
        </w:trPr>
        <w:tc>
          <w:tcPr>
            <w:tcW w:w="1161" w:type="pct"/>
            <w:vMerge w:val="restart"/>
            <w:tcBorders>
              <w:top w:val="single" w:sz="4" w:space="0" w:color="auto"/>
              <w:left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r>
              <w:rPr>
                <w:rFonts w:eastAsia="Times New Roman" w:cs="Times New Roman"/>
                <w:i/>
                <w:noProof/>
                <w:color w:val="000000"/>
                <w:sz w:val="22"/>
                <w:lang w:eastAsia="en-GB"/>
              </w:rPr>
              <w:t xml:space="preserve">(% of vehicle </w:t>
            </w:r>
            <w:r>
              <w:rPr>
                <w:rFonts w:eastAsia="Times New Roman" w:cs="Times New Roman"/>
                <w:i/>
                <w:noProof/>
                <w:color w:val="000000"/>
                <w:sz w:val="22"/>
                <w:lang w:eastAsia="en-GB"/>
              </w:rPr>
              <w:br/>
              <w:t>purchase price)</w:t>
            </w: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r>
              <w:rPr>
                <w:rFonts w:eastAsia="Times New Roman" w:cs="Times New Roman"/>
                <w:i/>
                <w:noProof/>
                <w:color w:val="000000"/>
                <w:sz w:val="22"/>
                <w:lang w:eastAsia="en-GB"/>
              </w:rPr>
              <w:t>Base</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E180D" w:rsidRDefault="003E180D" w:rsidP="0088305C">
            <w:pPr>
              <w:spacing w:after="0"/>
              <w:jc w:val="center"/>
              <w:rPr>
                <w:rFonts w:cs="Times New Roman"/>
                <w:noProof/>
                <w:color w:val="000000" w:themeColor="text1"/>
                <w:sz w:val="22"/>
                <w:szCs w:val="24"/>
              </w:rPr>
            </w:pPr>
            <w:r>
              <w:rPr>
                <w:rFonts w:cs="Times New Roman"/>
                <w:noProof/>
                <w:color w:val="000000" w:themeColor="text1"/>
                <w:sz w:val="22"/>
              </w:rPr>
              <w:t>4.2%</w:t>
            </w:r>
          </w:p>
        </w:tc>
        <w:tc>
          <w:tcPr>
            <w:tcW w:w="1137"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E180D" w:rsidRDefault="003E180D" w:rsidP="0088305C">
            <w:pPr>
              <w:spacing w:after="0"/>
              <w:jc w:val="center"/>
              <w:rPr>
                <w:rFonts w:cs="Times New Roman"/>
                <w:noProof/>
                <w:color w:val="000000" w:themeColor="text1"/>
                <w:sz w:val="22"/>
                <w:szCs w:val="24"/>
              </w:rPr>
            </w:pPr>
            <w:r>
              <w:rPr>
                <w:rFonts w:cs="Times New Roman"/>
                <w:noProof/>
                <w:color w:val="000000" w:themeColor="text1"/>
                <w:sz w:val="22"/>
              </w:rPr>
              <w:t>17.5%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E180D" w:rsidRDefault="003E180D" w:rsidP="0088305C">
            <w:pPr>
              <w:spacing w:after="0"/>
              <w:jc w:val="center"/>
              <w:rPr>
                <w:rFonts w:cs="Times New Roman"/>
                <w:noProof/>
                <w:color w:val="000000" w:themeColor="text1"/>
                <w:sz w:val="22"/>
                <w:szCs w:val="24"/>
              </w:rPr>
            </w:pPr>
            <w:r>
              <w:rPr>
                <w:rFonts w:cs="Times New Roman"/>
                <w:noProof/>
                <w:color w:val="000000" w:themeColor="text1"/>
                <w:sz w:val="22"/>
              </w:rPr>
              <w:t>24.2%</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E180D" w:rsidRDefault="003E180D" w:rsidP="0088305C">
            <w:pPr>
              <w:spacing w:after="0"/>
              <w:jc w:val="center"/>
              <w:rPr>
                <w:rFonts w:cs="Times New Roman"/>
                <w:noProof/>
                <w:color w:val="000000" w:themeColor="text1"/>
                <w:sz w:val="22"/>
                <w:szCs w:val="24"/>
              </w:rPr>
            </w:pPr>
            <w:r>
              <w:rPr>
                <w:rFonts w:cs="Times New Roman"/>
                <w:noProof/>
                <w:color w:val="000000" w:themeColor="text1"/>
                <w:sz w:val="22"/>
              </w:rPr>
              <w:t>30.2%</w:t>
            </w:r>
          </w:p>
        </w:tc>
      </w:tr>
      <w:tr w:rsidR="003E180D" w:rsidTr="0088305C">
        <w:trPr>
          <w:trHeight w:val="315"/>
        </w:trPr>
        <w:tc>
          <w:tcPr>
            <w:tcW w:w="1161" w:type="pct"/>
            <w:vMerge/>
            <w:tcBorders>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r>
              <w:rPr>
                <w:rFonts w:eastAsia="Times New Roman" w:cs="Times New Roman"/>
                <w:i/>
                <w:noProof/>
                <w:color w:val="000000"/>
                <w:sz w:val="22"/>
                <w:lang w:eastAsia="en-GB"/>
              </w:rPr>
              <w:t>High</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E180D" w:rsidRDefault="003E180D" w:rsidP="0088305C">
            <w:pPr>
              <w:spacing w:after="0"/>
              <w:jc w:val="center"/>
              <w:rPr>
                <w:rFonts w:cs="Times New Roman"/>
                <w:noProof/>
                <w:color w:val="000000" w:themeColor="text1"/>
                <w:sz w:val="22"/>
                <w:szCs w:val="24"/>
              </w:rPr>
            </w:pPr>
            <w:r>
              <w:rPr>
                <w:rFonts w:cs="Times New Roman"/>
                <w:noProof/>
                <w:color w:val="000000" w:themeColor="text1"/>
                <w:sz w:val="22"/>
              </w:rPr>
              <w:t>12.5%</w:t>
            </w:r>
          </w:p>
        </w:tc>
        <w:tc>
          <w:tcPr>
            <w:tcW w:w="1137"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E180D" w:rsidRDefault="003E180D" w:rsidP="0088305C">
            <w:pPr>
              <w:spacing w:after="0"/>
              <w:jc w:val="center"/>
              <w:rPr>
                <w:rFonts w:cs="Times New Roman"/>
                <w:noProof/>
                <w:color w:val="000000" w:themeColor="text1"/>
                <w:sz w:val="22"/>
                <w:szCs w:val="24"/>
              </w:rPr>
            </w:pPr>
            <w:r>
              <w:rPr>
                <w:rFonts w:cs="Times New Roman"/>
                <w:noProof/>
                <w:color w:val="000000" w:themeColor="text1"/>
                <w:sz w:val="22"/>
              </w:rPr>
              <w:t>43.3%</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E180D" w:rsidRDefault="003E180D" w:rsidP="0088305C">
            <w:pPr>
              <w:spacing w:after="0"/>
              <w:jc w:val="center"/>
              <w:rPr>
                <w:rFonts w:cs="Times New Roman"/>
                <w:noProof/>
                <w:color w:val="000000" w:themeColor="text1"/>
                <w:sz w:val="22"/>
                <w:szCs w:val="24"/>
              </w:rPr>
            </w:pPr>
            <w:r>
              <w:rPr>
                <w:rFonts w:cs="Times New Roman"/>
                <w:noProof/>
                <w:color w:val="000000" w:themeColor="text1"/>
                <w:sz w:val="22"/>
              </w:rPr>
              <w:t>47.3%</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E180D" w:rsidRDefault="003E180D" w:rsidP="0088305C">
            <w:pPr>
              <w:spacing w:after="0"/>
              <w:jc w:val="center"/>
              <w:rPr>
                <w:rFonts w:cs="Times New Roman"/>
                <w:noProof/>
                <w:color w:val="000000" w:themeColor="text1"/>
                <w:sz w:val="22"/>
                <w:szCs w:val="24"/>
              </w:rPr>
            </w:pPr>
            <w:r>
              <w:rPr>
                <w:rFonts w:cs="Times New Roman"/>
                <w:noProof/>
                <w:color w:val="000000" w:themeColor="text1"/>
                <w:sz w:val="22"/>
              </w:rPr>
              <w:t>53.4%</w:t>
            </w:r>
          </w:p>
        </w:tc>
      </w:tr>
    </w:tbl>
    <w:p w:rsidR="003E180D" w:rsidRDefault="003E180D" w:rsidP="003E180D">
      <w:pPr>
        <w:tabs>
          <w:tab w:val="left" w:pos="1995"/>
          <w:tab w:val="left" w:pos="4416"/>
          <w:tab w:val="left" w:pos="5716"/>
          <w:tab w:val="left" w:pos="6956"/>
          <w:tab w:val="left" w:pos="8196"/>
          <w:tab w:val="left" w:pos="9590"/>
          <w:tab w:val="left" w:pos="10930"/>
          <w:tab w:val="left" w:pos="12119"/>
          <w:tab w:val="left" w:pos="13476"/>
        </w:tabs>
        <w:spacing w:after="0" w:line="240" w:lineRule="auto"/>
        <w:rPr>
          <w:rFonts w:eastAsia="Times New Roman" w:cs="Times New Roman"/>
          <w:noProof/>
          <w:color w:val="000000"/>
          <w:sz w:val="20"/>
          <w:szCs w:val="24"/>
          <w:lang w:val="en-US" w:eastAsia="fr-BE"/>
        </w:rPr>
      </w:pPr>
      <w:r>
        <w:rPr>
          <w:noProof/>
          <w:sz w:val="20"/>
        </w:rPr>
        <w:t>* Results for TL30NL in 2030 are very similar to those for TL30</w:t>
      </w:r>
    </w:p>
    <w:p w:rsidR="003E180D" w:rsidRDefault="003E180D" w:rsidP="003E180D">
      <w:pPr>
        <w:spacing w:before="240"/>
        <w:rPr>
          <w:noProof/>
          <w:highlight w:val="green"/>
        </w:rPr>
      </w:pPr>
    </w:p>
    <w:p w:rsidR="003E180D" w:rsidRDefault="003E180D" w:rsidP="003E180D">
      <w:pPr>
        <w:spacing w:before="240"/>
        <w:rPr>
          <w:noProof/>
          <w:highlight w:val="green"/>
        </w:rPr>
      </w:pPr>
    </w:p>
    <w:p w:rsidR="003E180D" w:rsidRDefault="003E180D" w:rsidP="003E180D">
      <w:pPr>
        <w:pStyle w:val="Heading2"/>
        <w:numPr>
          <w:ilvl w:val="1"/>
          <w:numId w:val="22"/>
        </w:numPr>
        <w:spacing w:before="240" w:after="240"/>
        <w:rPr>
          <w:noProof/>
        </w:rPr>
      </w:pPr>
      <w:bookmarkStart w:id="777" w:name="_Toc514328832"/>
      <w:r>
        <w:rPr>
          <w:noProof/>
        </w:rPr>
        <w:t>Avoided CO</w:t>
      </w:r>
      <w:r>
        <w:rPr>
          <w:noProof/>
          <w:vertAlign w:val="subscript"/>
        </w:rPr>
        <w:t>2</w:t>
      </w:r>
      <w:r>
        <w:rPr>
          <w:noProof/>
        </w:rPr>
        <w:t xml:space="preserve"> costs</w:t>
      </w:r>
      <w:bookmarkEnd w:id="777"/>
    </w:p>
    <w:p w:rsidR="003E180D" w:rsidRDefault="003E180D" w:rsidP="003E180D">
      <w:pPr>
        <w:spacing w:after="120" w:line="240" w:lineRule="auto"/>
        <w:jc w:val="both"/>
        <w:rPr>
          <w:rFonts w:cs="Times New Roman"/>
          <w:noProof/>
          <w:color w:val="000000" w:themeColor="text1"/>
        </w:rPr>
      </w:pPr>
      <w:r>
        <w:rPr>
          <w:noProof/>
          <w:color w:val="000000" w:themeColor="text1"/>
        </w:rPr>
        <w:fldChar w:fldCharType="begin"/>
      </w:r>
      <w:r>
        <w:rPr>
          <w:noProof/>
          <w:color w:val="000000" w:themeColor="text1"/>
        </w:rPr>
        <w:instrText xml:space="preserve"> REF _Ref510712999 \h  \* MERGEFORMAT </w:instrText>
      </w:r>
      <w:r>
        <w:rPr>
          <w:noProof/>
          <w:color w:val="000000" w:themeColor="text1"/>
        </w:rPr>
      </w:r>
      <w:r>
        <w:rPr>
          <w:noProof/>
          <w:color w:val="000000" w:themeColor="text1"/>
        </w:rPr>
        <w:fldChar w:fldCharType="separate"/>
      </w:r>
      <w:r>
        <w:rPr>
          <w:noProof/>
        </w:rPr>
        <w:t xml:space="preserve">Table </w:t>
      </w:r>
      <w:r>
        <w:rPr>
          <w:smallCaps/>
          <w:noProof/>
        </w:rPr>
        <w:t>14</w:t>
      </w:r>
      <w:r>
        <w:rPr>
          <w:noProof/>
          <w:color w:val="000000" w:themeColor="text1"/>
        </w:rPr>
        <w:fldChar w:fldCharType="end"/>
      </w:r>
      <w:r>
        <w:rPr>
          <w:noProof/>
          <w:color w:val="000000" w:themeColor="text1"/>
        </w:rPr>
        <w:t xml:space="preserve"> shows the estimated additional avoided CO</w:t>
      </w:r>
      <w:r>
        <w:rPr>
          <w:noProof/>
          <w:color w:val="000000" w:themeColor="text1"/>
          <w:vertAlign w:val="subscript"/>
        </w:rPr>
        <w:t>2</w:t>
      </w:r>
      <w:r>
        <w:rPr>
          <w:noProof/>
          <w:color w:val="000000" w:themeColor="text1"/>
        </w:rPr>
        <w:t xml:space="preserve"> costs for lorries in 2025 and 2030 for the different target level options assessed and using the base and high cost assumptions. It shows that these external benefits increase as the CO</w:t>
      </w:r>
      <w:r>
        <w:rPr>
          <w:noProof/>
          <w:color w:val="000000" w:themeColor="text1"/>
          <w:vertAlign w:val="subscript"/>
        </w:rPr>
        <w:t>2</w:t>
      </w:r>
      <w:r>
        <w:rPr>
          <w:noProof/>
          <w:color w:val="000000" w:themeColor="text1"/>
        </w:rPr>
        <w:t xml:space="preserve"> target gets stricter. </w:t>
      </w:r>
      <w:bookmarkStart w:id="778" w:name="_Ref508022711"/>
    </w:p>
    <w:p w:rsidR="003E180D" w:rsidRDefault="003E180D" w:rsidP="003E180D">
      <w:pPr>
        <w:pStyle w:val="Caption"/>
        <w:keepNext/>
        <w:spacing w:after="120"/>
        <w:jc w:val="both"/>
        <w:rPr>
          <w:smallCaps/>
          <w:noProof/>
        </w:rPr>
      </w:pPr>
      <w:bookmarkStart w:id="779" w:name="_Ref510712999"/>
      <w:bookmarkEnd w:id="778"/>
      <w:r>
        <w:rPr>
          <w:noProof/>
        </w:rPr>
        <w:t xml:space="preserve">Table </w:t>
      </w:r>
      <w:r>
        <w:rPr>
          <w:smallCaps/>
          <w:noProof/>
        </w:rPr>
        <w:fldChar w:fldCharType="begin"/>
      </w:r>
      <w:r>
        <w:rPr>
          <w:smallCaps/>
          <w:noProof/>
        </w:rPr>
        <w:instrText xml:space="preserve"> SEQ Table \* ARABIC </w:instrText>
      </w:r>
      <w:r>
        <w:rPr>
          <w:smallCaps/>
          <w:noProof/>
        </w:rPr>
        <w:fldChar w:fldCharType="separate"/>
      </w:r>
      <w:r>
        <w:rPr>
          <w:smallCaps/>
          <w:noProof/>
        </w:rPr>
        <w:t>14</w:t>
      </w:r>
      <w:r>
        <w:rPr>
          <w:smallCaps/>
          <w:noProof/>
        </w:rPr>
        <w:fldChar w:fldCharType="end"/>
      </w:r>
      <w:bookmarkEnd w:id="779"/>
      <w:r>
        <w:rPr>
          <w:smallCaps/>
          <w:noProof/>
        </w:rPr>
        <w:t xml:space="preserve">: </w:t>
      </w:r>
      <w:r>
        <w:rPr>
          <w:noProof/>
        </w:rPr>
        <w:t>Avoided CO</w:t>
      </w:r>
      <w:r>
        <w:rPr>
          <w:noProof/>
          <w:vertAlign w:val="subscript"/>
        </w:rPr>
        <w:t>2</w:t>
      </w:r>
      <w:r>
        <w:rPr>
          <w:noProof/>
        </w:rPr>
        <w:t xml:space="preserve"> cost over the vehicle lifetime in 2025 and 2030 (EUR/lorry)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1861"/>
        <w:gridCol w:w="966"/>
        <w:gridCol w:w="1036"/>
        <w:gridCol w:w="973"/>
        <w:gridCol w:w="973"/>
        <w:gridCol w:w="973"/>
      </w:tblGrid>
      <w:tr w:rsidR="003E180D" w:rsidTr="0088305C">
        <w:trPr>
          <w:trHeight w:val="315"/>
        </w:trPr>
        <w:tc>
          <w:tcPr>
            <w:tcW w:w="1161" w:type="pct"/>
            <w:shd w:val="clear" w:color="auto" w:fill="D9D9D9" w:themeFill="background1" w:themeFillShade="D9"/>
            <w:noWrap/>
            <w:vAlign w:val="center"/>
            <w:hideMark/>
          </w:tcPr>
          <w:p w:rsidR="003E180D" w:rsidRDefault="003E180D" w:rsidP="0088305C">
            <w:pPr>
              <w:spacing w:after="0" w:line="240" w:lineRule="auto"/>
              <w:rPr>
                <w:rFonts w:eastAsia="Times New Roman" w:cs="Times New Roman"/>
                <w:b/>
                <w:noProof/>
                <w:color w:val="000000"/>
                <w:sz w:val="22"/>
                <w:lang w:eastAsia="en-GB"/>
              </w:rPr>
            </w:pPr>
            <w:r>
              <w:rPr>
                <w:rFonts w:eastAsia="Times New Roman" w:cs="Times New Roman"/>
                <w:b/>
                <w:noProof/>
                <w:color w:val="000000"/>
                <w:sz w:val="22"/>
                <w:lang w:eastAsia="en-GB"/>
              </w:rPr>
              <w:t>2025 (EUR/lorry)</w:t>
            </w:r>
          </w:p>
        </w:tc>
        <w:tc>
          <w:tcPr>
            <w:tcW w:w="1053" w:type="pct"/>
            <w:shd w:val="clear" w:color="auto" w:fill="D9D9D9" w:themeFill="background1" w:themeFillShade="D9"/>
            <w:noWrap/>
            <w:vAlign w:val="center"/>
            <w:hideMark/>
          </w:tcPr>
          <w:p w:rsidR="003E180D" w:rsidRDefault="003E180D" w:rsidP="0088305C">
            <w:pPr>
              <w:spacing w:after="0" w:line="240" w:lineRule="auto"/>
              <w:rPr>
                <w:rFonts w:eastAsia="Times New Roman" w:cs="Times New Roman"/>
                <w:b/>
                <w:noProof/>
                <w:color w:val="000000"/>
                <w:sz w:val="22"/>
                <w:lang w:eastAsia="en-GB"/>
              </w:rPr>
            </w:pPr>
            <w:r>
              <w:rPr>
                <w:rFonts w:eastAsia="Times New Roman" w:cs="Times New Roman"/>
                <w:b/>
                <w:noProof/>
                <w:color w:val="000000"/>
                <w:sz w:val="22"/>
                <w:lang w:eastAsia="en-GB"/>
              </w:rPr>
              <w:t>Cost assumptions</w:t>
            </w:r>
          </w:p>
        </w:tc>
        <w:tc>
          <w:tcPr>
            <w:tcW w:w="547" w:type="pct"/>
            <w:shd w:val="clear" w:color="auto" w:fill="D9D9D9" w:themeFill="background1" w:themeFillShade="D9"/>
            <w:noWrap/>
            <w:vAlign w:val="bottom"/>
            <w:hideMark/>
          </w:tcPr>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TL20</w:t>
            </w:r>
          </w:p>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(10%)</w:t>
            </w:r>
          </w:p>
        </w:tc>
        <w:tc>
          <w:tcPr>
            <w:tcW w:w="586" w:type="pct"/>
            <w:shd w:val="clear" w:color="auto" w:fill="D9D9D9" w:themeFill="background1" w:themeFillShade="D9"/>
            <w:noWrap/>
            <w:vAlign w:val="bottom"/>
            <w:hideMark/>
          </w:tcPr>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TL30NL</w:t>
            </w:r>
          </w:p>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(12.5%)</w:t>
            </w:r>
          </w:p>
        </w:tc>
        <w:tc>
          <w:tcPr>
            <w:tcW w:w="551" w:type="pct"/>
            <w:shd w:val="clear" w:color="auto" w:fill="D9D9D9" w:themeFill="background1" w:themeFillShade="D9"/>
            <w:noWrap/>
            <w:vAlign w:val="bottom"/>
            <w:hideMark/>
          </w:tcPr>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TL30</w:t>
            </w:r>
          </w:p>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(15%)</w:t>
            </w:r>
          </w:p>
        </w:tc>
        <w:tc>
          <w:tcPr>
            <w:tcW w:w="551" w:type="pct"/>
            <w:shd w:val="clear" w:color="auto" w:fill="D9D9D9" w:themeFill="background1" w:themeFillShade="D9"/>
            <w:noWrap/>
            <w:vAlign w:val="bottom"/>
            <w:hideMark/>
          </w:tcPr>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TL32</w:t>
            </w:r>
          </w:p>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(17.5%)</w:t>
            </w:r>
          </w:p>
        </w:tc>
        <w:tc>
          <w:tcPr>
            <w:tcW w:w="551" w:type="pct"/>
            <w:shd w:val="clear" w:color="auto" w:fill="D9D9D9" w:themeFill="background1" w:themeFillShade="D9"/>
            <w:noWrap/>
            <w:vAlign w:val="bottom"/>
            <w:hideMark/>
          </w:tcPr>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TL35</w:t>
            </w:r>
          </w:p>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(20%)</w:t>
            </w:r>
          </w:p>
        </w:tc>
      </w:tr>
      <w:tr w:rsidR="003E180D" w:rsidTr="0088305C">
        <w:trPr>
          <w:trHeight w:val="330"/>
        </w:trPr>
        <w:tc>
          <w:tcPr>
            <w:tcW w:w="1161" w:type="pct"/>
            <w:vMerge w:val="restart"/>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r>
              <w:rPr>
                <w:rFonts w:eastAsia="Times New Roman" w:cs="Times New Roman"/>
                <w:i/>
                <w:noProof/>
                <w:color w:val="000000"/>
                <w:sz w:val="22"/>
                <w:lang w:eastAsia="en-GB"/>
              </w:rPr>
              <w:t>Avoided CO</w:t>
            </w:r>
            <w:r>
              <w:rPr>
                <w:rFonts w:eastAsia="Times New Roman" w:cs="Times New Roman"/>
                <w:i/>
                <w:noProof/>
                <w:color w:val="000000"/>
                <w:sz w:val="22"/>
                <w:vertAlign w:val="subscript"/>
                <w:lang w:eastAsia="en-GB"/>
              </w:rPr>
              <w:t>2</w:t>
            </w:r>
            <w:r>
              <w:rPr>
                <w:rFonts w:eastAsia="Times New Roman" w:cs="Times New Roman"/>
                <w:i/>
                <w:noProof/>
                <w:color w:val="000000"/>
                <w:sz w:val="22"/>
                <w:lang w:eastAsia="en-GB"/>
              </w:rPr>
              <w:t xml:space="preserve"> costs</w:t>
            </w:r>
          </w:p>
        </w:tc>
        <w:tc>
          <w:tcPr>
            <w:tcW w:w="1053" w:type="pct"/>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r>
              <w:rPr>
                <w:rFonts w:eastAsia="Times New Roman" w:cs="Times New Roman"/>
                <w:i/>
                <w:noProof/>
                <w:color w:val="000000"/>
                <w:sz w:val="22"/>
                <w:lang w:eastAsia="en-GB"/>
              </w:rPr>
              <w:t>Base</w:t>
            </w:r>
          </w:p>
        </w:tc>
        <w:tc>
          <w:tcPr>
            <w:tcW w:w="547" w:type="pct"/>
            <w:shd w:val="clear" w:color="auto" w:fill="auto"/>
            <w:noWrap/>
            <w:vAlign w:val="center"/>
          </w:tcPr>
          <w:p w:rsidR="003E180D" w:rsidRDefault="003E180D" w:rsidP="0088305C">
            <w:pPr>
              <w:spacing w:after="0" w:line="240" w:lineRule="auto"/>
              <w:jc w:val="center"/>
              <w:rPr>
                <w:rFonts w:eastAsia="Times New Roman" w:cs="Times New Roman"/>
                <w:i/>
                <w:noProof/>
                <w:color w:val="000000"/>
                <w:sz w:val="22"/>
                <w:lang w:eastAsia="en-GB"/>
              </w:rPr>
            </w:pPr>
            <w:r>
              <w:rPr>
                <w:rFonts w:eastAsia="Times New Roman"/>
                <w:noProof/>
                <w:color w:val="000000"/>
                <w:sz w:val="22"/>
                <w:lang w:val="fr-BE" w:eastAsia="fr-BE"/>
              </w:rPr>
              <w:t>1,240</w:t>
            </w:r>
          </w:p>
        </w:tc>
        <w:tc>
          <w:tcPr>
            <w:tcW w:w="586" w:type="pct"/>
            <w:shd w:val="clear" w:color="auto" w:fill="auto"/>
            <w:noWrap/>
            <w:vAlign w:val="center"/>
          </w:tcPr>
          <w:p w:rsidR="003E180D" w:rsidRDefault="003E180D" w:rsidP="0088305C">
            <w:pPr>
              <w:spacing w:after="0" w:line="240" w:lineRule="auto"/>
              <w:jc w:val="center"/>
              <w:rPr>
                <w:rFonts w:eastAsia="Times New Roman" w:cs="Times New Roman"/>
                <w:i/>
                <w:noProof/>
                <w:color w:val="000000"/>
                <w:sz w:val="22"/>
                <w:lang w:eastAsia="en-GB"/>
              </w:rPr>
            </w:pPr>
            <w:r>
              <w:rPr>
                <w:rFonts w:eastAsia="Times New Roman"/>
                <w:noProof/>
                <w:color w:val="000000"/>
                <w:sz w:val="22"/>
                <w:lang w:val="fr-BE" w:eastAsia="fr-BE"/>
              </w:rPr>
              <w:t>2,626</w:t>
            </w:r>
          </w:p>
        </w:tc>
        <w:tc>
          <w:tcPr>
            <w:tcW w:w="551" w:type="pct"/>
            <w:shd w:val="clear" w:color="auto" w:fill="auto"/>
            <w:noWrap/>
            <w:vAlign w:val="center"/>
          </w:tcPr>
          <w:p w:rsidR="003E180D" w:rsidRDefault="003E180D" w:rsidP="0088305C">
            <w:pPr>
              <w:spacing w:after="0" w:line="240" w:lineRule="auto"/>
              <w:jc w:val="center"/>
              <w:rPr>
                <w:rFonts w:eastAsia="Times New Roman" w:cs="Times New Roman"/>
                <w:i/>
                <w:noProof/>
                <w:color w:val="000000"/>
                <w:sz w:val="22"/>
                <w:lang w:eastAsia="en-GB"/>
              </w:rPr>
            </w:pPr>
            <w:r>
              <w:rPr>
                <w:rFonts w:eastAsia="Times New Roman"/>
                <w:noProof/>
                <w:color w:val="000000"/>
                <w:sz w:val="22"/>
                <w:lang w:val="fr-BE" w:eastAsia="fr-BE"/>
              </w:rPr>
              <w:t>4,668</w:t>
            </w:r>
          </w:p>
        </w:tc>
        <w:tc>
          <w:tcPr>
            <w:tcW w:w="551" w:type="pct"/>
            <w:shd w:val="clear" w:color="auto" w:fill="auto"/>
            <w:noWrap/>
            <w:vAlign w:val="center"/>
          </w:tcPr>
          <w:p w:rsidR="003E180D" w:rsidRDefault="003E180D" w:rsidP="0088305C">
            <w:pPr>
              <w:spacing w:after="0" w:line="240" w:lineRule="auto"/>
              <w:jc w:val="center"/>
              <w:rPr>
                <w:rFonts w:eastAsia="Times New Roman" w:cs="Times New Roman"/>
                <w:i/>
                <w:noProof/>
                <w:color w:val="000000"/>
                <w:sz w:val="22"/>
                <w:lang w:eastAsia="en-GB"/>
              </w:rPr>
            </w:pPr>
            <w:r>
              <w:rPr>
                <w:rFonts w:eastAsia="Times New Roman"/>
                <w:noProof/>
                <w:color w:val="000000"/>
                <w:sz w:val="22"/>
                <w:lang w:val="fr-BE" w:eastAsia="fr-BE"/>
              </w:rPr>
              <w:t>6,054</w:t>
            </w:r>
          </w:p>
        </w:tc>
        <w:tc>
          <w:tcPr>
            <w:tcW w:w="551" w:type="pct"/>
            <w:shd w:val="clear" w:color="auto" w:fill="auto"/>
            <w:noWrap/>
            <w:vAlign w:val="center"/>
          </w:tcPr>
          <w:p w:rsidR="003E180D" w:rsidRDefault="003E180D" w:rsidP="0088305C">
            <w:pPr>
              <w:spacing w:after="0" w:line="240" w:lineRule="auto"/>
              <w:jc w:val="center"/>
              <w:rPr>
                <w:rFonts w:eastAsia="Times New Roman" w:cs="Times New Roman"/>
                <w:i/>
                <w:noProof/>
                <w:color w:val="000000"/>
                <w:sz w:val="22"/>
                <w:lang w:eastAsia="en-GB"/>
              </w:rPr>
            </w:pPr>
            <w:r>
              <w:rPr>
                <w:rFonts w:eastAsia="Times New Roman"/>
                <w:noProof/>
                <w:color w:val="000000"/>
                <w:sz w:val="22"/>
                <w:lang w:val="fr-BE" w:eastAsia="fr-BE"/>
              </w:rPr>
              <w:t>8,169</w:t>
            </w:r>
          </w:p>
        </w:tc>
      </w:tr>
      <w:tr w:rsidR="003E180D" w:rsidTr="0088305C">
        <w:trPr>
          <w:trHeight w:val="315"/>
        </w:trPr>
        <w:tc>
          <w:tcPr>
            <w:tcW w:w="1161" w:type="pct"/>
            <w:vMerge/>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p>
        </w:tc>
        <w:tc>
          <w:tcPr>
            <w:tcW w:w="1053" w:type="pct"/>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r>
              <w:rPr>
                <w:rFonts w:eastAsia="Times New Roman" w:cs="Times New Roman"/>
                <w:i/>
                <w:noProof/>
                <w:color w:val="000000"/>
                <w:sz w:val="22"/>
                <w:lang w:eastAsia="en-GB"/>
              </w:rPr>
              <w:t>High</w:t>
            </w:r>
          </w:p>
        </w:tc>
        <w:tc>
          <w:tcPr>
            <w:tcW w:w="547" w:type="pct"/>
            <w:shd w:val="clear" w:color="auto" w:fill="auto"/>
            <w:noWrap/>
            <w:vAlign w:val="center"/>
          </w:tcPr>
          <w:p w:rsidR="003E180D" w:rsidRDefault="003E180D" w:rsidP="0088305C">
            <w:pPr>
              <w:spacing w:after="0" w:line="240" w:lineRule="auto"/>
              <w:jc w:val="center"/>
              <w:rPr>
                <w:rFonts w:eastAsia="Times New Roman" w:cs="Times New Roman"/>
                <w:i/>
                <w:noProof/>
                <w:color w:val="000000"/>
                <w:sz w:val="22"/>
                <w:lang w:eastAsia="en-GB"/>
              </w:rPr>
            </w:pPr>
            <w:r>
              <w:rPr>
                <w:noProof/>
                <w:color w:val="000000"/>
                <w:sz w:val="22"/>
                <w:lang w:eastAsia="en-GB"/>
              </w:rPr>
              <w:t>2,626</w:t>
            </w:r>
          </w:p>
        </w:tc>
        <w:tc>
          <w:tcPr>
            <w:tcW w:w="586" w:type="pct"/>
            <w:shd w:val="clear" w:color="auto" w:fill="auto"/>
            <w:noWrap/>
            <w:vAlign w:val="center"/>
          </w:tcPr>
          <w:p w:rsidR="003E180D" w:rsidRDefault="003E180D" w:rsidP="0088305C">
            <w:pPr>
              <w:spacing w:after="0" w:line="240" w:lineRule="auto"/>
              <w:jc w:val="center"/>
              <w:rPr>
                <w:rFonts w:eastAsia="Times New Roman" w:cs="Times New Roman"/>
                <w:i/>
                <w:noProof/>
                <w:color w:val="000000"/>
                <w:sz w:val="22"/>
                <w:lang w:eastAsia="en-GB"/>
              </w:rPr>
            </w:pPr>
            <w:r>
              <w:rPr>
                <w:noProof/>
                <w:color w:val="000000"/>
                <w:sz w:val="22"/>
                <w:lang w:eastAsia="en-GB"/>
              </w:rPr>
              <w:t>4,376</w:t>
            </w:r>
          </w:p>
        </w:tc>
        <w:tc>
          <w:tcPr>
            <w:tcW w:w="551" w:type="pct"/>
            <w:shd w:val="clear" w:color="auto" w:fill="auto"/>
            <w:noWrap/>
            <w:vAlign w:val="center"/>
          </w:tcPr>
          <w:p w:rsidR="003E180D" w:rsidRDefault="003E180D" w:rsidP="0088305C">
            <w:pPr>
              <w:spacing w:after="0" w:line="240" w:lineRule="auto"/>
              <w:jc w:val="center"/>
              <w:rPr>
                <w:rFonts w:eastAsia="Times New Roman" w:cs="Times New Roman"/>
                <w:i/>
                <w:noProof/>
                <w:color w:val="000000"/>
                <w:sz w:val="22"/>
                <w:lang w:eastAsia="en-GB"/>
              </w:rPr>
            </w:pPr>
            <w:r>
              <w:rPr>
                <w:noProof/>
                <w:color w:val="000000"/>
                <w:sz w:val="22"/>
                <w:lang w:eastAsia="en-GB"/>
              </w:rPr>
              <w:t>6,127</w:t>
            </w:r>
          </w:p>
        </w:tc>
        <w:tc>
          <w:tcPr>
            <w:tcW w:w="551" w:type="pct"/>
            <w:shd w:val="clear" w:color="auto" w:fill="auto"/>
            <w:noWrap/>
            <w:vAlign w:val="center"/>
          </w:tcPr>
          <w:p w:rsidR="003E180D" w:rsidRDefault="003E180D" w:rsidP="0088305C">
            <w:pPr>
              <w:spacing w:after="0" w:line="240" w:lineRule="auto"/>
              <w:jc w:val="center"/>
              <w:rPr>
                <w:rFonts w:eastAsia="Times New Roman" w:cs="Times New Roman"/>
                <w:i/>
                <w:noProof/>
                <w:color w:val="000000"/>
                <w:sz w:val="22"/>
                <w:lang w:eastAsia="en-GB"/>
              </w:rPr>
            </w:pPr>
            <w:r>
              <w:rPr>
                <w:noProof/>
                <w:color w:val="000000"/>
                <w:sz w:val="22"/>
                <w:lang w:eastAsia="en-GB"/>
              </w:rPr>
              <w:t>7,805</w:t>
            </w:r>
          </w:p>
        </w:tc>
        <w:tc>
          <w:tcPr>
            <w:tcW w:w="551" w:type="pct"/>
            <w:shd w:val="clear" w:color="auto" w:fill="auto"/>
            <w:noWrap/>
            <w:vAlign w:val="center"/>
          </w:tcPr>
          <w:p w:rsidR="003E180D" w:rsidRDefault="003E180D" w:rsidP="0088305C">
            <w:pPr>
              <w:spacing w:after="0" w:line="240" w:lineRule="auto"/>
              <w:jc w:val="center"/>
              <w:rPr>
                <w:rFonts w:eastAsia="Times New Roman" w:cs="Times New Roman"/>
                <w:i/>
                <w:noProof/>
                <w:color w:val="000000"/>
                <w:sz w:val="22"/>
                <w:lang w:eastAsia="en-GB"/>
              </w:rPr>
            </w:pPr>
            <w:r>
              <w:rPr>
                <w:noProof/>
                <w:color w:val="000000"/>
                <w:sz w:val="22"/>
                <w:lang w:eastAsia="en-GB"/>
              </w:rPr>
              <w:t>9,555</w:t>
            </w:r>
          </w:p>
        </w:tc>
      </w:tr>
      <w:tr w:rsidR="003E180D" w:rsidTr="0088305C">
        <w:trPr>
          <w:trHeight w:val="315"/>
        </w:trPr>
        <w:tc>
          <w:tcPr>
            <w:tcW w:w="116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E180D" w:rsidRDefault="003E180D" w:rsidP="0088305C">
            <w:pPr>
              <w:spacing w:after="0" w:line="240" w:lineRule="auto"/>
              <w:rPr>
                <w:rFonts w:eastAsia="Times New Roman" w:cs="Times New Roman"/>
                <w:b/>
                <w:noProof/>
                <w:color w:val="000000"/>
                <w:sz w:val="22"/>
                <w:lang w:eastAsia="en-GB"/>
              </w:rPr>
            </w:pPr>
            <w:r>
              <w:rPr>
                <w:rFonts w:eastAsia="Times New Roman" w:cs="Times New Roman"/>
                <w:b/>
                <w:noProof/>
                <w:color w:val="000000"/>
                <w:sz w:val="22"/>
                <w:lang w:eastAsia="en-GB"/>
              </w:rPr>
              <w:t>2030 (EUR/lorry)</w:t>
            </w:r>
          </w:p>
        </w:tc>
        <w:tc>
          <w:tcPr>
            <w:tcW w:w="105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E180D" w:rsidRDefault="003E180D" w:rsidP="0088305C">
            <w:pPr>
              <w:spacing w:after="0" w:line="240" w:lineRule="auto"/>
              <w:rPr>
                <w:rFonts w:eastAsia="Times New Roman" w:cs="Times New Roman"/>
                <w:b/>
                <w:noProof/>
                <w:color w:val="000000"/>
                <w:sz w:val="22"/>
                <w:lang w:eastAsia="en-GB"/>
              </w:rPr>
            </w:pPr>
            <w:r>
              <w:rPr>
                <w:rFonts w:eastAsia="Times New Roman" w:cs="Times New Roman"/>
                <w:b/>
                <w:noProof/>
                <w:color w:val="000000"/>
                <w:sz w:val="22"/>
                <w:lang w:eastAsia="en-GB"/>
              </w:rPr>
              <w:t>Cost assumptions</w:t>
            </w:r>
          </w:p>
        </w:tc>
        <w:tc>
          <w:tcPr>
            <w:tcW w:w="5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E180D" w:rsidRDefault="003E180D" w:rsidP="0088305C">
            <w:pPr>
              <w:spacing w:after="0" w:line="240" w:lineRule="auto"/>
              <w:jc w:val="center"/>
              <w:rPr>
                <w:rFonts w:cs="Times New Roman"/>
                <w:b/>
                <w:noProof/>
                <w:sz w:val="22"/>
              </w:rPr>
            </w:pPr>
            <w:r>
              <w:rPr>
                <w:b/>
                <w:noProof/>
                <w:sz w:val="22"/>
                <w:szCs w:val="24"/>
              </w:rPr>
              <w:t>TL20</w:t>
            </w:r>
            <w:r>
              <w:rPr>
                <w:b/>
                <w:noProof/>
                <w:sz w:val="22"/>
                <w:szCs w:val="24"/>
              </w:rPr>
              <w:br/>
              <w:t>(20%)</w:t>
            </w:r>
          </w:p>
        </w:tc>
        <w:tc>
          <w:tcPr>
            <w:tcW w:w="113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E180D" w:rsidRDefault="003E180D" w:rsidP="0088305C">
            <w:pPr>
              <w:spacing w:after="0" w:line="240" w:lineRule="auto"/>
              <w:jc w:val="center"/>
              <w:rPr>
                <w:rFonts w:cs="Times New Roman"/>
                <w:b/>
                <w:noProof/>
                <w:sz w:val="22"/>
              </w:rPr>
            </w:pPr>
            <w:r>
              <w:rPr>
                <w:b/>
                <w:noProof/>
                <w:sz w:val="22"/>
                <w:szCs w:val="24"/>
              </w:rPr>
              <w:t>TL30 *</w:t>
            </w:r>
            <w:r>
              <w:rPr>
                <w:b/>
                <w:noProof/>
                <w:sz w:val="22"/>
                <w:szCs w:val="24"/>
              </w:rPr>
              <w:br/>
              <w:t>(30%)</w:t>
            </w:r>
          </w:p>
        </w:tc>
        <w:tc>
          <w:tcPr>
            <w:tcW w:w="55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E180D" w:rsidRDefault="003E180D" w:rsidP="0088305C">
            <w:pPr>
              <w:spacing w:after="0" w:line="240" w:lineRule="auto"/>
              <w:jc w:val="center"/>
              <w:rPr>
                <w:rFonts w:cs="Times New Roman"/>
                <w:b/>
                <w:noProof/>
                <w:sz w:val="22"/>
              </w:rPr>
            </w:pPr>
            <w:r>
              <w:rPr>
                <w:b/>
                <w:noProof/>
                <w:sz w:val="22"/>
                <w:szCs w:val="24"/>
              </w:rPr>
              <w:t>TL32</w:t>
            </w:r>
            <w:r>
              <w:rPr>
                <w:b/>
                <w:noProof/>
                <w:sz w:val="22"/>
                <w:szCs w:val="24"/>
              </w:rPr>
              <w:br/>
              <w:t>(32%)</w:t>
            </w:r>
          </w:p>
        </w:tc>
        <w:tc>
          <w:tcPr>
            <w:tcW w:w="55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E180D" w:rsidRDefault="003E180D" w:rsidP="0088305C">
            <w:pPr>
              <w:spacing w:after="0" w:line="240" w:lineRule="auto"/>
              <w:jc w:val="center"/>
              <w:rPr>
                <w:rFonts w:cs="Times New Roman"/>
                <w:b/>
                <w:noProof/>
                <w:sz w:val="22"/>
              </w:rPr>
            </w:pPr>
            <w:r>
              <w:rPr>
                <w:b/>
                <w:noProof/>
                <w:sz w:val="22"/>
                <w:szCs w:val="24"/>
              </w:rPr>
              <w:t>TL35</w:t>
            </w:r>
            <w:r>
              <w:rPr>
                <w:b/>
                <w:noProof/>
                <w:sz w:val="22"/>
                <w:szCs w:val="24"/>
              </w:rPr>
              <w:br/>
              <w:t>(35%)</w:t>
            </w:r>
          </w:p>
        </w:tc>
      </w:tr>
      <w:tr w:rsidR="003E180D" w:rsidTr="0088305C">
        <w:trPr>
          <w:trHeight w:val="315"/>
        </w:trPr>
        <w:tc>
          <w:tcPr>
            <w:tcW w:w="1161" w:type="pct"/>
            <w:vMerge w:val="restart"/>
            <w:tcBorders>
              <w:top w:val="single" w:sz="4" w:space="0" w:color="auto"/>
              <w:left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r>
              <w:rPr>
                <w:rFonts w:eastAsia="Times New Roman" w:cs="Times New Roman"/>
                <w:i/>
                <w:noProof/>
                <w:color w:val="000000"/>
                <w:sz w:val="22"/>
                <w:lang w:eastAsia="en-GB"/>
              </w:rPr>
              <w:t>Avoided CO</w:t>
            </w:r>
            <w:r>
              <w:rPr>
                <w:rFonts w:eastAsia="Times New Roman" w:cs="Times New Roman"/>
                <w:i/>
                <w:noProof/>
                <w:color w:val="000000"/>
                <w:sz w:val="22"/>
                <w:vertAlign w:val="subscript"/>
                <w:lang w:eastAsia="en-GB"/>
              </w:rPr>
              <w:t>2</w:t>
            </w:r>
            <w:r>
              <w:rPr>
                <w:rFonts w:eastAsia="Times New Roman" w:cs="Times New Roman"/>
                <w:i/>
                <w:noProof/>
                <w:color w:val="000000"/>
                <w:sz w:val="22"/>
                <w:lang w:eastAsia="en-GB"/>
              </w:rPr>
              <w:t xml:space="preserve"> costs</w:t>
            </w: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r>
              <w:rPr>
                <w:rFonts w:eastAsia="Times New Roman" w:cs="Times New Roman"/>
                <w:i/>
                <w:noProof/>
                <w:color w:val="000000"/>
                <w:sz w:val="22"/>
                <w:lang w:eastAsia="en-GB"/>
              </w:rPr>
              <w:t>Base</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E180D" w:rsidRDefault="003E180D" w:rsidP="0088305C">
            <w:pPr>
              <w:spacing w:after="0"/>
              <w:jc w:val="center"/>
              <w:rPr>
                <w:noProof/>
                <w:sz w:val="22"/>
                <w:szCs w:val="24"/>
              </w:rPr>
            </w:pPr>
            <w:r>
              <w:rPr>
                <w:rFonts w:eastAsia="Times New Roman"/>
                <w:noProof/>
                <w:color w:val="000000"/>
                <w:sz w:val="22"/>
                <w:lang w:val="fr-BE" w:eastAsia="fr-BE"/>
              </w:rPr>
              <w:t>6,831</w:t>
            </w:r>
          </w:p>
        </w:tc>
        <w:tc>
          <w:tcPr>
            <w:tcW w:w="1137"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E180D" w:rsidRDefault="003E180D" w:rsidP="0088305C">
            <w:pPr>
              <w:spacing w:after="0"/>
              <w:jc w:val="center"/>
              <w:rPr>
                <w:noProof/>
                <w:sz w:val="22"/>
                <w:szCs w:val="24"/>
              </w:rPr>
            </w:pPr>
            <w:r>
              <w:rPr>
                <w:rFonts w:eastAsia="Times New Roman"/>
                <w:noProof/>
                <w:color w:val="000000"/>
                <w:sz w:val="22"/>
                <w:lang w:val="fr-BE" w:eastAsia="fr-BE"/>
              </w:rPr>
              <w:t>14,289</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E180D" w:rsidRDefault="003E180D" w:rsidP="0088305C">
            <w:pPr>
              <w:spacing w:after="0"/>
              <w:jc w:val="center"/>
              <w:rPr>
                <w:noProof/>
                <w:sz w:val="22"/>
                <w:szCs w:val="24"/>
              </w:rPr>
            </w:pPr>
            <w:r>
              <w:rPr>
                <w:rFonts w:eastAsia="Times New Roman"/>
                <w:noProof/>
                <w:color w:val="000000"/>
                <w:sz w:val="22"/>
                <w:lang w:val="fr-BE" w:eastAsia="fr-BE"/>
              </w:rPr>
              <w:t>15,820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E180D" w:rsidRDefault="003E180D" w:rsidP="0088305C">
            <w:pPr>
              <w:spacing w:after="0"/>
              <w:jc w:val="center"/>
              <w:rPr>
                <w:noProof/>
                <w:sz w:val="22"/>
                <w:szCs w:val="24"/>
              </w:rPr>
            </w:pPr>
            <w:r>
              <w:rPr>
                <w:rFonts w:eastAsia="Times New Roman"/>
                <w:noProof/>
                <w:color w:val="000000"/>
                <w:sz w:val="22"/>
                <w:lang w:val="fr-BE" w:eastAsia="fr-BE"/>
              </w:rPr>
              <w:t>17,670</w:t>
            </w:r>
          </w:p>
        </w:tc>
      </w:tr>
      <w:tr w:rsidR="003E180D" w:rsidTr="0088305C">
        <w:trPr>
          <w:trHeight w:val="315"/>
        </w:trPr>
        <w:tc>
          <w:tcPr>
            <w:tcW w:w="1161" w:type="pct"/>
            <w:vMerge/>
            <w:tcBorders>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r>
              <w:rPr>
                <w:rFonts w:eastAsia="Times New Roman" w:cs="Times New Roman"/>
                <w:i/>
                <w:noProof/>
                <w:color w:val="000000"/>
                <w:sz w:val="22"/>
                <w:lang w:eastAsia="en-GB"/>
              </w:rPr>
              <w:t>High</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E180D" w:rsidRDefault="003E180D" w:rsidP="0088305C">
            <w:pPr>
              <w:spacing w:after="0"/>
              <w:jc w:val="center"/>
              <w:rPr>
                <w:noProof/>
                <w:sz w:val="22"/>
                <w:szCs w:val="24"/>
              </w:rPr>
            </w:pPr>
            <w:r>
              <w:rPr>
                <w:noProof/>
                <w:color w:val="000000"/>
                <w:sz w:val="22"/>
                <w:lang w:eastAsia="en-GB"/>
              </w:rPr>
              <w:t>8,479</w:t>
            </w:r>
          </w:p>
        </w:tc>
        <w:tc>
          <w:tcPr>
            <w:tcW w:w="1137"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E180D" w:rsidRDefault="003E180D" w:rsidP="0088305C">
            <w:pPr>
              <w:spacing w:after="0"/>
              <w:jc w:val="center"/>
              <w:rPr>
                <w:noProof/>
                <w:sz w:val="22"/>
                <w:szCs w:val="24"/>
              </w:rPr>
            </w:pPr>
            <w:r>
              <w:rPr>
                <w:noProof/>
                <w:color w:val="000000"/>
                <w:sz w:val="22"/>
                <w:lang w:eastAsia="en-GB"/>
              </w:rPr>
              <w:t>15,624</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E180D" w:rsidRDefault="003E180D" w:rsidP="0088305C">
            <w:pPr>
              <w:spacing w:after="0"/>
              <w:jc w:val="center"/>
              <w:rPr>
                <w:noProof/>
                <w:sz w:val="22"/>
                <w:szCs w:val="24"/>
              </w:rPr>
            </w:pPr>
            <w:r>
              <w:rPr>
                <w:noProof/>
                <w:color w:val="000000"/>
                <w:sz w:val="22"/>
                <w:lang w:eastAsia="en-GB"/>
              </w:rPr>
              <w:t>17,116</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E180D" w:rsidRDefault="003E180D" w:rsidP="0088305C">
            <w:pPr>
              <w:spacing w:after="0"/>
              <w:jc w:val="center"/>
              <w:rPr>
                <w:noProof/>
                <w:sz w:val="22"/>
                <w:szCs w:val="24"/>
              </w:rPr>
            </w:pPr>
            <w:r>
              <w:rPr>
                <w:noProof/>
                <w:color w:val="000000"/>
                <w:sz w:val="22"/>
                <w:lang w:eastAsia="en-GB"/>
              </w:rPr>
              <w:t>19,319</w:t>
            </w:r>
          </w:p>
        </w:tc>
      </w:tr>
    </w:tbl>
    <w:p w:rsidR="003E180D" w:rsidRDefault="003E180D" w:rsidP="003E180D">
      <w:pPr>
        <w:tabs>
          <w:tab w:val="left" w:pos="1995"/>
          <w:tab w:val="left" w:pos="4416"/>
          <w:tab w:val="left" w:pos="5716"/>
          <w:tab w:val="left" w:pos="6956"/>
          <w:tab w:val="left" w:pos="8196"/>
          <w:tab w:val="left" w:pos="9590"/>
          <w:tab w:val="left" w:pos="10930"/>
          <w:tab w:val="left" w:pos="12119"/>
          <w:tab w:val="left" w:pos="13476"/>
        </w:tabs>
        <w:spacing w:after="0" w:line="240" w:lineRule="auto"/>
        <w:rPr>
          <w:noProof/>
          <w:sz w:val="20"/>
        </w:rPr>
      </w:pPr>
      <w:r>
        <w:rPr>
          <w:noProof/>
          <w:sz w:val="20"/>
        </w:rPr>
        <w:t>* Results for TL30NL in 2030 are very similar to those for TL30</w:t>
      </w:r>
    </w:p>
    <w:p w:rsidR="003E180D" w:rsidRDefault="003E180D" w:rsidP="003E180D">
      <w:pPr>
        <w:pStyle w:val="Heading2"/>
        <w:numPr>
          <w:ilvl w:val="1"/>
          <w:numId w:val="22"/>
        </w:numPr>
        <w:spacing w:before="240" w:after="240"/>
        <w:rPr>
          <w:noProof/>
        </w:rPr>
      </w:pPr>
      <w:bookmarkStart w:id="780" w:name="_Toc510708136"/>
      <w:bookmarkStart w:id="781" w:name="_Toc514328833"/>
      <w:r>
        <w:rPr>
          <w:noProof/>
        </w:rPr>
        <w:t>TCO-first use (5 years)</w:t>
      </w:r>
      <w:bookmarkEnd w:id="774"/>
      <w:bookmarkEnd w:id="775"/>
      <w:bookmarkEnd w:id="780"/>
      <w:bookmarkEnd w:id="781"/>
      <w:r>
        <w:rPr>
          <w:noProof/>
        </w:rPr>
        <w:t xml:space="preserve"> </w:t>
      </w:r>
      <w:bookmarkStart w:id="782" w:name="_Ref506397768"/>
      <w:bookmarkStart w:id="783" w:name="_Ref507584815"/>
      <w:bookmarkStart w:id="784" w:name="_Ref506828118"/>
    </w:p>
    <w:p w:rsidR="003E180D" w:rsidRDefault="003E180D" w:rsidP="003E180D">
      <w:pPr>
        <w:pStyle w:val="Caption"/>
        <w:keepNext/>
        <w:spacing w:after="120"/>
        <w:jc w:val="both"/>
        <w:rPr>
          <w:noProof/>
        </w:rPr>
      </w:pPr>
      <w:bookmarkStart w:id="785" w:name="_Toc508181062"/>
      <w:r>
        <w:rPr>
          <w:noProof/>
        </w:rPr>
        <w:t xml:space="preserve">Table </w:t>
      </w:r>
      <w:r>
        <w:rPr>
          <w:noProof/>
        </w:rPr>
        <w:fldChar w:fldCharType="begin"/>
      </w:r>
      <w:r>
        <w:rPr>
          <w:noProof/>
        </w:rPr>
        <w:instrText xml:space="preserve"> SEQ Table \* ARABIC </w:instrText>
      </w:r>
      <w:r>
        <w:rPr>
          <w:noProof/>
        </w:rPr>
        <w:fldChar w:fldCharType="separate"/>
      </w:r>
      <w:r>
        <w:rPr>
          <w:noProof/>
        </w:rPr>
        <w:t>15</w:t>
      </w:r>
      <w:r>
        <w:rPr>
          <w:noProof/>
        </w:rPr>
        <w:fldChar w:fldCharType="end"/>
      </w:r>
      <w:bookmarkEnd w:id="782"/>
      <w:bookmarkEnd w:id="783"/>
      <w:r>
        <w:rPr>
          <w:noProof/>
        </w:rPr>
        <w:t>: Net economic savings from a first use (5 years) perspective in 2025 and 2030 (EUR/lorry)</w:t>
      </w:r>
      <w:bookmarkEnd w:id="784"/>
      <w:bookmarkEnd w:id="7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1861"/>
        <w:gridCol w:w="996"/>
        <w:gridCol w:w="1036"/>
        <w:gridCol w:w="961"/>
        <w:gridCol w:w="998"/>
        <w:gridCol w:w="931"/>
      </w:tblGrid>
      <w:tr w:rsidR="003E180D" w:rsidTr="0088305C">
        <w:trPr>
          <w:trHeight w:val="315"/>
        </w:trPr>
        <w:tc>
          <w:tcPr>
            <w:tcW w:w="1160" w:type="pct"/>
            <w:shd w:val="clear" w:color="auto" w:fill="D9D9D9" w:themeFill="background1" w:themeFillShade="D9"/>
            <w:noWrap/>
            <w:vAlign w:val="center"/>
            <w:hideMark/>
          </w:tcPr>
          <w:p w:rsidR="003E180D" w:rsidRDefault="003E180D" w:rsidP="0088305C">
            <w:pPr>
              <w:spacing w:after="0" w:line="240" w:lineRule="auto"/>
              <w:rPr>
                <w:rFonts w:eastAsia="Times New Roman" w:cs="Times New Roman"/>
                <w:b/>
                <w:noProof/>
                <w:color w:val="000000"/>
                <w:sz w:val="22"/>
                <w:lang w:eastAsia="en-GB"/>
              </w:rPr>
            </w:pPr>
            <w:r>
              <w:rPr>
                <w:rFonts w:eastAsia="Times New Roman" w:cs="Times New Roman"/>
                <w:b/>
                <w:noProof/>
                <w:color w:val="000000"/>
                <w:sz w:val="22"/>
                <w:lang w:eastAsia="en-GB"/>
              </w:rPr>
              <w:t>2025 (EUR/lorry)</w:t>
            </w:r>
          </w:p>
        </w:tc>
        <w:tc>
          <w:tcPr>
            <w:tcW w:w="1053" w:type="pct"/>
            <w:shd w:val="clear" w:color="auto" w:fill="D9D9D9" w:themeFill="background1" w:themeFillShade="D9"/>
            <w:noWrap/>
            <w:vAlign w:val="center"/>
            <w:hideMark/>
          </w:tcPr>
          <w:p w:rsidR="003E180D" w:rsidRDefault="003E180D" w:rsidP="0088305C">
            <w:pPr>
              <w:spacing w:after="0" w:line="240" w:lineRule="auto"/>
              <w:rPr>
                <w:rFonts w:eastAsia="Times New Roman" w:cs="Times New Roman"/>
                <w:b/>
                <w:noProof/>
                <w:color w:val="000000"/>
                <w:sz w:val="22"/>
                <w:lang w:eastAsia="en-GB"/>
              </w:rPr>
            </w:pPr>
            <w:r>
              <w:rPr>
                <w:rFonts w:eastAsia="Times New Roman" w:cs="Times New Roman"/>
                <w:b/>
                <w:noProof/>
                <w:color w:val="000000"/>
                <w:sz w:val="22"/>
                <w:lang w:eastAsia="en-GB"/>
              </w:rPr>
              <w:t>Cost assumptions</w:t>
            </w:r>
          </w:p>
        </w:tc>
        <w:tc>
          <w:tcPr>
            <w:tcW w:w="564" w:type="pct"/>
            <w:shd w:val="clear" w:color="auto" w:fill="D9D9D9" w:themeFill="background1" w:themeFillShade="D9"/>
            <w:noWrap/>
            <w:vAlign w:val="bottom"/>
            <w:hideMark/>
          </w:tcPr>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TL20</w:t>
            </w:r>
          </w:p>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(10%)</w:t>
            </w:r>
          </w:p>
        </w:tc>
        <w:tc>
          <w:tcPr>
            <w:tcW w:w="586" w:type="pct"/>
            <w:shd w:val="clear" w:color="auto" w:fill="D9D9D9" w:themeFill="background1" w:themeFillShade="D9"/>
            <w:noWrap/>
            <w:vAlign w:val="bottom"/>
            <w:hideMark/>
          </w:tcPr>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TL30NL</w:t>
            </w:r>
          </w:p>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(12.5%)</w:t>
            </w:r>
          </w:p>
        </w:tc>
        <w:tc>
          <w:tcPr>
            <w:tcW w:w="543" w:type="pct"/>
            <w:shd w:val="clear" w:color="auto" w:fill="D9D9D9" w:themeFill="background1" w:themeFillShade="D9"/>
            <w:noWrap/>
            <w:vAlign w:val="bottom"/>
            <w:hideMark/>
          </w:tcPr>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TL30</w:t>
            </w:r>
          </w:p>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(15%)</w:t>
            </w:r>
          </w:p>
        </w:tc>
        <w:tc>
          <w:tcPr>
            <w:tcW w:w="565" w:type="pct"/>
            <w:shd w:val="clear" w:color="auto" w:fill="D9D9D9" w:themeFill="background1" w:themeFillShade="D9"/>
            <w:noWrap/>
            <w:vAlign w:val="bottom"/>
            <w:hideMark/>
          </w:tcPr>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TL32</w:t>
            </w:r>
          </w:p>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(17.5%)</w:t>
            </w:r>
          </w:p>
        </w:tc>
        <w:tc>
          <w:tcPr>
            <w:tcW w:w="527" w:type="pct"/>
            <w:shd w:val="clear" w:color="auto" w:fill="D9D9D9" w:themeFill="background1" w:themeFillShade="D9"/>
            <w:noWrap/>
            <w:vAlign w:val="bottom"/>
            <w:hideMark/>
          </w:tcPr>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TL35</w:t>
            </w:r>
          </w:p>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(20%)</w:t>
            </w:r>
          </w:p>
        </w:tc>
      </w:tr>
      <w:tr w:rsidR="003E180D" w:rsidTr="0088305C">
        <w:trPr>
          <w:trHeight w:val="330"/>
        </w:trPr>
        <w:tc>
          <w:tcPr>
            <w:tcW w:w="1160" w:type="pct"/>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r>
              <w:rPr>
                <w:rFonts w:eastAsia="Times New Roman" w:cs="Times New Roman"/>
                <w:i/>
                <w:noProof/>
                <w:color w:val="000000"/>
                <w:sz w:val="22"/>
                <w:lang w:eastAsia="en-GB"/>
              </w:rPr>
              <w:t>Capital cost [1]</w:t>
            </w:r>
          </w:p>
        </w:tc>
        <w:tc>
          <w:tcPr>
            <w:tcW w:w="1053" w:type="pct"/>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r>
              <w:rPr>
                <w:rFonts w:eastAsia="Times New Roman" w:cs="Times New Roman"/>
                <w:i/>
                <w:noProof/>
                <w:color w:val="000000"/>
                <w:sz w:val="22"/>
                <w:lang w:eastAsia="en-GB"/>
              </w:rPr>
              <w:t>Base</w:t>
            </w:r>
          </w:p>
        </w:tc>
        <w:tc>
          <w:tcPr>
            <w:tcW w:w="564"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481 </w:t>
            </w:r>
          </w:p>
        </w:tc>
        <w:tc>
          <w:tcPr>
            <w:tcW w:w="586"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991 </w:t>
            </w:r>
          </w:p>
        </w:tc>
        <w:tc>
          <w:tcPr>
            <w:tcW w:w="543"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1,729 </w:t>
            </w:r>
          </w:p>
        </w:tc>
        <w:tc>
          <w:tcPr>
            <w:tcW w:w="565"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2,516 </w:t>
            </w:r>
          </w:p>
        </w:tc>
        <w:tc>
          <w:tcPr>
            <w:tcW w:w="527"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4,110 </w:t>
            </w:r>
          </w:p>
        </w:tc>
      </w:tr>
      <w:tr w:rsidR="003E180D" w:rsidTr="0088305C">
        <w:trPr>
          <w:trHeight w:val="315"/>
        </w:trPr>
        <w:tc>
          <w:tcPr>
            <w:tcW w:w="1160" w:type="pct"/>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p>
        </w:tc>
        <w:tc>
          <w:tcPr>
            <w:tcW w:w="1053" w:type="pct"/>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r>
              <w:rPr>
                <w:rFonts w:eastAsia="Times New Roman" w:cs="Times New Roman"/>
                <w:i/>
                <w:noProof/>
                <w:color w:val="000000"/>
                <w:sz w:val="22"/>
                <w:lang w:eastAsia="en-GB"/>
              </w:rPr>
              <w:t>High</w:t>
            </w:r>
          </w:p>
        </w:tc>
        <w:tc>
          <w:tcPr>
            <w:tcW w:w="564"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1,723 </w:t>
            </w:r>
          </w:p>
        </w:tc>
        <w:tc>
          <w:tcPr>
            <w:tcW w:w="586"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3,553 </w:t>
            </w:r>
          </w:p>
        </w:tc>
        <w:tc>
          <w:tcPr>
            <w:tcW w:w="543"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6,048 </w:t>
            </w:r>
          </w:p>
        </w:tc>
        <w:tc>
          <w:tcPr>
            <w:tcW w:w="565"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9,923 </w:t>
            </w:r>
          </w:p>
        </w:tc>
        <w:tc>
          <w:tcPr>
            <w:tcW w:w="527"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15,566 </w:t>
            </w:r>
          </w:p>
        </w:tc>
      </w:tr>
      <w:tr w:rsidR="003E180D" w:rsidTr="0088305C">
        <w:trPr>
          <w:trHeight w:val="330"/>
        </w:trPr>
        <w:tc>
          <w:tcPr>
            <w:tcW w:w="1160" w:type="pct"/>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r>
              <w:rPr>
                <w:rFonts w:eastAsia="Times New Roman" w:cs="Times New Roman"/>
                <w:i/>
                <w:noProof/>
                <w:color w:val="000000"/>
                <w:sz w:val="22"/>
                <w:lang w:eastAsia="en-GB"/>
              </w:rPr>
              <w:t>Fuel Savings [2]</w:t>
            </w:r>
          </w:p>
        </w:tc>
        <w:tc>
          <w:tcPr>
            <w:tcW w:w="1053" w:type="pct"/>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r>
              <w:rPr>
                <w:rFonts w:eastAsia="Times New Roman" w:cs="Times New Roman"/>
                <w:i/>
                <w:noProof/>
                <w:color w:val="000000"/>
                <w:sz w:val="22"/>
                <w:lang w:eastAsia="en-GB"/>
              </w:rPr>
              <w:t>Base</w:t>
            </w:r>
          </w:p>
        </w:tc>
        <w:tc>
          <w:tcPr>
            <w:tcW w:w="564"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7,804 </w:t>
            </w:r>
          </w:p>
        </w:tc>
        <w:tc>
          <w:tcPr>
            <w:tcW w:w="586"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15,655 </w:t>
            </w:r>
          </w:p>
        </w:tc>
        <w:tc>
          <w:tcPr>
            <w:tcW w:w="543"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25,167 </w:t>
            </w:r>
          </w:p>
        </w:tc>
        <w:tc>
          <w:tcPr>
            <w:tcW w:w="565"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32,175 </w:t>
            </w:r>
          </w:p>
        </w:tc>
        <w:tc>
          <w:tcPr>
            <w:tcW w:w="527"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41,699 </w:t>
            </w:r>
          </w:p>
        </w:tc>
      </w:tr>
      <w:tr w:rsidR="003E180D" w:rsidTr="0088305C">
        <w:trPr>
          <w:trHeight w:val="315"/>
        </w:trPr>
        <w:tc>
          <w:tcPr>
            <w:tcW w:w="1160" w:type="pct"/>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p>
        </w:tc>
        <w:tc>
          <w:tcPr>
            <w:tcW w:w="1053" w:type="pct"/>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r>
              <w:rPr>
                <w:rFonts w:eastAsia="Times New Roman" w:cs="Times New Roman"/>
                <w:i/>
                <w:noProof/>
                <w:color w:val="000000"/>
                <w:sz w:val="22"/>
                <w:lang w:eastAsia="en-GB"/>
              </w:rPr>
              <w:t>High</w:t>
            </w:r>
          </w:p>
        </w:tc>
        <w:tc>
          <w:tcPr>
            <w:tcW w:w="564"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14,480 </w:t>
            </w:r>
          </w:p>
        </w:tc>
        <w:tc>
          <w:tcPr>
            <w:tcW w:w="586"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24,424 </w:t>
            </w:r>
          </w:p>
        </w:tc>
        <w:tc>
          <w:tcPr>
            <w:tcW w:w="543"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32,385 </w:t>
            </w:r>
          </w:p>
        </w:tc>
        <w:tc>
          <w:tcPr>
            <w:tcW w:w="565"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40,920 </w:t>
            </w:r>
          </w:p>
        </w:tc>
        <w:tc>
          <w:tcPr>
            <w:tcW w:w="527"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48,568 </w:t>
            </w:r>
          </w:p>
        </w:tc>
      </w:tr>
      <w:tr w:rsidR="003E180D" w:rsidTr="0088305C">
        <w:trPr>
          <w:trHeight w:val="330"/>
        </w:trPr>
        <w:tc>
          <w:tcPr>
            <w:tcW w:w="1160" w:type="pct"/>
            <w:shd w:val="clear" w:color="auto" w:fill="auto"/>
            <w:noWrap/>
            <w:vAlign w:val="center"/>
            <w:hideMark/>
          </w:tcPr>
          <w:p w:rsidR="003E180D" w:rsidRDefault="003E180D" w:rsidP="0088305C">
            <w:pPr>
              <w:spacing w:after="0" w:line="240" w:lineRule="auto"/>
              <w:rPr>
                <w:rFonts w:eastAsia="Times New Roman" w:cs="Times New Roman"/>
                <w:b/>
                <w:i/>
                <w:noProof/>
                <w:color w:val="000000"/>
                <w:sz w:val="22"/>
                <w:lang w:eastAsia="en-GB"/>
              </w:rPr>
            </w:pPr>
            <w:r>
              <w:rPr>
                <w:rFonts w:eastAsia="Times New Roman" w:cs="Times New Roman"/>
                <w:b/>
                <w:i/>
                <w:noProof/>
                <w:color w:val="000000"/>
                <w:sz w:val="22"/>
                <w:lang w:eastAsia="en-GB"/>
              </w:rPr>
              <w:t>Net Savings [2] - [1]</w:t>
            </w:r>
          </w:p>
        </w:tc>
        <w:tc>
          <w:tcPr>
            <w:tcW w:w="1053" w:type="pct"/>
            <w:shd w:val="clear" w:color="auto" w:fill="auto"/>
            <w:noWrap/>
            <w:vAlign w:val="center"/>
            <w:hideMark/>
          </w:tcPr>
          <w:p w:rsidR="003E180D" w:rsidRDefault="003E180D" w:rsidP="0088305C">
            <w:pPr>
              <w:spacing w:after="0" w:line="240" w:lineRule="auto"/>
              <w:rPr>
                <w:rFonts w:eastAsia="Times New Roman" w:cs="Times New Roman"/>
                <w:b/>
                <w:i/>
                <w:noProof/>
                <w:color w:val="000000"/>
                <w:sz w:val="22"/>
                <w:lang w:eastAsia="en-GB"/>
              </w:rPr>
            </w:pPr>
            <w:r>
              <w:rPr>
                <w:rFonts w:eastAsia="Times New Roman" w:cs="Times New Roman"/>
                <w:b/>
                <w:i/>
                <w:noProof/>
                <w:color w:val="000000"/>
                <w:sz w:val="22"/>
                <w:lang w:eastAsia="en-GB"/>
              </w:rPr>
              <w:t>Base</w:t>
            </w:r>
          </w:p>
        </w:tc>
        <w:tc>
          <w:tcPr>
            <w:tcW w:w="564" w:type="pct"/>
            <w:shd w:val="clear" w:color="auto" w:fill="auto"/>
            <w:noWrap/>
          </w:tcPr>
          <w:p w:rsidR="003E180D" w:rsidRDefault="003E180D" w:rsidP="0088305C">
            <w:pPr>
              <w:spacing w:after="0" w:line="240" w:lineRule="auto"/>
              <w:jc w:val="center"/>
              <w:rPr>
                <w:rFonts w:eastAsia="Times New Roman" w:cs="Times New Roman"/>
                <w:b/>
                <w:i/>
                <w:noProof/>
                <w:color w:val="000000"/>
                <w:sz w:val="22"/>
                <w:lang w:eastAsia="en-GB"/>
              </w:rPr>
            </w:pPr>
            <w:r>
              <w:rPr>
                <w:b/>
                <w:noProof/>
                <w:sz w:val="22"/>
              </w:rPr>
              <w:t xml:space="preserve">7,323 </w:t>
            </w:r>
          </w:p>
        </w:tc>
        <w:tc>
          <w:tcPr>
            <w:tcW w:w="586" w:type="pct"/>
            <w:shd w:val="clear" w:color="auto" w:fill="auto"/>
            <w:noWrap/>
          </w:tcPr>
          <w:p w:rsidR="003E180D" w:rsidRDefault="003E180D" w:rsidP="0088305C">
            <w:pPr>
              <w:spacing w:after="0" w:line="240" w:lineRule="auto"/>
              <w:jc w:val="center"/>
              <w:rPr>
                <w:rFonts w:eastAsia="Times New Roman" w:cs="Times New Roman"/>
                <w:b/>
                <w:i/>
                <w:noProof/>
                <w:color w:val="000000"/>
                <w:sz w:val="22"/>
                <w:lang w:eastAsia="en-GB"/>
              </w:rPr>
            </w:pPr>
            <w:r>
              <w:rPr>
                <w:b/>
                <w:noProof/>
                <w:sz w:val="22"/>
              </w:rPr>
              <w:t xml:space="preserve">14,664 </w:t>
            </w:r>
          </w:p>
        </w:tc>
        <w:tc>
          <w:tcPr>
            <w:tcW w:w="543" w:type="pct"/>
            <w:shd w:val="clear" w:color="auto" w:fill="auto"/>
            <w:noWrap/>
          </w:tcPr>
          <w:p w:rsidR="003E180D" w:rsidRDefault="003E180D" w:rsidP="0088305C">
            <w:pPr>
              <w:spacing w:after="0" w:line="240" w:lineRule="auto"/>
              <w:jc w:val="center"/>
              <w:rPr>
                <w:rFonts w:eastAsia="Times New Roman" w:cs="Times New Roman"/>
                <w:b/>
                <w:i/>
                <w:noProof/>
                <w:color w:val="000000"/>
                <w:sz w:val="22"/>
                <w:lang w:eastAsia="en-GB"/>
              </w:rPr>
            </w:pPr>
            <w:r>
              <w:rPr>
                <w:b/>
                <w:noProof/>
                <w:sz w:val="22"/>
              </w:rPr>
              <w:t xml:space="preserve">23,438 </w:t>
            </w:r>
          </w:p>
        </w:tc>
        <w:tc>
          <w:tcPr>
            <w:tcW w:w="565" w:type="pct"/>
            <w:shd w:val="clear" w:color="auto" w:fill="auto"/>
            <w:noWrap/>
          </w:tcPr>
          <w:p w:rsidR="003E180D" w:rsidRDefault="003E180D" w:rsidP="0088305C">
            <w:pPr>
              <w:spacing w:after="0" w:line="240" w:lineRule="auto"/>
              <w:jc w:val="center"/>
              <w:rPr>
                <w:rFonts w:eastAsia="Times New Roman" w:cs="Times New Roman"/>
                <w:b/>
                <w:i/>
                <w:noProof/>
                <w:color w:val="000000"/>
                <w:sz w:val="22"/>
                <w:lang w:eastAsia="en-GB"/>
              </w:rPr>
            </w:pPr>
            <w:r>
              <w:rPr>
                <w:b/>
                <w:noProof/>
                <w:sz w:val="22"/>
              </w:rPr>
              <w:t xml:space="preserve">29,659 </w:t>
            </w:r>
          </w:p>
        </w:tc>
        <w:tc>
          <w:tcPr>
            <w:tcW w:w="527" w:type="pct"/>
            <w:shd w:val="clear" w:color="auto" w:fill="auto"/>
            <w:noWrap/>
          </w:tcPr>
          <w:p w:rsidR="003E180D" w:rsidRDefault="003E180D" w:rsidP="0088305C">
            <w:pPr>
              <w:spacing w:after="0" w:line="240" w:lineRule="auto"/>
              <w:jc w:val="center"/>
              <w:rPr>
                <w:rFonts w:eastAsia="Times New Roman" w:cs="Times New Roman"/>
                <w:b/>
                <w:i/>
                <w:noProof/>
                <w:color w:val="000000"/>
                <w:sz w:val="22"/>
                <w:lang w:eastAsia="en-GB"/>
              </w:rPr>
            </w:pPr>
            <w:r>
              <w:rPr>
                <w:b/>
                <w:noProof/>
                <w:sz w:val="22"/>
              </w:rPr>
              <w:t xml:space="preserve">37,589 </w:t>
            </w:r>
          </w:p>
        </w:tc>
      </w:tr>
      <w:tr w:rsidR="003E180D" w:rsidTr="0088305C">
        <w:trPr>
          <w:trHeight w:val="315"/>
        </w:trPr>
        <w:tc>
          <w:tcPr>
            <w:tcW w:w="1160" w:type="pct"/>
            <w:shd w:val="clear" w:color="auto" w:fill="auto"/>
            <w:noWrap/>
            <w:vAlign w:val="center"/>
            <w:hideMark/>
          </w:tcPr>
          <w:p w:rsidR="003E180D" w:rsidRDefault="003E180D" w:rsidP="0088305C">
            <w:pPr>
              <w:spacing w:after="0" w:line="240" w:lineRule="auto"/>
              <w:rPr>
                <w:rFonts w:eastAsia="Times New Roman" w:cs="Times New Roman"/>
                <w:b/>
                <w:i/>
                <w:noProof/>
                <w:color w:val="000000"/>
                <w:sz w:val="22"/>
                <w:lang w:eastAsia="en-GB"/>
              </w:rPr>
            </w:pPr>
          </w:p>
        </w:tc>
        <w:tc>
          <w:tcPr>
            <w:tcW w:w="1053" w:type="pct"/>
            <w:shd w:val="clear" w:color="auto" w:fill="auto"/>
            <w:noWrap/>
            <w:vAlign w:val="center"/>
            <w:hideMark/>
          </w:tcPr>
          <w:p w:rsidR="003E180D" w:rsidRDefault="003E180D" w:rsidP="0088305C">
            <w:pPr>
              <w:spacing w:after="0" w:line="240" w:lineRule="auto"/>
              <w:rPr>
                <w:rFonts w:eastAsia="Times New Roman" w:cs="Times New Roman"/>
                <w:b/>
                <w:i/>
                <w:noProof/>
                <w:color w:val="000000"/>
                <w:sz w:val="22"/>
                <w:lang w:eastAsia="en-GB"/>
              </w:rPr>
            </w:pPr>
            <w:r>
              <w:rPr>
                <w:rFonts w:eastAsia="Times New Roman" w:cs="Times New Roman"/>
                <w:b/>
                <w:i/>
                <w:noProof/>
                <w:color w:val="000000"/>
                <w:sz w:val="22"/>
                <w:lang w:eastAsia="en-GB"/>
              </w:rPr>
              <w:t>High</w:t>
            </w:r>
          </w:p>
        </w:tc>
        <w:tc>
          <w:tcPr>
            <w:tcW w:w="564" w:type="pct"/>
            <w:shd w:val="clear" w:color="auto" w:fill="auto"/>
            <w:noWrap/>
          </w:tcPr>
          <w:p w:rsidR="003E180D" w:rsidRDefault="003E180D" w:rsidP="0088305C">
            <w:pPr>
              <w:spacing w:after="0" w:line="240" w:lineRule="auto"/>
              <w:jc w:val="center"/>
              <w:rPr>
                <w:rFonts w:eastAsia="Times New Roman" w:cs="Times New Roman"/>
                <w:b/>
                <w:i/>
                <w:noProof/>
                <w:color w:val="000000"/>
                <w:sz w:val="22"/>
                <w:lang w:eastAsia="en-GB"/>
              </w:rPr>
            </w:pPr>
            <w:r>
              <w:rPr>
                <w:b/>
                <w:noProof/>
                <w:sz w:val="22"/>
              </w:rPr>
              <w:t xml:space="preserve">12,757 </w:t>
            </w:r>
          </w:p>
        </w:tc>
        <w:tc>
          <w:tcPr>
            <w:tcW w:w="586" w:type="pct"/>
            <w:shd w:val="clear" w:color="auto" w:fill="auto"/>
            <w:noWrap/>
          </w:tcPr>
          <w:p w:rsidR="003E180D" w:rsidRDefault="003E180D" w:rsidP="0088305C">
            <w:pPr>
              <w:spacing w:after="0" w:line="240" w:lineRule="auto"/>
              <w:jc w:val="center"/>
              <w:rPr>
                <w:rFonts w:eastAsia="Times New Roman" w:cs="Times New Roman"/>
                <w:b/>
                <w:i/>
                <w:noProof/>
                <w:color w:val="000000"/>
                <w:sz w:val="22"/>
                <w:lang w:eastAsia="en-GB"/>
              </w:rPr>
            </w:pPr>
            <w:r>
              <w:rPr>
                <w:b/>
                <w:noProof/>
                <w:sz w:val="22"/>
              </w:rPr>
              <w:t xml:space="preserve">20,871 </w:t>
            </w:r>
          </w:p>
        </w:tc>
        <w:tc>
          <w:tcPr>
            <w:tcW w:w="543" w:type="pct"/>
            <w:shd w:val="clear" w:color="auto" w:fill="auto"/>
            <w:noWrap/>
          </w:tcPr>
          <w:p w:rsidR="003E180D" w:rsidRDefault="003E180D" w:rsidP="0088305C">
            <w:pPr>
              <w:spacing w:after="0" w:line="240" w:lineRule="auto"/>
              <w:jc w:val="center"/>
              <w:rPr>
                <w:rFonts w:eastAsia="Times New Roman" w:cs="Times New Roman"/>
                <w:b/>
                <w:i/>
                <w:noProof/>
                <w:color w:val="000000"/>
                <w:sz w:val="22"/>
                <w:lang w:eastAsia="en-GB"/>
              </w:rPr>
            </w:pPr>
            <w:r>
              <w:rPr>
                <w:b/>
                <w:noProof/>
                <w:sz w:val="22"/>
              </w:rPr>
              <w:t xml:space="preserve">26,337 </w:t>
            </w:r>
          </w:p>
        </w:tc>
        <w:tc>
          <w:tcPr>
            <w:tcW w:w="565" w:type="pct"/>
            <w:shd w:val="clear" w:color="auto" w:fill="auto"/>
            <w:noWrap/>
          </w:tcPr>
          <w:p w:rsidR="003E180D" w:rsidRDefault="003E180D" w:rsidP="0088305C">
            <w:pPr>
              <w:spacing w:after="0" w:line="240" w:lineRule="auto"/>
              <w:jc w:val="center"/>
              <w:rPr>
                <w:rFonts w:eastAsia="Times New Roman" w:cs="Times New Roman"/>
                <w:b/>
                <w:i/>
                <w:noProof/>
                <w:color w:val="000000"/>
                <w:sz w:val="22"/>
                <w:lang w:eastAsia="en-GB"/>
              </w:rPr>
            </w:pPr>
            <w:r>
              <w:rPr>
                <w:b/>
                <w:noProof/>
                <w:sz w:val="22"/>
              </w:rPr>
              <w:t xml:space="preserve">30,997 </w:t>
            </w:r>
          </w:p>
        </w:tc>
        <w:tc>
          <w:tcPr>
            <w:tcW w:w="527" w:type="pct"/>
            <w:shd w:val="clear" w:color="auto" w:fill="auto"/>
            <w:noWrap/>
          </w:tcPr>
          <w:p w:rsidR="003E180D" w:rsidRDefault="003E180D" w:rsidP="0088305C">
            <w:pPr>
              <w:spacing w:after="0" w:line="240" w:lineRule="auto"/>
              <w:jc w:val="center"/>
              <w:rPr>
                <w:rFonts w:eastAsia="Times New Roman" w:cs="Times New Roman"/>
                <w:b/>
                <w:i/>
                <w:noProof/>
                <w:color w:val="000000"/>
                <w:sz w:val="22"/>
                <w:lang w:eastAsia="en-GB"/>
              </w:rPr>
            </w:pPr>
            <w:r>
              <w:rPr>
                <w:b/>
                <w:noProof/>
                <w:sz w:val="22"/>
              </w:rPr>
              <w:t xml:space="preserve">33,002 </w:t>
            </w:r>
          </w:p>
        </w:tc>
      </w:tr>
      <w:tr w:rsidR="003E180D" w:rsidTr="0088305C">
        <w:trPr>
          <w:trHeight w:val="315"/>
        </w:trPr>
        <w:tc>
          <w:tcPr>
            <w:tcW w:w="116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E180D" w:rsidRDefault="003E180D" w:rsidP="0088305C">
            <w:pPr>
              <w:keepNext/>
              <w:spacing w:after="0" w:line="240" w:lineRule="auto"/>
              <w:rPr>
                <w:rFonts w:eastAsia="Times New Roman" w:cs="Times New Roman"/>
                <w:b/>
                <w:noProof/>
                <w:color w:val="000000"/>
                <w:sz w:val="22"/>
                <w:lang w:eastAsia="en-GB"/>
              </w:rPr>
            </w:pPr>
            <w:r>
              <w:rPr>
                <w:rFonts w:eastAsia="Times New Roman" w:cs="Times New Roman"/>
                <w:b/>
                <w:noProof/>
                <w:color w:val="000000"/>
                <w:sz w:val="22"/>
                <w:lang w:eastAsia="en-GB"/>
              </w:rPr>
              <w:t>2030 (EUR/lorry)</w:t>
            </w:r>
          </w:p>
        </w:tc>
        <w:tc>
          <w:tcPr>
            <w:tcW w:w="105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E180D" w:rsidRDefault="003E180D" w:rsidP="0088305C">
            <w:pPr>
              <w:keepNext/>
              <w:spacing w:after="0" w:line="240" w:lineRule="auto"/>
              <w:rPr>
                <w:rFonts w:eastAsia="Times New Roman" w:cs="Times New Roman"/>
                <w:b/>
                <w:noProof/>
                <w:color w:val="000000"/>
                <w:sz w:val="22"/>
                <w:lang w:eastAsia="en-GB"/>
              </w:rPr>
            </w:pPr>
            <w:r>
              <w:rPr>
                <w:rFonts w:eastAsia="Times New Roman" w:cs="Times New Roman"/>
                <w:b/>
                <w:noProof/>
                <w:color w:val="000000"/>
                <w:sz w:val="22"/>
                <w:lang w:eastAsia="en-GB"/>
              </w:rPr>
              <w:t>Cost assumptions</w:t>
            </w:r>
          </w:p>
        </w:tc>
        <w:tc>
          <w:tcPr>
            <w:tcW w:w="56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E180D" w:rsidRDefault="003E180D" w:rsidP="0088305C">
            <w:pPr>
              <w:keepNext/>
              <w:spacing w:after="0" w:line="240" w:lineRule="auto"/>
              <w:jc w:val="center"/>
              <w:rPr>
                <w:rFonts w:cs="Times New Roman"/>
                <w:b/>
                <w:noProof/>
                <w:sz w:val="22"/>
              </w:rPr>
            </w:pPr>
            <w:r>
              <w:rPr>
                <w:b/>
                <w:noProof/>
                <w:sz w:val="22"/>
                <w:szCs w:val="24"/>
              </w:rPr>
              <w:t>TL20</w:t>
            </w:r>
            <w:r>
              <w:rPr>
                <w:b/>
                <w:noProof/>
                <w:sz w:val="22"/>
                <w:szCs w:val="24"/>
              </w:rPr>
              <w:br/>
              <w:t>(20%)</w:t>
            </w:r>
          </w:p>
        </w:tc>
        <w:tc>
          <w:tcPr>
            <w:tcW w:w="113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E180D" w:rsidRDefault="003E180D" w:rsidP="0088305C">
            <w:pPr>
              <w:keepNext/>
              <w:spacing w:after="0" w:line="240" w:lineRule="auto"/>
              <w:jc w:val="center"/>
              <w:rPr>
                <w:rFonts w:cs="Times New Roman"/>
                <w:b/>
                <w:noProof/>
                <w:sz w:val="22"/>
              </w:rPr>
            </w:pPr>
            <w:r>
              <w:rPr>
                <w:b/>
                <w:noProof/>
                <w:sz w:val="22"/>
                <w:szCs w:val="24"/>
              </w:rPr>
              <w:t>TL30 *</w:t>
            </w:r>
            <w:r>
              <w:rPr>
                <w:b/>
                <w:noProof/>
                <w:sz w:val="22"/>
                <w:szCs w:val="24"/>
              </w:rPr>
              <w:br/>
              <w:t>(30%)</w:t>
            </w:r>
          </w:p>
        </w:tc>
        <w:tc>
          <w:tcPr>
            <w:tcW w:w="56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E180D" w:rsidRDefault="003E180D" w:rsidP="0088305C">
            <w:pPr>
              <w:keepNext/>
              <w:spacing w:after="0" w:line="240" w:lineRule="auto"/>
              <w:jc w:val="center"/>
              <w:rPr>
                <w:rFonts w:cs="Times New Roman"/>
                <w:b/>
                <w:noProof/>
                <w:sz w:val="22"/>
              </w:rPr>
            </w:pPr>
            <w:r>
              <w:rPr>
                <w:b/>
                <w:noProof/>
                <w:sz w:val="22"/>
                <w:szCs w:val="24"/>
              </w:rPr>
              <w:t>TL32</w:t>
            </w:r>
            <w:r>
              <w:rPr>
                <w:b/>
                <w:noProof/>
                <w:sz w:val="22"/>
                <w:szCs w:val="24"/>
              </w:rPr>
              <w:br/>
              <w:t>(32%)</w:t>
            </w:r>
          </w:p>
        </w:tc>
        <w:tc>
          <w:tcPr>
            <w:tcW w:w="52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E180D" w:rsidRDefault="003E180D" w:rsidP="0088305C">
            <w:pPr>
              <w:keepNext/>
              <w:spacing w:after="0" w:line="240" w:lineRule="auto"/>
              <w:jc w:val="center"/>
              <w:rPr>
                <w:rFonts w:cs="Times New Roman"/>
                <w:b/>
                <w:noProof/>
                <w:sz w:val="22"/>
              </w:rPr>
            </w:pPr>
            <w:r>
              <w:rPr>
                <w:b/>
                <w:noProof/>
                <w:sz w:val="22"/>
                <w:szCs w:val="24"/>
              </w:rPr>
              <w:t>TL35</w:t>
            </w:r>
            <w:r>
              <w:rPr>
                <w:b/>
                <w:noProof/>
                <w:sz w:val="22"/>
                <w:szCs w:val="24"/>
              </w:rPr>
              <w:br/>
              <w:t>(35%)</w:t>
            </w:r>
          </w:p>
        </w:tc>
      </w:tr>
      <w:tr w:rsidR="003E180D" w:rsidTr="008830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1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r>
              <w:rPr>
                <w:rFonts w:eastAsia="Times New Roman" w:cs="Times New Roman"/>
                <w:i/>
                <w:noProof/>
                <w:color w:val="000000"/>
                <w:sz w:val="22"/>
                <w:lang w:eastAsia="en-GB"/>
              </w:rPr>
              <w:t>Capital cost [1]</w:t>
            </w: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r>
              <w:rPr>
                <w:rFonts w:eastAsia="Times New Roman" w:cs="Times New Roman"/>
                <w:i/>
                <w:noProof/>
                <w:color w:val="000000"/>
                <w:sz w:val="22"/>
                <w:lang w:eastAsia="en-GB"/>
              </w:rPr>
              <w:t>Base</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2,608 </w:t>
            </w:r>
          </w:p>
        </w:tc>
        <w:tc>
          <w:tcPr>
            <w:tcW w:w="1130"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10,803 </w:t>
            </w:r>
          </w:p>
        </w:tc>
        <w:tc>
          <w:tcPr>
            <w:tcW w:w="565"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14,881 </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18,584 </w:t>
            </w:r>
          </w:p>
        </w:tc>
      </w:tr>
      <w:tr w:rsidR="003E180D" w:rsidTr="008830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1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r>
              <w:rPr>
                <w:rFonts w:eastAsia="Times New Roman" w:cs="Times New Roman"/>
                <w:i/>
                <w:noProof/>
                <w:color w:val="000000"/>
                <w:sz w:val="22"/>
                <w:lang w:eastAsia="en-GB"/>
              </w:rPr>
              <w:t>High</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7,684 </w:t>
            </w:r>
          </w:p>
        </w:tc>
        <w:tc>
          <w:tcPr>
            <w:tcW w:w="1130"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26,666 </w:t>
            </w:r>
          </w:p>
        </w:tc>
        <w:tc>
          <w:tcPr>
            <w:tcW w:w="565"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29,161 </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32,906 </w:t>
            </w:r>
          </w:p>
        </w:tc>
      </w:tr>
      <w:tr w:rsidR="003E180D" w:rsidTr="008830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1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r>
              <w:rPr>
                <w:rFonts w:eastAsia="Times New Roman" w:cs="Times New Roman"/>
                <w:i/>
                <w:noProof/>
                <w:color w:val="000000"/>
                <w:sz w:val="22"/>
                <w:lang w:eastAsia="en-GB"/>
              </w:rPr>
              <w:t>Fuel Savings [2]</w:t>
            </w: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r>
              <w:rPr>
                <w:rFonts w:eastAsia="Times New Roman" w:cs="Times New Roman"/>
                <w:i/>
                <w:noProof/>
                <w:color w:val="000000"/>
                <w:sz w:val="22"/>
                <w:lang w:eastAsia="en-GB"/>
              </w:rPr>
              <w:t>Base</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32,947 </w:t>
            </w:r>
          </w:p>
        </w:tc>
        <w:tc>
          <w:tcPr>
            <w:tcW w:w="1130"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68,809 </w:t>
            </w:r>
          </w:p>
        </w:tc>
        <w:tc>
          <w:tcPr>
            <w:tcW w:w="565"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75,652 </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90,704 </w:t>
            </w:r>
          </w:p>
        </w:tc>
      </w:tr>
      <w:tr w:rsidR="003E180D" w:rsidTr="008830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1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r>
              <w:rPr>
                <w:rFonts w:eastAsia="Times New Roman" w:cs="Times New Roman"/>
                <w:i/>
                <w:noProof/>
                <w:color w:val="000000"/>
                <w:sz w:val="22"/>
                <w:lang w:eastAsia="en-GB"/>
              </w:rPr>
              <w:t>High</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40,812 </w:t>
            </w:r>
          </w:p>
        </w:tc>
        <w:tc>
          <w:tcPr>
            <w:tcW w:w="1130"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81,437 </w:t>
            </w:r>
          </w:p>
        </w:tc>
        <w:tc>
          <w:tcPr>
            <w:tcW w:w="565"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95,014 </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115,334 </w:t>
            </w:r>
          </w:p>
        </w:tc>
      </w:tr>
      <w:tr w:rsidR="003E180D" w:rsidTr="008830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1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b/>
                <w:i/>
                <w:noProof/>
                <w:color w:val="000000"/>
                <w:sz w:val="22"/>
                <w:lang w:eastAsia="en-GB"/>
              </w:rPr>
            </w:pPr>
            <w:r>
              <w:rPr>
                <w:rFonts w:eastAsia="Times New Roman" w:cs="Times New Roman"/>
                <w:b/>
                <w:i/>
                <w:noProof/>
                <w:color w:val="000000"/>
                <w:sz w:val="22"/>
                <w:lang w:eastAsia="en-GB"/>
              </w:rPr>
              <w:t>Net Savings [2] - [1]</w:t>
            </w: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b/>
                <w:i/>
                <w:noProof/>
                <w:color w:val="000000"/>
                <w:sz w:val="22"/>
                <w:lang w:eastAsia="en-GB"/>
              </w:rPr>
            </w:pPr>
            <w:r>
              <w:rPr>
                <w:rFonts w:eastAsia="Times New Roman" w:cs="Times New Roman"/>
                <w:b/>
                <w:i/>
                <w:noProof/>
                <w:color w:val="000000"/>
                <w:sz w:val="22"/>
                <w:lang w:eastAsia="en-GB"/>
              </w:rPr>
              <w:t>Base</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b/>
                <w:noProof/>
                <w:sz w:val="22"/>
                <w:szCs w:val="24"/>
              </w:rPr>
            </w:pPr>
            <w:r>
              <w:rPr>
                <w:b/>
                <w:noProof/>
                <w:sz w:val="22"/>
              </w:rPr>
              <w:t xml:space="preserve">30,339 </w:t>
            </w:r>
          </w:p>
        </w:tc>
        <w:tc>
          <w:tcPr>
            <w:tcW w:w="1130"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b/>
                <w:noProof/>
                <w:sz w:val="22"/>
                <w:szCs w:val="24"/>
              </w:rPr>
            </w:pPr>
            <w:r>
              <w:rPr>
                <w:b/>
                <w:noProof/>
                <w:sz w:val="22"/>
              </w:rPr>
              <w:t xml:space="preserve">58,005 </w:t>
            </w:r>
          </w:p>
        </w:tc>
        <w:tc>
          <w:tcPr>
            <w:tcW w:w="565"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b/>
                <w:noProof/>
                <w:sz w:val="22"/>
                <w:szCs w:val="24"/>
              </w:rPr>
            </w:pPr>
            <w:r>
              <w:rPr>
                <w:b/>
                <w:noProof/>
                <w:sz w:val="22"/>
              </w:rPr>
              <w:t xml:space="preserve">60,772 </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b/>
                <w:noProof/>
                <w:sz w:val="22"/>
                <w:szCs w:val="24"/>
              </w:rPr>
            </w:pPr>
            <w:r>
              <w:rPr>
                <w:b/>
                <w:noProof/>
                <w:sz w:val="22"/>
              </w:rPr>
              <w:t xml:space="preserve">72,120 </w:t>
            </w:r>
          </w:p>
        </w:tc>
      </w:tr>
      <w:tr w:rsidR="003E180D" w:rsidTr="008830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1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b/>
                <w:i/>
                <w:noProof/>
                <w:color w:val="000000"/>
                <w:sz w:val="22"/>
                <w:lang w:eastAsia="en-GB"/>
              </w:rPr>
            </w:pP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b/>
                <w:i/>
                <w:noProof/>
                <w:color w:val="000000"/>
                <w:sz w:val="22"/>
                <w:lang w:eastAsia="en-GB"/>
              </w:rPr>
            </w:pPr>
            <w:r>
              <w:rPr>
                <w:rFonts w:eastAsia="Times New Roman" w:cs="Times New Roman"/>
                <w:b/>
                <w:i/>
                <w:noProof/>
                <w:color w:val="000000"/>
                <w:sz w:val="22"/>
                <w:lang w:eastAsia="en-GB"/>
              </w:rPr>
              <w:t>High</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b/>
                <w:noProof/>
                <w:sz w:val="22"/>
                <w:szCs w:val="24"/>
              </w:rPr>
            </w:pPr>
            <w:r>
              <w:rPr>
                <w:b/>
                <w:noProof/>
                <w:sz w:val="22"/>
              </w:rPr>
              <w:t xml:space="preserve">33,128 </w:t>
            </w:r>
          </w:p>
        </w:tc>
        <w:tc>
          <w:tcPr>
            <w:tcW w:w="1130"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b/>
                <w:noProof/>
                <w:sz w:val="22"/>
                <w:szCs w:val="24"/>
              </w:rPr>
            </w:pPr>
            <w:r>
              <w:rPr>
                <w:b/>
                <w:noProof/>
                <w:sz w:val="22"/>
              </w:rPr>
              <w:t xml:space="preserve">54,771 </w:t>
            </w:r>
          </w:p>
        </w:tc>
        <w:tc>
          <w:tcPr>
            <w:tcW w:w="565"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b/>
                <w:noProof/>
                <w:sz w:val="22"/>
                <w:szCs w:val="24"/>
              </w:rPr>
            </w:pPr>
            <w:r>
              <w:rPr>
                <w:b/>
                <w:noProof/>
                <w:sz w:val="22"/>
              </w:rPr>
              <w:t xml:space="preserve">65,853 </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b/>
                <w:noProof/>
                <w:sz w:val="22"/>
                <w:szCs w:val="24"/>
              </w:rPr>
            </w:pPr>
            <w:r>
              <w:rPr>
                <w:b/>
                <w:noProof/>
                <w:sz w:val="22"/>
              </w:rPr>
              <w:t xml:space="preserve">82,429 </w:t>
            </w:r>
          </w:p>
        </w:tc>
      </w:tr>
    </w:tbl>
    <w:p w:rsidR="003E180D" w:rsidRDefault="003E180D" w:rsidP="003E180D">
      <w:pPr>
        <w:tabs>
          <w:tab w:val="left" w:pos="1995"/>
          <w:tab w:val="left" w:pos="4416"/>
          <w:tab w:val="left" w:pos="5716"/>
          <w:tab w:val="left" w:pos="6956"/>
          <w:tab w:val="left" w:pos="8196"/>
          <w:tab w:val="left" w:pos="9590"/>
          <w:tab w:val="left" w:pos="10930"/>
          <w:tab w:val="left" w:pos="12119"/>
          <w:tab w:val="left" w:pos="13476"/>
        </w:tabs>
        <w:spacing w:after="0" w:line="240" w:lineRule="auto"/>
        <w:rPr>
          <w:noProof/>
          <w:sz w:val="20"/>
        </w:rPr>
      </w:pPr>
      <w:r>
        <w:rPr>
          <w:noProof/>
          <w:sz w:val="20"/>
        </w:rPr>
        <w:t>* Results for TL30NL in 2030 are very similar to those for TL30</w:t>
      </w:r>
    </w:p>
    <w:p w:rsidR="003E180D" w:rsidRDefault="003E180D" w:rsidP="003E180D">
      <w:pPr>
        <w:rPr>
          <w:noProof/>
          <w:sz w:val="20"/>
        </w:rPr>
      </w:pPr>
      <w:r>
        <w:rPr>
          <w:noProof/>
          <w:sz w:val="20"/>
        </w:rPr>
        <w:br w:type="page"/>
      </w:r>
    </w:p>
    <w:p w:rsidR="003E180D" w:rsidRDefault="003E180D" w:rsidP="003E180D">
      <w:pPr>
        <w:pStyle w:val="Heading2"/>
        <w:numPr>
          <w:ilvl w:val="1"/>
          <w:numId w:val="22"/>
        </w:numPr>
        <w:spacing w:before="240" w:after="240"/>
        <w:rPr>
          <w:noProof/>
        </w:rPr>
      </w:pPr>
      <w:bookmarkStart w:id="786" w:name="_Toc511984895"/>
      <w:bookmarkStart w:id="787" w:name="_Toc512008166"/>
      <w:bookmarkStart w:id="788" w:name="_Toc508181063"/>
      <w:bookmarkStart w:id="789" w:name="_Toc508186654"/>
      <w:bookmarkStart w:id="790" w:name="_Toc510708137"/>
      <w:bookmarkStart w:id="791" w:name="_Toc514328834"/>
      <w:bookmarkEnd w:id="786"/>
      <w:bookmarkEnd w:id="787"/>
      <w:r>
        <w:rPr>
          <w:noProof/>
        </w:rPr>
        <w:t>TCO-second use</w:t>
      </w:r>
      <w:bookmarkEnd w:id="788"/>
      <w:bookmarkEnd w:id="789"/>
      <w:bookmarkEnd w:id="790"/>
      <w:bookmarkEnd w:id="791"/>
      <w:r>
        <w:rPr>
          <w:noProof/>
        </w:rPr>
        <w:t xml:space="preserve"> </w:t>
      </w:r>
    </w:p>
    <w:p w:rsidR="003E180D" w:rsidRDefault="003E180D" w:rsidP="003E180D">
      <w:pPr>
        <w:pStyle w:val="Caption"/>
        <w:jc w:val="both"/>
        <w:rPr>
          <w:noProof/>
        </w:rPr>
      </w:pPr>
      <w:bookmarkStart w:id="792" w:name="_Ref508023439"/>
      <w:r>
        <w:rPr>
          <w:noProof/>
        </w:rPr>
        <w:t xml:space="preserve">Table </w:t>
      </w:r>
      <w:r>
        <w:rPr>
          <w:noProof/>
        </w:rPr>
        <w:fldChar w:fldCharType="begin"/>
      </w:r>
      <w:r>
        <w:rPr>
          <w:noProof/>
        </w:rPr>
        <w:instrText xml:space="preserve"> SEQ Table \* ARABIC </w:instrText>
      </w:r>
      <w:r>
        <w:rPr>
          <w:noProof/>
        </w:rPr>
        <w:fldChar w:fldCharType="separate"/>
      </w:r>
      <w:r>
        <w:rPr>
          <w:noProof/>
        </w:rPr>
        <w:t>16</w:t>
      </w:r>
      <w:r>
        <w:rPr>
          <w:noProof/>
        </w:rPr>
        <w:fldChar w:fldCharType="end"/>
      </w:r>
      <w:bookmarkEnd w:id="792"/>
      <w:r>
        <w:rPr>
          <w:noProof/>
        </w:rPr>
        <w:t>: Net economic savings from a second use perspective in 2025 and 2030 (EUR/lorry)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1861"/>
        <w:gridCol w:w="1022"/>
        <w:gridCol w:w="1036"/>
        <w:gridCol w:w="1018"/>
        <w:gridCol w:w="1025"/>
        <w:gridCol w:w="821"/>
      </w:tblGrid>
      <w:tr w:rsidR="003E180D" w:rsidTr="0088305C">
        <w:trPr>
          <w:trHeight w:val="315"/>
        </w:trPr>
        <w:tc>
          <w:tcPr>
            <w:tcW w:w="1160" w:type="pct"/>
            <w:shd w:val="clear" w:color="auto" w:fill="D9D9D9" w:themeFill="background1" w:themeFillShade="D9"/>
            <w:noWrap/>
            <w:vAlign w:val="center"/>
            <w:hideMark/>
          </w:tcPr>
          <w:p w:rsidR="003E180D" w:rsidRDefault="003E180D" w:rsidP="0088305C">
            <w:pPr>
              <w:spacing w:after="0" w:line="240" w:lineRule="auto"/>
              <w:rPr>
                <w:rFonts w:eastAsia="Times New Roman" w:cs="Times New Roman"/>
                <w:b/>
                <w:noProof/>
                <w:color w:val="000000"/>
                <w:sz w:val="22"/>
                <w:lang w:eastAsia="en-GB"/>
              </w:rPr>
            </w:pPr>
            <w:r>
              <w:rPr>
                <w:rFonts w:eastAsia="Times New Roman" w:cs="Times New Roman"/>
                <w:b/>
                <w:noProof/>
                <w:color w:val="000000"/>
                <w:sz w:val="22"/>
                <w:lang w:eastAsia="en-GB"/>
              </w:rPr>
              <w:t>2025 (EUR/lorry)</w:t>
            </w:r>
          </w:p>
        </w:tc>
        <w:tc>
          <w:tcPr>
            <w:tcW w:w="1053" w:type="pct"/>
            <w:shd w:val="clear" w:color="auto" w:fill="D9D9D9" w:themeFill="background1" w:themeFillShade="D9"/>
            <w:noWrap/>
            <w:vAlign w:val="center"/>
            <w:hideMark/>
          </w:tcPr>
          <w:p w:rsidR="003E180D" w:rsidRDefault="003E180D" w:rsidP="0088305C">
            <w:pPr>
              <w:spacing w:after="0" w:line="240" w:lineRule="auto"/>
              <w:rPr>
                <w:rFonts w:eastAsia="Times New Roman" w:cs="Times New Roman"/>
                <w:b/>
                <w:noProof/>
                <w:color w:val="000000"/>
                <w:sz w:val="22"/>
                <w:lang w:eastAsia="en-GB"/>
              </w:rPr>
            </w:pPr>
            <w:r>
              <w:rPr>
                <w:rFonts w:eastAsia="Times New Roman" w:cs="Times New Roman"/>
                <w:b/>
                <w:noProof/>
                <w:color w:val="000000"/>
                <w:sz w:val="22"/>
                <w:lang w:eastAsia="en-GB"/>
              </w:rPr>
              <w:t>Cost assumptions</w:t>
            </w:r>
          </w:p>
        </w:tc>
        <w:tc>
          <w:tcPr>
            <w:tcW w:w="579" w:type="pct"/>
            <w:shd w:val="clear" w:color="auto" w:fill="D9D9D9" w:themeFill="background1" w:themeFillShade="D9"/>
            <w:noWrap/>
            <w:vAlign w:val="bottom"/>
            <w:hideMark/>
          </w:tcPr>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TL20</w:t>
            </w:r>
          </w:p>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(10%)</w:t>
            </w:r>
          </w:p>
        </w:tc>
        <w:tc>
          <w:tcPr>
            <w:tcW w:w="586" w:type="pct"/>
            <w:shd w:val="clear" w:color="auto" w:fill="D9D9D9" w:themeFill="background1" w:themeFillShade="D9"/>
            <w:noWrap/>
            <w:vAlign w:val="bottom"/>
            <w:hideMark/>
          </w:tcPr>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TL30NL</w:t>
            </w:r>
          </w:p>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(12.5%)</w:t>
            </w:r>
          </w:p>
        </w:tc>
        <w:tc>
          <w:tcPr>
            <w:tcW w:w="577" w:type="pct"/>
            <w:shd w:val="clear" w:color="auto" w:fill="D9D9D9" w:themeFill="background1" w:themeFillShade="D9"/>
            <w:noWrap/>
            <w:vAlign w:val="bottom"/>
            <w:hideMark/>
          </w:tcPr>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TL30</w:t>
            </w:r>
          </w:p>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(15%)</w:t>
            </w:r>
          </w:p>
        </w:tc>
        <w:tc>
          <w:tcPr>
            <w:tcW w:w="580" w:type="pct"/>
            <w:shd w:val="clear" w:color="auto" w:fill="D9D9D9" w:themeFill="background1" w:themeFillShade="D9"/>
            <w:noWrap/>
            <w:vAlign w:val="bottom"/>
            <w:hideMark/>
          </w:tcPr>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TL32</w:t>
            </w:r>
          </w:p>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(17.5%)</w:t>
            </w:r>
          </w:p>
        </w:tc>
        <w:tc>
          <w:tcPr>
            <w:tcW w:w="465" w:type="pct"/>
            <w:shd w:val="clear" w:color="auto" w:fill="D9D9D9" w:themeFill="background1" w:themeFillShade="D9"/>
            <w:noWrap/>
            <w:vAlign w:val="bottom"/>
            <w:hideMark/>
          </w:tcPr>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TL35</w:t>
            </w:r>
          </w:p>
          <w:p w:rsidR="003E180D" w:rsidRDefault="003E180D" w:rsidP="0088305C">
            <w:pPr>
              <w:spacing w:after="0" w:line="240" w:lineRule="auto"/>
              <w:jc w:val="center"/>
              <w:rPr>
                <w:rFonts w:eastAsia="Times New Roman" w:cs="Times New Roman"/>
                <w:b/>
                <w:noProof/>
                <w:color w:val="000000"/>
                <w:sz w:val="22"/>
                <w:lang w:eastAsia="en-GB"/>
              </w:rPr>
            </w:pPr>
            <w:r>
              <w:rPr>
                <w:rFonts w:eastAsia="Times New Roman" w:cs="Times New Roman"/>
                <w:b/>
                <w:noProof/>
                <w:color w:val="000000"/>
                <w:sz w:val="22"/>
                <w:lang w:eastAsia="en-GB"/>
              </w:rPr>
              <w:t>(20%)</w:t>
            </w:r>
          </w:p>
        </w:tc>
      </w:tr>
      <w:tr w:rsidR="003E180D" w:rsidTr="0088305C">
        <w:trPr>
          <w:trHeight w:val="330"/>
        </w:trPr>
        <w:tc>
          <w:tcPr>
            <w:tcW w:w="1160" w:type="pct"/>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r>
              <w:rPr>
                <w:rFonts w:eastAsia="Times New Roman" w:cs="Times New Roman"/>
                <w:i/>
                <w:noProof/>
                <w:color w:val="000000"/>
                <w:sz w:val="22"/>
                <w:lang w:eastAsia="en-GB"/>
              </w:rPr>
              <w:t>Capital cost [1]</w:t>
            </w:r>
          </w:p>
        </w:tc>
        <w:tc>
          <w:tcPr>
            <w:tcW w:w="1053" w:type="pct"/>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r>
              <w:rPr>
                <w:rFonts w:eastAsia="Times New Roman" w:cs="Times New Roman"/>
                <w:i/>
                <w:noProof/>
                <w:color w:val="000000"/>
                <w:sz w:val="22"/>
                <w:lang w:eastAsia="en-GB"/>
              </w:rPr>
              <w:t>Base</w:t>
            </w:r>
          </w:p>
        </w:tc>
        <w:tc>
          <w:tcPr>
            <w:tcW w:w="579"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378 </w:t>
            </w:r>
          </w:p>
        </w:tc>
        <w:tc>
          <w:tcPr>
            <w:tcW w:w="586"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779 </w:t>
            </w:r>
          </w:p>
        </w:tc>
        <w:tc>
          <w:tcPr>
            <w:tcW w:w="577"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1,359 </w:t>
            </w:r>
          </w:p>
        </w:tc>
        <w:tc>
          <w:tcPr>
            <w:tcW w:w="580"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1,976 </w:t>
            </w:r>
          </w:p>
        </w:tc>
        <w:tc>
          <w:tcPr>
            <w:tcW w:w="465"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3,229 </w:t>
            </w:r>
          </w:p>
        </w:tc>
      </w:tr>
      <w:tr w:rsidR="003E180D" w:rsidTr="0088305C">
        <w:trPr>
          <w:trHeight w:val="315"/>
        </w:trPr>
        <w:tc>
          <w:tcPr>
            <w:tcW w:w="1160" w:type="pct"/>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p>
        </w:tc>
        <w:tc>
          <w:tcPr>
            <w:tcW w:w="1053" w:type="pct"/>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r>
              <w:rPr>
                <w:rFonts w:eastAsia="Times New Roman" w:cs="Times New Roman"/>
                <w:i/>
                <w:noProof/>
                <w:color w:val="000000"/>
                <w:sz w:val="22"/>
                <w:lang w:eastAsia="en-GB"/>
              </w:rPr>
              <w:t>High</w:t>
            </w:r>
          </w:p>
        </w:tc>
        <w:tc>
          <w:tcPr>
            <w:tcW w:w="579"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1,354 </w:t>
            </w:r>
          </w:p>
        </w:tc>
        <w:tc>
          <w:tcPr>
            <w:tcW w:w="586"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2,791 </w:t>
            </w:r>
          </w:p>
        </w:tc>
        <w:tc>
          <w:tcPr>
            <w:tcW w:w="577"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4,752 </w:t>
            </w:r>
          </w:p>
        </w:tc>
        <w:tc>
          <w:tcPr>
            <w:tcW w:w="580"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7,797 </w:t>
            </w:r>
          </w:p>
        </w:tc>
        <w:tc>
          <w:tcPr>
            <w:tcW w:w="465"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12,231 </w:t>
            </w:r>
          </w:p>
        </w:tc>
      </w:tr>
      <w:tr w:rsidR="003E180D" w:rsidTr="0088305C">
        <w:trPr>
          <w:trHeight w:val="330"/>
        </w:trPr>
        <w:tc>
          <w:tcPr>
            <w:tcW w:w="1160" w:type="pct"/>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r>
              <w:rPr>
                <w:rFonts w:eastAsia="Times New Roman" w:cs="Times New Roman"/>
                <w:i/>
                <w:noProof/>
                <w:color w:val="000000"/>
                <w:sz w:val="22"/>
                <w:lang w:eastAsia="en-GB"/>
              </w:rPr>
              <w:t>Fuel Savings [2]</w:t>
            </w:r>
          </w:p>
        </w:tc>
        <w:tc>
          <w:tcPr>
            <w:tcW w:w="1053" w:type="pct"/>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r>
              <w:rPr>
                <w:rFonts w:eastAsia="Times New Roman" w:cs="Times New Roman"/>
                <w:i/>
                <w:noProof/>
                <w:color w:val="000000"/>
                <w:sz w:val="22"/>
                <w:lang w:eastAsia="en-GB"/>
              </w:rPr>
              <w:t>Base</w:t>
            </w:r>
          </w:p>
        </w:tc>
        <w:tc>
          <w:tcPr>
            <w:tcW w:w="579"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5,791 </w:t>
            </w:r>
          </w:p>
        </w:tc>
        <w:tc>
          <w:tcPr>
            <w:tcW w:w="586"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11,624 </w:t>
            </w:r>
          </w:p>
        </w:tc>
        <w:tc>
          <w:tcPr>
            <w:tcW w:w="577"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18,712 </w:t>
            </w:r>
          </w:p>
        </w:tc>
        <w:tc>
          <w:tcPr>
            <w:tcW w:w="580"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23,926 </w:t>
            </w:r>
          </w:p>
        </w:tc>
        <w:tc>
          <w:tcPr>
            <w:tcW w:w="465"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31,023 </w:t>
            </w:r>
          </w:p>
        </w:tc>
      </w:tr>
      <w:tr w:rsidR="003E180D" w:rsidTr="0088305C">
        <w:trPr>
          <w:trHeight w:val="315"/>
        </w:trPr>
        <w:tc>
          <w:tcPr>
            <w:tcW w:w="1160" w:type="pct"/>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p>
        </w:tc>
        <w:tc>
          <w:tcPr>
            <w:tcW w:w="1053" w:type="pct"/>
            <w:shd w:val="clear" w:color="auto" w:fill="auto"/>
            <w:noWrap/>
            <w:vAlign w:val="center"/>
            <w:hideMark/>
          </w:tcPr>
          <w:p w:rsidR="003E180D" w:rsidRDefault="003E180D" w:rsidP="0088305C">
            <w:pPr>
              <w:spacing w:after="0" w:line="240" w:lineRule="auto"/>
              <w:rPr>
                <w:rFonts w:eastAsia="Times New Roman" w:cs="Times New Roman"/>
                <w:i/>
                <w:noProof/>
                <w:color w:val="000000"/>
                <w:sz w:val="22"/>
                <w:lang w:eastAsia="en-GB"/>
              </w:rPr>
            </w:pPr>
            <w:r>
              <w:rPr>
                <w:rFonts w:eastAsia="Times New Roman" w:cs="Times New Roman"/>
                <w:i/>
                <w:noProof/>
                <w:color w:val="000000"/>
                <w:sz w:val="22"/>
                <w:lang w:eastAsia="en-GB"/>
              </w:rPr>
              <w:t>High</w:t>
            </w:r>
          </w:p>
        </w:tc>
        <w:tc>
          <w:tcPr>
            <w:tcW w:w="579"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10,762 </w:t>
            </w:r>
          </w:p>
        </w:tc>
        <w:tc>
          <w:tcPr>
            <w:tcW w:w="586"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18,149 </w:t>
            </w:r>
          </w:p>
        </w:tc>
        <w:tc>
          <w:tcPr>
            <w:tcW w:w="577"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24,081 </w:t>
            </w:r>
          </w:p>
        </w:tc>
        <w:tc>
          <w:tcPr>
            <w:tcW w:w="580"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30,434 </w:t>
            </w:r>
          </w:p>
        </w:tc>
        <w:tc>
          <w:tcPr>
            <w:tcW w:w="465" w:type="pct"/>
            <w:shd w:val="clear" w:color="auto" w:fill="auto"/>
            <w:noWrap/>
          </w:tcPr>
          <w:p w:rsidR="003E180D" w:rsidRDefault="003E180D" w:rsidP="0088305C">
            <w:pPr>
              <w:spacing w:after="0" w:line="240" w:lineRule="auto"/>
              <w:jc w:val="center"/>
              <w:rPr>
                <w:rFonts w:eastAsia="Times New Roman" w:cs="Times New Roman"/>
                <w:i/>
                <w:noProof/>
                <w:color w:val="000000"/>
                <w:sz w:val="22"/>
                <w:lang w:eastAsia="en-GB"/>
              </w:rPr>
            </w:pPr>
            <w:r>
              <w:rPr>
                <w:noProof/>
                <w:sz w:val="22"/>
              </w:rPr>
              <w:t xml:space="preserve">36,135 </w:t>
            </w:r>
          </w:p>
        </w:tc>
      </w:tr>
      <w:tr w:rsidR="003E180D" w:rsidTr="0088305C">
        <w:trPr>
          <w:trHeight w:val="330"/>
        </w:trPr>
        <w:tc>
          <w:tcPr>
            <w:tcW w:w="1160" w:type="pct"/>
            <w:shd w:val="clear" w:color="auto" w:fill="auto"/>
            <w:noWrap/>
            <w:vAlign w:val="center"/>
            <w:hideMark/>
          </w:tcPr>
          <w:p w:rsidR="003E180D" w:rsidRDefault="003E180D" w:rsidP="0088305C">
            <w:pPr>
              <w:spacing w:after="0" w:line="240" w:lineRule="auto"/>
              <w:rPr>
                <w:rFonts w:eastAsia="Times New Roman" w:cs="Times New Roman"/>
                <w:b/>
                <w:i/>
                <w:noProof/>
                <w:color w:val="000000"/>
                <w:sz w:val="22"/>
                <w:lang w:eastAsia="en-GB"/>
              </w:rPr>
            </w:pPr>
            <w:r>
              <w:rPr>
                <w:rFonts w:eastAsia="Times New Roman" w:cs="Times New Roman"/>
                <w:b/>
                <w:i/>
                <w:noProof/>
                <w:color w:val="000000"/>
                <w:sz w:val="22"/>
                <w:lang w:eastAsia="en-GB"/>
              </w:rPr>
              <w:t>Net Savings [2] - [1]</w:t>
            </w:r>
          </w:p>
        </w:tc>
        <w:tc>
          <w:tcPr>
            <w:tcW w:w="1053" w:type="pct"/>
            <w:shd w:val="clear" w:color="auto" w:fill="auto"/>
            <w:noWrap/>
            <w:vAlign w:val="center"/>
            <w:hideMark/>
          </w:tcPr>
          <w:p w:rsidR="003E180D" w:rsidRDefault="003E180D" w:rsidP="0088305C">
            <w:pPr>
              <w:spacing w:after="0" w:line="240" w:lineRule="auto"/>
              <w:rPr>
                <w:rFonts w:eastAsia="Times New Roman" w:cs="Times New Roman"/>
                <w:b/>
                <w:i/>
                <w:noProof/>
                <w:color w:val="000000"/>
                <w:sz w:val="22"/>
                <w:lang w:eastAsia="en-GB"/>
              </w:rPr>
            </w:pPr>
            <w:r>
              <w:rPr>
                <w:rFonts w:eastAsia="Times New Roman" w:cs="Times New Roman"/>
                <w:b/>
                <w:i/>
                <w:noProof/>
                <w:color w:val="000000"/>
                <w:sz w:val="22"/>
                <w:lang w:eastAsia="en-GB"/>
              </w:rPr>
              <w:t>Base</w:t>
            </w:r>
          </w:p>
        </w:tc>
        <w:tc>
          <w:tcPr>
            <w:tcW w:w="579" w:type="pct"/>
            <w:shd w:val="clear" w:color="auto" w:fill="auto"/>
            <w:noWrap/>
          </w:tcPr>
          <w:p w:rsidR="003E180D" w:rsidRDefault="003E180D" w:rsidP="0088305C">
            <w:pPr>
              <w:spacing w:after="0" w:line="240" w:lineRule="auto"/>
              <w:jc w:val="center"/>
              <w:rPr>
                <w:rFonts w:eastAsia="Times New Roman" w:cs="Times New Roman"/>
                <w:b/>
                <w:i/>
                <w:noProof/>
                <w:color w:val="000000"/>
                <w:sz w:val="22"/>
                <w:lang w:eastAsia="en-GB"/>
              </w:rPr>
            </w:pPr>
            <w:r>
              <w:rPr>
                <w:b/>
                <w:noProof/>
                <w:sz w:val="22"/>
              </w:rPr>
              <w:t xml:space="preserve">5,413 </w:t>
            </w:r>
          </w:p>
        </w:tc>
        <w:tc>
          <w:tcPr>
            <w:tcW w:w="586" w:type="pct"/>
            <w:shd w:val="clear" w:color="auto" w:fill="auto"/>
            <w:noWrap/>
          </w:tcPr>
          <w:p w:rsidR="003E180D" w:rsidRDefault="003E180D" w:rsidP="0088305C">
            <w:pPr>
              <w:spacing w:after="0" w:line="240" w:lineRule="auto"/>
              <w:jc w:val="center"/>
              <w:rPr>
                <w:rFonts w:eastAsia="Times New Roman" w:cs="Times New Roman"/>
                <w:b/>
                <w:i/>
                <w:noProof/>
                <w:color w:val="000000"/>
                <w:sz w:val="22"/>
                <w:lang w:eastAsia="en-GB"/>
              </w:rPr>
            </w:pPr>
            <w:r>
              <w:rPr>
                <w:b/>
                <w:noProof/>
                <w:sz w:val="22"/>
              </w:rPr>
              <w:t xml:space="preserve">10,846 </w:t>
            </w:r>
          </w:p>
        </w:tc>
        <w:tc>
          <w:tcPr>
            <w:tcW w:w="577" w:type="pct"/>
            <w:shd w:val="clear" w:color="auto" w:fill="auto"/>
            <w:noWrap/>
          </w:tcPr>
          <w:p w:rsidR="003E180D" w:rsidRDefault="003E180D" w:rsidP="0088305C">
            <w:pPr>
              <w:spacing w:after="0" w:line="240" w:lineRule="auto"/>
              <w:jc w:val="center"/>
              <w:rPr>
                <w:rFonts w:eastAsia="Times New Roman" w:cs="Times New Roman"/>
                <w:b/>
                <w:i/>
                <w:noProof/>
                <w:color w:val="000000"/>
                <w:sz w:val="22"/>
                <w:lang w:eastAsia="en-GB"/>
              </w:rPr>
            </w:pPr>
            <w:r>
              <w:rPr>
                <w:b/>
                <w:noProof/>
                <w:sz w:val="22"/>
              </w:rPr>
              <w:t xml:space="preserve">17,354 </w:t>
            </w:r>
          </w:p>
        </w:tc>
        <w:tc>
          <w:tcPr>
            <w:tcW w:w="580" w:type="pct"/>
            <w:shd w:val="clear" w:color="auto" w:fill="auto"/>
            <w:noWrap/>
          </w:tcPr>
          <w:p w:rsidR="003E180D" w:rsidRDefault="003E180D" w:rsidP="0088305C">
            <w:pPr>
              <w:spacing w:after="0" w:line="240" w:lineRule="auto"/>
              <w:jc w:val="center"/>
              <w:rPr>
                <w:rFonts w:eastAsia="Times New Roman" w:cs="Times New Roman"/>
                <w:b/>
                <w:i/>
                <w:noProof/>
                <w:color w:val="000000"/>
                <w:sz w:val="22"/>
                <w:lang w:eastAsia="en-GB"/>
              </w:rPr>
            </w:pPr>
            <w:r>
              <w:rPr>
                <w:b/>
                <w:noProof/>
                <w:sz w:val="22"/>
              </w:rPr>
              <w:t xml:space="preserve">21,950 </w:t>
            </w:r>
          </w:p>
        </w:tc>
        <w:tc>
          <w:tcPr>
            <w:tcW w:w="465" w:type="pct"/>
            <w:shd w:val="clear" w:color="auto" w:fill="auto"/>
            <w:noWrap/>
          </w:tcPr>
          <w:p w:rsidR="003E180D" w:rsidRDefault="003E180D" w:rsidP="0088305C">
            <w:pPr>
              <w:spacing w:after="0" w:line="240" w:lineRule="auto"/>
              <w:jc w:val="center"/>
              <w:rPr>
                <w:rFonts w:eastAsia="Times New Roman" w:cs="Times New Roman"/>
                <w:b/>
                <w:i/>
                <w:noProof/>
                <w:color w:val="000000"/>
                <w:sz w:val="22"/>
                <w:lang w:eastAsia="en-GB"/>
              </w:rPr>
            </w:pPr>
            <w:r>
              <w:rPr>
                <w:b/>
                <w:noProof/>
                <w:sz w:val="22"/>
              </w:rPr>
              <w:t xml:space="preserve">27,794 </w:t>
            </w:r>
          </w:p>
        </w:tc>
      </w:tr>
      <w:tr w:rsidR="003E180D" w:rsidTr="0088305C">
        <w:trPr>
          <w:trHeight w:val="315"/>
        </w:trPr>
        <w:tc>
          <w:tcPr>
            <w:tcW w:w="1160" w:type="pct"/>
            <w:shd w:val="clear" w:color="auto" w:fill="auto"/>
            <w:noWrap/>
            <w:vAlign w:val="center"/>
            <w:hideMark/>
          </w:tcPr>
          <w:p w:rsidR="003E180D" w:rsidRDefault="003E180D" w:rsidP="0088305C">
            <w:pPr>
              <w:spacing w:after="0" w:line="240" w:lineRule="auto"/>
              <w:rPr>
                <w:rFonts w:eastAsia="Times New Roman" w:cs="Times New Roman"/>
                <w:b/>
                <w:i/>
                <w:noProof/>
                <w:color w:val="000000"/>
                <w:sz w:val="22"/>
                <w:lang w:eastAsia="en-GB"/>
              </w:rPr>
            </w:pPr>
          </w:p>
        </w:tc>
        <w:tc>
          <w:tcPr>
            <w:tcW w:w="1053" w:type="pct"/>
            <w:shd w:val="clear" w:color="auto" w:fill="auto"/>
            <w:noWrap/>
            <w:vAlign w:val="center"/>
            <w:hideMark/>
          </w:tcPr>
          <w:p w:rsidR="003E180D" w:rsidRDefault="003E180D" w:rsidP="0088305C">
            <w:pPr>
              <w:spacing w:after="0" w:line="240" w:lineRule="auto"/>
              <w:rPr>
                <w:rFonts w:eastAsia="Times New Roman" w:cs="Times New Roman"/>
                <w:b/>
                <w:i/>
                <w:noProof/>
                <w:color w:val="000000"/>
                <w:sz w:val="22"/>
                <w:lang w:eastAsia="en-GB"/>
              </w:rPr>
            </w:pPr>
            <w:r>
              <w:rPr>
                <w:rFonts w:eastAsia="Times New Roman" w:cs="Times New Roman"/>
                <w:b/>
                <w:i/>
                <w:noProof/>
                <w:color w:val="000000"/>
                <w:sz w:val="22"/>
                <w:lang w:eastAsia="en-GB"/>
              </w:rPr>
              <w:t>High</w:t>
            </w:r>
          </w:p>
        </w:tc>
        <w:tc>
          <w:tcPr>
            <w:tcW w:w="579" w:type="pct"/>
            <w:shd w:val="clear" w:color="auto" w:fill="auto"/>
            <w:noWrap/>
          </w:tcPr>
          <w:p w:rsidR="003E180D" w:rsidRDefault="003E180D" w:rsidP="0088305C">
            <w:pPr>
              <w:spacing w:after="0" w:line="240" w:lineRule="auto"/>
              <w:jc w:val="center"/>
              <w:rPr>
                <w:rFonts w:eastAsia="Times New Roman" w:cs="Times New Roman"/>
                <w:b/>
                <w:i/>
                <w:noProof/>
                <w:color w:val="000000"/>
                <w:sz w:val="22"/>
                <w:lang w:eastAsia="en-GB"/>
              </w:rPr>
            </w:pPr>
            <w:r>
              <w:rPr>
                <w:b/>
                <w:noProof/>
                <w:sz w:val="22"/>
              </w:rPr>
              <w:t xml:space="preserve">9,408 </w:t>
            </w:r>
          </w:p>
        </w:tc>
        <w:tc>
          <w:tcPr>
            <w:tcW w:w="586" w:type="pct"/>
            <w:shd w:val="clear" w:color="auto" w:fill="auto"/>
            <w:noWrap/>
          </w:tcPr>
          <w:p w:rsidR="003E180D" w:rsidRDefault="003E180D" w:rsidP="0088305C">
            <w:pPr>
              <w:spacing w:after="0" w:line="240" w:lineRule="auto"/>
              <w:jc w:val="center"/>
              <w:rPr>
                <w:rFonts w:eastAsia="Times New Roman" w:cs="Times New Roman"/>
                <w:b/>
                <w:i/>
                <w:noProof/>
                <w:color w:val="000000"/>
                <w:sz w:val="22"/>
                <w:lang w:eastAsia="en-GB"/>
              </w:rPr>
            </w:pPr>
            <w:r>
              <w:rPr>
                <w:b/>
                <w:noProof/>
                <w:sz w:val="22"/>
              </w:rPr>
              <w:t xml:space="preserve">15,358 </w:t>
            </w:r>
          </w:p>
        </w:tc>
        <w:tc>
          <w:tcPr>
            <w:tcW w:w="577" w:type="pct"/>
            <w:shd w:val="clear" w:color="auto" w:fill="auto"/>
            <w:noWrap/>
          </w:tcPr>
          <w:p w:rsidR="003E180D" w:rsidRDefault="003E180D" w:rsidP="0088305C">
            <w:pPr>
              <w:spacing w:after="0" w:line="240" w:lineRule="auto"/>
              <w:jc w:val="center"/>
              <w:rPr>
                <w:rFonts w:eastAsia="Times New Roman" w:cs="Times New Roman"/>
                <w:b/>
                <w:i/>
                <w:noProof/>
                <w:color w:val="000000"/>
                <w:sz w:val="22"/>
                <w:lang w:eastAsia="en-GB"/>
              </w:rPr>
            </w:pPr>
            <w:r>
              <w:rPr>
                <w:b/>
                <w:noProof/>
                <w:sz w:val="22"/>
              </w:rPr>
              <w:t xml:space="preserve">19,329 </w:t>
            </w:r>
          </w:p>
        </w:tc>
        <w:tc>
          <w:tcPr>
            <w:tcW w:w="580" w:type="pct"/>
            <w:shd w:val="clear" w:color="auto" w:fill="auto"/>
            <w:noWrap/>
          </w:tcPr>
          <w:p w:rsidR="003E180D" w:rsidRDefault="003E180D" w:rsidP="0088305C">
            <w:pPr>
              <w:spacing w:after="0" w:line="240" w:lineRule="auto"/>
              <w:jc w:val="center"/>
              <w:rPr>
                <w:rFonts w:eastAsia="Times New Roman" w:cs="Times New Roman"/>
                <w:b/>
                <w:i/>
                <w:noProof/>
                <w:color w:val="000000"/>
                <w:sz w:val="22"/>
                <w:lang w:eastAsia="en-GB"/>
              </w:rPr>
            </w:pPr>
            <w:r>
              <w:rPr>
                <w:b/>
                <w:noProof/>
                <w:sz w:val="22"/>
              </w:rPr>
              <w:t xml:space="preserve">22,637 </w:t>
            </w:r>
          </w:p>
        </w:tc>
        <w:tc>
          <w:tcPr>
            <w:tcW w:w="465" w:type="pct"/>
            <w:shd w:val="clear" w:color="auto" w:fill="auto"/>
            <w:noWrap/>
          </w:tcPr>
          <w:p w:rsidR="003E180D" w:rsidRDefault="003E180D" w:rsidP="0088305C">
            <w:pPr>
              <w:spacing w:after="0" w:line="240" w:lineRule="auto"/>
              <w:jc w:val="center"/>
              <w:rPr>
                <w:rFonts w:eastAsia="Times New Roman" w:cs="Times New Roman"/>
                <w:b/>
                <w:i/>
                <w:noProof/>
                <w:color w:val="000000"/>
                <w:sz w:val="22"/>
                <w:lang w:eastAsia="en-GB"/>
              </w:rPr>
            </w:pPr>
            <w:r>
              <w:rPr>
                <w:b/>
                <w:noProof/>
                <w:sz w:val="22"/>
              </w:rPr>
              <w:t xml:space="preserve">23,905 </w:t>
            </w:r>
          </w:p>
        </w:tc>
      </w:tr>
      <w:tr w:rsidR="003E180D" w:rsidTr="0088305C">
        <w:trPr>
          <w:trHeight w:val="315"/>
        </w:trPr>
        <w:tc>
          <w:tcPr>
            <w:tcW w:w="116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E180D" w:rsidRDefault="003E180D" w:rsidP="0088305C">
            <w:pPr>
              <w:keepNext/>
              <w:spacing w:after="0" w:line="240" w:lineRule="auto"/>
              <w:rPr>
                <w:rFonts w:eastAsia="Times New Roman" w:cs="Times New Roman"/>
                <w:b/>
                <w:noProof/>
                <w:color w:val="000000"/>
                <w:sz w:val="22"/>
                <w:lang w:eastAsia="en-GB"/>
              </w:rPr>
            </w:pPr>
            <w:r>
              <w:rPr>
                <w:rFonts w:eastAsia="Times New Roman" w:cs="Times New Roman"/>
                <w:b/>
                <w:noProof/>
                <w:color w:val="000000"/>
                <w:sz w:val="22"/>
                <w:lang w:eastAsia="en-GB"/>
              </w:rPr>
              <w:t>2030 (EUR/lorry)</w:t>
            </w:r>
          </w:p>
        </w:tc>
        <w:tc>
          <w:tcPr>
            <w:tcW w:w="105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E180D" w:rsidRDefault="003E180D" w:rsidP="0088305C">
            <w:pPr>
              <w:keepNext/>
              <w:spacing w:after="0" w:line="240" w:lineRule="auto"/>
              <w:rPr>
                <w:rFonts w:eastAsia="Times New Roman" w:cs="Times New Roman"/>
                <w:b/>
                <w:noProof/>
                <w:color w:val="000000"/>
                <w:sz w:val="22"/>
                <w:lang w:eastAsia="en-GB"/>
              </w:rPr>
            </w:pPr>
            <w:r>
              <w:rPr>
                <w:rFonts w:eastAsia="Times New Roman" w:cs="Times New Roman"/>
                <w:b/>
                <w:noProof/>
                <w:color w:val="000000"/>
                <w:sz w:val="22"/>
                <w:lang w:eastAsia="en-GB"/>
              </w:rPr>
              <w:t>Cost assumptions</w:t>
            </w:r>
          </w:p>
        </w:tc>
        <w:tc>
          <w:tcPr>
            <w:tcW w:w="5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E180D" w:rsidRDefault="003E180D" w:rsidP="0088305C">
            <w:pPr>
              <w:keepNext/>
              <w:spacing w:after="0" w:line="240" w:lineRule="auto"/>
              <w:jc w:val="center"/>
              <w:rPr>
                <w:rFonts w:cs="Times New Roman"/>
                <w:b/>
                <w:noProof/>
                <w:sz w:val="22"/>
              </w:rPr>
            </w:pPr>
            <w:r>
              <w:rPr>
                <w:b/>
                <w:noProof/>
                <w:sz w:val="22"/>
                <w:szCs w:val="24"/>
              </w:rPr>
              <w:t>TL20</w:t>
            </w:r>
            <w:r>
              <w:rPr>
                <w:b/>
                <w:noProof/>
                <w:sz w:val="22"/>
                <w:szCs w:val="24"/>
              </w:rPr>
              <w:br/>
              <w:t>(20%)</w:t>
            </w:r>
          </w:p>
        </w:tc>
        <w:tc>
          <w:tcPr>
            <w:tcW w:w="116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E180D" w:rsidRDefault="003E180D" w:rsidP="0088305C">
            <w:pPr>
              <w:keepNext/>
              <w:spacing w:after="0" w:line="240" w:lineRule="auto"/>
              <w:jc w:val="center"/>
              <w:rPr>
                <w:rFonts w:cs="Times New Roman"/>
                <w:b/>
                <w:noProof/>
                <w:sz w:val="22"/>
              </w:rPr>
            </w:pPr>
            <w:r>
              <w:rPr>
                <w:b/>
                <w:noProof/>
                <w:sz w:val="22"/>
                <w:szCs w:val="24"/>
              </w:rPr>
              <w:t>TL30 *</w:t>
            </w:r>
            <w:r>
              <w:rPr>
                <w:b/>
                <w:noProof/>
                <w:sz w:val="22"/>
                <w:szCs w:val="24"/>
              </w:rPr>
              <w:br/>
              <w:t>(30%)</w:t>
            </w:r>
          </w:p>
        </w:tc>
        <w:tc>
          <w:tcPr>
            <w:tcW w:w="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E180D" w:rsidRDefault="003E180D" w:rsidP="0088305C">
            <w:pPr>
              <w:keepNext/>
              <w:spacing w:after="0" w:line="240" w:lineRule="auto"/>
              <w:jc w:val="center"/>
              <w:rPr>
                <w:rFonts w:cs="Times New Roman"/>
                <w:b/>
                <w:noProof/>
                <w:sz w:val="22"/>
              </w:rPr>
            </w:pPr>
            <w:r>
              <w:rPr>
                <w:b/>
                <w:noProof/>
                <w:sz w:val="22"/>
                <w:szCs w:val="24"/>
              </w:rPr>
              <w:t>TL32</w:t>
            </w:r>
            <w:r>
              <w:rPr>
                <w:b/>
                <w:noProof/>
                <w:sz w:val="22"/>
                <w:szCs w:val="24"/>
              </w:rPr>
              <w:br/>
              <w:t>(32%)</w:t>
            </w:r>
          </w:p>
        </w:tc>
        <w:tc>
          <w:tcPr>
            <w:tcW w:w="46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E180D" w:rsidRDefault="003E180D" w:rsidP="0088305C">
            <w:pPr>
              <w:keepNext/>
              <w:spacing w:after="0" w:line="240" w:lineRule="auto"/>
              <w:jc w:val="center"/>
              <w:rPr>
                <w:rFonts w:cs="Times New Roman"/>
                <w:b/>
                <w:noProof/>
                <w:sz w:val="22"/>
              </w:rPr>
            </w:pPr>
            <w:r>
              <w:rPr>
                <w:b/>
                <w:noProof/>
                <w:sz w:val="22"/>
                <w:szCs w:val="24"/>
              </w:rPr>
              <w:t>TL35</w:t>
            </w:r>
            <w:r>
              <w:rPr>
                <w:b/>
                <w:noProof/>
                <w:sz w:val="22"/>
                <w:szCs w:val="24"/>
              </w:rPr>
              <w:br/>
              <w:t>(35%)</w:t>
            </w:r>
          </w:p>
        </w:tc>
      </w:tr>
      <w:tr w:rsidR="003E180D" w:rsidTr="008830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1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r>
              <w:rPr>
                <w:rFonts w:eastAsia="Times New Roman" w:cs="Times New Roman"/>
                <w:i/>
                <w:noProof/>
                <w:color w:val="000000"/>
                <w:sz w:val="22"/>
                <w:lang w:eastAsia="en-GB"/>
              </w:rPr>
              <w:t>Capital cost [1]</w:t>
            </w: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r>
              <w:rPr>
                <w:rFonts w:eastAsia="Times New Roman" w:cs="Times New Roman"/>
                <w:i/>
                <w:noProof/>
                <w:color w:val="000000"/>
                <w:sz w:val="22"/>
                <w:lang w:eastAsia="en-GB"/>
              </w:rPr>
              <w:t>Base</w:t>
            </w:r>
          </w:p>
        </w:tc>
        <w:tc>
          <w:tcPr>
            <w:tcW w:w="57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2,049 </w:t>
            </w:r>
          </w:p>
        </w:tc>
        <w:tc>
          <w:tcPr>
            <w:tcW w:w="116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8,488 </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11,692 </w:t>
            </w:r>
          </w:p>
        </w:tc>
        <w:tc>
          <w:tcPr>
            <w:tcW w:w="465"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14,601 </w:t>
            </w:r>
          </w:p>
        </w:tc>
      </w:tr>
      <w:tr w:rsidR="003E180D" w:rsidTr="008830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1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r>
              <w:rPr>
                <w:rFonts w:eastAsia="Times New Roman" w:cs="Times New Roman"/>
                <w:i/>
                <w:noProof/>
                <w:color w:val="000000"/>
                <w:sz w:val="22"/>
                <w:lang w:eastAsia="en-GB"/>
              </w:rPr>
              <w:t>High</w:t>
            </w:r>
          </w:p>
        </w:tc>
        <w:tc>
          <w:tcPr>
            <w:tcW w:w="57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6,037 </w:t>
            </w:r>
          </w:p>
        </w:tc>
        <w:tc>
          <w:tcPr>
            <w:tcW w:w="116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20,952 </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22,912 </w:t>
            </w:r>
          </w:p>
        </w:tc>
        <w:tc>
          <w:tcPr>
            <w:tcW w:w="465"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25,854 </w:t>
            </w:r>
          </w:p>
        </w:tc>
      </w:tr>
      <w:tr w:rsidR="003E180D" w:rsidTr="008830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1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r>
              <w:rPr>
                <w:rFonts w:eastAsia="Times New Roman" w:cs="Times New Roman"/>
                <w:i/>
                <w:noProof/>
                <w:color w:val="000000"/>
                <w:sz w:val="22"/>
                <w:lang w:eastAsia="en-GB"/>
              </w:rPr>
              <w:t>Fuel Savings [2]</w:t>
            </w: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r>
              <w:rPr>
                <w:rFonts w:eastAsia="Times New Roman" w:cs="Times New Roman"/>
                <w:i/>
                <w:noProof/>
                <w:color w:val="000000"/>
                <w:sz w:val="22"/>
                <w:lang w:eastAsia="en-GB"/>
              </w:rPr>
              <w:t>Base</w:t>
            </w:r>
          </w:p>
        </w:tc>
        <w:tc>
          <w:tcPr>
            <w:tcW w:w="57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24,081 </w:t>
            </w:r>
          </w:p>
        </w:tc>
        <w:tc>
          <w:tcPr>
            <w:tcW w:w="116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50,294 </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55,299 </w:t>
            </w:r>
          </w:p>
        </w:tc>
        <w:tc>
          <w:tcPr>
            <w:tcW w:w="465"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66,232 </w:t>
            </w:r>
          </w:p>
        </w:tc>
      </w:tr>
      <w:tr w:rsidR="003E180D" w:rsidTr="008830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1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i/>
                <w:noProof/>
                <w:color w:val="000000"/>
                <w:sz w:val="22"/>
                <w:lang w:eastAsia="en-GB"/>
              </w:rPr>
            </w:pPr>
            <w:r>
              <w:rPr>
                <w:rFonts w:eastAsia="Times New Roman" w:cs="Times New Roman"/>
                <w:i/>
                <w:noProof/>
                <w:color w:val="000000"/>
                <w:sz w:val="22"/>
                <w:lang w:eastAsia="en-GB"/>
              </w:rPr>
              <w:t>High</w:t>
            </w:r>
          </w:p>
        </w:tc>
        <w:tc>
          <w:tcPr>
            <w:tcW w:w="57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29,830 </w:t>
            </w:r>
          </w:p>
        </w:tc>
        <w:tc>
          <w:tcPr>
            <w:tcW w:w="116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59,451 </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69,306 </w:t>
            </w:r>
          </w:p>
        </w:tc>
        <w:tc>
          <w:tcPr>
            <w:tcW w:w="465"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noProof/>
                <w:sz w:val="22"/>
                <w:szCs w:val="24"/>
              </w:rPr>
            </w:pPr>
            <w:r>
              <w:rPr>
                <w:noProof/>
                <w:sz w:val="22"/>
              </w:rPr>
              <w:t xml:space="preserve">84,055 </w:t>
            </w:r>
          </w:p>
        </w:tc>
      </w:tr>
      <w:tr w:rsidR="003E180D" w:rsidTr="008830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1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b/>
                <w:i/>
                <w:noProof/>
                <w:color w:val="000000"/>
                <w:sz w:val="22"/>
                <w:lang w:eastAsia="en-GB"/>
              </w:rPr>
            </w:pPr>
            <w:r>
              <w:rPr>
                <w:rFonts w:eastAsia="Times New Roman" w:cs="Times New Roman"/>
                <w:b/>
                <w:i/>
                <w:noProof/>
                <w:color w:val="000000"/>
                <w:sz w:val="22"/>
                <w:lang w:eastAsia="en-GB"/>
              </w:rPr>
              <w:t>Net Savings [2] - [1]</w:t>
            </w: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b/>
                <w:i/>
                <w:noProof/>
                <w:color w:val="000000"/>
                <w:sz w:val="22"/>
                <w:lang w:eastAsia="en-GB"/>
              </w:rPr>
            </w:pPr>
            <w:r>
              <w:rPr>
                <w:rFonts w:eastAsia="Times New Roman" w:cs="Times New Roman"/>
                <w:b/>
                <w:i/>
                <w:noProof/>
                <w:color w:val="000000"/>
                <w:sz w:val="22"/>
                <w:lang w:eastAsia="en-GB"/>
              </w:rPr>
              <w:t>Base</w:t>
            </w:r>
          </w:p>
        </w:tc>
        <w:tc>
          <w:tcPr>
            <w:tcW w:w="57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b/>
                <w:noProof/>
                <w:sz w:val="22"/>
                <w:szCs w:val="24"/>
              </w:rPr>
            </w:pPr>
            <w:r>
              <w:rPr>
                <w:b/>
                <w:noProof/>
                <w:sz w:val="22"/>
              </w:rPr>
              <w:t xml:space="preserve">22,032 </w:t>
            </w:r>
          </w:p>
        </w:tc>
        <w:tc>
          <w:tcPr>
            <w:tcW w:w="116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b/>
                <w:noProof/>
                <w:sz w:val="22"/>
                <w:szCs w:val="24"/>
              </w:rPr>
            </w:pPr>
            <w:r>
              <w:rPr>
                <w:b/>
                <w:noProof/>
                <w:sz w:val="22"/>
              </w:rPr>
              <w:t xml:space="preserve">41,805 </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b/>
                <w:noProof/>
                <w:sz w:val="22"/>
                <w:szCs w:val="24"/>
              </w:rPr>
            </w:pPr>
            <w:r>
              <w:rPr>
                <w:b/>
                <w:noProof/>
                <w:sz w:val="22"/>
              </w:rPr>
              <w:t xml:space="preserve">43,608 </w:t>
            </w:r>
          </w:p>
        </w:tc>
        <w:tc>
          <w:tcPr>
            <w:tcW w:w="465"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b/>
                <w:noProof/>
                <w:sz w:val="22"/>
                <w:szCs w:val="24"/>
              </w:rPr>
            </w:pPr>
            <w:r>
              <w:rPr>
                <w:b/>
                <w:noProof/>
                <w:sz w:val="22"/>
              </w:rPr>
              <w:t xml:space="preserve">51,630 </w:t>
            </w:r>
          </w:p>
        </w:tc>
      </w:tr>
      <w:tr w:rsidR="003E180D" w:rsidTr="008830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1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b/>
                <w:i/>
                <w:noProof/>
                <w:color w:val="000000"/>
                <w:sz w:val="22"/>
                <w:lang w:eastAsia="en-GB"/>
              </w:rPr>
            </w:pP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80D" w:rsidRDefault="003E180D" w:rsidP="0088305C">
            <w:pPr>
              <w:spacing w:after="0"/>
              <w:rPr>
                <w:rFonts w:eastAsia="Times New Roman" w:cs="Times New Roman"/>
                <w:b/>
                <w:i/>
                <w:noProof/>
                <w:color w:val="000000"/>
                <w:sz w:val="22"/>
                <w:lang w:eastAsia="en-GB"/>
              </w:rPr>
            </w:pPr>
            <w:r>
              <w:rPr>
                <w:rFonts w:eastAsia="Times New Roman" w:cs="Times New Roman"/>
                <w:b/>
                <w:i/>
                <w:noProof/>
                <w:color w:val="000000"/>
                <w:sz w:val="22"/>
                <w:lang w:eastAsia="en-GB"/>
              </w:rPr>
              <w:t>High</w:t>
            </w:r>
          </w:p>
        </w:tc>
        <w:tc>
          <w:tcPr>
            <w:tcW w:w="57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b/>
                <w:noProof/>
                <w:sz w:val="22"/>
                <w:szCs w:val="24"/>
              </w:rPr>
            </w:pPr>
            <w:r>
              <w:rPr>
                <w:b/>
                <w:noProof/>
                <w:sz w:val="22"/>
              </w:rPr>
              <w:t xml:space="preserve">23,793 </w:t>
            </w:r>
          </w:p>
        </w:tc>
        <w:tc>
          <w:tcPr>
            <w:tcW w:w="116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b/>
                <w:noProof/>
                <w:sz w:val="22"/>
                <w:szCs w:val="24"/>
              </w:rPr>
            </w:pPr>
            <w:r>
              <w:rPr>
                <w:b/>
                <w:noProof/>
                <w:sz w:val="22"/>
              </w:rPr>
              <w:t xml:space="preserve">38,499 </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b/>
                <w:noProof/>
                <w:sz w:val="22"/>
                <w:szCs w:val="24"/>
              </w:rPr>
            </w:pPr>
            <w:r>
              <w:rPr>
                <w:b/>
                <w:noProof/>
                <w:sz w:val="22"/>
              </w:rPr>
              <w:t xml:space="preserve">46,394 </w:t>
            </w:r>
          </w:p>
        </w:tc>
        <w:tc>
          <w:tcPr>
            <w:tcW w:w="465"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E180D" w:rsidRDefault="003E180D" w:rsidP="0088305C">
            <w:pPr>
              <w:spacing w:after="0"/>
              <w:jc w:val="center"/>
              <w:rPr>
                <w:b/>
                <w:noProof/>
                <w:sz w:val="22"/>
                <w:szCs w:val="24"/>
              </w:rPr>
            </w:pPr>
            <w:r>
              <w:rPr>
                <w:b/>
                <w:noProof/>
                <w:sz w:val="22"/>
              </w:rPr>
              <w:t xml:space="preserve">58,200 </w:t>
            </w:r>
          </w:p>
        </w:tc>
      </w:tr>
    </w:tbl>
    <w:p w:rsidR="003E180D" w:rsidRDefault="003E180D" w:rsidP="003E180D">
      <w:pPr>
        <w:tabs>
          <w:tab w:val="left" w:pos="1995"/>
          <w:tab w:val="left" w:pos="4416"/>
          <w:tab w:val="left" w:pos="5716"/>
          <w:tab w:val="left" w:pos="6956"/>
          <w:tab w:val="left" w:pos="8196"/>
          <w:tab w:val="left" w:pos="9590"/>
          <w:tab w:val="left" w:pos="10930"/>
          <w:tab w:val="left" w:pos="12119"/>
          <w:tab w:val="left" w:pos="13476"/>
        </w:tabs>
        <w:spacing w:after="0" w:line="240" w:lineRule="auto"/>
        <w:rPr>
          <w:noProof/>
          <w:sz w:val="20"/>
        </w:rPr>
      </w:pPr>
      <w:bookmarkStart w:id="793" w:name="_Toc508181064"/>
      <w:bookmarkStart w:id="794" w:name="_Toc508186655"/>
      <w:r>
        <w:rPr>
          <w:noProof/>
          <w:sz w:val="20"/>
        </w:rPr>
        <w:t>* Results for TL30NL in 2030 are very similar to those for TL30</w:t>
      </w:r>
    </w:p>
    <w:p w:rsidR="003E180D" w:rsidRDefault="003E180D" w:rsidP="003E180D">
      <w:pPr>
        <w:pStyle w:val="Heading2"/>
        <w:numPr>
          <w:ilvl w:val="1"/>
          <w:numId w:val="22"/>
        </w:numPr>
        <w:spacing w:before="240" w:after="240"/>
        <w:rPr>
          <w:noProof/>
        </w:rPr>
      </w:pPr>
      <w:bookmarkStart w:id="795" w:name="_Ref494118363"/>
      <w:bookmarkStart w:id="796" w:name="_Toc510708138"/>
      <w:bookmarkStart w:id="797" w:name="_Toc508129692"/>
      <w:bookmarkStart w:id="798" w:name="_Toc508124807"/>
      <w:bookmarkStart w:id="799" w:name="_Toc508126171"/>
      <w:bookmarkStart w:id="800" w:name="_Toc508127544"/>
      <w:bookmarkStart w:id="801" w:name="_Toc508127898"/>
      <w:bookmarkStart w:id="802" w:name="_Toc508181065"/>
      <w:bookmarkStart w:id="803" w:name="_Toc508186656"/>
      <w:bookmarkStart w:id="804" w:name="_Toc514328835"/>
      <w:bookmarkEnd w:id="759"/>
      <w:bookmarkEnd w:id="760"/>
      <w:bookmarkEnd w:id="761"/>
      <w:bookmarkEnd w:id="762"/>
      <w:bookmarkEnd w:id="763"/>
      <w:bookmarkEnd w:id="793"/>
      <w:bookmarkEnd w:id="794"/>
      <w:r>
        <w:rPr>
          <w:noProof/>
        </w:rPr>
        <w:t xml:space="preserve">Sensitivity – economic impacts </w:t>
      </w:r>
      <w:r>
        <w:rPr>
          <w:i/>
          <w:noProof/>
        </w:rPr>
        <w:t>with varying international oil price</w:t>
      </w:r>
      <w:bookmarkEnd w:id="795"/>
      <w:bookmarkEnd w:id="796"/>
      <w:bookmarkEnd w:id="804"/>
    </w:p>
    <w:p w:rsidR="003E180D" w:rsidRDefault="003E180D" w:rsidP="003E180D">
      <w:pPr>
        <w:spacing w:after="120" w:line="240" w:lineRule="auto"/>
        <w:jc w:val="both"/>
        <w:rPr>
          <w:noProof/>
        </w:rPr>
      </w:pPr>
      <w:r>
        <w:rPr>
          <w:noProof/>
        </w:rPr>
        <w:t>Section 6.2.4.2 of the Impact Assessment shows the net economic savings (from different perspectives) from different CO</w:t>
      </w:r>
      <w:r>
        <w:rPr>
          <w:noProof/>
          <w:vertAlign w:val="subscript"/>
        </w:rPr>
        <w:t>2</w:t>
      </w:r>
      <w:r>
        <w:rPr>
          <w:noProof/>
        </w:rPr>
        <w:t xml:space="preserve"> target levels. The fuel price projections used for the calculation of the fuel savings are those used in the Reference Scenario 2016</w:t>
      </w:r>
      <w:r>
        <w:rPr>
          <w:noProof/>
          <w:vertAlign w:val="superscript"/>
        </w:rPr>
        <w:footnoteReference w:id="79"/>
      </w:r>
      <w:r>
        <w:rPr>
          <w:noProof/>
        </w:rPr>
        <w:t xml:space="preserve">, both for the baseline and for the policy options. </w:t>
      </w:r>
    </w:p>
    <w:p w:rsidR="003E180D" w:rsidRDefault="003E180D" w:rsidP="003E180D">
      <w:pPr>
        <w:spacing w:after="120" w:line="240" w:lineRule="auto"/>
        <w:jc w:val="both"/>
        <w:rPr>
          <w:noProof/>
        </w:rPr>
      </w:pPr>
      <w:r>
        <w:rPr>
          <w:noProof/>
        </w:rPr>
        <w:t>As a sensitivity analysis, it is relevant to assess the changes to the net economic savings in case of different international fuel price projections. Therefore a scenario is considered assuming a different evolution of the fuel prices. The new projected fuel price used for this sensitivity in 2030 is about 25% lower than in the assumptions used for the Reference Scenario 2016.</w:t>
      </w:r>
    </w:p>
    <w:p w:rsidR="003E180D" w:rsidRDefault="003E180D" w:rsidP="003E180D">
      <w:pPr>
        <w:spacing w:after="120" w:line="240" w:lineRule="auto"/>
        <w:jc w:val="both"/>
        <w:rPr>
          <w:noProof/>
          <w:color w:val="000000" w:themeColor="text1"/>
        </w:rPr>
      </w:pPr>
      <w:r>
        <w:rPr>
          <w:noProof/>
        </w:rPr>
        <w:t xml:space="preserve">The </w:t>
      </w:r>
      <w:r>
        <w:rPr>
          <w:noProof/>
          <w:color w:val="000000" w:themeColor="text1"/>
        </w:rPr>
        <w:t>economic analysis was repeated with the lower international fuel prices, both in the baseline and for the various options for the target levels (using the base cost assumptions).</w:t>
      </w:r>
    </w:p>
    <w:p w:rsidR="003E180D" w:rsidRDefault="003E180D" w:rsidP="003E180D">
      <w:pPr>
        <w:spacing w:after="120" w:line="240" w:lineRule="auto"/>
        <w:jc w:val="both"/>
        <w:rPr>
          <w:noProof/>
          <w:color w:val="000000" w:themeColor="text1"/>
        </w:rPr>
      </w:pPr>
      <w:r>
        <w:rPr>
          <w:noProof/>
          <w:color w:val="000000" w:themeColor="text1"/>
        </w:rPr>
        <w:fldChar w:fldCharType="begin"/>
      </w:r>
      <w:r>
        <w:rPr>
          <w:noProof/>
          <w:color w:val="000000" w:themeColor="text1"/>
        </w:rPr>
        <w:instrText xml:space="preserve"> REF _Ref494106956 \h  \* MERGEFORMAT </w:instrText>
      </w:r>
      <w:r>
        <w:rPr>
          <w:noProof/>
          <w:color w:val="000000" w:themeColor="text1"/>
        </w:rPr>
      </w:r>
      <w:r>
        <w:rPr>
          <w:noProof/>
          <w:color w:val="000000" w:themeColor="text1"/>
        </w:rPr>
        <w:fldChar w:fldCharType="separate"/>
      </w:r>
      <w:r>
        <w:rPr>
          <w:noProof/>
          <w:color w:val="000000" w:themeColor="text1"/>
        </w:rPr>
        <w:t>Table 17</w:t>
      </w:r>
      <w:r>
        <w:rPr>
          <w:noProof/>
          <w:color w:val="000000" w:themeColor="text1"/>
        </w:rPr>
        <w:fldChar w:fldCharType="end"/>
      </w:r>
      <w:r>
        <w:rPr>
          <w:noProof/>
          <w:color w:val="000000" w:themeColor="text1"/>
        </w:rPr>
        <w:t xml:space="preserve">, </w:t>
      </w:r>
      <w:r>
        <w:rPr>
          <w:noProof/>
          <w:color w:val="000000" w:themeColor="text1"/>
        </w:rPr>
        <w:fldChar w:fldCharType="begin"/>
      </w:r>
      <w:r>
        <w:rPr>
          <w:noProof/>
          <w:color w:val="000000" w:themeColor="text1"/>
        </w:rPr>
        <w:instrText xml:space="preserve"> REF _Ref510711951 \h  \* MERGEFORMAT </w:instrText>
      </w:r>
      <w:r>
        <w:rPr>
          <w:noProof/>
          <w:color w:val="000000" w:themeColor="text1"/>
        </w:rPr>
      </w:r>
      <w:r>
        <w:rPr>
          <w:noProof/>
          <w:color w:val="000000" w:themeColor="text1"/>
        </w:rPr>
        <w:fldChar w:fldCharType="separate"/>
      </w:r>
      <w:r>
        <w:rPr>
          <w:rFonts w:cs="Times New Roman"/>
          <w:noProof/>
          <w:color w:val="000000" w:themeColor="text1"/>
          <w:szCs w:val="24"/>
        </w:rPr>
        <w:t>Table 18</w:t>
      </w:r>
      <w:r>
        <w:rPr>
          <w:noProof/>
          <w:color w:val="000000" w:themeColor="text1"/>
        </w:rPr>
        <w:fldChar w:fldCharType="end"/>
      </w:r>
      <w:r>
        <w:rPr>
          <w:noProof/>
          <w:color w:val="000000" w:themeColor="text1"/>
        </w:rPr>
        <w:t xml:space="preserve"> and </w:t>
      </w:r>
      <w:r>
        <w:rPr>
          <w:noProof/>
          <w:color w:val="000000" w:themeColor="text1"/>
        </w:rPr>
        <w:fldChar w:fldCharType="begin"/>
      </w:r>
      <w:r>
        <w:rPr>
          <w:noProof/>
          <w:color w:val="000000" w:themeColor="text1"/>
        </w:rPr>
        <w:instrText xml:space="preserve"> REF _Ref510711952 \h  \* MERGEFORMAT </w:instrText>
      </w:r>
      <w:r>
        <w:rPr>
          <w:noProof/>
          <w:color w:val="000000" w:themeColor="text1"/>
        </w:rPr>
      </w:r>
      <w:r>
        <w:rPr>
          <w:noProof/>
          <w:color w:val="000000" w:themeColor="text1"/>
        </w:rPr>
        <w:fldChar w:fldCharType="separate"/>
      </w:r>
      <w:r>
        <w:rPr>
          <w:rFonts w:cs="Times New Roman"/>
          <w:noProof/>
          <w:color w:val="000000" w:themeColor="text1"/>
          <w:szCs w:val="24"/>
        </w:rPr>
        <w:t>Table 19</w:t>
      </w:r>
      <w:r>
        <w:rPr>
          <w:noProof/>
          <w:color w:val="000000" w:themeColor="text1"/>
        </w:rPr>
        <w:fldChar w:fldCharType="end"/>
      </w:r>
      <w:r>
        <w:rPr>
          <w:noProof/>
          <w:color w:val="000000" w:themeColor="text1"/>
        </w:rPr>
        <w:t xml:space="preserve"> show the results for the net economic savings from a societal perspective, a first use perspective and a second use perspective, respectively. </w:t>
      </w:r>
    </w:p>
    <w:p w:rsidR="003E180D" w:rsidRDefault="003E180D" w:rsidP="003E180D">
      <w:pPr>
        <w:spacing w:after="120" w:line="240" w:lineRule="auto"/>
        <w:jc w:val="both"/>
        <w:rPr>
          <w:noProof/>
        </w:rPr>
      </w:pPr>
      <w:r>
        <w:rPr>
          <w:noProof/>
          <w:color w:val="000000" w:themeColor="text1"/>
        </w:rPr>
        <w:t>This shows that even with the lower oil prices, the CO</w:t>
      </w:r>
      <w:r>
        <w:rPr>
          <w:noProof/>
          <w:color w:val="000000" w:themeColor="text1"/>
          <w:vertAlign w:val="subscript"/>
        </w:rPr>
        <w:t>2</w:t>
      </w:r>
      <w:r>
        <w:rPr>
          <w:noProof/>
          <w:color w:val="000000" w:themeColor="text1"/>
        </w:rPr>
        <w:t xml:space="preserve"> </w:t>
      </w:r>
      <w:r>
        <w:rPr>
          <w:noProof/>
        </w:rPr>
        <w:t>targets continue to have a positive economic effect for all levels considered, with fuel savings continuing to significantly outweigh increased capital expenditures for more efficient vehicles.</w:t>
      </w:r>
    </w:p>
    <w:p w:rsidR="003E180D" w:rsidRDefault="003E180D" w:rsidP="003E180D">
      <w:pPr>
        <w:spacing w:before="120" w:after="120" w:line="240" w:lineRule="auto"/>
        <w:jc w:val="both"/>
        <w:rPr>
          <w:rFonts w:cs="Times New Roman"/>
          <w:b/>
          <w:noProof/>
          <w:color w:val="000000" w:themeColor="text1"/>
          <w:szCs w:val="24"/>
        </w:rPr>
      </w:pPr>
      <w:bookmarkStart w:id="805" w:name="_Ref494106956"/>
      <w:r>
        <w:rPr>
          <w:rFonts w:cs="Times New Roman"/>
          <w:b/>
          <w:noProof/>
          <w:color w:val="000000" w:themeColor="text1"/>
          <w:szCs w:val="24"/>
        </w:rPr>
        <w:t xml:space="preserve">Table </w:t>
      </w:r>
      <w:r>
        <w:rPr>
          <w:rFonts w:cs="Times New Roman"/>
          <w:b/>
          <w:noProof/>
          <w:color w:val="000000" w:themeColor="text1"/>
          <w:szCs w:val="24"/>
        </w:rPr>
        <w:fldChar w:fldCharType="begin"/>
      </w:r>
      <w:r>
        <w:rPr>
          <w:rFonts w:cs="Times New Roman"/>
          <w:b/>
          <w:noProof/>
          <w:color w:val="000000" w:themeColor="text1"/>
          <w:szCs w:val="24"/>
        </w:rPr>
        <w:instrText xml:space="preserve"> SEQ Table \* ARABIC </w:instrText>
      </w:r>
      <w:r>
        <w:rPr>
          <w:rFonts w:cs="Times New Roman"/>
          <w:b/>
          <w:noProof/>
          <w:color w:val="000000" w:themeColor="text1"/>
          <w:szCs w:val="24"/>
        </w:rPr>
        <w:fldChar w:fldCharType="separate"/>
      </w:r>
      <w:r>
        <w:rPr>
          <w:rFonts w:cs="Times New Roman"/>
          <w:b/>
          <w:noProof/>
          <w:color w:val="000000" w:themeColor="text1"/>
          <w:szCs w:val="24"/>
        </w:rPr>
        <w:t>17</w:t>
      </w:r>
      <w:r>
        <w:rPr>
          <w:rFonts w:cs="Times New Roman"/>
          <w:b/>
          <w:noProof/>
          <w:color w:val="000000" w:themeColor="text1"/>
          <w:szCs w:val="24"/>
        </w:rPr>
        <w:fldChar w:fldCharType="end"/>
      </w:r>
      <w:bookmarkEnd w:id="805"/>
      <w:r>
        <w:rPr>
          <w:rFonts w:cs="Times New Roman"/>
          <w:b/>
          <w:noProof/>
          <w:color w:val="000000" w:themeColor="text1"/>
          <w:szCs w:val="24"/>
        </w:rPr>
        <w:t>: Net economic savings over the vehicle lifetime from a societal perspective in 2025 and 2030 (EUR/lorry) under different TL options in case of a lower international fuel price and using the base cost assumptions</w:t>
      </w:r>
    </w:p>
    <w:tbl>
      <w:tblPr>
        <w:tblStyle w:val="TableGrid"/>
        <w:tblW w:w="5000" w:type="pct"/>
        <w:tblLook w:val="04A0" w:firstRow="1" w:lastRow="0" w:firstColumn="1" w:lastColumn="0" w:noHBand="0" w:noVBand="1"/>
      </w:tblPr>
      <w:tblGrid>
        <w:gridCol w:w="1748"/>
        <w:gridCol w:w="1417"/>
        <w:gridCol w:w="1417"/>
        <w:gridCol w:w="1417"/>
        <w:gridCol w:w="1417"/>
        <w:gridCol w:w="1417"/>
      </w:tblGrid>
      <w:tr w:rsidR="003E180D" w:rsidTr="0088305C">
        <w:trPr>
          <w:trHeight w:val="255"/>
        </w:trPr>
        <w:tc>
          <w:tcPr>
            <w:tcW w:w="989" w:type="pct"/>
            <w:tcBorders>
              <w:bottom w:val="single" w:sz="4" w:space="0" w:color="auto"/>
            </w:tcBorders>
            <w:vAlign w:val="center"/>
          </w:tcPr>
          <w:p w:rsidR="003E180D" w:rsidRDefault="003E180D" w:rsidP="0088305C">
            <w:pPr>
              <w:spacing w:after="120"/>
              <w:rPr>
                <w:b/>
                <w:noProof/>
                <w:color w:val="000000" w:themeColor="text1"/>
                <w:szCs w:val="24"/>
              </w:rPr>
            </w:pPr>
            <w:r>
              <w:rPr>
                <w:noProof/>
                <w:color w:val="000000" w:themeColor="text1"/>
                <w:szCs w:val="24"/>
              </w:rPr>
              <w:t>2025</w:t>
            </w:r>
          </w:p>
        </w:tc>
        <w:tc>
          <w:tcPr>
            <w:tcW w:w="802" w:type="pct"/>
            <w:tcBorders>
              <w:bottom w:val="single" w:sz="4" w:space="0" w:color="auto"/>
            </w:tcBorders>
            <w:noWrap/>
            <w:vAlign w:val="bottom"/>
          </w:tcPr>
          <w:p w:rsidR="003E180D" w:rsidRDefault="003E180D" w:rsidP="0088305C">
            <w:pPr>
              <w:jc w:val="center"/>
              <w:rPr>
                <w:b/>
                <w:noProof/>
                <w:color w:val="000000" w:themeColor="text1"/>
                <w:szCs w:val="24"/>
              </w:rPr>
            </w:pPr>
            <w:r>
              <w:rPr>
                <w:b/>
                <w:noProof/>
                <w:color w:val="000000" w:themeColor="text1"/>
                <w:szCs w:val="24"/>
              </w:rPr>
              <w:t>TL20</w:t>
            </w:r>
          </w:p>
          <w:p w:rsidR="003E180D" w:rsidRDefault="003E180D" w:rsidP="0088305C">
            <w:pPr>
              <w:spacing w:after="120"/>
              <w:jc w:val="center"/>
              <w:rPr>
                <w:b/>
                <w:noProof/>
                <w:color w:val="000000" w:themeColor="text1"/>
                <w:szCs w:val="24"/>
              </w:rPr>
            </w:pPr>
            <w:r>
              <w:rPr>
                <w:b/>
                <w:noProof/>
                <w:color w:val="000000" w:themeColor="text1"/>
                <w:szCs w:val="24"/>
              </w:rPr>
              <w:t>(10%)</w:t>
            </w:r>
          </w:p>
        </w:tc>
        <w:tc>
          <w:tcPr>
            <w:tcW w:w="802" w:type="pct"/>
            <w:tcBorders>
              <w:bottom w:val="single" w:sz="4" w:space="0" w:color="auto"/>
            </w:tcBorders>
            <w:vAlign w:val="bottom"/>
          </w:tcPr>
          <w:p w:rsidR="003E180D" w:rsidRDefault="003E180D" w:rsidP="0088305C">
            <w:pPr>
              <w:jc w:val="center"/>
              <w:rPr>
                <w:b/>
                <w:noProof/>
                <w:color w:val="000000" w:themeColor="text1"/>
                <w:szCs w:val="24"/>
              </w:rPr>
            </w:pPr>
            <w:r>
              <w:rPr>
                <w:b/>
                <w:noProof/>
                <w:color w:val="000000" w:themeColor="text1"/>
                <w:szCs w:val="24"/>
              </w:rPr>
              <w:t>TL30NL</w:t>
            </w:r>
          </w:p>
          <w:p w:rsidR="003E180D" w:rsidRDefault="003E180D" w:rsidP="0088305C">
            <w:pPr>
              <w:spacing w:after="120"/>
              <w:jc w:val="center"/>
              <w:rPr>
                <w:b/>
                <w:noProof/>
                <w:color w:val="000000" w:themeColor="text1"/>
                <w:szCs w:val="24"/>
              </w:rPr>
            </w:pPr>
            <w:r>
              <w:rPr>
                <w:b/>
                <w:noProof/>
                <w:color w:val="000000" w:themeColor="text1"/>
                <w:szCs w:val="24"/>
              </w:rPr>
              <w:t>(12.5%)</w:t>
            </w:r>
          </w:p>
        </w:tc>
        <w:tc>
          <w:tcPr>
            <w:tcW w:w="802" w:type="pct"/>
            <w:tcBorders>
              <w:bottom w:val="single" w:sz="4" w:space="0" w:color="auto"/>
            </w:tcBorders>
            <w:noWrap/>
            <w:vAlign w:val="bottom"/>
          </w:tcPr>
          <w:p w:rsidR="003E180D" w:rsidRDefault="003E180D" w:rsidP="0088305C">
            <w:pPr>
              <w:jc w:val="center"/>
              <w:rPr>
                <w:b/>
                <w:noProof/>
                <w:color w:val="000000" w:themeColor="text1"/>
                <w:szCs w:val="24"/>
              </w:rPr>
            </w:pPr>
            <w:r>
              <w:rPr>
                <w:b/>
                <w:noProof/>
                <w:color w:val="000000" w:themeColor="text1"/>
                <w:szCs w:val="24"/>
              </w:rPr>
              <w:t>TL30</w:t>
            </w:r>
          </w:p>
          <w:p w:rsidR="003E180D" w:rsidRDefault="003E180D" w:rsidP="0088305C">
            <w:pPr>
              <w:spacing w:after="120"/>
              <w:jc w:val="center"/>
              <w:rPr>
                <w:b/>
                <w:noProof/>
                <w:color w:val="000000" w:themeColor="text1"/>
                <w:szCs w:val="24"/>
              </w:rPr>
            </w:pPr>
            <w:r>
              <w:rPr>
                <w:b/>
                <w:noProof/>
                <w:color w:val="000000" w:themeColor="text1"/>
                <w:szCs w:val="24"/>
              </w:rPr>
              <w:t>(15%)</w:t>
            </w:r>
          </w:p>
        </w:tc>
        <w:tc>
          <w:tcPr>
            <w:tcW w:w="802" w:type="pct"/>
            <w:tcBorders>
              <w:bottom w:val="single" w:sz="4" w:space="0" w:color="auto"/>
            </w:tcBorders>
            <w:noWrap/>
            <w:vAlign w:val="bottom"/>
          </w:tcPr>
          <w:p w:rsidR="003E180D" w:rsidRDefault="003E180D" w:rsidP="0088305C">
            <w:pPr>
              <w:jc w:val="center"/>
              <w:rPr>
                <w:b/>
                <w:noProof/>
                <w:color w:val="000000" w:themeColor="text1"/>
                <w:szCs w:val="24"/>
              </w:rPr>
            </w:pPr>
            <w:r>
              <w:rPr>
                <w:b/>
                <w:noProof/>
                <w:color w:val="000000" w:themeColor="text1"/>
                <w:szCs w:val="24"/>
              </w:rPr>
              <w:t>TL32</w:t>
            </w:r>
          </w:p>
          <w:p w:rsidR="003E180D" w:rsidRDefault="003E180D" w:rsidP="0088305C">
            <w:pPr>
              <w:spacing w:after="120"/>
              <w:jc w:val="center"/>
              <w:rPr>
                <w:b/>
                <w:noProof/>
                <w:color w:val="000000" w:themeColor="text1"/>
                <w:szCs w:val="24"/>
              </w:rPr>
            </w:pPr>
            <w:r>
              <w:rPr>
                <w:b/>
                <w:noProof/>
                <w:color w:val="000000" w:themeColor="text1"/>
                <w:szCs w:val="24"/>
              </w:rPr>
              <w:t>(17.5%)</w:t>
            </w:r>
          </w:p>
        </w:tc>
        <w:tc>
          <w:tcPr>
            <w:tcW w:w="802" w:type="pct"/>
            <w:tcBorders>
              <w:bottom w:val="single" w:sz="4" w:space="0" w:color="auto"/>
            </w:tcBorders>
            <w:vAlign w:val="bottom"/>
          </w:tcPr>
          <w:p w:rsidR="003E180D" w:rsidRDefault="003E180D" w:rsidP="0088305C">
            <w:pPr>
              <w:jc w:val="center"/>
              <w:rPr>
                <w:b/>
                <w:noProof/>
                <w:color w:val="000000" w:themeColor="text1"/>
                <w:szCs w:val="24"/>
              </w:rPr>
            </w:pPr>
            <w:r>
              <w:rPr>
                <w:b/>
                <w:noProof/>
                <w:color w:val="000000" w:themeColor="text1"/>
                <w:szCs w:val="24"/>
              </w:rPr>
              <w:t>TL35</w:t>
            </w:r>
          </w:p>
          <w:p w:rsidR="003E180D" w:rsidRDefault="003E180D" w:rsidP="0088305C">
            <w:pPr>
              <w:spacing w:after="120"/>
              <w:jc w:val="center"/>
              <w:rPr>
                <w:b/>
                <w:noProof/>
                <w:color w:val="000000" w:themeColor="text1"/>
                <w:szCs w:val="24"/>
              </w:rPr>
            </w:pPr>
            <w:r>
              <w:rPr>
                <w:b/>
                <w:noProof/>
                <w:color w:val="000000" w:themeColor="text1"/>
                <w:szCs w:val="24"/>
              </w:rPr>
              <w:t>(20%)</w:t>
            </w:r>
          </w:p>
        </w:tc>
      </w:tr>
      <w:tr w:rsidR="003E180D" w:rsidTr="0088305C">
        <w:trPr>
          <w:trHeight w:val="255"/>
        </w:trPr>
        <w:tc>
          <w:tcPr>
            <w:tcW w:w="989" w:type="pct"/>
            <w:tcBorders>
              <w:top w:val="single" w:sz="4" w:space="0" w:color="auto"/>
            </w:tcBorders>
            <w:vAlign w:val="center"/>
          </w:tcPr>
          <w:p w:rsidR="003E180D" w:rsidRDefault="003E180D" w:rsidP="0088305C">
            <w:pPr>
              <w:spacing w:after="120"/>
              <w:rPr>
                <w:noProof/>
                <w:color w:val="000000" w:themeColor="text1"/>
                <w:szCs w:val="24"/>
              </w:rPr>
            </w:pPr>
            <w:r>
              <w:rPr>
                <w:b/>
                <w:i/>
                <w:noProof/>
                <w:color w:val="000000" w:themeColor="text1"/>
                <w:szCs w:val="24"/>
              </w:rPr>
              <w:t>Net Savings</w:t>
            </w:r>
          </w:p>
        </w:tc>
        <w:tc>
          <w:tcPr>
            <w:tcW w:w="802" w:type="pct"/>
            <w:tcBorders>
              <w:top w:val="single" w:sz="4" w:space="0" w:color="auto"/>
            </w:tcBorders>
            <w:noWrap/>
            <w:vAlign w:val="center"/>
          </w:tcPr>
          <w:p w:rsidR="003E180D" w:rsidRDefault="003E180D" w:rsidP="0088305C">
            <w:pPr>
              <w:spacing w:after="120"/>
              <w:jc w:val="center"/>
              <w:rPr>
                <w:noProof/>
                <w:color w:val="000000" w:themeColor="text1"/>
                <w:szCs w:val="24"/>
              </w:rPr>
            </w:pPr>
            <w:r>
              <w:rPr>
                <w:rFonts w:cstheme="minorBidi"/>
                <w:noProof/>
                <w:color w:val="000000" w:themeColor="text1"/>
                <w:szCs w:val="24"/>
                <w:lang w:val="fr-BE" w:eastAsia="fr-BE"/>
              </w:rPr>
              <w:t>5,888</w:t>
            </w:r>
          </w:p>
        </w:tc>
        <w:tc>
          <w:tcPr>
            <w:tcW w:w="802" w:type="pct"/>
            <w:tcBorders>
              <w:top w:val="single" w:sz="4" w:space="0" w:color="auto"/>
            </w:tcBorders>
            <w:vAlign w:val="center"/>
          </w:tcPr>
          <w:p w:rsidR="003E180D" w:rsidRDefault="003E180D" w:rsidP="0088305C">
            <w:pPr>
              <w:spacing w:after="120"/>
              <w:jc w:val="center"/>
              <w:rPr>
                <w:noProof/>
                <w:color w:val="000000" w:themeColor="text1"/>
                <w:szCs w:val="24"/>
              </w:rPr>
            </w:pPr>
            <w:r>
              <w:rPr>
                <w:rFonts w:cstheme="minorBidi"/>
                <w:noProof/>
                <w:color w:val="000000" w:themeColor="text1"/>
                <w:szCs w:val="24"/>
                <w:lang w:val="fr-BE" w:eastAsia="fr-BE"/>
              </w:rPr>
              <w:t>12,028</w:t>
            </w:r>
          </w:p>
        </w:tc>
        <w:tc>
          <w:tcPr>
            <w:tcW w:w="802" w:type="pct"/>
            <w:tcBorders>
              <w:top w:val="single" w:sz="4" w:space="0" w:color="auto"/>
            </w:tcBorders>
            <w:noWrap/>
            <w:vAlign w:val="center"/>
          </w:tcPr>
          <w:p w:rsidR="003E180D" w:rsidRDefault="003E180D" w:rsidP="0088305C">
            <w:pPr>
              <w:spacing w:after="120"/>
              <w:jc w:val="center"/>
              <w:rPr>
                <w:noProof/>
                <w:color w:val="000000" w:themeColor="text1"/>
                <w:szCs w:val="24"/>
              </w:rPr>
            </w:pPr>
            <w:r>
              <w:rPr>
                <w:rFonts w:cstheme="minorBidi"/>
                <w:noProof/>
                <w:color w:val="000000" w:themeColor="text1"/>
                <w:szCs w:val="24"/>
                <w:lang w:val="fr-BE" w:eastAsia="fr-BE"/>
              </w:rPr>
              <w:t>19,872</w:t>
            </w:r>
          </w:p>
        </w:tc>
        <w:tc>
          <w:tcPr>
            <w:tcW w:w="802" w:type="pct"/>
            <w:tcBorders>
              <w:top w:val="single" w:sz="4" w:space="0" w:color="auto"/>
            </w:tcBorders>
            <w:noWrap/>
            <w:vAlign w:val="center"/>
          </w:tcPr>
          <w:p w:rsidR="003E180D" w:rsidRDefault="003E180D" w:rsidP="0088305C">
            <w:pPr>
              <w:spacing w:after="120"/>
              <w:jc w:val="center"/>
              <w:rPr>
                <w:noProof/>
                <w:color w:val="000000" w:themeColor="text1"/>
                <w:szCs w:val="24"/>
              </w:rPr>
            </w:pPr>
            <w:r>
              <w:rPr>
                <w:rFonts w:cstheme="minorBidi"/>
                <w:noProof/>
                <w:color w:val="000000" w:themeColor="text1"/>
                <w:szCs w:val="24"/>
                <w:lang w:val="fr-BE" w:eastAsia="fr-BE"/>
              </w:rPr>
              <w:t>24,992</w:t>
            </w:r>
          </w:p>
        </w:tc>
        <w:tc>
          <w:tcPr>
            <w:tcW w:w="802" w:type="pct"/>
            <w:tcBorders>
              <w:top w:val="single" w:sz="4" w:space="0" w:color="auto"/>
            </w:tcBorders>
            <w:vAlign w:val="center"/>
          </w:tcPr>
          <w:p w:rsidR="003E180D" w:rsidRDefault="003E180D" w:rsidP="0088305C">
            <w:pPr>
              <w:spacing w:after="120"/>
              <w:jc w:val="center"/>
              <w:rPr>
                <w:noProof/>
                <w:color w:val="000000" w:themeColor="text1"/>
                <w:szCs w:val="24"/>
              </w:rPr>
            </w:pPr>
            <w:r>
              <w:rPr>
                <w:rFonts w:cstheme="minorBidi"/>
                <w:noProof/>
                <w:color w:val="000000" w:themeColor="text1"/>
                <w:szCs w:val="24"/>
                <w:lang w:val="fr-BE" w:eastAsia="fr-BE"/>
              </w:rPr>
              <w:t>31,568</w:t>
            </w:r>
          </w:p>
        </w:tc>
      </w:tr>
      <w:tr w:rsidR="003E180D" w:rsidTr="0088305C">
        <w:trPr>
          <w:trHeight w:val="255"/>
        </w:trPr>
        <w:tc>
          <w:tcPr>
            <w:tcW w:w="989" w:type="pct"/>
            <w:tcBorders>
              <w:bottom w:val="single" w:sz="4" w:space="0" w:color="auto"/>
            </w:tcBorders>
            <w:vAlign w:val="center"/>
          </w:tcPr>
          <w:p w:rsidR="003E180D" w:rsidRDefault="003E180D" w:rsidP="0088305C">
            <w:pPr>
              <w:spacing w:after="120"/>
              <w:rPr>
                <w:b/>
                <w:noProof/>
                <w:color w:val="000000" w:themeColor="text1"/>
                <w:szCs w:val="24"/>
              </w:rPr>
            </w:pPr>
            <w:r>
              <w:rPr>
                <w:noProof/>
                <w:color w:val="000000" w:themeColor="text1"/>
                <w:szCs w:val="24"/>
              </w:rPr>
              <w:t>2030</w:t>
            </w:r>
          </w:p>
        </w:tc>
        <w:tc>
          <w:tcPr>
            <w:tcW w:w="802" w:type="pct"/>
            <w:tcBorders>
              <w:bottom w:val="single" w:sz="4" w:space="0" w:color="auto"/>
            </w:tcBorders>
            <w:noWrap/>
          </w:tcPr>
          <w:p w:rsidR="003E180D" w:rsidRDefault="003E180D" w:rsidP="0088305C">
            <w:pPr>
              <w:spacing w:after="120"/>
              <w:jc w:val="center"/>
              <w:rPr>
                <w:b/>
                <w:noProof/>
                <w:color w:val="000000" w:themeColor="text1"/>
                <w:szCs w:val="24"/>
              </w:rPr>
            </w:pPr>
            <w:r>
              <w:rPr>
                <w:b/>
                <w:noProof/>
                <w:color w:val="000000" w:themeColor="text1"/>
                <w:szCs w:val="24"/>
              </w:rPr>
              <w:t>TL20</w:t>
            </w:r>
            <w:r>
              <w:rPr>
                <w:b/>
                <w:noProof/>
                <w:color w:val="000000" w:themeColor="text1"/>
                <w:szCs w:val="24"/>
              </w:rPr>
              <w:br/>
              <w:t>(20%)</w:t>
            </w:r>
          </w:p>
        </w:tc>
        <w:tc>
          <w:tcPr>
            <w:tcW w:w="1604" w:type="pct"/>
            <w:gridSpan w:val="2"/>
            <w:tcBorders>
              <w:bottom w:val="single" w:sz="4" w:space="0" w:color="auto"/>
            </w:tcBorders>
          </w:tcPr>
          <w:p w:rsidR="003E180D" w:rsidRDefault="003E180D" w:rsidP="0088305C">
            <w:pPr>
              <w:spacing w:after="120"/>
              <w:jc w:val="center"/>
              <w:rPr>
                <w:b/>
                <w:noProof/>
                <w:color w:val="000000" w:themeColor="text1"/>
                <w:szCs w:val="24"/>
              </w:rPr>
            </w:pPr>
            <w:r>
              <w:rPr>
                <w:b/>
                <w:noProof/>
                <w:color w:val="000000" w:themeColor="text1"/>
                <w:szCs w:val="24"/>
              </w:rPr>
              <w:t>TL30*</w:t>
            </w:r>
            <w:r>
              <w:rPr>
                <w:b/>
                <w:noProof/>
                <w:color w:val="000000" w:themeColor="text1"/>
                <w:szCs w:val="24"/>
              </w:rPr>
              <w:br/>
              <w:t>(30%)</w:t>
            </w:r>
          </w:p>
        </w:tc>
        <w:tc>
          <w:tcPr>
            <w:tcW w:w="802" w:type="pct"/>
            <w:tcBorders>
              <w:bottom w:val="single" w:sz="4" w:space="0" w:color="auto"/>
            </w:tcBorders>
            <w:noWrap/>
          </w:tcPr>
          <w:p w:rsidR="003E180D" w:rsidRDefault="003E180D" w:rsidP="0088305C">
            <w:pPr>
              <w:spacing w:after="120"/>
              <w:jc w:val="center"/>
              <w:rPr>
                <w:b/>
                <w:noProof/>
                <w:color w:val="000000" w:themeColor="text1"/>
                <w:szCs w:val="24"/>
              </w:rPr>
            </w:pPr>
            <w:r>
              <w:rPr>
                <w:b/>
                <w:noProof/>
                <w:color w:val="000000" w:themeColor="text1"/>
                <w:szCs w:val="24"/>
              </w:rPr>
              <w:t>TL32</w:t>
            </w:r>
            <w:r>
              <w:rPr>
                <w:b/>
                <w:noProof/>
                <w:color w:val="000000" w:themeColor="text1"/>
                <w:szCs w:val="24"/>
              </w:rPr>
              <w:br/>
              <w:t>(32%)</w:t>
            </w:r>
          </w:p>
        </w:tc>
        <w:tc>
          <w:tcPr>
            <w:tcW w:w="802" w:type="pct"/>
            <w:tcBorders>
              <w:bottom w:val="single" w:sz="4" w:space="0" w:color="auto"/>
            </w:tcBorders>
          </w:tcPr>
          <w:p w:rsidR="003E180D" w:rsidRDefault="003E180D" w:rsidP="0088305C">
            <w:pPr>
              <w:spacing w:after="120"/>
              <w:jc w:val="center"/>
              <w:rPr>
                <w:b/>
                <w:noProof/>
                <w:color w:val="000000" w:themeColor="text1"/>
                <w:szCs w:val="24"/>
              </w:rPr>
            </w:pPr>
            <w:r>
              <w:rPr>
                <w:b/>
                <w:noProof/>
                <w:color w:val="000000" w:themeColor="text1"/>
                <w:szCs w:val="24"/>
              </w:rPr>
              <w:t>TL35</w:t>
            </w:r>
            <w:r>
              <w:rPr>
                <w:b/>
                <w:noProof/>
                <w:color w:val="000000" w:themeColor="text1"/>
                <w:szCs w:val="24"/>
              </w:rPr>
              <w:br/>
              <w:t>(35%)</w:t>
            </w:r>
          </w:p>
        </w:tc>
      </w:tr>
      <w:tr w:rsidR="003E180D" w:rsidTr="0088305C">
        <w:trPr>
          <w:trHeight w:val="255"/>
        </w:trPr>
        <w:tc>
          <w:tcPr>
            <w:tcW w:w="989" w:type="pct"/>
            <w:tcBorders>
              <w:top w:val="single" w:sz="4" w:space="0" w:color="auto"/>
            </w:tcBorders>
            <w:vAlign w:val="center"/>
          </w:tcPr>
          <w:p w:rsidR="003E180D" w:rsidRDefault="003E180D" w:rsidP="0088305C">
            <w:pPr>
              <w:spacing w:after="120"/>
              <w:rPr>
                <w:noProof/>
                <w:color w:val="000000" w:themeColor="text1"/>
                <w:szCs w:val="24"/>
              </w:rPr>
            </w:pPr>
            <w:r>
              <w:rPr>
                <w:b/>
                <w:i/>
                <w:noProof/>
                <w:color w:val="000000" w:themeColor="text1"/>
                <w:szCs w:val="24"/>
              </w:rPr>
              <w:t>Net Savings</w:t>
            </w:r>
          </w:p>
        </w:tc>
        <w:tc>
          <w:tcPr>
            <w:tcW w:w="802" w:type="pct"/>
            <w:tcBorders>
              <w:top w:val="single" w:sz="4" w:space="0" w:color="auto"/>
            </w:tcBorders>
            <w:noWrap/>
            <w:vAlign w:val="center"/>
          </w:tcPr>
          <w:p w:rsidR="003E180D" w:rsidRDefault="003E180D" w:rsidP="0088305C">
            <w:pPr>
              <w:spacing w:after="120"/>
              <w:jc w:val="center"/>
              <w:rPr>
                <w:noProof/>
                <w:color w:val="000000" w:themeColor="text1"/>
                <w:szCs w:val="24"/>
              </w:rPr>
            </w:pPr>
            <w:r>
              <w:rPr>
                <w:rFonts w:cstheme="minorBidi"/>
                <w:noProof/>
                <w:color w:val="000000" w:themeColor="text1"/>
                <w:szCs w:val="24"/>
                <w:lang w:val="fr-BE" w:eastAsia="fr-BE"/>
              </w:rPr>
              <w:t>24,888</w:t>
            </w:r>
          </w:p>
        </w:tc>
        <w:tc>
          <w:tcPr>
            <w:tcW w:w="1604" w:type="pct"/>
            <w:gridSpan w:val="2"/>
            <w:tcBorders>
              <w:top w:val="single" w:sz="4" w:space="0" w:color="auto"/>
            </w:tcBorders>
            <w:vAlign w:val="center"/>
          </w:tcPr>
          <w:p w:rsidR="003E180D" w:rsidRDefault="003E180D" w:rsidP="0088305C">
            <w:pPr>
              <w:spacing w:after="120"/>
              <w:jc w:val="center"/>
              <w:rPr>
                <w:noProof/>
                <w:color w:val="000000" w:themeColor="text1"/>
                <w:szCs w:val="24"/>
              </w:rPr>
            </w:pPr>
            <w:r>
              <w:rPr>
                <w:rFonts w:cstheme="minorBidi"/>
                <w:noProof/>
                <w:color w:val="000000" w:themeColor="text1"/>
                <w:szCs w:val="24"/>
                <w:lang w:val="fr-BE" w:eastAsia="fr-BE"/>
              </w:rPr>
              <w:t>42,481</w:t>
            </w:r>
          </w:p>
        </w:tc>
        <w:tc>
          <w:tcPr>
            <w:tcW w:w="802" w:type="pct"/>
            <w:tcBorders>
              <w:top w:val="single" w:sz="4" w:space="0" w:color="auto"/>
            </w:tcBorders>
            <w:noWrap/>
            <w:vAlign w:val="center"/>
          </w:tcPr>
          <w:p w:rsidR="003E180D" w:rsidRDefault="003E180D" w:rsidP="0088305C">
            <w:pPr>
              <w:spacing w:after="120"/>
              <w:jc w:val="center"/>
              <w:rPr>
                <w:noProof/>
                <w:color w:val="000000" w:themeColor="text1"/>
                <w:szCs w:val="24"/>
              </w:rPr>
            </w:pPr>
            <w:r>
              <w:rPr>
                <w:rFonts w:cstheme="minorBidi"/>
                <w:noProof/>
                <w:color w:val="000000" w:themeColor="text1"/>
                <w:szCs w:val="24"/>
                <w:lang w:val="fr-BE" w:eastAsia="fr-BE"/>
              </w:rPr>
              <w:t>41,588</w:t>
            </w:r>
          </w:p>
        </w:tc>
        <w:tc>
          <w:tcPr>
            <w:tcW w:w="802" w:type="pct"/>
            <w:tcBorders>
              <w:top w:val="single" w:sz="4" w:space="0" w:color="auto"/>
            </w:tcBorders>
            <w:vAlign w:val="center"/>
          </w:tcPr>
          <w:p w:rsidR="003E180D" w:rsidRDefault="003E180D" w:rsidP="0088305C">
            <w:pPr>
              <w:spacing w:after="120"/>
              <w:jc w:val="center"/>
              <w:rPr>
                <w:noProof/>
                <w:color w:val="000000" w:themeColor="text1"/>
                <w:szCs w:val="24"/>
              </w:rPr>
            </w:pPr>
            <w:r>
              <w:rPr>
                <w:rFonts w:cstheme="minorBidi"/>
                <w:noProof/>
                <w:color w:val="000000" w:themeColor="text1"/>
                <w:szCs w:val="24"/>
                <w:lang w:val="fr-BE" w:eastAsia="fr-BE"/>
              </w:rPr>
              <w:t>43,910</w:t>
            </w:r>
          </w:p>
        </w:tc>
      </w:tr>
    </w:tbl>
    <w:p w:rsidR="003E180D" w:rsidRDefault="003E180D" w:rsidP="003E180D">
      <w:pPr>
        <w:tabs>
          <w:tab w:val="left" w:pos="1995"/>
          <w:tab w:val="left" w:pos="4416"/>
          <w:tab w:val="left" w:pos="5716"/>
          <w:tab w:val="left" w:pos="6956"/>
          <w:tab w:val="left" w:pos="8196"/>
          <w:tab w:val="left" w:pos="9590"/>
          <w:tab w:val="left" w:pos="10930"/>
          <w:tab w:val="left" w:pos="12119"/>
          <w:tab w:val="left" w:pos="13476"/>
        </w:tabs>
        <w:spacing w:after="0" w:line="240" w:lineRule="auto"/>
        <w:rPr>
          <w:noProof/>
          <w:sz w:val="20"/>
        </w:rPr>
      </w:pPr>
      <w:bookmarkStart w:id="806" w:name="_Ref494106962"/>
      <w:r>
        <w:rPr>
          <w:noProof/>
          <w:sz w:val="20"/>
        </w:rPr>
        <w:t>* Results for TL30NL in 2030 are very similar to those for TL30</w:t>
      </w:r>
    </w:p>
    <w:p w:rsidR="003E180D" w:rsidRDefault="003E180D" w:rsidP="003E180D">
      <w:pPr>
        <w:spacing w:before="120" w:after="120" w:line="240" w:lineRule="auto"/>
        <w:jc w:val="both"/>
        <w:rPr>
          <w:rFonts w:cs="Times New Roman"/>
          <w:b/>
          <w:noProof/>
          <w:color w:val="000000" w:themeColor="text1"/>
          <w:szCs w:val="24"/>
        </w:rPr>
      </w:pPr>
    </w:p>
    <w:p w:rsidR="003E180D" w:rsidRDefault="003E180D" w:rsidP="003E180D">
      <w:pPr>
        <w:spacing w:before="120" w:after="120" w:line="240" w:lineRule="auto"/>
        <w:jc w:val="both"/>
        <w:rPr>
          <w:rFonts w:cs="Times New Roman"/>
          <w:b/>
          <w:noProof/>
          <w:color w:val="000000" w:themeColor="text1"/>
          <w:szCs w:val="24"/>
        </w:rPr>
      </w:pPr>
      <w:bookmarkStart w:id="807" w:name="_Ref510711951"/>
      <w:r>
        <w:rPr>
          <w:rFonts w:cs="Times New Roman"/>
          <w:b/>
          <w:noProof/>
          <w:color w:val="000000" w:themeColor="text1"/>
          <w:szCs w:val="24"/>
        </w:rPr>
        <w:t xml:space="preserve">Table </w:t>
      </w:r>
      <w:r>
        <w:rPr>
          <w:rFonts w:cs="Times New Roman"/>
          <w:b/>
          <w:noProof/>
          <w:color w:val="000000" w:themeColor="text1"/>
          <w:szCs w:val="24"/>
        </w:rPr>
        <w:fldChar w:fldCharType="begin"/>
      </w:r>
      <w:r>
        <w:rPr>
          <w:rFonts w:cs="Times New Roman"/>
          <w:b/>
          <w:noProof/>
          <w:color w:val="000000" w:themeColor="text1"/>
          <w:szCs w:val="24"/>
        </w:rPr>
        <w:instrText xml:space="preserve"> SEQ Table \* ARABIC </w:instrText>
      </w:r>
      <w:r>
        <w:rPr>
          <w:rFonts w:cs="Times New Roman"/>
          <w:b/>
          <w:noProof/>
          <w:color w:val="000000" w:themeColor="text1"/>
          <w:szCs w:val="24"/>
        </w:rPr>
        <w:fldChar w:fldCharType="separate"/>
      </w:r>
      <w:r>
        <w:rPr>
          <w:rFonts w:cs="Times New Roman"/>
          <w:b/>
          <w:noProof/>
          <w:color w:val="000000" w:themeColor="text1"/>
          <w:szCs w:val="24"/>
        </w:rPr>
        <w:t>18</w:t>
      </w:r>
      <w:r>
        <w:rPr>
          <w:rFonts w:cs="Times New Roman"/>
          <w:noProof/>
          <w:color w:val="000000" w:themeColor="text1"/>
          <w:szCs w:val="24"/>
        </w:rPr>
        <w:fldChar w:fldCharType="end"/>
      </w:r>
      <w:bookmarkEnd w:id="806"/>
      <w:bookmarkEnd w:id="807"/>
      <w:r>
        <w:rPr>
          <w:rFonts w:cs="Times New Roman"/>
          <w:b/>
          <w:noProof/>
          <w:color w:val="000000" w:themeColor="text1"/>
          <w:szCs w:val="24"/>
        </w:rPr>
        <w:t>: Net economic savings from a first use (5 years) perspective in 2025 and 2030 (EUR/lorry) under different TL options in case of a lower international fuel price and using the base cost assumptions</w:t>
      </w:r>
    </w:p>
    <w:tbl>
      <w:tblPr>
        <w:tblStyle w:val="TableGrid"/>
        <w:tblW w:w="5000" w:type="pct"/>
        <w:tblLook w:val="04A0" w:firstRow="1" w:lastRow="0" w:firstColumn="1" w:lastColumn="0" w:noHBand="0" w:noVBand="1"/>
      </w:tblPr>
      <w:tblGrid>
        <w:gridCol w:w="1748"/>
        <w:gridCol w:w="1417"/>
        <w:gridCol w:w="1417"/>
        <w:gridCol w:w="1417"/>
        <w:gridCol w:w="1417"/>
        <w:gridCol w:w="1417"/>
      </w:tblGrid>
      <w:tr w:rsidR="003E180D" w:rsidTr="0088305C">
        <w:trPr>
          <w:trHeight w:val="255"/>
        </w:trPr>
        <w:tc>
          <w:tcPr>
            <w:tcW w:w="989" w:type="pct"/>
            <w:tcBorders>
              <w:bottom w:val="single" w:sz="4" w:space="0" w:color="auto"/>
            </w:tcBorders>
            <w:vAlign w:val="center"/>
          </w:tcPr>
          <w:p w:rsidR="003E180D" w:rsidRDefault="003E180D" w:rsidP="0088305C">
            <w:pPr>
              <w:spacing w:after="120"/>
              <w:rPr>
                <w:b/>
                <w:noProof/>
                <w:color w:val="000000" w:themeColor="text1"/>
                <w:szCs w:val="24"/>
              </w:rPr>
            </w:pPr>
            <w:r>
              <w:rPr>
                <w:noProof/>
                <w:color w:val="000000" w:themeColor="text1"/>
                <w:szCs w:val="24"/>
              </w:rPr>
              <w:t>2025</w:t>
            </w:r>
          </w:p>
        </w:tc>
        <w:tc>
          <w:tcPr>
            <w:tcW w:w="802" w:type="pct"/>
            <w:tcBorders>
              <w:bottom w:val="single" w:sz="4" w:space="0" w:color="auto"/>
            </w:tcBorders>
            <w:noWrap/>
            <w:vAlign w:val="bottom"/>
          </w:tcPr>
          <w:p w:rsidR="003E180D" w:rsidRDefault="003E180D" w:rsidP="0088305C">
            <w:pPr>
              <w:jc w:val="center"/>
              <w:rPr>
                <w:b/>
                <w:noProof/>
                <w:color w:val="000000" w:themeColor="text1"/>
                <w:szCs w:val="24"/>
              </w:rPr>
            </w:pPr>
            <w:r>
              <w:rPr>
                <w:b/>
                <w:noProof/>
                <w:color w:val="000000" w:themeColor="text1"/>
                <w:szCs w:val="24"/>
              </w:rPr>
              <w:t>TL20</w:t>
            </w:r>
          </w:p>
          <w:p w:rsidR="003E180D" w:rsidRDefault="003E180D" w:rsidP="0088305C">
            <w:pPr>
              <w:spacing w:after="120"/>
              <w:jc w:val="center"/>
              <w:rPr>
                <w:b/>
                <w:noProof/>
                <w:color w:val="000000" w:themeColor="text1"/>
                <w:szCs w:val="24"/>
              </w:rPr>
            </w:pPr>
            <w:r>
              <w:rPr>
                <w:b/>
                <w:noProof/>
                <w:color w:val="000000" w:themeColor="text1"/>
                <w:szCs w:val="24"/>
              </w:rPr>
              <w:t>(10%)</w:t>
            </w:r>
          </w:p>
        </w:tc>
        <w:tc>
          <w:tcPr>
            <w:tcW w:w="802" w:type="pct"/>
            <w:tcBorders>
              <w:bottom w:val="single" w:sz="4" w:space="0" w:color="auto"/>
            </w:tcBorders>
            <w:vAlign w:val="bottom"/>
          </w:tcPr>
          <w:p w:rsidR="003E180D" w:rsidRDefault="003E180D" w:rsidP="0088305C">
            <w:pPr>
              <w:jc w:val="center"/>
              <w:rPr>
                <w:b/>
                <w:noProof/>
                <w:color w:val="000000" w:themeColor="text1"/>
                <w:szCs w:val="24"/>
              </w:rPr>
            </w:pPr>
            <w:r>
              <w:rPr>
                <w:b/>
                <w:noProof/>
                <w:color w:val="000000" w:themeColor="text1"/>
                <w:szCs w:val="24"/>
              </w:rPr>
              <w:t>TL30NL</w:t>
            </w:r>
          </w:p>
          <w:p w:rsidR="003E180D" w:rsidRDefault="003E180D" w:rsidP="0088305C">
            <w:pPr>
              <w:spacing w:after="120"/>
              <w:jc w:val="center"/>
              <w:rPr>
                <w:b/>
                <w:noProof/>
                <w:color w:val="000000" w:themeColor="text1"/>
                <w:szCs w:val="24"/>
              </w:rPr>
            </w:pPr>
            <w:r>
              <w:rPr>
                <w:b/>
                <w:noProof/>
                <w:color w:val="000000" w:themeColor="text1"/>
                <w:szCs w:val="24"/>
              </w:rPr>
              <w:t>(12.5%)</w:t>
            </w:r>
          </w:p>
        </w:tc>
        <w:tc>
          <w:tcPr>
            <w:tcW w:w="802" w:type="pct"/>
            <w:tcBorders>
              <w:bottom w:val="single" w:sz="4" w:space="0" w:color="auto"/>
            </w:tcBorders>
            <w:noWrap/>
            <w:vAlign w:val="bottom"/>
          </w:tcPr>
          <w:p w:rsidR="003E180D" w:rsidRDefault="003E180D" w:rsidP="0088305C">
            <w:pPr>
              <w:jc w:val="center"/>
              <w:rPr>
                <w:b/>
                <w:noProof/>
                <w:color w:val="000000" w:themeColor="text1"/>
                <w:szCs w:val="24"/>
              </w:rPr>
            </w:pPr>
            <w:r>
              <w:rPr>
                <w:b/>
                <w:noProof/>
                <w:color w:val="000000" w:themeColor="text1"/>
                <w:szCs w:val="24"/>
              </w:rPr>
              <w:t>TL30</w:t>
            </w:r>
          </w:p>
          <w:p w:rsidR="003E180D" w:rsidRDefault="003E180D" w:rsidP="0088305C">
            <w:pPr>
              <w:spacing w:after="120"/>
              <w:jc w:val="center"/>
              <w:rPr>
                <w:b/>
                <w:noProof/>
                <w:color w:val="000000" w:themeColor="text1"/>
                <w:szCs w:val="24"/>
              </w:rPr>
            </w:pPr>
            <w:r>
              <w:rPr>
                <w:b/>
                <w:noProof/>
                <w:color w:val="000000" w:themeColor="text1"/>
                <w:szCs w:val="24"/>
              </w:rPr>
              <w:t>(15%)</w:t>
            </w:r>
          </w:p>
        </w:tc>
        <w:tc>
          <w:tcPr>
            <w:tcW w:w="802" w:type="pct"/>
            <w:tcBorders>
              <w:bottom w:val="single" w:sz="4" w:space="0" w:color="auto"/>
            </w:tcBorders>
            <w:noWrap/>
            <w:vAlign w:val="bottom"/>
          </w:tcPr>
          <w:p w:rsidR="003E180D" w:rsidRDefault="003E180D" w:rsidP="0088305C">
            <w:pPr>
              <w:jc w:val="center"/>
              <w:rPr>
                <w:b/>
                <w:noProof/>
                <w:color w:val="000000" w:themeColor="text1"/>
                <w:szCs w:val="24"/>
              </w:rPr>
            </w:pPr>
            <w:r>
              <w:rPr>
                <w:b/>
                <w:noProof/>
                <w:color w:val="000000" w:themeColor="text1"/>
                <w:szCs w:val="24"/>
              </w:rPr>
              <w:t>TL32</w:t>
            </w:r>
          </w:p>
          <w:p w:rsidR="003E180D" w:rsidRDefault="003E180D" w:rsidP="0088305C">
            <w:pPr>
              <w:spacing w:after="120"/>
              <w:jc w:val="center"/>
              <w:rPr>
                <w:b/>
                <w:noProof/>
                <w:color w:val="000000" w:themeColor="text1"/>
                <w:szCs w:val="24"/>
              </w:rPr>
            </w:pPr>
            <w:r>
              <w:rPr>
                <w:b/>
                <w:noProof/>
                <w:color w:val="000000" w:themeColor="text1"/>
                <w:szCs w:val="24"/>
              </w:rPr>
              <w:t>(17.5%)</w:t>
            </w:r>
          </w:p>
        </w:tc>
        <w:tc>
          <w:tcPr>
            <w:tcW w:w="802" w:type="pct"/>
            <w:tcBorders>
              <w:bottom w:val="single" w:sz="4" w:space="0" w:color="auto"/>
            </w:tcBorders>
            <w:vAlign w:val="bottom"/>
          </w:tcPr>
          <w:p w:rsidR="003E180D" w:rsidRDefault="003E180D" w:rsidP="0088305C">
            <w:pPr>
              <w:jc w:val="center"/>
              <w:rPr>
                <w:b/>
                <w:noProof/>
                <w:color w:val="000000" w:themeColor="text1"/>
                <w:szCs w:val="24"/>
              </w:rPr>
            </w:pPr>
            <w:r>
              <w:rPr>
                <w:b/>
                <w:noProof/>
                <w:color w:val="000000" w:themeColor="text1"/>
                <w:szCs w:val="24"/>
              </w:rPr>
              <w:t>TL35</w:t>
            </w:r>
          </w:p>
          <w:p w:rsidR="003E180D" w:rsidRDefault="003E180D" w:rsidP="0088305C">
            <w:pPr>
              <w:spacing w:after="120"/>
              <w:jc w:val="center"/>
              <w:rPr>
                <w:b/>
                <w:noProof/>
                <w:color w:val="000000" w:themeColor="text1"/>
                <w:szCs w:val="24"/>
              </w:rPr>
            </w:pPr>
            <w:r>
              <w:rPr>
                <w:b/>
                <w:noProof/>
                <w:color w:val="000000" w:themeColor="text1"/>
                <w:szCs w:val="24"/>
              </w:rPr>
              <w:t>(20%)</w:t>
            </w:r>
          </w:p>
        </w:tc>
      </w:tr>
      <w:tr w:rsidR="003E180D" w:rsidTr="0088305C">
        <w:trPr>
          <w:trHeight w:val="255"/>
        </w:trPr>
        <w:tc>
          <w:tcPr>
            <w:tcW w:w="989" w:type="pct"/>
            <w:tcBorders>
              <w:top w:val="single" w:sz="4" w:space="0" w:color="auto"/>
            </w:tcBorders>
            <w:vAlign w:val="center"/>
          </w:tcPr>
          <w:p w:rsidR="003E180D" w:rsidRDefault="003E180D" w:rsidP="0088305C">
            <w:pPr>
              <w:spacing w:after="120"/>
              <w:rPr>
                <w:noProof/>
                <w:color w:val="000000" w:themeColor="text1"/>
                <w:szCs w:val="24"/>
              </w:rPr>
            </w:pPr>
            <w:r>
              <w:rPr>
                <w:b/>
                <w:i/>
                <w:noProof/>
                <w:color w:val="000000" w:themeColor="text1"/>
                <w:szCs w:val="24"/>
              </w:rPr>
              <w:t>Net Savings</w:t>
            </w:r>
          </w:p>
        </w:tc>
        <w:tc>
          <w:tcPr>
            <w:tcW w:w="802" w:type="pct"/>
            <w:tcBorders>
              <w:top w:val="single" w:sz="4" w:space="0" w:color="auto"/>
            </w:tcBorders>
            <w:noWrap/>
            <w:vAlign w:val="center"/>
          </w:tcPr>
          <w:p w:rsidR="003E180D" w:rsidRDefault="003E180D" w:rsidP="0088305C">
            <w:pPr>
              <w:spacing w:after="120"/>
              <w:jc w:val="center"/>
              <w:rPr>
                <w:noProof/>
                <w:color w:val="000000" w:themeColor="text1"/>
                <w:szCs w:val="24"/>
              </w:rPr>
            </w:pPr>
            <w:r>
              <w:rPr>
                <w:rFonts w:cstheme="minorBidi"/>
                <w:noProof/>
                <w:color w:val="000000"/>
                <w:szCs w:val="24"/>
                <w:lang w:val="fr-BE" w:eastAsia="fr-BE"/>
              </w:rPr>
              <w:t>5,372</w:t>
            </w:r>
          </w:p>
        </w:tc>
        <w:tc>
          <w:tcPr>
            <w:tcW w:w="802" w:type="pct"/>
            <w:tcBorders>
              <w:top w:val="single" w:sz="4" w:space="0" w:color="auto"/>
            </w:tcBorders>
            <w:vAlign w:val="center"/>
          </w:tcPr>
          <w:p w:rsidR="003E180D" w:rsidRDefault="003E180D" w:rsidP="0088305C">
            <w:pPr>
              <w:spacing w:after="120"/>
              <w:jc w:val="center"/>
              <w:rPr>
                <w:noProof/>
                <w:color w:val="000000" w:themeColor="text1"/>
                <w:szCs w:val="24"/>
              </w:rPr>
            </w:pPr>
            <w:r>
              <w:rPr>
                <w:rFonts w:cstheme="minorBidi"/>
                <w:noProof/>
                <w:color w:val="000000"/>
                <w:szCs w:val="24"/>
                <w:lang w:val="fr-BE" w:eastAsia="fr-BE"/>
              </w:rPr>
              <w:t>10,750</w:t>
            </w:r>
          </w:p>
        </w:tc>
        <w:tc>
          <w:tcPr>
            <w:tcW w:w="802" w:type="pct"/>
            <w:tcBorders>
              <w:top w:val="single" w:sz="4" w:space="0" w:color="auto"/>
            </w:tcBorders>
            <w:noWrap/>
            <w:vAlign w:val="center"/>
          </w:tcPr>
          <w:p w:rsidR="003E180D" w:rsidRDefault="003E180D" w:rsidP="0088305C">
            <w:pPr>
              <w:spacing w:after="120"/>
              <w:jc w:val="center"/>
              <w:rPr>
                <w:noProof/>
                <w:color w:val="000000" w:themeColor="text1"/>
                <w:szCs w:val="24"/>
              </w:rPr>
            </w:pPr>
            <w:r>
              <w:rPr>
                <w:rFonts w:cstheme="minorBidi"/>
                <w:noProof/>
                <w:color w:val="000000"/>
                <w:szCs w:val="24"/>
                <w:lang w:val="fr-BE" w:eastAsia="fr-BE"/>
              </w:rPr>
              <w:t>17,146</w:t>
            </w:r>
          </w:p>
        </w:tc>
        <w:tc>
          <w:tcPr>
            <w:tcW w:w="802" w:type="pct"/>
            <w:tcBorders>
              <w:top w:val="single" w:sz="4" w:space="0" w:color="auto"/>
            </w:tcBorders>
            <w:noWrap/>
            <w:vAlign w:val="center"/>
          </w:tcPr>
          <w:p w:rsidR="003E180D" w:rsidRDefault="003E180D" w:rsidP="0088305C">
            <w:pPr>
              <w:spacing w:after="120"/>
              <w:jc w:val="center"/>
              <w:rPr>
                <w:noProof/>
                <w:color w:val="000000" w:themeColor="text1"/>
                <w:szCs w:val="24"/>
              </w:rPr>
            </w:pPr>
            <w:r>
              <w:rPr>
                <w:rFonts w:cstheme="minorBidi"/>
                <w:noProof/>
                <w:color w:val="000000"/>
                <w:szCs w:val="24"/>
                <w:lang w:val="fr-BE" w:eastAsia="fr-BE"/>
              </w:rPr>
              <w:t>21,616</w:t>
            </w:r>
          </w:p>
        </w:tc>
        <w:tc>
          <w:tcPr>
            <w:tcW w:w="802" w:type="pct"/>
            <w:tcBorders>
              <w:top w:val="single" w:sz="4" w:space="0" w:color="auto"/>
            </w:tcBorders>
            <w:vAlign w:val="center"/>
          </w:tcPr>
          <w:p w:rsidR="003E180D" w:rsidRDefault="003E180D" w:rsidP="0088305C">
            <w:pPr>
              <w:spacing w:after="120"/>
              <w:jc w:val="center"/>
              <w:rPr>
                <w:noProof/>
                <w:color w:val="000000" w:themeColor="text1"/>
                <w:szCs w:val="24"/>
              </w:rPr>
            </w:pPr>
            <w:r>
              <w:rPr>
                <w:rFonts w:cstheme="minorBidi"/>
                <w:noProof/>
                <w:color w:val="000000"/>
                <w:szCs w:val="24"/>
                <w:lang w:val="fr-BE" w:eastAsia="fr-BE"/>
              </w:rPr>
              <w:t>27,529</w:t>
            </w:r>
          </w:p>
        </w:tc>
      </w:tr>
      <w:tr w:rsidR="003E180D" w:rsidTr="0088305C">
        <w:trPr>
          <w:trHeight w:val="255"/>
        </w:trPr>
        <w:tc>
          <w:tcPr>
            <w:tcW w:w="989" w:type="pct"/>
            <w:tcBorders>
              <w:bottom w:val="single" w:sz="4" w:space="0" w:color="auto"/>
            </w:tcBorders>
            <w:vAlign w:val="center"/>
          </w:tcPr>
          <w:p w:rsidR="003E180D" w:rsidRDefault="003E180D" w:rsidP="0088305C">
            <w:pPr>
              <w:spacing w:after="120"/>
              <w:rPr>
                <w:b/>
                <w:noProof/>
                <w:color w:val="000000" w:themeColor="text1"/>
                <w:szCs w:val="24"/>
              </w:rPr>
            </w:pPr>
            <w:r>
              <w:rPr>
                <w:noProof/>
                <w:color w:val="000000" w:themeColor="text1"/>
                <w:szCs w:val="24"/>
              </w:rPr>
              <w:t>2030</w:t>
            </w:r>
          </w:p>
        </w:tc>
        <w:tc>
          <w:tcPr>
            <w:tcW w:w="802" w:type="pct"/>
            <w:tcBorders>
              <w:bottom w:val="single" w:sz="4" w:space="0" w:color="auto"/>
            </w:tcBorders>
            <w:noWrap/>
          </w:tcPr>
          <w:p w:rsidR="003E180D" w:rsidRDefault="003E180D" w:rsidP="0088305C">
            <w:pPr>
              <w:spacing w:after="120"/>
              <w:jc w:val="center"/>
              <w:rPr>
                <w:b/>
                <w:noProof/>
                <w:color w:val="000000" w:themeColor="text1"/>
                <w:szCs w:val="24"/>
              </w:rPr>
            </w:pPr>
            <w:r>
              <w:rPr>
                <w:b/>
                <w:noProof/>
                <w:color w:val="000000" w:themeColor="text1"/>
                <w:szCs w:val="24"/>
              </w:rPr>
              <w:t>TL20</w:t>
            </w:r>
            <w:r>
              <w:rPr>
                <w:b/>
                <w:noProof/>
                <w:color w:val="000000" w:themeColor="text1"/>
                <w:szCs w:val="24"/>
              </w:rPr>
              <w:br/>
              <w:t>(20%)</w:t>
            </w:r>
          </w:p>
        </w:tc>
        <w:tc>
          <w:tcPr>
            <w:tcW w:w="1604" w:type="pct"/>
            <w:gridSpan w:val="2"/>
            <w:tcBorders>
              <w:bottom w:val="single" w:sz="4" w:space="0" w:color="auto"/>
            </w:tcBorders>
          </w:tcPr>
          <w:p w:rsidR="003E180D" w:rsidRDefault="003E180D" w:rsidP="0088305C">
            <w:pPr>
              <w:spacing w:after="120"/>
              <w:jc w:val="center"/>
              <w:rPr>
                <w:b/>
                <w:noProof/>
                <w:color w:val="000000" w:themeColor="text1"/>
                <w:szCs w:val="24"/>
              </w:rPr>
            </w:pPr>
            <w:r>
              <w:rPr>
                <w:b/>
                <w:noProof/>
                <w:color w:val="000000" w:themeColor="text1"/>
                <w:szCs w:val="24"/>
              </w:rPr>
              <w:t>TL30*</w:t>
            </w:r>
            <w:r>
              <w:rPr>
                <w:b/>
                <w:noProof/>
                <w:color w:val="000000" w:themeColor="text1"/>
                <w:szCs w:val="24"/>
              </w:rPr>
              <w:br/>
              <w:t>(30%)</w:t>
            </w:r>
          </w:p>
        </w:tc>
        <w:tc>
          <w:tcPr>
            <w:tcW w:w="802" w:type="pct"/>
            <w:tcBorders>
              <w:bottom w:val="single" w:sz="4" w:space="0" w:color="auto"/>
            </w:tcBorders>
            <w:noWrap/>
          </w:tcPr>
          <w:p w:rsidR="003E180D" w:rsidRDefault="003E180D" w:rsidP="0088305C">
            <w:pPr>
              <w:spacing w:after="120"/>
              <w:jc w:val="center"/>
              <w:rPr>
                <w:b/>
                <w:noProof/>
                <w:color w:val="000000" w:themeColor="text1"/>
                <w:szCs w:val="24"/>
              </w:rPr>
            </w:pPr>
            <w:r>
              <w:rPr>
                <w:b/>
                <w:noProof/>
                <w:color w:val="000000" w:themeColor="text1"/>
                <w:szCs w:val="24"/>
              </w:rPr>
              <w:t>TL32</w:t>
            </w:r>
            <w:r>
              <w:rPr>
                <w:b/>
                <w:noProof/>
                <w:color w:val="000000" w:themeColor="text1"/>
                <w:szCs w:val="24"/>
              </w:rPr>
              <w:br/>
              <w:t>(32%)</w:t>
            </w:r>
          </w:p>
        </w:tc>
        <w:tc>
          <w:tcPr>
            <w:tcW w:w="802" w:type="pct"/>
            <w:tcBorders>
              <w:bottom w:val="single" w:sz="4" w:space="0" w:color="auto"/>
            </w:tcBorders>
          </w:tcPr>
          <w:p w:rsidR="003E180D" w:rsidRDefault="003E180D" w:rsidP="0088305C">
            <w:pPr>
              <w:spacing w:after="120"/>
              <w:jc w:val="center"/>
              <w:rPr>
                <w:b/>
                <w:noProof/>
                <w:color w:val="000000" w:themeColor="text1"/>
                <w:szCs w:val="24"/>
              </w:rPr>
            </w:pPr>
            <w:r>
              <w:rPr>
                <w:b/>
                <w:noProof/>
                <w:color w:val="000000" w:themeColor="text1"/>
                <w:szCs w:val="24"/>
              </w:rPr>
              <w:t>TL35</w:t>
            </w:r>
            <w:r>
              <w:rPr>
                <w:b/>
                <w:noProof/>
                <w:color w:val="000000" w:themeColor="text1"/>
                <w:szCs w:val="24"/>
              </w:rPr>
              <w:br/>
              <w:t>(35%)</w:t>
            </w:r>
          </w:p>
        </w:tc>
      </w:tr>
      <w:tr w:rsidR="003E180D" w:rsidTr="0088305C">
        <w:trPr>
          <w:trHeight w:val="255"/>
        </w:trPr>
        <w:tc>
          <w:tcPr>
            <w:tcW w:w="989" w:type="pct"/>
            <w:tcBorders>
              <w:top w:val="single" w:sz="4" w:space="0" w:color="auto"/>
            </w:tcBorders>
            <w:vAlign w:val="center"/>
          </w:tcPr>
          <w:p w:rsidR="003E180D" w:rsidRDefault="003E180D" w:rsidP="0088305C">
            <w:pPr>
              <w:spacing w:after="120"/>
              <w:rPr>
                <w:noProof/>
                <w:color w:val="000000" w:themeColor="text1"/>
                <w:szCs w:val="24"/>
              </w:rPr>
            </w:pPr>
            <w:r>
              <w:rPr>
                <w:b/>
                <w:i/>
                <w:noProof/>
                <w:color w:val="000000" w:themeColor="text1"/>
                <w:szCs w:val="24"/>
              </w:rPr>
              <w:t>Net Savings</w:t>
            </w:r>
          </w:p>
        </w:tc>
        <w:tc>
          <w:tcPr>
            <w:tcW w:w="802" w:type="pct"/>
            <w:tcBorders>
              <w:top w:val="single" w:sz="4" w:space="0" w:color="auto"/>
            </w:tcBorders>
            <w:noWrap/>
            <w:vAlign w:val="center"/>
          </w:tcPr>
          <w:p w:rsidR="003E180D" w:rsidRDefault="003E180D" w:rsidP="0088305C">
            <w:pPr>
              <w:spacing w:after="120"/>
              <w:jc w:val="center"/>
              <w:rPr>
                <w:noProof/>
                <w:color w:val="000000" w:themeColor="text1"/>
                <w:szCs w:val="24"/>
              </w:rPr>
            </w:pPr>
            <w:r>
              <w:rPr>
                <w:rFonts w:cstheme="minorBidi"/>
                <w:noProof/>
                <w:color w:val="000000"/>
                <w:szCs w:val="24"/>
                <w:lang w:val="fr-BE" w:eastAsia="fr-BE"/>
              </w:rPr>
              <w:t>22,103</w:t>
            </w:r>
          </w:p>
        </w:tc>
        <w:tc>
          <w:tcPr>
            <w:tcW w:w="1604" w:type="pct"/>
            <w:gridSpan w:val="2"/>
            <w:tcBorders>
              <w:top w:val="single" w:sz="4" w:space="0" w:color="auto"/>
            </w:tcBorders>
            <w:vAlign w:val="center"/>
          </w:tcPr>
          <w:p w:rsidR="003E180D" w:rsidRDefault="003E180D" w:rsidP="0088305C">
            <w:pPr>
              <w:spacing w:after="120"/>
              <w:jc w:val="center"/>
              <w:rPr>
                <w:noProof/>
                <w:color w:val="000000" w:themeColor="text1"/>
                <w:szCs w:val="24"/>
              </w:rPr>
            </w:pPr>
            <w:r>
              <w:rPr>
                <w:rFonts w:cstheme="minorBidi"/>
                <w:noProof/>
                <w:color w:val="000000"/>
                <w:szCs w:val="24"/>
                <w:lang w:val="fr-BE" w:eastAsia="fr-BE"/>
              </w:rPr>
              <w:t>40,803</w:t>
            </w:r>
          </w:p>
        </w:tc>
        <w:tc>
          <w:tcPr>
            <w:tcW w:w="802" w:type="pct"/>
            <w:tcBorders>
              <w:top w:val="single" w:sz="4" w:space="0" w:color="auto"/>
            </w:tcBorders>
            <w:noWrap/>
            <w:vAlign w:val="center"/>
          </w:tcPr>
          <w:p w:rsidR="003E180D" w:rsidRDefault="003E180D" w:rsidP="0088305C">
            <w:pPr>
              <w:spacing w:after="120"/>
              <w:jc w:val="center"/>
              <w:rPr>
                <w:noProof/>
                <w:color w:val="000000" w:themeColor="text1"/>
                <w:szCs w:val="24"/>
              </w:rPr>
            </w:pPr>
            <w:r>
              <w:rPr>
                <w:rFonts w:cstheme="minorBidi"/>
                <w:noProof/>
                <w:color w:val="000000"/>
                <w:szCs w:val="24"/>
                <w:lang w:val="fr-BE" w:eastAsia="fr-BE"/>
              </w:rPr>
              <w:t>41,859</w:t>
            </w:r>
          </w:p>
        </w:tc>
        <w:tc>
          <w:tcPr>
            <w:tcW w:w="802" w:type="pct"/>
            <w:tcBorders>
              <w:top w:val="single" w:sz="4" w:space="0" w:color="auto"/>
            </w:tcBorders>
            <w:vAlign w:val="center"/>
          </w:tcPr>
          <w:p w:rsidR="003E180D" w:rsidRDefault="003E180D" w:rsidP="0088305C">
            <w:pPr>
              <w:spacing w:after="120"/>
              <w:jc w:val="center"/>
              <w:rPr>
                <w:noProof/>
                <w:color w:val="000000"/>
                <w:szCs w:val="24"/>
                <w:lang w:val="fr-BE" w:eastAsia="fr-BE"/>
              </w:rPr>
            </w:pPr>
            <w:r>
              <w:rPr>
                <w:rFonts w:cstheme="minorBidi"/>
                <w:noProof/>
                <w:color w:val="000000"/>
                <w:szCs w:val="24"/>
                <w:lang w:val="fr-BE" w:eastAsia="fr-BE"/>
              </w:rPr>
              <w:t>49,444</w:t>
            </w:r>
          </w:p>
        </w:tc>
      </w:tr>
    </w:tbl>
    <w:p w:rsidR="003E180D" w:rsidRDefault="003E180D" w:rsidP="003E180D">
      <w:pPr>
        <w:tabs>
          <w:tab w:val="left" w:pos="1995"/>
          <w:tab w:val="left" w:pos="4416"/>
          <w:tab w:val="left" w:pos="5716"/>
          <w:tab w:val="left" w:pos="6956"/>
          <w:tab w:val="left" w:pos="8196"/>
          <w:tab w:val="left" w:pos="9590"/>
          <w:tab w:val="left" w:pos="10930"/>
          <w:tab w:val="left" w:pos="12119"/>
          <w:tab w:val="left" w:pos="13476"/>
        </w:tabs>
        <w:spacing w:after="0" w:line="240" w:lineRule="auto"/>
        <w:rPr>
          <w:noProof/>
          <w:sz w:val="20"/>
        </w:rPr>
      </w:pPr>
      <w:r>
        <w:rPr>
          <w:noProof/>
          <w:sz w:val="20"/>
        </w:rPr>
        <w:t>* Results for TL30NL in 2030 are very similar to those for TL30</w:t>
      </w:r>
    </w:p>
    <w:p w:rsidR="003E180D" w:rsidRDefault="003E180D" w:rsidP="003E180D">
      <w:pPr>
        <w:spacing w:before="120" w:after="120" w:line="240" w:lineRule="auto"/>
        <w:jc w:val="both"/>
        <w:rPr>
          <w:rFonts w:cs="Times New Roman"/>
          <w:b/>
          <w:noProof/>
          <w:color w:val="000000" w:themeColor="text1"/>
          <w:szCs w:val="24"/>
        </w:rPr>
      </w:pPr>
    </w:p>
    <w:p w:rsidR="003E180D" w:rsidRDefault="003E180D" w:rsidP="003E180D">
      <w:pPr>
        <w:spacing w:before="120" w:after="120" w:line="240" w:lineRule="auto"/>
        <w:jc w:val="both"/>
        <w:rPr>
          <w:rFonts w:cs="Times New Roman"/>
          <w:b/>
          <w:noProof/>
          <w:color w:val="000000" w:themeColor="text1"/>
          <w:szCs w:val="24"/>
        </w:rPr>
      </w:pPr>
      <w:bookmarkStart w:id="808" w:name="_Ref510711952"/>
      <w:r>
        <w:rPr>
          <w:rFonts w:cs="Times New Roman"/>
          <w:b/>
          <w:noProof/>
          <w:color w:val="000000" w:themeColor="text1"/>
          <w:szCs w:val="24"/>
        </w:rPr>
        <w:t xml:space="preserve">Table </w:t>
      </w:r>
      <w:r>
        <w:rPr>
          <w:rFonts w:cs="Times New Roman"/>
          <w:b/>
          <w:noProof/>
          <w:color w:val="000000" w:themeColor="text1"/>
          <w:szCs w:val="24"/>
        </w:rPr>
        <w:fldChar w:fldCharType="begin"/>
      </w:r>
      <w:r>
        <w:rPr>
          <w:rFonts w:cs="Times New Roman"/>
          <w:b/>
          <w:noProof/>
          <w:color w:val="000000" w:themeColor="text1"/>
          <w:szCs w:val="24"/>
        </w:rPr>
        <w:instrText xml:space="preserve"> SEQ Table \* ARABIC </w:instrText>
      </w:r>
      <w:r>
        <w:rPr>
          <w:rFonts w:cs="Times New Roman"/>
          <w:b/>
          <w:noProof/>
          <w:color w:val="000000" w:themeColor="text1"/>
          <w:szCs w:val="24"/>
        </w:rPr>
        <w:fldChar w:fldCharType="separate"/>
      </w:r>
      <w:r>
        <w:rPr>
          <w:rFonts w:cs="Times New Roman"/>
          <w:b/>
          <w:noProof/>
          <w:color w:val="000000" w:themeColor="text1"/>
          <w:szCs w:val="24"/>
        </w:rPr>
        <w:t>19</w:t>
      </w:r>
      <w:r>
        <w:rPr>
          <w:rFonts w:cs="Times New Roman"/>
          <w:noProof/>
          <w:color w:val="000000" w:themeColor="text1"/>
          <w:szCs w:val="24"/>
        </w:rPr>
        <w:fldChar w:fldCharType="end"/>
      </w:r>
      <w:bookmarkEnd w:id="808"/>
      <w:r>
        <w:rPr>
          <w:rFonts w:cs="Times New Roman"/>
          <w:b/>
          <w:noProof/>
          <w:color w:val="000000" w:themeColor="text1"/>
          <w:szCs w:val="24"/>
        </w:rPr>
        <w:t>: Net economic savings from a second use perspective in 2025 and 2030 (EUR/lorry) under different TL options in case of a lower international fuel price and using the base cost assumptions</w:t>
      </w:r>
    </w:p>
    <w:tbl>
      <w:tblPr>
        <w:tblStyle w:val="TableGrid"/>
        <w:tblW w:w="5000" w:type="pct"/>
        <w:tblLook w:val="04A0" w:firstRow="1" w:lastRow="0" w:firstColumn="1" w:lastColumn="0" w:noHBand="0" w:noVBand="1"/>
      </w:tblPr>
      <w:tblGrid>
        <w:gridCol w:w="1748"/>
        <w:gridCol w:w="1417"/>
        <w:gridCol w:w="1417"/>
        <w:gridCol w:w="1417"/>
        <w:gridCol w:w="1417"/>
        <w:gridCol w:w="1417"/>
      </w:tblGrid>
      <w:tr w:rsidR="003E180D" w:rsidTr="0088305C">
        <w:trPr>
          <w:trHeight w:val="255"/>
        </w:trPr>
        <w:tc>
          <w:tcPr>
            <w:tcW w:w="989" w:type="pct"/>
            <w:tcBorders>
              <w:bottom w:val="single" w:sz="4" w:space="0" w:color="auto"/>
            </w:tcBorders>
            <w:vAlign w:val="center"/>
          </w:tcPr>
          <w:p w:rsidR="003E180D" w:rsidRDefault="003E180D" w:rsidP="0088305C">
            <w:pPr>
              <w:spacing w:after="120"/>
              <w:rPr>
                <w:b/>
                <w:noProof/>
                <w:color w:val="000000" w:themeColor="text1"/>
                <w:szCs w:val="24"/>
              </w:rPr>
            </w:pPr>
            <w:r>
              <w:rPr>
                <w:noProof/>
                <w:color w:val="000000" w:themeColor="text1"/>
                <w:szCs w:val="24"/>
              </w:rPr>
              <w:t>2025</w:t>
            </w:r>
          </w:p>
        </w:tc>
        <w:tc>
          <w:tcPr>
            <w:tcW w:w="802" w:type="pct"/>
            <w:tcBorders>
              <w:bottom w:val="single" w:sz="4" w:space="0" w:color="auto"/>
            </w:tcBorders>
            <w:noWrap/>
            <w:vAlign w:val="bottom"/>
          </w:tcPr>
          <w:p w:rsidR="003E180D" w:rsidRDefault="003E180D" w:rsidP="0088305C">
            <w:pPr>
              <w:jc w:val="center"/>
              <w:rPr>
                <w:b/>
                <w:noProof/>
                <w:color w:val="000000" w:themeColor="text1"/>
                <w:szCs w:val="24"/>
              </w:rPr>
            </w:pPr>
            <w:r>
              <w:rPr>
                <w:b/>
                <w:noProof/>
                <w:color w:val="000000" w:themeColor="text1"/>
                <w:szCs w:val="24"/>
              </w:rPr>
              <w:t>TL20</w:t>
            </w:r>
          </w:p>
          <w:p w:rsidR="003E180D" w:rsidRDefault="003E180D" w:rsidP="0088305C">
            <w:pPr>
              <w:spacing w:after="120"/>
              <w:jc w:val="center"/>
              <w:rPr>
                <w:b/>
                <w:noProof/>
                <w:color w:val="000000" w:themeColor="text1"/>
                <w:szCs w:val="24"/>
              </w:rPr>
            </w:pPr>
            <w:r>
              <w:rPr>
                <w:b/>
                <w:noProof/>
                <w:color w:val="000000" w:themeColor="text1"/>
                <w:szCs w:val="24"/>
              </w:rPr>
              <w:t>(10%)</w:t>
            </w:r>
          </w:p>
        </w:tc>
        <w:tc>
          <w:tcPr>
            <w:tcW w:w="802" w:type="pct"/>
            <w:tcBorders>
              <w:bottom w:val="single" w:sz="4" w:space="0" w:color="auto"/>
            </w:tcBorders>
            <w:vAlign w:val="bottom"/>
          </w:tcPr>
          <w:p w:rsidR="003E180D" w:rsidRDefault="003E180D" w:rsidP="0088305C">
            <w:pPr>
              <w:jc w:val="center"/>
              <w:rPr>
                <w:b/>
                <w:noProof/>
                <w:color w:val="000000" w:themeColor="text1"/>
                <w:szCs w:val="24"/>
              </w:rPr>
            </w:pPr>
            <w:r>
              <w:rPr>
                <w:b/>
                <w:noProof/>
                <w:color w:val="000000" w:themeColor="text1"/>
                <w:szCs w:val="24"/>
              </w:rPr>
              <w:t>TL30NL</w:t>
            </w:r>
          </w:p>
          <w:p w:rsidR="003E180D" w:rsidRDefault="003E180D" w:rsidP="0088305C">
            <w:pPr>
              <w:spacing w:after="120"/>
              <w:jc w:val="center"/>
              <w:rPr>
                <w:b/>
                <w:noProof/>
                <w:color w:val="000000" w:themeColor="text1"/>
                <w:szCs w:val="24"/>
              </w:rPr>
            </w:pPr>
            <w:r>
              <w:rPr>
                <w:b/>
                <w:noProof/>
                <w:color w:val="000000" w:themeColor="text1"/>
                <w:szCs w:val="24"/>
              </w:rPr>
              <w:t>(12.5%)</w:t>
            </w:r>
          </w:p>
        </w:tc>
        <w:tc>
          <w:tcPr>
            <w:tcW w:w="802" w:type="pct"/>
            <w:tcBorders>
              <w:bottom w:val="single" w:sz="4" w:space="0" w:color="auto"/>
            </w:tcBorders>
            <w:noWrap/>
            <w:vAlign w:val="bottom"/>
          </w:tcPr>
          <w:p w:rsidR="003E180D" w:rsidRDefault="003E180D" w:rsidP="0088305C">
            <w:pPr>
              <w:jc w:val="center"/>
              <w:rPr>
                <w:b/>
                <w:noProof/>
                <w:color w:val="000000" w:themeColor="text1"/>
                <w:szCs w:val="24"/>
              </w:rPr>
            </w:pPr>
            <w:r>
              <w:rPr>
                <w:b/>
                <w:noProof/>
                <w:color w:val="000000" w:themeColor="text1"/>
                <w:szCs w:val="24"/>
              </w:rPr>
              <w:t>TL30</w:t>
            </w:r>
          </w:p>
          <w:p w:rsidR="003E180D" w:rsidRDefault="003E180D" w:rsidP="0088305C">
            <w:pPr>
              <w:spacing w:after="120"/>
              <w:jc w:val="center"/>
              <w:rPr>
                <w:b/>
                <w:noProof/>
                <w:color w:val="000000" w:themeColor="text1"/>
                <w:szCs w:val="24"/>
              </w:rPr>
            </w:pPr>
            <w:r>
              <w:rPr>
                <w:b/>
                <w:noProof/>
                <w:color w:val="000000" w:themeColor="text1"/>
                <w:szCs w:val="24"/>
              </w:rPr>
              <w:t>(15%)</w:t>
            </w:r>
          </w:p>
        </w:tc>
        <w:tc>
          <w:tcPr>
            <w:tcW w:w="802" w:type="pct"/>
            <w:tcBorders>
              <w:bottom w:val="single" w:sz="4" w:space="0" w:color="auto"/>
            </w:tcBorders>
            <w:noWrap/>
            <w:vAlign w:val="bottom"/>
          </w:tcPr>
          <w:p w:rsidR="003E180D" w:rsidRDefault="003E180D" w:rsidP="0088305C">
            <w:pPr>
              <w:jc w:val="center"/>
              <w:rPr>
                <w:b/>
                <w:noProof/>
                <w:color w:val="000000" w:themeColor="text1"/>
                <w:szCs w:val="24"/>
              </w:rPr>
            </w:pPr>
            <w:r>
              <w:rPr>
                <w:b/>
                <w:noProof/>
                <w:color w:val="000000" w:themeColor="text1"/>
                <w:szCs w:val="24"/>
              </w:rPr>
              <w:t>TL32</w:t>
            </w:r>
          </w:p>
          <w:p w:rsidR="003E180D" w:rsidRDefault="003E180D" w:rsidP="0088305C">
            <w:pPr>
              <w:spacing w:after="120"/>
              <w:jc w:val="center"/>
              <w:rPr>
                <w:b/>
                <w:noProof/>
                <w:color w:val="000000" w:themeColor="text1"/>
                <w:szCs w:val="24"/>
              </w:rPr>
            </w:pPr>
            <w:r>
              <w:rPr>
                <w:b/>
                <w:noProof/>
                <w:color w:val="000000" w:themeColor="text1"/>
                <w:szCs w:val="24"/>
              </w:rPr>
              <w:t>(17.5%)</w:t>
            </w:r>
          </w:p>
        </w:tc>
        <w:tc>
          <w:tcPr>
            <w:tcW w:w="802" w:type="pct"/>
            <w:tcBorders>
              <w:bottom w:val="single" w:sz="4" w:space="0" w:color="auto"/>
            </w:tcBorders>
            <w:vAlign w:val="bottom"/>
          </w:tcPr>
          <w:p w:rsidR="003E180D" w:rsidRDefault="003E180D" w:rsidP="0088305C">
            <w:pPr>
              <w:jc w:val="center"/>
              <w:rPr>
                <w:b/>
                <w:noProof/>
                <w:color w:val="000000" w:themeColor="text1"/>
                <w:szCs w:val="24"/>
              </w:rPr>
            </w:pPr>
            <w:r>
              <w:rPr>
                <w:b/>
                <w:noProof/>
                <w:color w:val="000000" w:themeColor="text1"/>
                <w:szCs w:val="24"/>
              </w:rPr>
              <w:t>TL35</w:t>
            </w:r>
          </w:p>
          <w:p w:rsidR="003E180D" w:rsidRDefault="003E180D" w:rsidP="0088305C">
            <w:pPr>
              <w:spacing w:after="120"/>
              <w:jc w:val="center"/>
              <w:rPr>
                <w:b/>
                <w:noProof/>
                <w:color w:val="000000" w:themeColor="text1"/>
                <w:szCs w:val="24"/>
              </w:rPr>
            </w:pPr>
            <w:r>
              <w:rPr>
                <w:b/>
                <w:noProof/>
                <w:color w:val="000000" w:themeColor="text1"/>
                <w:szCs w:val="24"/>
              </w:rPr>
              <w:t>(20%)</w:t>
            </w:r>
          </w:p>
        </w:tc>
      </w:tr>
      <w:tr w:rsidR="003E180D" w:rsidTr="0088305C">
        <w:trPr>
          <w:trHeight w:val="255"/>
        </w:trPr>
        <w:tc>
          <w:tcPr>
            <w:tcW w:w="989" w:type="pct"/>
            <w:tcBorders>
              <w:top w:val="single" w:sz="4" w:space="0" w:color="auto"/>
            </w:tcBorders>
            <w:vAlign w:val="center"/>
          </w:tcPr>
          <w:p w:rsidR="003E180D" w:rsidRDefault="003E180D" w:rsidP="0088305C">
            <w:pPr>
              <w:spacing w:after="120"/>
              <w:rPr>
                <w:noProof/>
                <w:color w:val="000000" w:themeColor="text1"/>
                <w:szCs w:val="24"/>
              </w:rPr>
            </w:pPr>
            <w:r>
              <w:rPr>
                <w:b/>
                <w:i/>
                <w:noProof/>
                <w:color w:val="000000" w:themeColor="text1"/>
                <w:szCs w:val="24"/>
              </w:rPr>
              <w:t>Net Savings</w:t>
            </w:r>
          </w:p>
        </w:tc>
        <w:tc>
          <w:tcPr>
            <w:tcW w:w="802" w:type="pct"/>
            <w:tcBorders>
              <w:top w:val="single" w:sz="4" w:space="0" w:color="auto"/>
            </w:tcBorders>
            <w:noWrap/>
            <w:vAlign w:val="center"/>
          </w:tcPr>
          <w:p w:rsidR="003E180D" w:rsidRDefault="003E180D" w:rsidP="0088305C">
            <w:pPr>
              <w:spacing w:after="120"/>
              <w:jc w:val="center"/>
              <w:rPr>
                <w:noProof/>
                <w:color w:val="000000" w:themeColor="text1"/>
                <w:szCs w:val="24"/>
              </w:rPr>
            </w:pPr>
            <w:r>
              <w:rPr>
                <w:rFonts w:cstheme="minorBidi"/>
                <w:noProof/>
                <w:color w:val="000000"/>
                <w:szCs w:val="24"/>
                <w:lang w:val="fr-BE" w:eastAsia="fr-BE"/>
              </w:rPr>
              <w:t>3,965</w:t>
            </w:r>
          </w:p>
        </w:tc>
        <w:tc>
          <w:tcPr>
            <w:tcW w:w="802" w:type="pct"/>
            <w:tcBorders>
              <w:top w:val="single" w:sz="4" w:space="0" w:color="auto"/>
            </w:tcBorders>
            <w:vAlign w:val="center"/>
          </w:tcPr>
          <w:p w:rsidR="003E180D" w:rsidRDefault="003E180D" w:rsidP="0088305C">
            <w:pPr>
              <w:spacing w:after="120"/>
              <w:jc w:val="center"/>
              <w:rPr>
                <w:noProof/>
                <w:color w:val="000000" w:themeColor="text1"/>
                <w:szCs w:val="24"/>
              </w:rPr>
            </w:pPr>
            <w:r>
              <w:rPr>
                <w:rFonts w:cstheme="minorBidi"/>
                <w:noProof/>
                <w:color w:val="000000"/>
                <w:szCs w:val="24"/>
                <w:lang w:val="fr-BE" w:eastAsia="fr-BE"/>
              </w:rPr>
              <w:t>7,940</w:t>
            </w:r>
          </w:p>
        </w:tc>
        <w:tc>
          <w:tcPr>
            <w:tcW w:w="802" w:type="pct"/>
            <w:tcBorders>
              <w:top w:val="single" w:sz="4" w:space="0" w:color="auto"/>
            </w:tcBorders>
            <w:noWrap/>
            <w:vAlign w:val="center"/>
          </w:tcPr>
          <w:p w:rsidR="003E180D" w:rsidRDefault="003E180D" w:rsidP="0088305C">
            <w:pPr>
              <w:spacing w:after="120"/>
              <w:jc w:val="center"/>
              <w:rPr>
                <w:noProof/>
                <w:color w:val="000000" w:themeColor="text1"/>
                <w:szCs w:val="24"/>
              </w:rPr>
            </w:pPr>
            <w:r>
              <w:rPr>
                <w:rFonts w:cstheme="minorBidi"/>
                <w:noProof/>
                <w:color w:val="000000"/>
                <w:szCs w:val="24"/>
                <w:lang w:val="fr-BE" w:eastAsia="fr-BE"/>
              </w:rPr>
              <w:t>12,675</w:t>
            </w:r>
          </w:p>
        </w:tc>
        <w:tc>
          <w:tcPr>
            <w:tcW w:w="802" w:type="pct"/>
            <w:tcBorders>
              <w:top w:val="single" w:sz="4" w:space="0" w:color="auto"/>
            </w:tcBorders>
            <w:noWrap/>
            <w:vAlign w:val="center"/>
          </w:tcPr>
          <w:p w:rsidR="003E180D" w:rsidRDefault="003E180D" w:rsidP="0088305C">
            <w:pPr>
              <w:spacing w:after="120"/>
              <w:jc w:val="center"/>
              <w:rPr>
                <w:noProof/>
                <w:color w:val="000000" w:themeColor="text1"/>
                <w:szCs w:val="24"/>
              </w:rPr>
            </w:pPr>
            <w:r>
              <w:rPr>
                <w:rFonts w:cstheme="minorBidi"/>
                <w:noProof/>
                <w:color w:val="000000"/>
                <w:szCs w:val="24"/>
                <w:lang w:val="fr-BE" w:eastAsia="fr-BE"/>
              </w:rPr>
              <w:t>15,968</w:t>
            </w:r>
          </w:p>
        </w:tc>
        <w:tc>
          <w:tcPr>
            <w:tcW w:w="802" w:type="pct"/>
            <w:tcBorders>
              <w:top w:val="single" w:sz="4" w:space="0" w:color="auto"/>
            </w:tcBorders>
            <w:vAlign w:val="center"/>
          </w:tcPr>
          <w:p w:rsidR="003E180D" w:rsidRDefault="003E180D" w:rsidP="0088305C">
            <w:pPr>
              <w:spacing w:after="120"/>
              <w:jc w:val="center"/>
              <w:rPr>
                <w:noProof/>
                <w:color w:val="000000" w:themeColor="text1"/>
                <w:szCs w:val="24"/>
              </w:rPr>
            </w:pPr>
            <w:r>
              <w:rPr>
                <w:rFonts w:cstheme="minorBidi"/>
                <w:noProof/>
                <w:color w:val="000000"/>
                <w:szCs w:val="24"/>
                <w:lang w:val="fr-BE" w:eastAsia="fr-BE"/>
              </w:rPr>
              <w:t>20,303</w:t>
            </w:r>
          </w:p>
        </w:tc>
      </w:tr>
      <w:tr w:rsidR="003E180D" w:rsidTr="0088305C">
        <w:trPr>
          <w:trHeight w:val="255"/>
        </w:trPr>
        <w:tc>
          <w:tcPr>
            <w:tcW w:w="989" w:type="pct"/>
            <w:tcBorders>
              <w:bottom w:val="single" w:sz="4" w:space="0" w:color="auto"/>
            </w:tcBorders>
            <w:vAlign w:val="center"/>
          </w:tcPr>
          <w:p w:rsidR="003E180D" w:rsidRDefault="003E180D" w:rsidP="0088305C">
            <w:pPr>
              <w:spacing w:after="120"/>
              <w:rPr>
                <w:b/>
                <w:noProof/>
                <w:color w:val="000000" w:themeColor="text1"/>
                <w:szCs w:val="24"/>
              </w:rPr>
            </w:pPr>
            <w:r>
              <w:rPr>
                <w:noProof/>
                <w:color w:val="000000" w:themeColor="text1"/>
                <w:szCs w:val="24"/>
              </w:rPr>
              <w:t>2030</w:t>
            </w:r>
          </w:p>
        </w:tc>
        <w:tc>
          <w:tcPr>
            <w:tcW w:w="802" w:type="pct"/>
            <w:tcBorders>
              <w:bottom w:val="single" w:sz="4" w:space="0" w:color="auto"/>
            </w:tcBorders>
            <w:noWrap/>
          </w:tcPr>
          <w:p w:rsidR="003E180D" w:rsidRDefault="003E180D" w:rsidP="0088305C">
            <w:pPr>
              <w:spacing w:after="120"/>
              <w:jc w:val="center"/>
              <w:rPr>
                <w:b/>
                <w:noProof/>
                <w:color w:val="000000" w:themeColor="text1"/>
                <w:szCs w:val="24"/>
              </w:rPr>
            </w:pPr>
            <w:r>
              <w:rPr>
                <w:b/>
                <w:noProof/>
                <w:color w:val="000000" w:themeColor="text1"/>
                <w:szCs w:val="24"/>
              </w:rPr>
              <w:t>TL20</w:t>
            </w:r>
            <w:r>
              <w:rPr>
                <w:b/>
                <w:noProof/>
                <w:color w:val="000000" w:themeColor="text1"/>
                <w:szCs w:val="24"/>
              </w:rPr>
              <w:br/>
              <w:t>(20%)</w:t>
            </w:r>
          </w:p>
        </w:tc>
        <w:tc>
          <w:tcPr>
            <w:tcW w:w="1604" w:type="pct"/>
            <w:gridSpan w:val="2"/>
            <w:tcBorders>
              <w:bottom w:val="single" w:sz="4" w:space="0" w:color="auto"/>
            </w:tcBorders>
          </w:tcPr>
          <w:p w:rsidR="003E180D" w:rsidRDefault="003E180D" w:rsidP="0088305C">
            <w:pPr>
              <w:spacing w:after="120"/>
              <w:jc w:val="center"/>
              <w:rPr>
                <w:b/>
                <w:noProof/>
                <w:color w:val="000000" w:themeColor="text1"/>
                <w:szCs w:val="24"/>
              </w:rPr>
            </w:pPr>
            <w:r>
              <w:rPr>
                <w:b/>
                <w:noProof/>
                <w:color w:val="000000" w:themeColor="text1"/>
                <w:szCs w:val="24"/>
              </w:rPr>
              <w:t>TL30*</w:t>
            </w:r>
            <w:r>
              <w:rPr>
                <w:b/>
                <w:noProof/>
                <w:color w:val="000000" w:themeColor="text1"/>
                <w:szCs w:val="24"/>
              </w:rPr>
              <w:br/>
              <w:t>(30%)</w:t>
            </w:r>
          </w:p>
        </w:tc>
        <w:tc>
          <w:tcPr>
            <w:tcW w:w="802" w:type="pct"/>
            <w:tcBorders>
              <w:bottom w:val="single" w:sz="4" w:space="0" w:color="auto"/>
            </w:tcBorders>
            <w:noWrap/>
          </w:tcPr>
          <w:p w:rsidR="003E180D" w:rsidRDefault="003E180D" w:rsidP="0088305C">
            <w:pPr>
              <w:spacing w:after="120"/>
              <w:jc w:val="center"/>
              <w:rPr>
                <w:b/>
                <w:noProof/>
                <w:color w:val="000000" w:themeColor="text1"/>
                <w:szCs w:val="24"/>
              </w:rPr>
            </w:pPr>
            <w:r>
              <w:rPr>
                <w:b/>
                <w:noProof/>
                <w:color w:val="000000" w:themeColor="text1"/>
                <w:szCs w:val="24"/>
              </w:rPr>
              <w:t>TL32</w:t>
            </w:r>
            <w:r>
              <w:rPr>
                <w:b/>
                <w:noProof/>
                <w:color w:val="000000" w:themeColor="text1"/>
                <w:szCs w:val="24"/>
              </w:rPr>
              <w:br/>
              <w:t>(32%)</w:t>
            </w:r>
          </w:p>
        </w:tc>
        <w:tc>
          <w:tcPr>
            <w:tcW w:w="802" w:type="pct"/>
            <w:tcBorders>
              <w:bottom w:val="single" w:sz="4" w:space="0" w:color="auto"/>
            </w:tcBorders>
          </w:tcPr>
          <w:p w:rsidR="003E180D" w:rsidRDefault="003E180D" w:rsidP="0088305C">
            <w:pPr>
              <w:spacing w:after="120"/>
              <w:jc w:val="center"/>
              <w:rPr>
                <w:b/>
                <w:noProof/>
                <w:color w:val="000000" w:themeColor="text1"/>
                <w:szCs w:val="24"/>
              </w:rPr>
            </w:pPr>
            <w:r>
              <w:rPr>
                <w:b/>
                <w:noProof/>
                <w:color w:val="000000" w:themeColor="text1"/>
                <w:szCs w:val="24"/>
              </w:rPr>
              <w:t>TL35</w:t>
            </w:r>
            <w:r>
              <w:rPr>
                <w:b/>
                <w:noProof/>
                <w:color w:val="000000" w:themeColor="text1"/>
                <w:szCs w:val="24"/>
              </w:rPr>
              <w:br/>
              <w:t>(35%)</w:t>
            </w:r>
          </w:p>
        </w:tc>
      </w:tr>
      <w:tr w:rsidR="003E180D" w:rsidTr="0088305C">
        <w:trPr>
          <w:trHeight w:val="255"/>
        </w:trPr>
        <w:tc>
          <w:tcPr>
            <w:tcW w:w="989" w:type="pct"/>
            <w:tcBorders>
              <w:top w:val="single" w:sz="4" w:space="0" w:color="auto"/>
            </w:tcBorders>
            <w:vAlign w:val="center"/>
          </w:tcPr>
          <w:p w:rsidR="003E180D" w:rsidRDefault="003E180D" w:rsidP="0088305C">
            <w:pPr>
              <w:spacing w:after="120"/>
              <w:rPr>
                <w:noProof/>
                <w:color w:val="000000" w:themeColor="text1"/>
                <w:szCs w:val="24"/>
              </w:rPr>
            </w:pPr>
            <w:r>
              <w:rPr>
                <w:b/>
                <w:i/>
                <w:noProof/>
                <w:color w:val="000000" w:themeColor="text1"/>
                <w:szCs w:val="24"/>
              </w:rPr>
              <w:t>Net Savings</w:t>
            </w:r>
          </w:p>
        </w:tc>
        <w:tc>
          <w:tcPr>
            <w:tcW w:w="802" w:type="pct"/>
            <w:tcBorders>
              <w:top w:val="single" w:sz="4" w:space="0" w:color="auto"/>
            </w:tcBorders>
            <w:noWrap/>
            <w:vAlign w:val="center"/>
          </w:tcPr>
          <w:p w:rsidR="003E180D" w:rsidRDefault="003E180D" w:rsidP="0088305C">
            <w:pPr>
              <w:spacing w:after="120"/>
              <w:jc w:val="center"/>
              <w:rPr>
                <w:noProof/>
                <w:color w:val="000000" w:themeColor="text1"/>
                <w:szCs w:val="24"/>
              </w:rPr>
            </w:pPr>
            <w:r>
              <w:rPr>
                <w:rFonts w:cstheme="minorBidi"/>
                <w:noProof/>
                <w:color w:val="000000"/>
                <w:szCs w:val="24"/>
                <w:lang w:val="fr-BE" w:eastAsia="fr-BE"/>
              </w:rPr>
              <w:t>16,012</w:t>
            </w:r>
          </w:p>
        </w:tc>
        <w:tc>
          <w:tcPr>
            <w:tcW w:w="1604" w:type="pct"/>
            <w:gridSpan w:val="2"/>
            <w:tcBorders>
              <w:top w:val="single" w:sz="4" w:space="0" w:color="auto"/>
            </w:tcBorders>
            <w:vAlign w:val="center"/>
          </w:tcPr>
          <w:p w:rsidR="003E180D" w:rsidRDefault="003E180D" w:rsidP="0088305C">
            <w:pPr>
              <w:spacing w:after="120"/>
              <w:jc w:val="center"/>
              <w:rPr>
                <w:noProof/>
                <w:color w:val="000000" w:themeColor="text1"/>
                <w:szCs w:val="24"/>
              </w:rPr>
            </w:pPr>
            <w:r>
              <w:rPr>
                <w:rFonts w:cstheme="minorBidi"/>
                <w:noProof/>
                <w:color w:val="000000"/>
                <w:szCs w:val="24"/>
                <w:lang w:val="fr-BE" w:eastAsia="fr-BE"/>
              </w:rPr>
              <w:t>29,232</w:t>
            </w:r>
          </w:p>
        </w:tc>
        <w:tc>
          <w:tcPr>
            <w:tcW w:w="802" w:type="pct"/>
            <w:tcBorders>
              <w:top w:val="single" w:sz="4" w:space="0" w:color="auto"/>
            </w:tcBorders>
            <w:noWrap/>
            <w:vAlign w:val="center"/>
          </w:tcPr>
          <w:p w:rsidR="003E180D" w:rsidRDefault="003E180D" w:rsidP="0088305C">
            <w:pPr>
              <w:spacing w:after="120"/>
              <w:jc w:val="center"/>
              <w:rPr>
                <w:noProof/>
                <w:color w:val="000000" w:themeColor="text1"/>
                <w:szCs w:val="24"/>
              </w:rPr>
            </w:pPr>
            <w:r>
              <w:rPr>
                <w:rFonts w:cstheme="minorBidi"/>
                <w:noProof/>
                <w:color w:val="000000"/>
                <w:szCs w:val="24"/>
                <w:lang w:val="fr-BE" w:eastAsia="fr-BE"/>
              </w:rPr>
              <w:t>29,783</w:t>
            </w:r>
          </w:p>
        </w:tc>
        <w:tc>
          <w:tcPr>
            <w:tcW w:w="802" w:type="pct"/>
            <w:tcBorders>
              <w:top w:val="single" w:sz="4" w:space="0" w:color="auto"/>
            </w:tcBorders>
            <w:vAlign w:val="center"/>
          </w:tcPr>
          <w:p w:rsidR="003E180D" w:rsidRDefault="003E180D" w:rsidP="0088305C">
            <w:pPr>
              <w:spacing w:after="120"/>
              <w:jc w:val="center"/>
              <w:rPr>
                <w:noProof/>
                <w:color w:val="000000" w:themeColor="text1"/>
                <w:szCs w:val="24"/>
              </w:rPr>
            </w:pPr>
            <w:r>
              <w:rPr>
                <w:rFonts w:cstheme="minorBidi"/>
                <w:noProof/>
                <w:color w:val="000000"/>
                <w:szCs w:val="24"/>
                <w:lang w:val="fr-BE" w:eastAsia="fr-BE"/>
              </w:rPr>
              <w:t>35,072</w:t>
            </w:r>
          </w:p>
        </w:tc>
      </w:tr>
    </w:tbl>
    <w:p w:rsidR="003E180D" w:rsidRDefault="003E180D" w:rsidP="003E180D">
      <w:pPr>
        <w:tabs>
          <w:tab w:val="left" w:pos="1995"/>
          <w:tab w:val="left" w:pos="4416"/>
          <w:tab w:val="left" w:pos="5716"/>
          <w:tab w:val="left" w:pos="6956"/>
          <w:tab w:val="left" w:pos="8196"/>
          <w:tab w:val="left" w:pos="9590"/>
          <w:tab w:val="left" w:pos="10930"/>
          <w:tab w:val="left" w:pos="12119"/>
          <w:tab w:val="left" w:pos="13476"/>
        </w:tabs>
        <w:spacing w:after="0" w:line="240" w:lineRule="auto"/>
        <w:rPr>
          <w:noProof/>
          <w:sz w:val="20"/>
        </w:rPr>
      </w:pPr>
      <w:r>
        <w:rPr>
          <w:noProof/>
          <w:sz w:val="20"/>
        </w:rPr>
        <w:t>* Results for TL30NL in 2030 are very similar to those for TL30</w:t>
      </w:r>
    </w:p>
    <w:p w:rsidR="003E180D" w:rsidRDefault="003E180D" w:rsidP="003E180D">
      <w:pPr>
        <w:rPr>
          <w:rFonts w:ascii="Calibri" w:eastAsia="Times New Roman" w:hAnsi="Calibri" w:cs="Calibri"/>
          <w:noProof/>
          <w:color w:val="000000"/>
          <w:sz w:val="22"/>
          <w:lang w:val="en-US" w:eastAsia="fr-BE"/>
        </w:rPr>
      </w:pPr>
    </w:p>
    <w:p w:rsidR="003E180D" w:rsidRDefault="003E180D" w:rsidP="003E180D">
      <w:pPr>
        <w:rPr>
          <w:rFonts w:ascii="Calibri" w:eastAsia="Times New Roman" w:hAnsi="Calibri" w:cs="Calibri"/>
          <w:noProof/>
          <w:color w:val="000000"/>
          <w:sz w:val="22"/>
          <w:lang w:val="en-US" w:eastAsia="fr-BE"/>
        </w:rPr>
      </w:pPr>
    </w:p>
    <w:p w:rsidR="003E180D" w:rsidRDefault="003E180D" w:rsidP="003E180D">
      <w:pPr>
        <w:rPr>
          <w:rFonts w:cs="Times New Roman"/>
          <w:b/>
          <w:noProof/>
          <w:szCs w:val="24"/>
        </w:rPr>
      </w:pPr>
      <w:r>
        <w:rPr>
          <w:noProof/>
        </w:rPr>
        <w:br w:type="page"/>
      </w:r>
    </w:p>
    <w:p w:rsidR="003E180D" w:rsidRDefault="003E180D" w:rsidP="003E180D">
      <w:pPr>
        <w:pStyle w:val="Heading2"/>
        <w:numPr>
          <w:ilvl w:val="1"/>
          <w:numId w:val="22"/>
        </w:numPr>
        <w:spacing w:before="240" w:after="240"/>
        <w:rPr>
          <w:noProof/>
        </w:rPr>
      </w:pPr>
      <w:bookmarkStart w:id="809" w:name="_Toc510708139"/>
      <w:bookmarkStart w:id="810" w:name="_Toc514328836"/>
      <w:r>
        <w:rPr>
          <w:noProof/>
        </w:rPr>
        <w:t>E</w:t>
      </w:r>
      <w:bookmarkEnd w:id="797"/>
      <w:r>
        <w:rPr>
          <w:noProof/>
        </w:rPr>
        <w:t>nergy system impact</w:t>
      </w:r>
      <w:bookmarkEnd w:id="798"/>
      <w:bookmarkEnd w:id="799"/>
      <w:bookmarkEnd w:id="800"/>
      <w:bookmarkEnd w:id="801"/>
      <w:r>
        <w:rPr>
          <w:noProof/>
        </w:rPr>
        <w:t xml:space="preserve"> of different target level options</w:t>
      </w:r>
      <w:bookmarkEnd w:id="802"/>
      <w:bookmarkEnd w:id="803"/>
      <w:bookmarkEnd w:id="809"/>
      <w:bookmarkEnd w:id="810"/>
    </w:p>
    <w:p w:rsidR="003E180D" w:rsidRDefault="003E180D" w:rsidP="003E180D">
      <w:pPr>
        <w:spacing w:after="120" w:line="240" w:lineRule="auto"/>
        <w:jc w:val="both"/>
        <w:rPr>
          <w:rFonts w:cs="Times New Roman"/>
          <w:noProof/>
        </w:rPr>
      </w:pPr>
      <w:r>
        <w:rPr>
          <w:rFonts w:cs="Times New Roman"/>
          <w:noProof/>
          <w:szCs w:val="24"/>
        </w:rPr>
        <w:fldChar w:fldCharType="begin"/>
      </w:r>
      <w:r>
        <w:rPr>
          <w:rFonts w:cs="Times New Roman"/>
          <w:noProof/>
          <w:szCs w:val="24"/>
        </w:rPr>
        <w:instrText xml:space="preserve"> REF _Ref506483343 \h  \* MERGEFORMAT </w:instrText>
      </w:r>
      <w:r>
        <w:rPr>
          <w:rFonts w:cs="Times New Roman"/>
          <w:noProof/>
          <w:szCs w:val="24"/>
        </w:rPr>
      </w:r>
      <w:r>
        <w:rPr>
          <w:rFonts w:cs="Times New Roman"/>
          <w:noProof/>
          <w:szCs w:val="24"/>
        </w:rPr>
        <w:fldChar w:fldCharType="separate"/>
      </w:r>
      <w:r>
        <w:rPr>
          <w:rFonts w:cs="Times New Roman"/>
          <w:noProof/>
          <w:szCs w:val="24"/>
        </w:rPr>
        <w:t>Figure 15</w:t>
      </w:r>
      <w:r>
        <w:rPr>
          <w:rFonts w:cs="Times New Roman"/>
          <w:noProof/>
          <w:szCs w:val="24"/>
        </w:rPr>
        <w:fldChar w:fldCharType="end"/>
      </w:r>
      <w:r>
        <w:rPr>
          <w:rFonts w:cs="Times New Roman"/>
          <w:noProof/>
        </w:rPr>
        <w:t xml:space="preserve"> and </w:t>
      </w:r>
      <w:r>
        <w:rPr>
          <w:rFonts w:cs="Times New Roman"/>
          <w:noProof/>
          <w:szCs w:val="24"/>
        </w:rPr>
        <w:fldChar w:fldCharType="begin"/>
      </w:r>
      <w:r>
        <w:rPr>
          <w:rFonts w:cs="Times New Roman"/>
          <w:noProof/>
          <w:szCs w:val="24"/>
        </w:rPr>
        <w:instrText xml:space="preserve"> REF _Ref506483336 \h  \* MERGEFORMAT </w:instrText>
      </w:r>
      <w:r>
        <w:rPr>
          <w:rFonts w:cs="Times New Roman"/>
          <w:noProof/>
          <w:szCs w:val="24"/>
        </w:rPr>
      </w:r>
      <w:r>
        <w:rPr>
          <w:rFonts w:cs="Times New Roman"/>
          <w:noProof/>
          <w:szCs w:val="24"/>
        </w:rPr>
        <w:fldChar w:fldCharType="separate"/>
      </w:r>
      <w:r>
        <w:rPr>
          <w:rFonts w:cs="Times New Roman"/>
          <w:noProof/>
          <w:szCs w:val="24"/>
        </w:rPr>
        <w:t>Table 20</w:t>
      </w:r>
      <w:r>
        <w:rPr>
          <w:rFonts w:cs="Times New Roman"/>
          <w:noProof/>
          <w:szCs w:val="24"/>
        </w:rPr>
        <w:fldChar w:fldCharType="end"/>
      </w:r>
      <w:r>
        <w:rPr>
          <w:rFonts w:cs="Times New Roman"/>
          <w:noProof/>
        </w:rPr>
        <w:t xml:space="preserve"> show the impact of the different TL options on the final energy demand for lorries in 2025 and 2030 using the base cost assumptions.  </w:t>
      </w:r>
    </w:p>
    <w:p w:rsidR="003E180D" w:rsidRDefault="003E180D" w:rsidP="003E180D">
      <w:pPr>
        <w:keepNext/>
        <w:spacing w:line="240" w:lineRule="auto"/>
        <w:jc w:val="both"/>
        <w:rPr>
          <w:rFonts w:cs="Times New Roman"/>
          <w:noProof/>
          <w:szCs w:val="24"/>
        </w:rPr>
      </w:pPr>
      <w:bookmarkStart w:id="811" w:name="_Ref506483343"/>
      <w:bookmarkStart w:id="812" w:name="_Ref506483326"/>
      <w:r>
        <w:rPr>
          <w:rFonts w:cs="Times New Roman"/>
          <w:b/>
          <w:noProof/>
          <w:szCs w:val="24"/>
        </w:rPr>
        <w:t xml:space="preserve">Figure </w:t>
      </w:r>
      <w:r>
        <w:rPr>
          <w:rFonts w:cs="Times New Roman"/>
          <w:b/>
          <w:noProof/>
          <w:szCs w:val="24"/>
        </w:rPr>
        <w:fldChar w:fldCharType="begin"/>
      </w:r>
      <w:r>
        <w:rPr>
          <w:rFonts w:cs="Times New Roman"/>
          <w:b/>
          <w:noProof/>
        </w:rPr>
        <w:instrText xml:space="preserve"> SEQ Figure \* ARABIC </w:instrText>
      </w:r>
      <w:r>
        <w:rPr>
          <w:rFonts w:cs="Times New Roman"/>
          <w:b/>
          <w:noProof/>
          <w:szCs w:val="24"/>
        </w:rPr>
        <w:fldChar w:fldCharType="separate"/>
      </w:r>
      <w:r>
        <w:rPr>
          <w:rFonts w:cs="Times New Roman"/>
          <w:b/>
          <w:noProof/>
        </w:rPr>
        <w:t>15</w:t>
      </w:r>
      <w:r>
        <w:rPr>
          <w:rFonts w:cs="Times New Roman"/>
          <w:b/>
          <w:noProof/>
          <w:szCs w:val="24"/>
        </w:rPr>
        <w:fldChar w:fldCharType="end"/>
      </w:r>
      <w:bookmarkEnd w:id="811"/>
      <w:r>
        <w:rPr>
          <w:rFonts w:cs="Times New Roman"/>
          <w:b/>
          <w:noProof/>
          <w:szCs w:val="24"/>
        </w:rPr>
        <w:t>: Final energy demand (ktoe) for lorries over the period in 2025 and 2030 under different TL options</w:t>
      </w:r>
      <w:bookmarkEnd w:id="812"/>
      <w:r>
        <w:rPr>
          <w:rFonts w:cs="Times New Roman"/>
          <w:b/>
          <w:noProof/>
          <w:szCs w:val="24"/>
        </w:rPr>
        <w:t xml:space="preserve"> using the base cost assumptions</w:t>
      </w:r>
    </w:p>
    <w:p w:rsidR="003E180D" w:rsidRDefault="003E180D" w:rsidP="003E180D">
      <w:pPr>
        <w:spacing w:line="240" w:lineRule="auto"/>
        <w:jc w:val="center"/>
        <w:rPr>
          <w:rFonts w:cs="Times New Roman"/>
          <w:noProof/>
          <w:szCs w:val="24"/>
        </w:rPr>
      </w:pPr>
      <w:r>
        <w:rPr>
          <w:rFonts w:cs="Times New Roman"/>
          <w:noProof/>
          <w:szCs w:val="24"/>
          <w:lang w:eastAsia="en-GB"/>
        </w:rPr>
        <w:drawing>
          <wp:inline distT="0" distB="0" distL="0" distR="0" wp14:anchorId="6858A931" wp14:editId="2C5FA913">
            <wp:extent cx="3708727" cy="21600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08727" cy="2160000"/>
                    </a:xfrm>
                    <a:prstGeom prst="rect">
                      <a:avLst/>
                    </a:prstGeom>
                    <a:noFill/>
                  </pic:spPr>
                </pic:pic>
              </a:graphicData>
            </a:graphic>
          </wp:inline>
        </w:drawing>
      </w:r>
    </w:p>
    <w:p w:rsidR="003E180D" w:rsidRDefault="003E180D" w:rsidP="003E180D">
      <w:pPr>
        <w:spacing w:line="240" w:lineRule="auto"/>
        <w:jc w:val="center"/>
        <w:rPr>
          <w:rFonts w:cs="Times New Roman"/>
          <w:noProof/>
          <w:szCs w:val="24"/>
        </w:rPr>
      </w:pPr>
      <w:r>
        <w:rPr>
          <w:rFonts w:cs="Times New Roman"/>
          <w:noProof/>
          <w:szCs w:val="24"/>
          <w:lang w:eastAsia="en-GB"/>
        </w:rPr>
        <w:drawing>
          <wp:inline distT="0" distB="0" distL="0" distR="0" wp14:anchorId="6CE6036F" wp14:editId="4F1EA8BE">
            <wp:extent cx="3707095" cy="21600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07095" cy="2160000"/>
                    </a:xfrm>
                    <a:prstGeom prst="rect">
                      <a:avLst/>
                    </a:prstGeom>
                    <a:noFill/>
                  </pic:spPr>
                </pic:pic>
              </a:graphicData>
            </a:graphic>
          </wp:inline>
        </w:drawing>
      </w:r>
    </w:p>
    <w:p w:rsidR="003E180D" w:rsidRDefault="003E180D" w:rsidP="003E180D">
      <w:pPr>
        <w:pStyle w:val="Caption"/>
        <w:keepNext/>
        <w:jc w:val="both"/>
        <w:rPr>
          <w:noProof/>
        </w:rPr>
      </w:pPr>
      <w:bookmarkStart w:id="813" w:name="_Ref506483336"/>
      <w:r>
        <w:rPr>
          <w:noProof/>
        </w:rPr>
        <w:t xml:space="preserve">Table </w:t>
      </w:r>
      <w:r>
        <w:rPr>
          <w:noProof/>
        </w:rPr>
        <w:fldChar w:fldCharType="begin"/>
      </w:r>
      <w:r>
        <w:rPr>
          <w:noProof/>
        </w:rPr>
        <w:instrText xml:space="preserve"> SEQ Table \* ARABIC </w:instrText>
      </w:r>
      <w:r>
        <w:rPr>
          <w:noProof/>
        </w:rPr>
        <w:fldChar w:fldCharType="separate"/>
      </w:r>
      <w:r>
        <w:rPr>
          <w:noProof/>
        </w:rPr>
        <w:t>20</w:t>
      </w:r>
      <w:r>
        <w:rPr>
          <w:noProof/>
        </w:rPr>
        <w:fldChar w:fldCharType="end"/>
      </w:r>
      <w:bookmarkEnd w:id="813"/>
      <w:r>
        <w:rPr>
          <w:noProof/>
        </w:rPr>
        <w:t>: Final energy demand (ktoe) for lorries in 2025 and 2030 under different TL options</w:t>
      </w:r>
      <w:r>
        <w:rPr>
          <w:rStyle w:val="CommentReference"/>
          <w:noProof/>
        </w:rPr>
        <w:t xml:space="preserve"> </w:t>
      </w:r>
      <w:r>
        <w:rPr>
          <w:noProof/>
        </w:rPr>
        <w:t>using the base cost assumptions</w:t>
      </w:r>
    </w:p>
    <w:tbl>
      <w:tblPr>
        <w:tblStyle w:val="TableGrid"/>
        <w:tblW w:w="0" w:type="auto"/>
        <w:jc w:val="center"/>
        <w:tblLook w:val="04A0" w:firstRow="1" w:lastRow="0" w:firstColumn="1" w:lastColumn="0" w:noHBand="0" w:noVBand="1"/>
      </w:tblPr>
      <w:tblGrid>
        <w:gridCol w:w="2136"/>
        <w:gridCol w:w="1536"/>
        <w:gridCol w:w="1600"/>
        <w:gridCol w:w="1536"/>
        <w:gridCol w:w="1947"/>
      </w:tblGrid>
      <w:tr w:rsidR="003E180D" w:rsidTr="0088305C">
        <w:trPr>
          <w:trHeight w:val="300"/>
          <w:jc w:val="center"/>
        </w:trPr>
        <w:tc>
          <w:tcPr>
            <w:tcW w:w="2136" w:type="dxa"/>
            <w:noWrap/>
            <w:hideMark/>
          </w:tcPr>
          <w:p w:rsidR="003E180D" w:rsidRDefault="003E180D" w:rsidP="0088305C">
            <w:pPr>
              <w:jc w:val="center"/>
              <w:rPr>
                <w:noProof/>
                <w:szCs w:val="24"/>
              </w:rPr>
            </w:pPr>
            <w:r>
              <w:rPr>
                <w:b/>
                <w:noProof/>
                <w:szCs w:val="24"/>
              </w:rPr>
              <w:t>Option</w:t>
            </w:r>
          </w:p>
        </w:tc>
        <w:tc>
          <w:tcPr>
            <w:tcW w:w="3136" w:type="dxa"/>
            <w:gridSpan w:val="2"/>
            <w:noWrap/>
            <w:hideMark/>
          </w:tcPr>
          <w:p w:rsidR="003E180D" w:rsidRDefault="003E180D" w:rsidP="0088305C">
            <w:pPr>
              <w:jc w:val="center"/>
              <w:rPr>
                <w:noProof/>
                <w:szCs w:val="24"/>
              </w:rPr>
            </w:pPr>
            <w:r>
              <w:rPr>
                <w:noProof/>
                <w:szCs w:val="24"/>
              </w:rPr>
              <w:t>2025</w:t>
            </w:r>
          </w:p>
        </w:tc>
        <w:tc>
          <w:tcPr>
            <w:tcW w:w="3483" w:type="dxa"/>
            <w:gridSpan w:val="2"/>
            <w:noWrap/>
            <w:hideMark/>
          </w:tcPr>
          <w:p w:rsidR="003E180D" w:rsidRDefault="003E180D" w:rsidP="0088305C">
            <w:pPr>
              <w:jc w:val="center"/>
              <w:rPr>
                <w:noProof/>
                <w:szCs w:val="24"/>
              </w:rPr>
            </w:pPr>
            <w:r>
              <w:rPr>
                <w:noProof/>
                <w:szCs w:val="24"/>
              </w:rPr>
              <w:t>2030</w:t>
            </w:r>
          </w:p>
        </w:tc>
      </w:tr>
      <w:tr w:rsidR="003E180D" w:rsidTr="0088305C">
        <w:trPr>
          <w:trHeight w:val="300"/>
          <w:jc w:val="center"/>
        </w:trPr>
        <w:tc>
          <w:tcPr>
            <w:tcW w:w="2136" w:type="dxa"/>
            <w:noWrap/>
            <w:hideMark/>
          </w:tcPr>
          <w:p w:rsidR="003E180D" w:rsidRDefault="003E180D" w:rsidP="0088305C">
            <w:pPr>
              <w:rPr>
                <w:b/>
                <w:noProof/>
                <w:szCs w:val="24"/>
              </w:rPr>
            </w:pPr>
          </w:p>
        </w:tc>
        <w:tc>
          <w:tcPr>
            <w:tcW w:w="1536" w:type="dxa"/>
            <w:noWrap/>
            <w:hideMark/>
          </w:tcPr>
          <w:p w:rsidR="003E180D" w:rsidRDefault="003E180D" w:rsidP="0088305C">
            <w:pPr>
              <w:jc w:val="center"/>
              <w:rPr>
                <w:b/>
                <w:noProof/>
                <w:szCs w:val="24"/>
              </w:rPr>
            </w:pPr>
            <w:r>
              <w:rPr>
                <w:b/>
                <w:noProof/>
                <w:szCs w:val="24"/>
              </w:rPr>
              <w:t>Diesel</w:t>
            </w:r>
          </w:p>
        </w:tc>
        <w:tc>
          <w:tcPr>
            <w:tcW w:w="1600" w:type="dxa"/>
            <w:noWrap/>
            <w:hideMark/>
          </w:tcPr>
          <w:p w:rsidR="003E180D" w:rsidRDefault="003E180D" w:rsidP="0088305C">
            <w:pPr>
              <w:jc w:val="center"/>
              <w:rPr>
                <w:b/>
                <w:noProof/>
                <w:szCs w:val="24"/>
              </w:rPr>
            </w:pPr>
            <w:r>
              <w:rPr>
                <w:b/>
                <w:noProof/>
                <w:szCs w:val="24"/>
              </w:rPr>
              <w:t>LNG</w:t>
            </w:r>
          </w:p>
        </w:tc>
        <w:tc>
          <w:tcPr>
            <w:tcW w:w="1536" w:type="dxa"/>
            <w:noWrap/>
            <w:hideMark/>
          </w:tcPr>
          <w:p w:rsidR="003E180D" w:rsidRDefault="003E180D" w:rsidP="0088305C">
            <w:pPr>
              <w:jc w:val="center"/>
              <w:rPr>
                <w:b/>
                <w:noProof/>
                <w:szCs w:val="24"/>
              </w:rPr>
            </w:pPr>
            <w:r>
              <w:rPr>
                <w:b/>
                <w:noProof/>
                <w:szCs w:val="24"/>
              </w:rPr>
              <w:t>Diesel</w:t>
            </w:r>
          </w:p>
        </w:tc>
        <w:tc>
          <w:tcPr>
            <w:tcW w:w="1947" w:type="dxa"/>
            <w:noWrap/>
            <w:hideMark/>
          </w:tcPr>
          <w:p w:rsidR="003E180D" w:rsidRDefault="003E180D" w:rsidP="0088305C">
            <w:pPr>
              <w:jc w:val="center"/>
              <w:rPr>
                <w:b/>
                <w:noProof/>
                <w:szCs w:val="24"/>
              </w:rPr>
            </w:pPr>
            <w:r>
              <w:rPr>
                <w:b/>
                <w:noProof/>
                <w:szCs w:val="24"/>
              </w:rPr>
              <w:t>LNG</w:t>
            </w:r>
          </w:p>
        </w:tc>
      </w:tr>
      <w:tr w:rsidR="003E180D" w:rsidTr="0088305C">
        <w:trPr>
          <w:trHeight w:val="300"/>
          <w:jc w:val="center"/>
        </w:trPr>
        <w:tc>
          <w:tcPr>
            <w:tcW w:w="2136" w:type="dxa"/>
            <w:noWrap/>
          </w:tcPr>
          <w:p w:rsidR="003E180D" w:rsidRDefault="003E180D" w:rsidP="0088305C">
            <w:pPr>
              <w:rPr>
                <w:noProof/>
                <w:szCs w:val="24"/>
              </w:rPr>
            </w:pPr>
            <w:r>
              <w:rPr>
                <w:noProof/>
                <w:szCs w:val="24"/>
              </w:rPr>
              <w:t>Baseline</w:t>
            </w:r>
          </w:p>
        </w:tc>
        <w:tc>
          <w:tcPr>
            <w:tcW w:w="1536" w:type="dxa"/>
            <w:noWrap/>
          </w:tcPr>
          <w:p w:rsidR="003E180D" w:rsidRDefault="003E180D" w:rsidP="0088305C">
            <w:pPr>
              <w:jc w:val="center"/>
              <w:rPr>
                <w:noProof/>
                <w:szCs w:val="24"/>
              </w:rPr>
            </w:pPr>
            <w:r>
              <w:rPr>
                <w:noProof/>
                <w:szCs w:val="24"/>
              </w:rPr>
              <w:t>70,802</w:t>
            </w:r>
          </w:p>
        </w:tc>
        <w:tc>
          <w:tcPr>
            <w:tcW w:w="1600" w:type="dxa"/>
            <w:noWrap/>
          </w:tcPr>
          <w:p w:rsidR="003E180D" w:rsidRDefault="003E180D" w:rsidP="0088305C">
            <w:pPr>
              <w:jc w:val="center"/>
              <w:rPr>
                <w:noProof/>
                <w:szCs w:val="24"/>
              </w:rPr>
            </w:pPr>
            <w:r>
              <w:rPr>
                <w:noProof/>
                <w:szCs w:val="24"/>
              </w:rPr>
              <w:t>499</w:t>
            </w:r>
          </w:p>
        </w:tc>
        <w:tc>
          <w:tcPr>
            <w:tcW w:w="1536" w:type="dxa"/>
            <w:noWrap/>
          </w:tcPr>
          <w:p w:rsidR="003E180D" w:rsidRDefault="003E180D" w:rsidP="0088305C">
            <w:pPr>
              <w:jc w:val="center"/>
              <w:rPr>
                <w:noProof/>
                <w:szCs w:val="24"/>
              </w:rPr>
            </w:pPr>
            <w:r>
              <w:rPr>
                <w:noProof/>
                <w:szCs w:val="24"/>
              </w:rPr>
              <w:t>71,377</w:t>
            </w:r>
          </w:p>
        </w:tc>
        <w:tc>
          <w:tcPr>
            <w:tcW w:w="1947" w:type="dxa"/>
            <w:noWrap/>
          </w:tcPr>
          <w:p w:rsidR="003E180D" w:rsidRDefault="003E180D" w:rsidP="0088305C">
            <w:pPr>
              <w:jc w:val="center"/>
              <w:rPr>
                <w:noProof/>
                <w:szCs w:val="24"/>
              </w:rPr>
            </w:pPr>
            <w:r>
              <w:rPr>
                <w:noProof/>
                <w:szCs w:val="24"/>
              </w:rPr>
              <w:t>1,301</w:t>
            </w:r>
          </w:p>
        </w:tc>
      </w:tr>
      <w:tr w:rsidR="003E180D" w:rsidTr="0088305C">
        <w:trPr>
          <w:trHeight w:val="300"/>
          <w:jc w:val="center"/>
        </w:trPr>
        <w:tc>
          <w:tcPr>
            <w:tcW w:w="2136" w:type="dxa"/>
            <w:noWrap/>
          </w:tcPr>
          <w:p w:rsidR="003E180D" w:rsidRDefault="003E180D" w:rsidP="0088305C">
            <w:pPr>
              <w:rPr>
                <w:noProof/>
                <w:szCs w:val="24"/>
              </w:rPr>
            </w:pPr>
            <w:r>
              <w:rPr>
                <w:noProof/>
                <w:szCs w:val="24"/>
              </w:rPr>
              <w:t>TL20</w:t>
            </w:r>
          </w:p>
        </w:tc>
        <w:tc>
          <w:tcPr>
            <w:tcW w:w="1536" w:type="dxa"/>
            <w:noWrap/>
          </w:tcPr>
          <w:p w:rsidR="003E180D" w:rsidRDefault="003E180D" w:rsidP="0088305C">
            <w:pPr>
              <w:jc w:val="center"/>
              <w:rPr>
                <w:noProof/>
                <w:szCs w:val="24"/>
              </w:rPr>
            </w:pPr>
            <w:r>
              <w:rPr>
                <w:noProof/>
                <w:szCs w:val="24"/>
              </w:rPr>
              <w:t>69,703</w:t>
            </w:r>
          </w:p>
        </w:tc>
        <w:tc>
          <w:tcPr>
            <w:tcW w:w="1600" w:type="dxa"/>
            <w:noWrap/>
          </w:tcPr>
          <w:p w:rsidR="003E180D" w:rsidRDefault="003E180D" w:rsidP="0088305C">
            <w:pPr>
              <w:jc w:val="center"/>
              <w:rPr>
                <w:noProof/>
                <w:szCs w:val="24"/>
              </w:rPr>
            </w:pPr>
            <w:r>
              <w:rPr>
                <w:noProof/>
                <w:szCs w:val="24"/>
              </w:rPr>
              <w:t>1,019</w:t>
            </w:r>
          </w:p>
        </w:tc>
        <w:tc>
          <w:tcPr>
            <w:tcW w:w="1536" w:type="dxa"/>
            <w:noWrap/>
          </w:tcPr>
          <w:p w:rsidR="003E180D" w:rsidRDefault="003E180D" w:rsidP="0088305C">
            <w:pPr>
              <w:jc w:val="center"/>
              <w:rPr>
                <w:noProof/>
                <w:szCs w:val="24"/>
              </w:rPr>
            </w:pPr>
            <w:r>
              <w:rPr>
                <w:noProof/>
                <w:szCs w:val="24"/>
              </w:rPr>
              <w:t>67,596</w:t>
            </w:r>
          </w:p>
        </w:tc>
        <w:tc>
          <w:tcPr>
            <w:tcW w:w="1947" w:type="dxa"/>
            <w:noWrap/>
          </w:tcPr>
          <w:p w:rsidR="003E180D" w:rsidRDefault="003E180D" w:rsidP="0088305C">
            <w:pPr>
              <w:jc w:val="center"/>
              <w:rPr>
                <w:noProof/>
                <w:szCs w:val="24"/>
              </w:rPr>
            </w:pPr>
            <w:r>
              <w:rPr>
                <w:noProof/>
                <w:szCs w:val="24"/>
              </w:rPr>
              <w:t>3,163</w:t>
            </w:r>
          </w:p>
        </w:tc>
      </w:tr>
      <w:tr w:rsidR="003E180D" w:rsidTr="0088305C">
        <w:trPr>
          <w:trHeight w:val="300"/>
          <w:jc w:val="center"/>
        </w:trPr>
        <w:tc>
          <w:tcPr>
            <w:tcW w:w="2136" w:type="dxa"/>
            <w:noWrap/>
          </w:tcPr>
          <w:p w:rsidR="003E180D" w:rsidRDefault="003E180D" w:rsidP="0088305C">
            <w:pPr>
              <w:rPr>
                <w:noProof/>
                <w:szCs w:val="24"/>
              </w:rPr>
            </w:pPr>
            <w:r>
              <w:rPr>
                <w:noProof/>
                <w:szCs w:val="24"/>
              </w:rPr>
              <w:t>TL30NL</w:t>
            </w:r>
          </w:p>
        </w:tc>
        <w:tc>
          <w:tcPr>
            <w:tcW w:w="1536" w:type="dxa"/>
            <w:noWrap/>
          </w:tcPr>
          <w:p w:rsidR="003E180D" w:rsidRDefault="003E180D" w:rsidP="0088305C">
            <w:pPr>
              <w:jc w:val="center"/>
              <w:rPr>
                <w:noProof/>
                <w:szCs w:val="24"/>
              </w:rPr>
            </w:pPr>
            <w:r>
              <w:rPr>
                <w:noProof/>
                <w:szCs w:val="24"/>
              </w:rPr>
              <w:t>69,395</w:t>
            </w:r>
          </w:p>
        </w:tc>
        <w:tc>
          <w:tcPr>
            <w:tcW w:w="1600" w:type="dxa"/>
            <w:noWrap/>
          </w:tcPr>
          <w:p w:rsidR="003E180D" w:rsidRDefault="003E180D" w:rsidP="0088305C">
            <w:pPr>
              <w:jc w:val="center"/>
              <w:rPr>
                <w:noProof/>
                <w:szCs w:val="24"/>
              </w:rPr>
            </w:pPr>
            <w:r>
              <w:rPr>
                <w:noProof/>
                <w:szCs w:val="24"/>
              </w:rPr>
              <w:t>1,079</w:t>
            </w:r>
          </w:p>
        </w:tc>
        <w:tc>
          <w:tcPr>
            <w:tcW w:w="1536" w:type="dxa"/>
            <w:noWrap/>
          </w:tcPr>
          <w:p w:rsidR="003E180D" w:rsidRDefault="003E180D" w:rsidP="0088305C">
            <w:pPr>
              <w:jc w:val="center"/>
              <w:rPr>
                <w:noProof/>
                <w:szCs w:val="24"/>
              </w:rPr>
            </w:pPr>
            <w:r>
              <w:rPr>
                <w:noProof/>
                <w:szCs w:val="24"/>
              </w:rPr>
              <w:t>65,135</w:t>
            </w:r>
          </w:p>
        </w:tc>
        <w:tc>
          <w:tcPr>
            <w:tcW w:w="1947" w:type="dxa"/>
            <w:noWrap/>
          </w:tcPr>
          <w:p w:rsidR="003E180D" w:rsidRDefault="003E180D" w:rsidP="0088305C">
            <w:pPr>
              <w:jc w:val="center"/>
              <w:rPr>
                <w:noProof/>
                <w:szCs w:val="24"/>
              </w:rPr>
            </w:pPr>
            <w:r>
              <w:rPr>
                <w:noProof/>
                <w:szCs w:val="24"/>
              </w:rPr>
              <w:t>4,167</w:t>
            </w:r>
          </w:p>
        </w:tc>
      </w:tr>
      <w:tr w:rsidR="003E180D" w:rsidTr="0088305C">
        <w:trPr>
          <w:trHeight w:val="300"/>
          <w:jc w:val="center"/>
        </w:trPr>
        <w:tc>
          <w:tcPr>
            <w:tcW w:w="2136" w:type="dxa"/>
            <w:noWrap/>
          </w:tcPr>
          <w:p w:rsidR="003E180D" w:rsidRDefault="003E180D" w:rsidP="0088305C">
            <w:pPr>
              <w:rPr>
                <w:noProof/>
                <w:szCs w:val="24"/>
              </w:rPr>
            </w:pPr>
            <w:r>
              <w:rPr>
                <w:noProof/>
                <w:szCs w:val="24"/>
              </w:rPr>
              <w:t>TL30</w:t>
            </w:r>
          </w:p>
        </w:tc>
        <w:tc>
          <w:tcPr>
            <w:tcW w:w="1536" w:type="dxa"/>
            <w:noWrap/>
          </w:tcPr>
          <w:p w:rsidR="003E180D" w:rsidRDefault="003E180D" w:rsidP="0088305C">
            <w:pPr>
              <w:jc w:val="center"/>
              <w:rPr>
                <w:noProof/>
                <w:szCs w:val="24"/>
              </w:rPr>
            </w:pPr>
            <w:r>
              <w:rPr>
                <w:noProof/>
                <w:szCs w:val="24"/>
              </w:rPr>
              <w:t>69,061</w:t>
            </w:r>
          </w:p>
        </w:tc>
        <w:tc>
          <w:tcPr>
            <w:tcW w:w="1600" w:type="dxa"/>
            <w:noWrap/>
          </w:tcPr>
          <w:p w:rsidR="003E180D" w:rsidRDefault="003E180D" w:rsidP="0088305C">
            <w:pPr>
              <w:jc w:val="center"/>
              <w:rPr>
                <w:noProof/>
                <w:szCs w:val="24"/>
              </w:rPr>
            </w:pPr>
            <w:r>
              <w:rPr>
                <w:noProof/>
                <w:szCs w:val="24"/>
              </w:rPr>
              <w:t>1,148</w:t>
            </w:r>
          </w:p>
        </w:tc>
        <w:tc>
          <w:tcPr>
            <w:tcW w:w="1536" w:type="dxa"/>
            <w:noWrap/>
          </w:tcPr>
          <w:p w:rsidR="003E180D" w:rsidRDefault="003E180D" w:rsidP="0088305C">
            <w:pPr>
              <w:jc w:val="center"/>
              <w:rPr>
                <w:noProof/>
                <w:szCs w:val="24"/>
              </w:rPr>
            </w:pPr>
            <w:r>
              <w:rPr>
                <w:noProof/>
                <w:szCs w:val="24"/>
              </w:rPr>
              <w:t>64,505</w:t>
            </w:r>
          </w:p>
        </w:tc>
        <w:tc>
          <w:tcPr>
            <w:tcW w:w="1947" w:type="dxa"/>
            <w:noWrap/>
          </w:tcPr>
          <w:p w:rsidR="003E180D" w:rsidRDefault="003E180D" w:rsidP="0088305C">
            <w:pPr>
              <w:jc w:val="center"/>
              <w:rPr>
                <w:noProof/>
                <w:szCs w:val="24"/>
              </w:rPr>
            </w:pPr>
            <w:r>
              <w:rPr>
                <w:noProof/>
                <w:szCs w:val="24"/>
              </w:rPr>
              <w:t>4,443</w:t>
            </w:r>
          </w:p>
        </w:tc>
      </w:tr>
      <w:tr w:rsidR="003E180D" w:rsidTr="0088305C">
        <w:trPr>
          <w:trHeight w:val="300"/>
          <w:jc w:val="center"/>
        </w:trPr>
        <w:tc>
          <w:tcPr>
            <w:tcW w:w="2136" w:type="dxa"/>
            <w:noWrap/>
          </w:tcPr>
          <w:p w:rsidR="003E180D" w:rsidRDefault="003E180D" w:rsidP="0088305C">
            <w:pPr>
              <w:rPr>
                <w:noProof/>
                <w:szCs w:val="24"/>
              </w:rPr>
            </w:pPr>
            <w:r>
              <w:rPr>
                <w:noProof/>
                <w:szCs w:val="24"/>
              </w:rPr>
              <w:t>TL32</w:t>
            </w:r>
          </w:p>
        </w:tc>
        <w:tc>
          <w:tcPr>
            <w:tcW w:w="1536" w:type="dxa"/>
            <w:noWrap/>
          </w:tcPr>
          <w:p w:rsidR="003E180D" w:rsidRDefault="003E180D" w:rsidP="0088305C">
            <w:pPr>
              <w:jc w:val="center"/>
              <w:rPr>
                <w:noProof/>
                <w:szCs w:val="24"/>
              </w:rPr>
            </w:pPr>
            <w:r>
              <w:rPr>
                <w:noProof/>
                <w:szCs w:val="24"/>
              </w:rPr>
              <w:t>68,707</w:t>
            </w:r>
          </w:p>
        </w:tc>
        <w:tc>
          <w:tcPr>
            <w:tcW w:w="1600" w:type="dxa"/>
            <w:noWrap/>
          </w:tcPr>
          <w:p w:rsidR="003E180D" w:rsidRDefault="003E180D" w:rsidP="0088305C">
            <w:pPr>
              <w:jc w:val="center"/>
              <w:rPr>
                <w:noProof/>
                <w:szCs w:val="24"/>
              </w:rPr>
            </w:pPr>
            <w:r>
              <w:rPr>
                <w:noProof/>
                <w:szCs w:val="24"/>
              </w:rPr>
              <w:t>1,225</w:t>
            </w:r>
          </w:p>
        </w:tc>
        <w:tc>
          <w:tcPr>
            <w:tcW w:w="1536" w:type="dxa"/>
            <w:noWrap/>
          </w:tcPr>
          <w:p w:rsidR="003E180D" w:rsidRDefault="003E180D" w:rsidP="0088305C">
            <w:pPr>
              <w:jc w:val="center"/>
              <w:rPr>
                <w:noProof/>
                <w:szCs w:val="24"/>
              </w:rPr>
            </w:pPr>
            <w:r>
              <w:rPr>
                <w:noProof/>
                <w:szCs w:val="24"/>
              </w:rPr>
              <w:t>63,352</w:t>
            </w:r>
          </w:p>
        </w:tc>
        <w:tc>
          <w:tcPr>
            <w:tcW w:w="1947" w:type="dxa"/>
            <w:noWrap/>
          </w:tcPr>
          <w:p w:rsidR="003E180D" w:rsidRDefault="003E180D" w:rsidP="0088305C">
            <w:pPr>
              <w:jc w:val="center"/>
              <w:rPr>
                <w:noProof/>
                <w:szCs w:val="24"/>
              </w:rPr>
            </w:pPr>
            <w:r>
              <w:rPr>
                <w:noProof/>
                <w:szCs w:val="24"/>
              </w:rPr>
              <w:t>5,012</w:t>
            </w:r>
          </w:p>
        </w:tc>
      </w:tr>
      <w:tr w:rsidR="003E180D" w:rsidTr="0088305C">
        <w:trPr>
          <w:trHeight w:val="300"/>
          <w:jc w:val="center"/>
        </w:trPr>
        <w:tc>
          <w:tcPr>
            <w:tcW w:w="2136" w:type="dxa"/>
            <w:noWrap/>
          </w:tcPr>
          <w:p w:rsidR="003E180D" w:rsidRDefault="003E180D" w:rsidP="0088305C">
            <w:pPr>
              <w:rPr>
                <w:noProof/>
                <w:szCs w:val="24"/>
              </w:rPr>
            </w:pPr>
            <w:r>
              <w:rPr>
                <w:noProof/>
                <w:szCs w:val="24"/>
              </w:rPr>
              <w:t>TL35</w:t>
            </w:r>
          </w:p>
        </w:tc>
        <w:tc>
          <w:tcPr>
            <w:tcW w:w="1536" w:type="dxa"/>
            <w:noWrap/>
          </w:tcPr>
          <w:p w:rsidR="003E180D" w:rsidRDefault="003E180D" w:rsidP="0088305C">
            <w:pPr>
              <w:jc w:val="center"/>
              <w:rPr>
                <w:noProof/>
                <w:szCs w:val="24"/>
              </w:rPr>
            </w:pPr>
            <w:r>
              <w:rPr>
                <w:noProof/>
                <w:szCs w:val="24"/>
              </w:rPr>
              <w:t>68,302</w:t>
            </w:r>
          </w:p>
        </w:tc>
        <w:tc>
          <w:tcPr>
            <w:tcW w:w="1600" w:type="dxa"/>
            <w:noWrap/>
          </w:tcPr>
          <w:p w:rsidR="003E180D" w:rsidRDefault="003E180D" w:rsidP="0088305C">
            <w:pPr>
              <w:jc w:val="center"/>
              <w:rPr>
                <w:noProof/>
                <w:szCs w:val="24"/>
              </w:rPr>
            </w:pPr>
            <w:r>
              <w:rPr>
                <w:noProof/>
                <w:szCs w:val="24"/>
              </w:rPr>
              <w:t>1,320</w:t>
            </w:r>
          </w:p>
        </w:tc>
        <w:tc>
          <w:tcPr>
            <w:tcW w:w="1536" w:type="dxa"/>
            <w:noWrap/>
          </w:tcPr>
          <w:p w:rsidR="003E180D" w:rsidRDefault="003E180D" w:rsidP="0088305C">
            <w:pPr>
              <w:jc w:val="center"/>
              <w:rPr>
                <w:noProof/>
                <w:szCs w:val="24"/>
              </w:rPr>
            </w:pPr>
            <w:r>
              <w:rPr>
                <w:noProof/>
                <w:szCs w:val="24"/>
              </w:rPr>
              <w:t>61,877</w:t>
            </w:r>
          </w:p>
        </w:tc>
        <w:tc>
          <w:tcPr>
            <w:tcW w:w="1947" w:type="dxa"/>
            <w:noWrap/>
          </w:tcPr>
          <w:p w:rsidR="003E180D" w:rsidRDefault="003E180D" w:rsidP="0088305C">
            <w:pPr>
              <w:jc w:val="center"/>
              <w:rPr>
                <w:noProof/>
                <w:szCs w:val="24"/>
              </w:rPr>
            </w:pPr>
            <w:r>
              <w:rPr>
                <w:noProof/>
                <w:szCs w:val="24"/>
              </w:rPr>
              <w:t>5,690</w:t>
            </w:r>
          </w:p>
        </w:tc>
      </w:tr>
    </w:tbl>
    <w:p w:rsidR="003E180D" w:rsidRDefault="003E180D" w:rsidP="003E180D">
      <w:pPr>
        <w:spacing w:line="240" w:lineRule="auto"/>
        <w:rPr>
          <w:rFonts w:cs="Times New Roman"/>
          <w:noProof/>
          <w:szCs w:val="24"/>
        </w:rPr>
      </w:pPr>
    </w:p>
    <w:p w:rsidR="003E180D" w:rsidRDefault="003E180D" w:rsidP="003E180D">
      <w:pPr>
        <w:rPr>
          <w:noProof/>
          <w:szCs w:val="24"/>
        </w:rPr>
      </w:pPr>
      <w:bookmarkStart w:id="814" w:name="_Toc508124808"/>
      <w:r>
        <w:rPr>
          <w:noProof/>
        </w:rPr>
        <w:br w:type="page"/>
      </w:r>
    </w:p>
    <w:p w:rsidR="003E180D" w:rsidRDefault="003E180D" w:rsidP="003E180D">
      <w:pPr>
        <w:pStyle w:val="Heading2"/>
        <w:numPr>
          <w:ilvl w:val="1"/>
          <w:numId w:val="22"/>
        </w:numPr>
        <w:spacing w:before="240" w:after="240"/>
        <w:rPr>
          <w:noProof/>
        </w:rPr>
      </w:pPr>
      <w:bookmarkStart w:id="815" w:name="_Toc508126172"/>
      <w:bookmarkStart w:id="816" w:name="_Toc508127545"/>
      <w:bookmarkStart w:id="817" w:name="_Toc508127899"/>
      <w:bookmarkStart w:id="818" w:name="_Toc508129693"/>
      <w:bookmarkStart w:id="819" w:name="_Toc508181066"/>
      <w:bookmarkStart w:id="820" w:name="_Toc508186657"/>
      <w:bookmarkStart w:id="821" w:name="_Toc510708140"/>
      <w:bookmarkStart w:id="822" w:name="_Toc514328837"/>
      <w:r>
        <w:rPr>
          <w:noProof/>
        </w:rPr>
        <w:t>Freight (HDV) transport impact</w:t>
      </w:r>
      <w:bookmarkEnd w:id="814"/>
      <w:bookmarkEnd w:id="815"/>
      <w:bookmarkEnd w:id="816"/>
      <w:bookmarkEnd w:id="817"/>
      <w:bookmarkEnd w:id="818"/>
      <w:r>
        <w:rPr>
          <w:noProof/>
        </w:rPr>
        <w:t xml:space="preserve"> of different target level options</w:t>
      </w:r>
      <w:bookmarkEnd w:id="819"/>
      <w:bookmarkEnd w:id="820"/>
      <w:bookmarkEnd w:id="821"/>
      <w:bookmarkEnd w:id="822"/>
    </w:p>
    <w:p w:rsidR="003E180D" w:rsidRDefault="003E180D" w:rsidP="003E180D">
      <w:pPr>
        <w:spacing w:after="120" w:line="240" w:lineRule="auto"/>
        <w:jc w:val="both"/>
        <w:rPr>
          <w:rFonts w:cs="Times New Roman"/>
          <w:noProof/>
          <w:szCs w:val="24"/>
        </w:rPr>
      </w:pPr>
      <w:r>
        <w:rPr>
          <w:rFonts w:cs="Times New Roman"/>
          <w:noProof/>
          <w:szCs w:val="24"/>
        </w:rPr>
        <w:t xml:space="preserve">Freight transport activity is projected to increase slightly over time in the baseline scenario due to increased economic activity. The decrease in the fuel costs lowers freight costs, and consequently increases freight transport activity. However, as shown in </w:t>
      </w:r>
      <w:r>
        <w:rPr>
          <w:rFonts w:cs="Times New Roman"/>
          <w:noProof/>
          <w:szCs w:val="24"/>
        </w:rPr>
        <w:fldChar w:fldCharType="begin"/>
      </w:r>
      <w:r>
        <w:rPr>
          <w:rFonts w:cs="Times New Roman"/>
          <w:noProof/>
          <w:szCs w:val="24"/>
        </w:rPr>
        <w:instrText xml:space="preserve"> REF _Ref508125149 \h </w:instrText>
      </w:r>
      <w:r>
        <w:rPr>
          <w:rFonts w:cs="Times New Roman"/>
          <w:noProof/>
          <w:szCs w:val="24"/>
        </w:rPr>
      </w:r>
      <w:r>
        <w:rPr>
          <w:rFonts w:cs="Times New Roman"/>
          <w:noProof/>
          <w:szCs w:val="24"/>
        </w:rPr>
        <w:fldChar w:fldCharType="separate"/>
      </w:r>
      <w:r>
        <w:rPr>
          <w:noProof/>
        </w:rPr>
        <w:t>Table 21</w:t>
      </w:r>
      <w:r>
        <w:rPr>
          <w:rFonts w:cs="Times New Roman"/>
          <w:noProof/>
          <w:szCs w:val="24"/>
        </w:rPr>
        <w:fldChar w:fldCharType="end"/>
      </w:r>
      <w:r>
        <w:rPr>
          <w:rFonts w:cs="Times New Roman"/>
          <w:noProof/>
          <w:szCs w:val="24"/>
        </w:rPr>
        <w:t xml:space="preserve">, for all the options assessed, this increase remains limited in the range of 0.2% to 0.4% in 2025 and 0.5% to 0.9% in 2030 depending on the target level option. </w:t>
      </w:r>
    </w:p>
    <w:p w:rsidR="003E180D" w:rsidRDefault="003E180D" w:rsidP="003E180D">
      <w:pPr>
        <w:pStyle w:val="Caption"/>
        <w:keepNext/>
        <w:jc w:val="both"/>
        <w:rPr>
          <w:iCs/>
          <w:noProof/>
        </w:rPr>
      </w:pPr>
      <w:bookmarkStart w:id="823" w:name="_Ref508125149"/>
      <w:r>
        <w:rPr>
          <w:noProof/>
        </w:rPr>
        <w:t xml:space="preserve">Table </w:t>
      </w:r>
      <w:r>
        <w:rPr>
          <w:b w:val="0"/>
          <w:noProof/>
        </w:rPr>
        <w:fldChar w:fldCharType="begin"/>
      </w:r>
      <w:r>
        <w:rPr>
          <w:noProof/>
        </w:rPr>
        <w:instrText xml:space="preserve"> SEQ Table \* ARABIC </w:instrText>
      </w:r>
      <w:r>
        <w:rPr>
          <w:b w:val="0"/>
          <w:noProof/>
        </w:rPr>
        <w:fldChar w:fldCharType="separate"/>
      </w:r>
      <w:r>
        <w:rPr>
          <w:noProof/>
        </w:rPr>
        <w:t>21</w:t>
      </w:r>
      <w:r>
        <w:rPr>
          <w:b w:val="0"/>
          <w:noProof/>
        </w:rPr>
        <w:fldChar w:fldCharType="end"/>
      </w:r>
      <w:bookmarkEnd w:id="823"/>
      <w:r>
        <w:rPr>
          <w:noProof/>
        </w:rPr>
        <w:t>: Freight (HDV) transport activity (Gtkm) evolution with respect to the baseline in the period 2020-2030 under different TL options</w:t>
      </w:r>
      <w:r>
        <w:rPr>
          <w:iCs/>
          <w:noProof/>
        </w:rPr>
        <w:t xml:space="preserve"> using the base cost assumptions</w:t>
      </w:r>
    </w:p>
    <w:tbl>
      <w:tblPr>
        <w:tblStyle w:val="TableGrid"/>
        <w:tblW w:w="0" w:type="auto"/>
        <w:jc w:val="center"/>
        <w:tblLook w:val="04A0" w:firstRow="1" w:lastRow="0" w:firstColumn="1" w:lastColumn="0" w:noHBand="0" w:noVBand="1"/>
      </w:tblPr>
      <w:tblGrid>
        <w:gridCol w:w="2660"/>
        <w:gridCol w:w="850"/>
        <w:gridCol w:w="851"/>
        <w:gridCol w:w="756"/>
      </w:tblGrid>
      <w:tr w:rsidR="003E180D" w:rsidTr="0088305C">
        <w:trPr>
          <w:trHeight w:val="300"/>
          <w:jc w:val="center"/>
        </w:trPr>
        <w:tc>
          <w:tcPr>
            <w:tcW w:w="2660" w:type="dxa"/>
            <w:noWrap/>
            <w:hideMark/>
          </w:tcPr>
          <w:p w:rsidR="003E180D" w:rsidRDefault="003E180D" w:rsidP="0088305C">
            <w:pPr>
              <w:spacing w:after="60"/>
              <w:rPr>
                <w:b/>
                <w:noProof/>
                <w:szCs w:val="24"/>
              </w:rPr>
            </w:pPr>
            <w:r>
              <w:rPr>
                <w:b/>
                <w:noProof/>
                <w:szCs w:val="24"/>
              </w:rPr>
              <w:t> </w:t>
            </w:r>
          </w:p>
        </w:tc>
        <w:tc>
          <w:tcPr>
            <w:tcW w:w="850" w:type="dxa"/>
            <w:noWrap/>
            <w:hideMark/>
          </w:tcPr>
          <w:p w:rsidR="003E180D" w:rsidRDefault="003E180D" w:rsidP="0088305C">
            <w:pPr>
              <w:spacing w:after="60"/>
              <w:rPr>
                <w:b/>
                <w:noProof/>
                <w:szCs w:val="24"/>
              </w:rPr>
            </w:pPr>
            <w:r>
              <w:rPr>
                <w:b/>
                <w:noProof/>
                <w:szCs w:val="24"/>
              </w:rPr>
              <w:t>2020</w:t>
            </w:r>
          </w:p>
        </w:tc>
        <w:tc>
          <w:tcPr>
            <w:tcW w:w="851" w:type="dxa"/>
            <w:noWrap/>
            <w:hideMark/>
          </w:tcPr>
          <w:p w:rsidR="003E180D" w:rsidRDefault="003E180D" w:rsidP="0088305C">
            <w:pPr>
              <w:spacing w:after="60"/>
              <w:rPr>
                <w:b/>
                <w:noProof/>
                <w:szCs w:val="24"/>
              </w:rPr>
            </w:pPr>
            <w:r>
              <w:rPr>
                <w:b/>
                <w:noProof/>
                <w:szCs w:val="24"/>
              </w:rPr>
              <w:t>2025</w:t>
            </w:r>
          </w:p>
        </w:tc>
        <w:tc>
          <w:tcPr>
            <w:tcW w:w="716" w:type="dxa"/>
            <w:noWrap/>
            <w:hideMark/>
          </w:tcPr>
          <w:p w:rsidR="003E180D" w:rsidRDefault="003E180D" w:rsidP="0088305C">
            <w:pPr>
              <w:spacing w:after="60"/>
              <w:rPr>
                <w:b/>
                <w:noProof/>
                <w:szCs w:val="24"/>
              </w:rPr>
            </w:pPr>
            <w:r>
              <w:rPr>
                <w:b/>
                <w:noProof/>
                <w:szCs w:val="24"/>
              </w:rPr>
              <w:t>2030</w:t>
            </w:r>
          </w:p>
        </w:tc>
      </w:tr>
      <w:tr w:rsidR="003E180D" w:rsidTr="0088305C">
        <w:trPr>
          <w:trHeight w:val="300"/>
          <w:jc w:val="center"/>
        </w:trPr>
        <w:tc>
          <w:tcPr>
            <w:tcW w:w="2660" w:type="dxa"/>
            <w:noWrap/>
            <w:hideMark/>
          </w:tcPr>
          <w:p w:rsidR="003E180D" w:rsidRDefault="003E180D" w:rsidP="0088305C">
            <w:pPr>
              <w:spacing w:after="60"/>
              <w:rPr>
                <w:noProof/>
                <w:szCs w:val="24"/>
              </w:rPr>
            </w:pPr>
            <w:r>
              <w:rPr>
                <w:noProof/>
                <w:szCs w:val="24"/>
              </w:rPr>
              <w:t>Baseline (Gtkm)</w:t>
            </w:r>
          </w:p>
        </w:tc>
        <w:tc>
          <w:tcPr>
            <w:tcW w:w="850" w:type="dxa"/>
            <w:noWrap/>
            <w:hideMark/>
          </w:tcPr>
          <w:p w:rsidR="003E180D" w:rsidRDefault="003E180D" w:rsidP="0088305C">
            <w:pPr>
              <w:spacing w:after="60"/>
              <w:rPr>
                <w:noProof/>
                <w:szCs w:val="24"/>
              </w:rPr>
            </w:pPr>
            <w:r>
              <w:rPr>
                <w:noProof/>
                <w:szCs w:val="24"/>
              </w:rPr>
              <w:t>2,007</w:t>
            </w:r>
          </w:p>
        </w:tc>
        <w:tc>
          <w:tcPr>
            <w:tcW w:w="851" w:type="dxa"/>
            <w:noWrap/>
            <w:hideMark/>
          </w:tcPr>
          <w:p w:rsidR="003E180D" w:rsidRDefault="003E180D" w:rsidP="0088305C">
            <w:pPr>
              <w:spacing w:after="60"/>
              <w:rPr>
                <w:noProof/>
                <w:szCs w:val="24"/>
              </w:rPr>
            </w:pPr>
            <w:r>
              <w:rPr>
                <w:noProof/>
                <w:szCs w:val="24"/>
              </w:rPr>
              <w:t>2,165</w:t>
            </w:r>
          </w:p>
        </w:tc>
        <w:tc>
          <w:tcPr>
            <w:tcW w:w="716" w:type="dxa"/>
            <w:noWrap/>
            <w:hideMark/>
          </w:tcPr>
          <w:p w:rsidR="003E180D" w:rsidRDefault="003E180D" w:rsidP="0088305C">
            <w:pPr>
              <w:spacing w:after="60"/>
              <w:rPr>
                <w:noProof/>
                <w:szCs w:val="24"/>
              </w:rPr>
            </w:pPr>
            <w:r>
              <w:rPr>
                <w:noProof/>
                <w:szCs w:val="24"/>
              </w:rPr>
              <w:t>2,319</w:t>
            </w:r>
          </w:p>
        </w:tc>
      </w:tr>
      <w:tr w:rsidR="003E180D" w:rsidTr="0088305C">
        <w:trPr>
          <w:trHeight w:val="300"/>
          <w:jc w:val="center"/>
        </w:trPr>
        <w:tc>
          <w:tcPr>
            <w:tcW w:w="2660" w:type="dxa"/>
            <w:noWrap/>
            <w:hideMark/>
          </w:tcPr>
          <w:p w:rsidR="003E180D" w:rsidRDefault="003E180D" w:rsidP="0088305C">
            <w:pPr>
              <w:spacing w:after="60"/>
              <w:rPr>
                <w:noProof/>
                <w:szCs w:val="24"/>
              </w:rPr>
            </w:pPr>
            <w:r>
              <w:rPr>
                <w:noProof/>
                <w:szCs w:val="24"/>
              </w:rPr>
              <w:t>TL20</w:t>
            </w:r>
          </w:p>
        </w:tc>
        <w:tc>
          <w:tcPr>
            <w:tcW w:w="850" w:type="dxa"/>
            <w:noWrap/>
            <w:hideMark/>
          </w:tcPr>
          <w:p w:rsidR="003E180D" w:rsidRDefault="003E180D" w:rsidP="0088305C">
            <w:pPr>
              <w:spacing w:after="60"/>
              <w:rPr>
                <w:noProof/>
                <w:szCs w:val="24"/>
              </w:rPr>
            </w:pPr>
            <w:r>
              <w:rPr>
                <w:noProof/>
                <w:szCs w:val="24"/>
              </w:rPr>
              <w:t>0.0%</w:t>
            </w:r>
          </w:p>
        </w:tc>
        <w:tc>
          <w:tcPr>
            <w:tcW w:w="851" w:type="dxa"/>
            <w:noWrap/>
            <w:hideMark/>
          </w:tcPr>
          <w:p w:rsidR="003E180D" w:rsidRDefault="003E180D" w:rsidP="0088305C">
            <w:pPr>
              <w:spacing w:after="60"/>
              <w:rPr>
                <w:noProof/>
                <w:szCs w:val="24"/>
              </w:rPr>
            </w:pPr>
            <w:r>
              <w:rPr>
                <w:noProof/>
                <w:szCs w:val="24"/>
              </w:rPr>
              <w:t>0.2%</w:t>
            </w:r>
          </w:p>
        </w:tc>
        <w:tc>
          <w:tcPr>
            <w:tcW w:w="716" w:type="dxa"/>
            <w:noWrap/>
            <w:hideMark/>
          </w:tcPr>
          <w:p w:rsidR="003E180D" w:rsidRDefault="003E180D" w:rsidP="0088305C">
            <w:pPr>
              <w:spacing w:after="60"/>
              <w:rPr>
                <w:noProof/>
                <w:szCs w:val="24"/>
              </w:rPr>
            </w:pPr>
            <w:r>
              <w:rPr>
                <w:noProof/>
                <w:szCs w:val="24"/>
              </w:rPr>
              <w:t>0.5%</w:t>
            </w:r>
          </w:p>
        </w:tc>
      </w:tr>
      <w:tr w:rsidR="003E180D" w:rsidTr="0088305C">
        <w:trPr>
          <w:trHeight w:val="300"/>
          <w:jc w:val="center"/>
        </w:trPr>
        <w:tc>
          <w:tcPr>
            <w:tcW w:w="2660" w:type="dxa"/>
            <w:noWrap/>
            <w:hideMark/>
          </w:tcPr>
          <w:p w:rsidR="003E180D" w:rsidRDefault="003E180D" w:rsidP="0088305C">
            <w:pPr>
              <w:spacing w:after="60"/>
              <w:rPr>
                <w:noProof/>
                <w:szCs w:val="24"/>
              </w:rPr>
            </w:pPr>
            <w:r>
              <w:rPr>
                <w:noProof/>
                <w:szCs w:val="24"/>
              </w:rPr>
              <w:t>TL30NL</w:t>
            </w:r>
          </w:p>
        </w:tc>
        <w:tc>
          <w:tcPr>
            <w:tcW w:w="850" w:type="dxa"/>
            <w:noWrap/>
            <w:hideMark/>
          </w:tcPr>
          <w:p w:rsidR="003E180D" w:rsidRDefault="003E180D" w:rsidP="0088305C">
            <w:pPr>
              <w:spacing w:after="60"/>
              <w:rPr>
                <w:noProof/>
                <w:szCs w:val="24"/>
              </w:rPr>
            </w:pPr>
            <w:r>
              <w:rPr>
                <w:noProof/>
                <w:szCs w:val="24"/>
              </w:rPr>
              <w:t>0.0%</w:t>
            </w:r>
          </w:p>
        </w:tc>
        <w:tc>
          <w:tcPr>
            <w:tcW w:w="851" w:type="dxa"/>
            <w:noWrap/>
            <w:hideMark/>
          </w:tcPr>
          <w:p w:rsidR="003E180D" w:rsidRDefault="003E180D" w:rsidP="0088305C">
            <w:pPr>
              <w:spacing w:after="60"/>
              <w:rPr>
                <w:noProof/>
                <w:szCs w:val="24"/>
              </w:rPr>
            </w:pPr>
            <w:r>
              <w:rPr>
                <w:noProof/>
                <w:szCs w:val="24"/>
              </w:rPr>
              <w:t>0.3%</w:t>
            </w:r>
          </w:p>
        </w:tc>
        <w:tc>
          <w:tcPr>
            <w:tcW w:w="716" w:type="dxa"/>
            <w:noWrap/>
            <w:hideMark/>
          </w:tcPr>
          <w:p w:rsidR="003E180D" w:rsidRDefault="003E180D" w:rsidP="0088305C">
            <w:pPr>
              <w:spacing w:after="60"/>
              <w:rPr>
                <w:noProof/>
                <w:szCs w:val="24"/>
              </w:rPr>
            </w:pPr>
            <w:r>
              <w:rPr>
                <w:noProof/>
                <w:szCs w:val="24"/>
              </w:rPr>
              <w:t>0.9%</w:t>
            </w:r>
          </w:p>
        </w:tc>
      </w:tr>
      <w:tr w:rsidR="003E180D" w:rsidTr="0088305C">
        <w:trPr>
          <w:trHeight w:val="300"/>
          <w:jc w:val="center"/>
        </w:trPr>
        <w:tc>
          <w:tcPr>
            <w:tcW w:w="2660" w:type="dxa"/>
            <w:noWrap/>
            <w:hideMark/>
          </w:tcPr>
          <w:p w:rsidR="003E180D" w:rsidRDefault="003E180D" w:rsidP="0088305C">
            <w:pPr>
              <w:spacing w:after="60"/>
              <w:rPr>
                <w:noProof/>
                <w:szCs w:val="24"/>
              </w:rPr>
            </w:pPr>
            <w:r>
              <w:rPr>
                <w:noProof/>
                <w:szCs w:val="24"/>
              </w:rPr>
              <w:t>TL30</w:t>
            </w:r>
          </w:p>
        </w:tc>
        <w:tc>
          <w:tcPr>
            <w:tcW w:w="850" w:type="dxa"/>
            <w:noWrap/>
            <w:hideMark/>
          </w:tcPr>
          <w:p w:rsidR="003E180D" w:rsidRDefault="003E180D" w:rsidP="0088305C">
            <w:pPr>
              <w:spacing w:after="60"/>
              <w:rPr>
                <w:noProof/>
                <w:szCs w:val="24"/>
              </w:rPr>
            </w:pPr>
            <w:r>
              <w:rPr>
                <w:noProof/>
                <w:szCs w:val="24"/>
              </w:rPr>
              <w:t>0.0%</w:t>
            </w:r>
          </w:p>
        </w:tc>
        <w:tc>
          <w:tcPr>
            <w:tcW w:w="851" w:type="dxa"/>
            <w:noWrap/>
            <w:hideMark/>
          </w:tcPr>
          <w:p w:rsidR="003E180D" w:rsidRDefault="003E180D" w:rsidP="0088305C">
            <w:pPr>
              <w:spacing w:after="60"/>
              <w:rPr>
                <w:noProof/>
                <w:szCs w:val="24"/>
              </w:rPr>
            </w:pPr>
            <w:r>
              <w:rPr>
                <w:noProof/>
                <w:szCs w:val="24"/>
              </w:rPr>
              <w:t>0.3%</w:t>
            </w:r>
          </w:p>
        </w:tc>
        <w:tc>
          <w:tcPr>
            <w:tcW w:w="716" w:type="dxa"/>
            <w:noWrap/>
            <w:hideMark/>
          </w:tcPr>
          <w:p w:rsidR="003E180D" w:rsidRDefault="003E180D" w:rsidP="0088305C">
            <w:pPr>
              <w:spacing w:after="60"/>
              <w:rPr>
                <w:noProof/>
                <w:szCs w:val="24"/>
              </w:rPr>
            </w:pPr>
            <w:r>
              <w:rPr>
                <w:noProof/>
                <w:szCs w:val="24"/>
              </w:rPr>
              <w:t>0.9%</w:t>
            </w:r>
          </w:p>
        </w:tc>
      </w:tr>
      <w:tr w:rsidR="003E180D" w:rsidTr="0088305C">
        <w:trPr>
          <w:trHeight w:val="300"/>
          <w:jc w:val="center"/>
        </w:trPr>
        <w:tc>
          <w:tcPr>
            <w:tcW w:w="2660" w:type="dxa"/>
            <w:noWrap/>
            <w:hideMark/>
          </w:tcPr>
          <w:p w:rsidR="003E180D" w:rsidRDefault="003E180D" w:rsidP="0088305C">
            <w:pPr>
              <w:spacing w:after="60"/>
              <w:rPr>
                <w:noProof/>
                <w:szCs w:val="24"/>
              </w:rPr>
            </w:pPr>
            <w:r>
              <w:rPr>
                <w:noProof/>
                <w:szCs w:val="24"/>
              </w:rPr>
              <w:t>TL32</w:t>
            </w:r>
          </w:p>
        </w:tc>
        <w:tc>
          <w:tcPr>
            <w:tcW w:w="850" w:type="dxa"/>
            <w:noWrap/>
            <w:hideMark/>
          </w:tcPr>
          <w:p w:rsidR="003E180D" w:rsidRDefault="003E180D" w:rsidP="0088305C">
            <w:pPr>
              <w:spacing w:after="60"/>
              <w:rPr>
                <w:noProof/>
                <w:szCs w:val="24"/>
              </w:rPr>
            </w:pPr>
            <w:r>
              <w:rPr>
                <w:noProof/>
                <w:szCs w:val="24"/>
              </w:rPr>
              <w:t>0.0%</w:t>
            </w:r>
          </w:p>
        </w:tc>
        <w:tc>
          <w:tcPr>
            <w:tcW w:w="851" w:type="dxa"/>
            <w:noWrap/>
            <w:hideMark/>
          </w:tcPr>
          <w:p w:rsidR="003E180D" w:rsidRDefault="003E180D" w:rsidP="0088305C">
            <w:pPr>
              <w:spacing w:after="60"/>
              <w:rPr>
                <w:noProof/>
                <w:szCs w:val="24"/>
              </w:rPr>
            </w:pPr>
            <w:r>
              <w:rPr>
                <w:noProof/>
                <w:szCs w:val="24"/>
              </w:rPr>
              <w:t>0.3%</w:t>
            </w:r>
          </w:p>
        </w:tc>
        <w:tc>
          <w:tcPr>
            <w:tcW w:w="716" w:type="dxa"/>
            <w:noWrap/>
            <w:hideMark/>
          </w:tcPr>
          <w:p w:rsidR="003E180D" w:rsidRDefault="003E180D" w:rsidP="0088305C">
            <w:pPr>
              <w:spacing w:after="60"/>
              <w:rPr>
                <w:noProof/>
                <w:szCs w:val="24"/>
              </w:rPr>
            </w:pPr>
            <w:r>
              <w:rPr>
                <w:noProof/>
                <w:szCs w:val="24"/>
              </w:rPr>
              <w:t>0.9%</w:t>
            </w:r>
          </w:p>
        </w:tc>
      </w:tr>
      <w:tr w:rsidR="003E180D" w:rsidTr="0088305C">
        <w:trPr>
          <w:trHeight w:val="300"/>
          <w:jc w:val="center"/>
        </w:trPr>
        <w:tc>
          <w:tcPr>
            <w:tcW w:w="2660" w:type="dxa"/>
            <w:noWrap/>
            <w:hideMark/>
          </w:tcPr>
          <w:p w:rsidR="003E180D" w:rsidRDefault="003E180D" w:rsidP="0088305C">
            <w:pPr>
              <w:spacing w:after="60"/>
              <w:rPr>
                <w:noProof/>
                <w:szCs w:val="24"/>
              </w:rPr>
            </w:pPr>
            <w:r>
              <w:rPr>
                <w:noProof/>
                <w:szCs w:val="24"/>
              </w:rPr>
              <w:t>TL35</w:t>
            </w:r>
          </w:p>
        </w:tc>
        <w:tc>
          <w:tcPr>
            <w:tcW w:w="850" w:type="dxa"/>
            <w:noWrap/>
            <w:hideMark/>
          </w:tcPr>
          <w:p w:rsidR="003E180D" w:rsidRDefault="003E180D" w:rsidP="0088305C">
            <w:pPr>
              <w:spacing w:after="60"/>
              <w:rPr>
                <w:noProof/>
                <w:szCs w:val="24"/>
              </w:rPr>
            </w:pPr>
            <w:r>
              <w:rPr>
                <w:noProof/>
                <w:szCs w:val="24"/>
              </w:rPr>
              <w:t>0.0%</w:t>
            </w:r>
          </w:p>
        </w:tc>
        <w:tc>
          <w:tcPr>
            <w:tcW w:w="851" w:type="dxa"/>
            <w:noWrap/>
            <w:hideMark/>
          </w:tcPr>
          <w:p w:rsidR="003E180D" w:rsidRDefault="003E180D" w:rsidP="0088305C">
            <w:pPr>
              <w:spacing w:after="60"/>
              <w:rPr>
                <w:noProof/>
                <w:szCs w:val="24"/>
              </w:rPr>
            </w:pPr>
            <w:r>
              <w:rPr>
                <w:noProof/>
                <w:szCs w:val="24"/>
              </w:rPr>
              <w:t>0.4%</w:t>
            </w:r>
          </w:p>
        </w:tc>
        <w:tc>
          <w:tcPr>
            <w:tcW w:w="716" w:type="dxa"/>
            <w:noWrap/>
            <w:hideMark/>
          </w:tcPr>
          <w:p w:rsidR="003E180D" w:rsidRDefault="003E180D" w:rsidP="0088305C">
            <w:pPr>
              <w:spacing w:after="60"/>
              <w:rPr>
                <w:noProof/>
                <w:szCs w:val="24"/>
              </w:rPr>
            </w:pPr>
            <w:r>
              <w:rPr>
                <w:noProof/>
                <w:szCs w:val="24"/>
              </w:rPr>
              <w:t>0.9%</w:t>
            </w:r>
          </w:p>
        </w:tc>
      </w:tr>
    </w:tbl>
    <w:p w:rsidR="003E180D" w:rsidRDefault="003E180D" w:rsidP="003E180D">
      <w:pPr>
        <w:spacing w:before="240" w:after="120" w:line="240" w:lineRule="auto"/>
        <w:jc w:val="both"/>
        <w:rPr>
          <w:rFonts w:cs="Times New Roman"/>
          <w:noProof/>
          <w:szCs w:val="24"/>
        </w:rPr>
      </w:pPr>
      <w:r>
        <w:rPr>
          <w:rFonts w:cs="Times New Roman"/>
          <w:noProof/>
          <w:szCs w:val="24"/>
        </w:rPr>
        <w:t xml:space="preserve">As shown in </w:t>
      </w:r>
      <w:r>
        <w:rPr>
          <w:rFonts w:cs="Times New Roman"/>
          <w:noProof/>
          <w:szCs w:val="24"/>
        </w:rPr>
        <w:fldChar w:fldCharType="begin"/>
      </w:r>
      <w:r>
        <w:rPr>
          <w:rFonts w:cs="Times New Roman"/>
          <w:noProof/>
          <w:szCs w:val="24"/>
        </w:rPr>
        <w:instrText xml:space="preserve"> REF _Ref506554402 \h  \* MERGEFORMAT </w:instrText>
      </w:r>
      <w:r>
        <w:rPr>
          <w:rFonts w:cs="Times New Roman"/>
          <w:noProof/>
          <w:szCs w:val="24"/>
        </w:rPr>
      </w:r>
      <w:r>
        <w:rPr>
          <w:rFonts w:cs="Times New Roman"/>
          <w:noProof/>
          <w:szCs w:val="24"/>
        </w:rPr>
        <w:fldChar w:fldCharType="separate"/>
      </w:r>
      <w:r>
        <w:rPr>
          <w:rFonts w:cs="Times New Roman"/>
          <w:noProof/>
        </w:rPr>
        <w:t xml:space="preserve">Figure </w:t>
      </w:r>
      <w:r>
        <w:rPr>
          <w:rFonts w:cs="Times New Roman"/>
          <w:noProof/>
          <w:szCs w:val="18"/>
        </w:rPr>
        <w:t>16</w:t>
      </w:r>
      <w:r>
        <w:rPr>
          <w:rFonts w:cs="Times New Roman"/>
          <w:noProof/>
          <w:szCs w:val="24"/>
        </w:rPr>
        <w:fldChar w:fldCharType="end"/>
      </w:r>
      <w:r>
        <w:rPr>
          <w:rFonts w:cs="Times New Roman"/>
          <w:noProof/>
          <w:szCs w:val="24"/>
        </w:rPr>
        <w:t xml:space="preserve"> and </w:t>
      </w:r>
      <w:r>
        <w:rPr>
          <w:rFonts w:cs="Times New Roman"/>
          <w:noProof/>
          <w:szCs w:val="24"/>
        </w:rPr>
        <w:fldChar w:fldCharType="begin"/>
      </w:r>
      <w:r>
        <w:rPr>
          <w:rFonts w:cs="Times New Roman"/>
          <w:noProof/>
          <w:szCs w:val="24"/>
        </w:rPr>
        <w:instrText xml:space="preserve"> REF _Ref508129645 \h  \* MERGEFORMAT </w:instrText>
      </w:r>
      <w:r>
        <w:rPr>
          <w:rFonts w:cs="Times New Roman"/>
          <w:noProof/>
          <w:szCs w:val="24"/>
        </w:rPr>
      </w:r>
      <w:r>
        <w:rPr>
          <w:rFonts w:cs="Times New Roman"/>
          <w:noProof/>
          <w:szCs w:val="24"/>
        </w:rPr>
        <w:fldChar w:fldCharType="separate"/>
      </w:r>
      <w:r>
        <w:rPr>
          <w:rFonts w:cs="Times New Roman"/>
          <w:noProof/>
          <w:color w:val="000000" w:themeColor="text1"/>
          <w:szCs w:val="24"/>
        </w:rPr>
        <w:t xml:space="preserve">Figure </w:t>
      </w:r>
      <w:r>
        <w:rPr>
          <w:rFonts w:cs="Times New Roman"/>
          <w:noProof/>
          <w:color w:val="000000" w:themeColor="text1"/>
          <w:szCs w:val="18"/>
        </w:rPr>
        <w:t>17</w:t>
      </w:r>
      <w:r>
        <w:rPr>
          <w:rFonts w:cs="Times New Roman"/>
          <w:noProof/>
          <w:szCs w:val="24"/>
        </w:rPr>
        <w:fldChar w:fldCharType="end"/>
      </w:r>
      <w:r>
        <w:rPr>
          <w:rFonts w:cs="Times New Roman"/>
          <w:noProof/>
          <w:szCs w:val="24"/>
        </w:rPr>
        <w:t xml:space="preserve">, the target levels have a limited impact on the reduction of the total costs of freight (HDV) transport per activity, by less than 1% in 2025 and in the order of 1 to 3% in 2030. </w:t>
      </w:r>
    </w:p>
    <w:p w:rsidR="003E180D" w:rsidRDefault="003E180D" w:rsidP="003E180D">
      <w:pPr>
        <w:keepNext/>
        <w:spacing w:line="240" w:lineRule="auto"/>
        <w:jc w:val="both"/>
        <w:rPr>
          <w:rFonts w:cs="Times New Roman"/>
          <w:b/>
          <w:bCs/>
          <w:iCs/>
          <w:noProof/>
          <w:color w:val="000000" w:themeColor="text1"/>
          <w:szCs w:val="24"/>
        </w:rPr>
      </w:pPr>
      <w:bookmarkStart w:id="824" w:name="_Ref506554402"/>
      <w:r>
        <w:rPr>
          <w:rFonts w:cs="Times New Roman"/>
          <w:b/>
          <w:bCs/>
          <w:noProof/>
          <w:color w:val="000000" w:themeColor="text1"/>
          <w:szCs w:val="24"/>
        </w:rPr>
        <w:t xml:space="preserve">Figure </w:t>
      </w:r>
      <w:r>
        <w:rPr>
          <w:rFonts w:cs="Times New Roman"/>
          <w:b/>
          <w:bCs/>
          <w:noProof/>
          <w:color w:val="000000" w:themeColor="text1"/>
          <w:szCs w:val="18"/>
        </w:rPr>
        <w:fldChar w:fldCharType="begin"/>
      </w:r>
      <w:r>
        <w:rPr>
          <w:rFonts w:cs="Times New Roman"/>
          <w:b/>
          <w:bCs/>
          <w:noProof/>
          <w:color w:val="000000" w:themeColor="text1"/>
          <w:szCs w:val="18"/>
        </w:rPr>
        <w:instrText xml:space="preserve"> SEQ Figure \* ARABIC </w:instrText>
      </w:r>
      <w:r>
        <w:rPr>
          <w:rFonts w:cs="Times New Roman"/>
          <w:b/>
          <w:bCs/>
          <w:noProof/>
          <w:color w:val="000000" w:themeColor="text1"/>
          <w:szCs w:val="18"/>
        </w:rPr>
        <w:fldChar w:fldCharType="separate"/>
      </w:r>
      <w:r>
        <w:rPr>
          <w:rFonts w:cs="Times New Roman"/>
          <w:b/>
          <w:bCs/>
          <w:noProof/>
          <w:color w:val="000000" w:themeColor="text1"/>
          <w:szCs w:val="18"/>
        </w:rPr>
        <w:t>16</w:t>
      </w:r>
      <w:r>
        <w:rPr>
          <w:rFonts w:cs="Times New Roman"/>
          <w:b/>
          <w:bCs/>
          <w:noProof/>
          <w:color w:val="000000" w:themeColor="text1"/>
          <w:szCs w:val="18"/>
        </w:rPr>
        <w:fldChar w:fldCharType="end"/>
      </w:r>
      <w:bookmarkEnd w:id="824"/>
      <w:r>
        <w:rPr>
          <w:rFonts w:cs="Times New Roman"/>
          <w:b/>
          <w:bCs/>
          <w:noProof/>
          <w:color w:val="000000" w:themeColor="text1"/>
          <w:szCs w:val="24"/>
        </w:rPr>
        <w:t>:</w:t>
      </w:r>
      <w:r>
        <w:rPr>
          <w:rFonts w:cs="Times New Roman"/>
          <w:b/>
          <w:bCs/>
          <w:noProof/>
          <w:color w:val="000000" w:themeColor="text1"/>
          <w:szCs w:val="18"/>
        </w:rPr>
        <w:t xml:space="preserve"> </w:t>
      </w:r>
      <w:r>
        <w:rPr>
          <w:rFonts w:cs="Times New Roman"/>
          <w:b/>
          <w:bCs/>
          <w:noProof/>
          <w:color w:val="000000" w:themeColor="text1"/>
          <w:szCs w:val="24"/>
        </w:rPr>
        <w:t xml:space="preserve">Evolution of freight (HDV) transport total costs per activity (Meuro/Gtkm) in the period 2020-2030 under different TL options </w:t>
      </w:r>
      <w:r>
        <w:rPr>
          <w:rFonts w:cs="Times New Roman"/>
          <w:b/>
          <w:bCs/>
          <w:iCs/>
          <w:noProof/>
          <w:color w:val="000000" w:themeColor="text1"/>
          <w:szCs w:val="24"/>
        </w:rPr>
        <w:t>using the base cost assumptions</w:t>
      </w:r>
    </w:p>
    <w:p w:rsidR="003E180D" w:rsidRDefault="003E180D" w:rsidP="003E180D">
      <w:pPr>
        <w:spacing w:line="240" w:lineRule="auto"/>
        <w:jc w:val="center"/>
        <w:rPr>
          <w:rFonts w:cs="Times New Roman"/>
          <w:noProof/>
          <w:szCs w:val="24"/>
        </w:rPr>
      </w:pPr>
      <w:r>
        <w:rPr>
          <w:rFonts w:cs="Times New Roman"/>
          <w:noProof/>
          <w:szCs w:val="24"/>
          <w:lang w:eastAsia="en-GB"/>
        </w:rPr>
        <w:drawing>
          <wp:inline distT="0" distB="0" distL="0" distR="0" wp14:anchorId="663C5EC2" wp14:editId="350C1B3C">
            <wp:extent cx="4023529"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23529" cy="2520000"/>
                    </a:xfrm>
                    <a:prstGeom prst="rect">
                      <a:avLst/>
                    </a:prstGeom>
                    <a:noFill/>
                  </pic:spPr>
                </pic:pic>
              </a:graphicData>
            </a:graphic>
          </wp:inline>
        </w:drawing>
      </w:r>
    </w:p>
    <w:p w:rsidR="003E180D" w:rsidRDefault="003E180D" w:rsidP="003E180D">
      <w:pPr>
        <w:spacing w:line="240" w:lineRule="auto"/>
        <w:jc w:val="center"/>
        <w:rPr>
          <w:rFonts w:cs="Times New Roman"/>
          <w:noProof/>
          <w:szCs w:val="24"/>
        </w:rPr>
      </w:pPr>
    </w:p>
    <w:p w:rsidR="003E180D" w:rsidRDefault="003E180D" w:rsidP="003E180D">
      <w:pPr>
        <w:keepNext/>
        <w:spacing w:line="240" w:lineRule="auto"/>
        <w:jc w:val="both"/>
        <w:rPr>
          <w:rFonts w:cs="Times New Roman"/>
          <w:noProof/>
          <w:szCs w:val="24"/>
        </w:rPr>
      </w:pPr>
      <w:bookmarkStart w:id="825" w:name="_Ref508129645"/>
      <w:r>
        <w:rPr>
          <w:rFonts w:cs="Times New Roman"/>
          <w:b/>
          <w:noProof/>
          <w:color w:val="000000" w:themeColor="text1"/>
          <w:szCs w:val="24"/>
        </w:rPr>
        <w:t xml:space="preserve">Figure </w:t>
      </w:r>
      <w:r>
        <w:rPr>
          <w:rFonts w:cs="Times New Roman"/>
          <w:b/>
          <w:noProof/>
          <w:color w:val="000000" w:themeColor="text1"/>
          <w:szCs w:val="18"/>
        </w:rPr>
        <w:fldChar w:fldCharType="begin"/>
      </w:r>
      <w:r>
        <w:rPr>
          <w:rFonts w:cs="Times New Roman"/>
          <w:b/>
          <w:noProof/>
          <w:color w:val="000000" w:themeColor="text1"/>
          <w:szCs w:val="18"/>
        </w:rPr>
        <w:instrText xml:space="preserve"> SEQ Figure \* ARABIC </w:instrText>
      </w:r>
      <w:r>
        <w:rPr>
          <w:rFonts w:cs="Times New Roman"/>
          <w:b/>
          <w:noProof/>
          <w:color w:val="000000" w:themeColor="text1"/>
          <w:szCs w:val="18"/>
        </w:rPr>
        <w:fldChar w:fldCharType="separate"/>
      </w:r>
      <w:r>
        <w:rPr>
          <w:rFonts w:cs="Times New Roman"/>
          <w:b/>
          <w:noProof/>
          <w:color w:val="000000" w:themeColor="text1"/>
          <w:szCs w:val="18"/>
        </w:rPr>
        <w:t>17</w:t>
      </w:r>
      <w:r>
        <w:rPr>
          <w:rFonts w:cs="Times New Roman"/>
          <w:b/>
          <w:noProof/>
          <w:color w:val="000000" w:themeColor="text1"/>
          <w:szCs w:val="18"/>
        </w:rPr>
        <w:fldChar w:fldCharType="end"/>
      </w:r>
      <w:bookmarkEnd w:id="825"/>
      <w:r>
        <w:rPr>
          <w:rFonts w:cs="Times New Roman"/>
          <w:b/>
          <w:noProof/>
          <w:color w:val="000000" w:themeColor="text1"/>
          <w:szCs w:val="24"/>
        </w:rPr>
        <w:t>:</w:t>
      </w:r>
      <w:r>
        <w:rPr>
          <w:rFonts w:cs="Times New Roman"/>
          <w:b/>
          <w:noProof/>
          <w:color w:val="000000" w:themeColor="text1"/>
          <w:szCs w:val="18"/>
        </w:rPr>
        <w:t xml:space="preserve"> </w:t>
      </w:r>
      <w:r>
        <w:rPr>
          <w:rFonts w:cs="Times New Roman"/>
          <w:b/>
          <w:noProof/>
          <w:color w:val="000000" w:themeColor="text1"/>
          <w:szCs w:val="24"/>
        </w:rPr>
        <w:t>Evolution of freight (HDV) transport total costs with respect to the baseline in the period 2020-2030 under different TL options using the base cost assumptions</w:t>
      </w:r>
    </w:p>
    <w:p w:rsidR="003E180D" w:rsidRDefault="003E180D" w:rsidP="003E180D">
      <w:pPr>
        <w:spacing w:line="240" w:lineRule="auto"/>
        <w:jc w:val="center"/>
        <w:rPr>
          <w:rFonts w:cs="Times New Roman"/>
          <w:noProof/>
          <w:szCs w:val="24"/>
        </w:rPr>
      </w:pPr>
      <w:r>
        <w:rPr>
          <w:rFonts w:cs="Times New Roman"/>
          <w:noProof/>
          <w:szCs w:val="24"/>
          <w:lang w:eastAsia="en-GB"/>
        </w:rPr>
        <w:drawing>
          <wp:inline distT="0" distB="0" distL="0" distR="0" wp14:anchorId="2C7D8FB6" wp14:editId="67FEF475">
            <wp:extent cx="3678655" cy="230400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78655" cy="2304000"/>
                    </a:xfrm>
                    <a:prstGeom prst="rect">
                      <a:avLst/>
                    </a:prstGeom>
                    <a:noFill/>
                  </pic:spPr>
                </pic:pic>
              </a:graphicData>
            </a:graphic>
          </wp:inline>
        </w:drawing>
      </w:r>
    </w:p>
    <w:p w:rsidR="003E180D" w:rsidRDefault="003E180D" w:rsidP="003E180D">
      <w:pPr>
        <w:spacing w:after="120" w:line="240" w:lineRule="auto"/>
        <w:jc w:val="both"/>
        <w:rPr>
          <w:rFonts w:cs="Times New Roman"/>
          <w:noProof/>
        </w:rPr>
      </w:pPr>
      <w:bookmarkStart w:id="826" w:name="_Ref507523388"/>
      <w:bookmarkStart w:id="827" w:name="_Ref507523384"/>
      <w:r>
        <w:rPr>
          <w:rFonts w:cs="Times New Roman"/>
          <w:bCs/>
          <w:noProof/>
          <w:color w:val="000000" w:themeColor="text1"/>
          <w:szCs w:val="24"/>
        </w:rPr>
        <w:t xml:space="preserve">These results are also consistent with the analysis using EXIOMOD. As shown in </w:t>
      </w:r>
      <w:r>
        <w:rPr>
          <w:rFonts w:cs="Times New Roman"/>
          <w:bCs/>
          <w:noProof/>
          <w:color w:val="000000" w:themeColor="text1"/>
          <w:szCs w:val="24"/>
        </w:rPr>
        <w:fldChar w:fldCharType="begin"/>
      </w:r>
      <w:r>
        <w:rPr>
          <w:rFonts w:cs="Times New Roman"/>
          <w:bCs/>
          <w:noProof/>
          <w:color w:val="000000" w:themeColor="text1"/>
          <w:szCs w:val="24"/>
        </w:rPr>
        <w:instrText xml:space="preserve"> REF _Ref508202428 \h  \* MERGEFORMAT </w:instrText>
      </w:r>
      <w:r>
        <w:rPr>
          <w:rFonts w:cs="Times New Roman"/>
          <w:bCs/>
          <w:noProof/>
          <w:color w:val="000000" w:themeColor="text1"/>
          <w:szCs w:val="24"/>
        </w:rPr>
      </w:r>
      <w:r>
        <w:rPr>
          <w:rFonts w:cs="Times New Roman"/>
          <w:bCs/>
          <w:noProof/>
          <w:color w:val="000000" w:themeColor="text1"/>
          <w:szCs w:val="24"/>
        </w:rPr>
        <w:fldChar w:fldCharType="separate"/>
      </w:r>
      <w:r>
        <w:rPr>
          <w:rFonts w:cs="Times New Roman"/>
          <w:noProof/>
        </w:rPr>
        <w:t>Table 22</w:t>
      </w:r>
      <w:r>
        <w:rPr>
          <w:rFonts w:cs="Times New Roman"/>
          <w:bCs/>
          <w:noProof/>
          <w:color w:val="000000" w:themeColor="text1"/>
          <w:szCs w:val="24"/>
        </w:rPr>
        <w:fldChar w:fldCharType="end"/>
      </w:r>
      <w:r>
        <w:rPr>
          <w:rFonts w:cs="Times New Roman"/>
          <w:bCs/>
          <w:noProof/>
          <w:color w:val="000000" w:themeColor="text1"/>
          <w:szCs w:val="24"/>
        </w:rPr>
        <w:t xml:space="preserve">, prices for “other land transportation services”, which includes freight transport, decrease by 2.5%–3.0% compared to the baseline in 2025 and by 3.0%–4.5% in 2030 depending on the target level. These price decreases are of the same order of magnitude as the decreases in costs shown in </w:t>
      </w:r>
      <w:r>
        <w:rPr>
          <w:rFonts w:cs="Times New Roman"/>
          <w:bCs/>
          <w:noProof/>
          <w:color w:val="000000" w:themeColor="text1"/>
          <w:szCs w:val="24"/>
        </w:rPr>
        <w:fldChar w:fldCharType="begin"/>
      </w:r>
      <w:r>
        <w:rPr>
          <w:rFonts w:cs="Times New Roman"/>
          <w:bCs/>
          <w:noProof/>
          <w:color w:val="000000" w:themeColor="text1"/>
          <w:szCs w:val="24"/>
        </w:rPr>
        <w:instrText xml:space="preserve"> REF _Ref508129645 \h  \* MERGEFORMAT </w:instrText>
      </w:r>
      <w:r>
        <w:rPr>
          <w:rFonts w:cs="Times New Roman"/>
          <w:bCs/>
          <w:noProof/>
          <w:color w:val="000000" w:themeColor="text1"/>
          <w:szCs w:val="24"/>
        </w:rPr>
      </w:r>
      <w:r>
        <w:rPr>
          <w:rFonts w:cs="Times New Roman"/>
          <w:bCs/>
          <w:noProof/>
          <w:color w:val="000000" w:themeColor="text1"/>
          <w:szCs w:val="24"/>
        </w:rPr>
        <w:fldChar w:fldCharType="separate"/>
      </w:r>
      <w:r>
        <w:rPr>
          <w:rFonts w:cs="Times New Roman"/>
          <w:noProof/>
          <w:color w:val="000000" w:themeColor="text1"/>
          <w:szCs w:val="24"/>
        </w:rPr>
        <w:t xml:space="preserve">Figure </w:t>
      </w:r>
      <w:r>
        <w:rPr>
          <w:rFonts w:cs="Times New Roman"/>
          <w:noProof/>
          <w:color w:val="000000" w:themeColor="text1"/>
          <w:szCs w:val="18"/>
        </w:rPr>
        <w:t>17</w:t>
      </w:r>
      <w:r>
        <w:rPr>
          <w:rFonts w:cs="Times New Roman"/>
          <w:bCs/>
          <w:noProof/>
          <w:color w:val="000000" w:themeColor="text1"/>
          <w:szCs w:val="24"/>
        </w:rPr>
        <w:fldChar w:fldCharType="end"/>
      </w:r>
      <w:r>
        <w:rPr>
          <w:rFonts w:cs="Times New Roman"/>
          <w:bCs/>
          <w:noProof/>
          <w:color w:val="000000" w:themeColor="text1"/>
          <w:szCs w:val="24"/>
        </w:rPr>
        <w:t xml:space="preserve">. </w:t>
      </w:r>
    </w:p>
    <w:p w:rsidR="003E180D" w:rsidRDefault="003E180D" w:rsidP="003E180D">
      <w:pPr>
        <w:spacing w:line="240" w:lineRule="auto"/>
        <w:rPr>
          <w:rFonts w:cs="Times New Roman"/>
          <w:noProof/>
        </w:rPr>
      </w:pPr>
      <w:bookmarkStart w:id="828" w:name="_Ref508202428"/>
      <w:r>
        <w:rPr>
          <w:rFonts w:cs="Times New Roman"/>
          <w:b/>
          <w:noProof/>
        </w:rPr>
        <w:t xml:space="preserve">Table </w:t>
      </w:r>
      <w:r>
        <w:rPr>
          <w:rFonts w:cs="Times New Roman"/>
          <w:b/>
          <w:noProof/>
        </w:rPr>
        <w:fldChar w:fldCharType="begin"/>
      </w:r>
      <w:r>
        <w:rPr>
          <w:rFonts w:cs="Times New Roman"/>
          <w:b/>
          <w:noProof/>
        </w:rPr>
        <w:instrText xml:space="preserve"> SEQ Table \* ARABIC </w:instrText>
      </w:r>
      <w:r>
        <w:rPr>
          <w:rFonts w:cs="Times New Roman"/>
          <w:b/>
          <w:noProof/>
        </w:rPr>
        <w:fldChar w:fldCharType="separate"/>
      </w:r>
      <w:r>
        <w:rPr>
          <w:rFonts w:cs="Times New Roman"/>
          <w:b/>
          <w:noProof/>
        </w:rPr>
        <w:t>22</w:t>
      </w:r>
      <w:r>
        <w:rPr>
          <w:rFonts w:cs="Times New Roman"/>
          <w:b/>
          <w:noProof/>
        </w:rPr>
        <w:fldChar w:fldCharType="end"/>
      </w:r>
      <w:bookmarkEnd w:id="826"/>
      <w:bookmarkEnd w:id="828"/>
      <w:r>
        <w:rPr>
          <w:rFonts w:cs="Times New Roman"/>
          <w:b/>
          <w:noProof/>
        </w:rPr>
        <w:t>: Prices of “other land transportation services” compared to the baseline</w:t>
      </w:r>
      <w:r>
        <w:rPr>
          <w:rFonts w:cs="Times New Roman"/>
          <w:b/>
          <w:bCs/>
          <w:noProof/>
          <w:vertAlign w:val="superscript"/>
        </w:rPr>
        <w:footnoteReference w:id="80"/>
      </w:r>
      <w:bookmarkEnd w:id="827"/>
      <w:r>
        <w:rPr>
          <w:rFonts w:cs="Times New Roman"/>
          <w:b/>
          <w:bCs/>
          <w:noProof/>
        </w:rPr>
        <w:t> </w:t>
      </w:r>
    </w:p>
    <w:tbl>
      <w:tblPr>
        <w:tblW w:w="4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60"/>
        <w:gridCol w:w="1580"/>
        <w:gridCol w:w="1580"/>
      </w:tblGrid>
      <w:tr w:rsidR="003E180D" w:rsidTr="0088305C">
        <w:trPr>
          <w:trHeight w:val="300"/>
          <w:jc w:val="center"/>
        </w:trPr>
        <w:tc>
          <w:tcPr>
            <w:tcW w:w="1560" w:type="dxa"/>
            <w:shd w:val="clear" w:color="auto" w:fill="auto"/>
            <w:noWrap/>
            <w:tcMar>
              <w:top w:w="15" w:type="dxa"/>
              <w:left w:w="15" w:type="dxa"/>
              <w:bottom w:w="0" w:type="dxa"/>
              <w:right w:w="15" w:type="dxa"/>
            </w:tcMar>
            <w:vAlign w:val="bottom"/>
            <w:hideMark/>
          </w:tcPr>
          <w:p w:rsidR="003E180D" w:rsidRDefault="003E180D" w:rsidP="0088305C">
            <w:pPr>
              <w:spacing w:after="20" w:line="240" w:lineRule="auto"/>
              <w:rPr>
                <w:rFonts w:cs="Times New Roman"/>
                <w:b/>
                <w:bCs/>
                <w:noProof/>
                <w:color w:val="000000" w:themeColor="text1"/>
                <w:szCs w:val="24"/>
              </w:rPr>
            </w:pPr>
            <w:r>
              <w:rPr>
                <w:rFonts w:cs="Times New Roman"/>
                <w:b/>
                <w:bCs/>
                <w:noProof/>
                <w:color w:val="000000" w:themeColor="text1"/>
                <w:szCs w:val="24"/>
              </w:rPr>
              <w:t>Option</w:t>
            </w:r>
          </w:p>
        </w:tc>
        <w:tc>
          <w:tcPr>
            <w:tcW w:w="1580" w:type="dxa"/>
            <w:shd w:val="clear" w:color="auto" w:fill="auto"/>
            <w:noWrap/>
            <w:tcMar>
              <w:top w:w="15" w:type="dxa"/>
              <w:left w:w="15" w:type="dxa"/>
              <w:bottom w:w="0" w:type="dxa"/>
              <w:right w:w="15" w:type="dxa"/>
            </w:tcMar>
            <w:vAlign w:val="bottom"/>
            <w:hideMark/>
          </w:tcPr>
          <w:p w:rsidR="003E180D" w:rsidRDefault="003E180D" w:rsidP="0088305C">
            <w:pPr>
              <w:spacing w:after="20" w:line="240" w:lineRule="auto"/>
              <w:jc w:val="center"/>
              <w:rPr>
                <w:rFonts w:cs="Times New Roman"/>
                <w:b/>
                <w:bCs/>
                <w:noProof/>
                <w:color w:val="000000" w:themeColor="text1"/>
                <w:szCs w:val="24"/>
              </w:rPr>
            </w:pPr>
            <w:r>
              <w:rPr>
                <w:rFonts w:cs="Times New Roman"/>
                <w:b/>
                <w:bCs/>
                <w:noProof/>
                <w:color w:val="000000" w:themeColor="text1"/>
                <w:szCs w:val="24"/>
              </w:rPr>
              <w:t>2025</w:t>
            </w:r>
          </w:p>
        </w:tc>
        <w:tc>
          <w:tcPr>
            <w:tcW w:w="1580" w:type="dxa"/>
            <w:shd w:val="clear" w:color="auto" w:fill="auto"/>
            <w:noWrap/>
            <w:tcMar>
              <w:top w:w="15" w:type="dxa"/>
              <w:left w:w="15" w:type="dxa"/>
              <w:bottom w:w="0" w:type="dxa"/>
              <w:right w:w="15" w:type="dxa"/>
            </w:tcMar>
            <w:vAlign w:val="bottom"/>
            <w:hideMark/>
          </w:tcPr>
          <w:p w:rsidR="003E180D" w:rsidRDefault="003E180D" w:rsidP="0088305C">
            <w:pPr>
              <w:spacing w:after="20" w:line="240" w:lineRule="auto"/>
              <w:jc w:val="center"/>
              <w:rPr>
                <w:rFonts w:cs="Times New Roman"/>
                <w:b/>
                <w:bCs/>
                <w:noProof/>
                <w:color w:val="000000" w:themeColor="text1"/>
                <w:szCs w:val="24"/>
              </w:rPr>
            </w:pPr>
            <w:r>
              <w:rPr>
                <w:rFonts w:cs="Times New Roman"/>
                <w:b/>
                <w:bCs/>
                <w:noProof/>
                <w:color w:val="000000" w:themeColor="text1"/>
                <w:szCs w:val="24"/>
              </w:rPr>
              <w:t>2030</w:t>
            </w:r>
          </w:p>
        </w:tc>
      </w:tr>
      <w:tr w:rsidR="003E180D" w:rsidTr="0088305C">
        <w:trPr>
          <w:trHeight w:val="300"/>
          <w:jc w:val="center"/>
        </w:trPr>
        <w:tc>
          <w:tcPr>
            <w:tcW w:w="0" w:type="auto"/>
            <w:shd w:val="clear" w:color="auto" w:fill="auto"/>
            <w:noWrap/>
            <w:tcMar>
              <w:top w:w="15" w:type="dxa"/>
              <w:left w:w="15" w:type="dxa"/>
              <w:bottom w:w="0" w:type="dxa"/>
              <w:right w:w="15" w:type="dxa"/>
            </w:tcMar>
            <w:vAlign w:val="bottom"/>
            <w:hideMark/>
          </w:tcPr>
          <w:p w:rsidR="003E180D" w:rsidRDefault="003E180D" w:rsidP="0088305C">
            <w:pPr>
              <w:spacing w:after="20" w:line="240" w:lineRule="auto"/>
              <w:rPr>
                <w:rFonts w:cs="Times New Roman"/>
                <w:bCs/>
                <w:noProof/>
                <w:color w:val="000000" w:themeColor="text1"/>
                <w:szCs w:val="24"/>
              </w:rPr>
            </w:pPr>
            <w:r>
              <w:rPr>
                <w:rFonts w:cs="Times New Roman"/>
                <w:bCs/>
                <w:noProof/>
                <w:color w:val="000000" w:themeColor="text1"/>
                <w:szCs w:val="24"/>
              </w:rPr>
              <w:t>TL20</w:t>
            </w:r>
          </w:p>
        </w:tc>
        <w:tc>
          <w:tcPr>
            <w:tcW w:w="0" w:type="auto"/>
            <w:shd w:val="clear" w:color="auto" w:fill="auto"/>
            <w:noWrap/>
            <w:tcMar>
              <w:top w:w="15" w:type="dxa"/>
              <w:left w:w="15" w:type="dxa"/>
              <w:bottom w:w="0" w:type="dxa"/>
              <w:right w:w="15" w:type="dxa"/>
            </w:tcMar>
            <w:vAlign w:val="bottom"/>
            <w:hideMark/>
          </w:tcPr>
          <w:p w:rsidR="003E180D" w:rsidRDefault="003E180D" w:rsidP="0088305C">
            <w:pPr>
              <w:spacing w:after="20" w:line="240" w:lineRule="auto"/>
              <w:jc w:val="center"/>
              <w:rPr>
                <w:rFonts w:cs="Times New Roman"/>
                <w:bCs/>
                <w:noProof/>
                <w:color w:val="000000" w:themeColor="text1"/>
                <w:szCs w:val="24"/>
              </w:rPr>
            </w:pPr>
            <w:r>
              <w:rPr>
                <w:rFonts w:cs="Times New Roman"/>
                <w:bCs/>
                <w:noProof/>
                <w:color w:val="000000" w:themeColor="text1"/>
                <w:szCs w:val="24"/>
              </w:rPr>
              <w:t>-2.5%</w:t>
            </w:r>
          </w:p>
        </w:tc>
        <w:tc>
          <w:tcPr>
            <w:tcW w:w="0" w:type="auto"/>
            <w:shd w:val="clear" w:color="auto" w:fill="auto"/>
            <w:noWrap/>
            <w:tcMar>
              <w:top w:w="15" w:type="dxa"/>
              <w:left w:w="15" w:type="dxa"/>
              <w:bottom w:w="0" w:type="dxa"/>
              <w:right w:w="15" w:type="dxa"/>
            </w:tcMar>
            <w:vAlign w:val="bottom"/>
            <w:hideMark/>
          </w:tcPr>
          <w:p w:rsidR="003E180D" w:rsidRDefault="003E180D" w:rsidP="0088305C">
            <w:pPr>
              <w:spacing w:after="20" w:line="240" w:lineRule="auto"/>
              <w:jc w:val="center"/>
              <w:rPr>
                <w:rFonts w:cs="Times New Roman"/>
                <w:bCs/>
                <w:noProof/>
                <w:color w:val="000000" w:themeColor="text1"/>
                <w:szCs w:val="24"/>
              </w:rPr>
            </w:pPr>
            <w:r>
              <w:rPr>
                <w:rFonts w:cs="Times New Roman"/>
                <w:bCs/>
                <w:noProof/>
                <w:color w:val="000000" w:themeColor="text1"/>
                <w:szCs w:val="24"/>
              </w:rPr>
              <w:t>-3.0%</w:t>
            </w:r>
          </w:p>
        </w:tc>
      </w:tr>
      <w:tr w:rsidR="003E180D" w:rsidTr="0088305C">
        <w:trPr>
          <w:trHeight w:val="300"/>
          <w:jc w:val="center"/>
        </w:trPr>
        <w:tc>
          <w:tcPr>
            <w:tcW w:w="0" w:type="auto"/>
            <w:shd w:val="clear" w:color="auto" w:fill="auto"/>
            <w:noWrap/>
            <w:tcMar>
              <w:top w:w="15" w:type="dxa"/>
              <w:left w:w="15" w:type="dxa"/>
              <w:bottom w:w="0" w:type="dxa"/>
              <w:right w:w="15" w:type="dxa"/>
            </w:tcMar>
            <w:vAlign w:val="bottom"/>
            <w:hideMark/>
          </w:tcPr>
          <w:p w:rsidR="003E180D" w:rsidRDefault="003E180D" w:rsidP="0088305C">
            <w:pPr>
              <w:spacing w:after="20" w:line="240" w:lineRule="auto"/>
              <w:rPr>
                <w:rFonts w:cs="Times New Roman"/>
                <w:bCs/>
                <w:noProof/>
                <w:color w:val="000000" w:themeColor="text1"/>
                <w:szCs w:val="24"/>
              </w:rPr>
            </w:pPr>
            <w:r>
              <w:rPr>
                <w:rFonts w:cs="Times New Roman"/>
                <w:bCs/>
                <w:noProof/>
                <w:color w:val="000000" w:themeColor="text1"/>
                <w:szCs w:val="24"/>
              </w:rPr>
              <w:t>TL30</w:t>
            </w:r>
          </w:p>
        </w:tc>
        <w:tc>
          <w:tcPr>
            <w:tcW w:w="0" w:type="auto"/>
            <w:shd w:val="clear" w:color="auto" w:fill="auto"/>
            <w:noWrap/>
            <w:tcMar>
              <w:top w:w="15" w:type="dxa"/>
              <w:left w:w="15" w:type="dxa"/>
              <w:bottom w:w="0" w:type="dxa"/>
              <w:right w:w="15" w:type="dxa"/>
            </w:tcMar>
            <w:vAlign w:val="bottom"/>
            <w:hideMark/>
          </w:tcPr>
          <w:p w:rsidR="003E180D" w:rsidRDefault="003E180D" w:rsidP="0088305C">
            <w:pPr>
              <w:spacing w:after="20" w:line="240" w:lineRule="auto"/>
              <w:jc w:val="center"/>
              <w:rPr>
                <w:rFonts w:cs="Times New Roman"/>
                <w:bCs/>
                <w:noProof/>
                <w:color w:val="000000" w:themeColor="text1"/>
                <w:szCs w:val="24"/>
              </w:rPr>
            </w:pPr>
            <w:r>
              <w:rPr>
                <w:rFonts w:cs="Times New Roman"/>
                <w:bCs/>
                <w:noProof/>
                <w:color w:val="000000" w:themeColor="text1"/>
                <w:szCs w:val="24"/>
              </w:rPr>
              <w:t>-2.7%</w:t>
            </w:r>
          </w:p>
        </w:tc>
        <w:tc>
          <w:tcPr>
            <w:tcW w:w="0" w:type="auto"/>
            <w:shd w:val="clear" w:color="auto" w:fill="auto"/>
            <w:noWrap/>
            <w:tcMar>
              <w:top w:w="15" w:type="dxa"/>
              <w:left w:w="15" w:type="dxa"/>
              <w:bottom w:w="0" w:type="dxa"/>
              <w:right w:w="15" w:type="dxa"/>
            </w:tcMar>
            <w:vAlign w:val="bottom"/>
            <w:hideMark/>
          </w:tcPr>
          <w:p w:rsidR="003E180D" w:rsidRDefault="003E180D" w:rsidP="0088305C">
            <w:pPr>
              <w:spacing w:after="20" w:line="240" w:lineRule="auto"/>
              <w:jc w:val="center"/>
              <w:rPr>
                <w:rFonts w:cs="Times New Roman"/>
                <w:bCs/>
                <w:noProof/>
                <w:color w:val="000000" w:themeColor="text1"/>
                <w:szCs w:val="24"/>
              </w:rPr>
            </w:pPr>
            <w:r>
              <w:rPr>
                <w:rFonts w:cs="Times New Roman"/>
                <w:bCs/>
                <w:noProof/>
                <w:color w:val="000000" w:themeColor="text1"/>
                <w:szCs w:val="24"/>
              </w:rPr>
              <w:t>-3.8%</w:t>
            </w:r>
          </w:p>
        </w:tc>
      </w:tr>
      <w:tr w:rsidR="003E180D" w:rsidTr="0088305C">
        <w:trPr>
          <w:trHeight w:val="300"/>
          <w:jc w:val="center"/>
        </w:trPr>
        <w:tc>
          <w:tcPr>
            <w:tcW w:w="0" w:type="auto"/>
            <w:shd w:val="clear" w:color="auto" w:fill="auto"/>
            <w:noWrap/>
            <w:tcMar>
              <w:top w:w="15" w:type="dxa"/>
              <w:left w:w="15" w:type="dxa"/>
              <w:bottom w:w="0" w:type="dxa"/>
              <w:right w:w="15" w:type="dxa"/>
            </w:tcMar>
            <w:vAlign w:val="bottom"/>
            <w:hideMark/>
          </w:tcPr>
          <w:p w:rsidR="003E180D" w:rsidRDefault="003E180D" w:rsidP="0088305C">
            <w:pPr>
              <w:spacing w:after="20" w:line="240" w:lineRule="auto"/>
              <w:rPr>
                <w:rFonts w:cs="Times New Roman"/>
                <w:bCs/>
                <w:noProof/>
                <w:color w:val="000000" w:themeColor="text1"/>
                <w:szCs w:val="24"/>
              </w:rPr>
            </w:pPr>
            <w:r>
              <w:rPr>
                <w:rFonts w:cs="Times New Roman"/>
                <w:bCs/>
                <w:noProof/>
                <w:color w:val="000000" w:themeColor="text1"/>
                <w:szCs w:val="24"/>
              </w:rPr>
              <w:t>TL30NL</w:t>
            </w:r>
          </w:p>
        </w:tc>
        <w:tc>
          <w:tcPr>
            <w:tcW w:w="0" w:type="auto"/>
            <w:shd w:val="clear" w:color="auto" w:fill="auto"/>
            <w:noWrap/>
            <w:tcMar>
              <w:top w:w="15" w:type="dxa"/>
              <w:left w:w="15" w:type="dxa"/>
              <w:bottom w:w="0" w:type="dxa"/>
              <w:right w:w="15" w:type="dxa"/>
            </w:tcMar>
            <w:vAlign w:val="bottom"/>
            <w:hideMark/>
          </w:tcPr>
          <w:p w:rsidR="003E180D" w:rsidRDefault="003E180D" w:rsidP="0088305C">
            <w:pPr>
              <w:spacing w:after="20" w:line="240" w:lineRule="auto"/>
              <w:jc w:val="center"/>
              <w:rPr>
                <w:rFonts w:cs="Times New Roman"/>
                <w:bCs/>
                <w:noProof/>
                <w:color w:val="000000" w:themeColor="text1"/>
                <w:szCs w:val="24"/>
              </w:rPr>
            </w:pPr>
            <w:r>
              <w:rPr>
                <w:rFonts w:cs="Times New Roman"/>
                <w:bCs/>
                <w:noProof/>
                <w:color w:val="000000" w:themeColor="text1"/>
                <w:szCs w:val="24"/>
              </w:rPr>
              <w:t>-2.6%</w:t>
            </w:r>
          </w:p>
        </w:tc>
        <w:tc>
          <w:tcPr>
            <w:tcW w:w="0" w:type="auto"/>
            <w:shd w:val="clear" w:color="auto" w:fill="auto"/>
            <w:noWrap/>
            <w:tcMar>
              <w:top w:w="15" w:type="dxa"/>
              <w:left w:w="15" w:type="dxa"/>
              <w:bottom w:w="0" w:type="dxa"/>
              <w:right w:w="15" w:type="dxa"/>
            </w:tcMar>
            <w:vAlign w:val="bottom"/>
            <w:hideMark/>
          </w:tcPr>
          <w:p w:rsidR="003E180D" w:rsidRDefault="003E180D" w:rsidP="0088305C">
            <w:pPr>
              <w:spacing w:after="20" w:line="240" w:lineRule="auto"/>
              <w:jc w:val="center"/>
              <w:rPr>
                <w:rFonts w:cs="Times New Roman"/>
                <w:bCs/>
                <w:noProof/>
                <w:color w:val="000000" w:themeColor="text1"/>
                <w:szCs w:val="24"/>
              </w:rPr>
            </w:pPr>
            <w:r>
              <w:rPr>
                <w:rFonts w:cs="Times New Roman"/>
                <w:bCs/>
                <w:noProof/>
                <w:color w:val="000000" w:themeColor="text1"/>
                <w:szCs w:val="24"/>
              </w:rPr>
              <w:t>-3.6%</w:t>
            </w:r>
          </w:p>
        </w:tc>
      </w:tr>
      <w:tr w:rsidR="003E180D" w:rsidTr="0088305C">
        <w:trPr>
          <w:trHeight w:val="300"/>
          <w:jc w:val="center"/>
        </w:trPr>
        <w:tc>
          <w:tcPr>
            <w:tcW w:w="0" w:type="auto"/>
            <w:shd w:val="clear" w:color="auto" w:fill="auto"/>
            <w:noWrap/>
            <w:tcMar>
              <w:top w:w="15" w:type="dxa"/>
              <w:left w:w="15" w:type="dxa"/>
              <w:bottom w:w="0" w:type="dxa"/>
              <w:right w:w="15" w:type="dxa"/>
            </w:tcMar>
            <w:vAlign w:val="bottom"/>
            <w:hideMark/>
          </w:tcPr>
          <w:p w:rsidR="003E180D" w:rsidRDefault="003E180D" w:rsidP="0088305C">
            <w:pPr>
              <w:spacing w:after="20" w:line="240" w:lineRule="auto"/>
              <w:rPr>
                <w:rFonts w:cs="Times New Roman"/>
                <w:bCs/>
                <w:noProof/>
                <w:color w:val="000000" w:themeColor="text1"/>
                <w:szCs w:val="24"/>
              </w:rPr>
            </w:pPr>
            <w:r>
              <w:rPr>
                <w:rFonts w:cs="Times New Roman"/>
                <w:bCs/>
                <w:noProof/>
                <w:color w:val="000000" w:themeColor="text1"/>
                <w:szCs w:val="24"/>
              </w:rPr>
              <w:t>TL32</w:t>
            </w:r>
          </w:p>
        </w:tc>
        <w:tc>
          <w:tcPr>
            <w:tcW w:w="0" w:type="auto"/>
            <w:shd w:val="clear" w:color="auto" w:fill="auto"/>
            <w:noWrap/>
            <w:tcMar>
              <w:top w:w="15" w:type="dxa"/>
              <w:left w:w="15" w:type="dxa"/>
              <w:bottom w:w="0" w:type="dxa"/>
              <w:right w:w="15" w:type="dxa"/>
            </w:tcMar>
            <w:vAlign w:val="bottom"/>
            <w:hideMark/>
          </w:tcPr>
          <w:p w:rsidR="003E180D" w:rsidRDefault="003E180D" w:rsidP="0088305C">
            <w:pPr>
              <w:spacing w:after="20" w:line="240" w:lineRule="auto"/>
              <w:jc w:val="center"/>
              <w:rPr>
                <w:rFonts w:cs="Times New Roman"/>
                <w:bCs/>
                <w:noProof/>
                <w:color w:val="000000" w:themeColor="text1"/>
                <w:szCs w:val="24"/>
              </w:rPr>
            </w:pPr>
            <w:r>
              <w:rPr>
                <w:rFonts w:cs="Times New Roman"/>
                <w:bCs/>
                <w:noProof/>
                <w:color w:val="000000" w:themeColor="text1"/>
                <w:szCs w:val="24"/>
              </w:rPr>
              <w:t>-2.8%</w:t>
            </w:r>
          </w:p>
        </w:tc>
        <w:tc>
          <w:tcPr>
            <w:tcW w:w="0" w:type="auto"/>
            <w:shd w:val="clear" w:color="auto" w:fill="auto"/>
            <w:noWrap/>
            <w:tcMar>
              <w:top w:w="15" w:type="dxa"/>
              <w:left w:w="15" w:type="dxa"/>
              <w:bottom w:w="0" w:type="dxa"/>
              <w:right w:w="15" w:type="dxa"/>
            </w:tcMar>
            <w:vAlign w:val="bottom"/>
            <w:hideMark/>
          </w:tcPr>
          <w:p w:rsidR="003E180D" w:rsidRDefault="003E180D" w:rsidP="0088305C">
            <w:pPr>
              <w:spacing w:after="20" w:line="240" w:lineRule="auto"/>
              <w:jc w:val="center"/>
              <w:rPr>
                <w:rFonts w:cs="Times New Roman"/>
                <w:bCs/>
                <w:noProof/>
                <w:color w:val="000000" w:themeColor="text1"/>
                <w:szCs w:val="24"/>
              </w:rPr>
            </w:pPr>
            <w:r>
              <w:rPr>
                <w:rFonts w:cs="Times New Roman"/>
                <w:bCs/>
                <w:noProof/>
                <w:color w:val="000000" w:themeColor="text1"/>
                <w:szCs w:val="24"/>
              </w:rPr>
              <w:t>-4.1%</w:t>
            </w:r>
          </w:p>
        </w:tc>
      </w:tr>
      <w:tr w:rsidR="003E180D" w:rsidTr="0088305C">
        <w:trPr>
          <w:trHeight w:val="315"/>
          <w:jc w:val="center"/>
        </w:trPr>
        <w:tc>
          <w:tcPr>
            <w:tcW w:w="0" w:type="auto"/>
            <w:shd w:val="clear" w:color="auto" w:fill="auto"/>
            <w:noWrap/>
            <w:tcMar>
              <w:top w:w="15" w:type="dxa"/>
              <w:left w:w="15" w:type="dxa"/>
              <w:bottom w:w="0" w:type="dxa"/>
              <w:right w:w="15" w:type="dxa"/>
            </w:tcMar>
            <w:vAlign w:val="bottom"/>
            <w:hideMark/>
          </w:tcPr>
          <w:p w:rsidR="003E180D" w:rsidRDefault="003E180D" w:rsidP="0088305C">
            <w:pPr>
              <w:spacing w:after="20" w:line="240" w:lineRule="auto"/>
              <w:rPr>
                <w:rFonts w:cs="Times New Roman"/>
                <w:bCs/>
                <w:noProof/>
                <w:color w:val="000000" w:themeColor="text1"/>
                <w:szCs w:val="24"/>
              </w:rPr>
            </w:pPr>
            <w:r>
              <w:rPr>
                <w:rFonts w:cs="Times New Roman"/>
                <w:bCs/>
                <w:noProof/>
                <w:color w:val="000000" w:themeColor="text1"/>
                <w:szCs w:val="24"/>
              </w:rPr>
              <w:t>TL35</w:t>
            </w:r>
          </w:p>
        </w:tc>
        <w:tc>
          <w:tcPr>
            <w:tcW w:w="0" w:type="auto"/>
            <w:shd w:val="clear" w:color="auto" w:fill="auto"/>
            <w:noWrap/>
            <w:tcMar>
              <w:top w:w="15" w:type="dxa"/>
              <w:left w:w="15" w:type="dxa"/>
              <w:bottom w:w="0" w:type="dxa"/>
              <w:right w:w="15" w:type="dxa"/>
            </w:tcMar>
            <w:vAlign w:val="bottom"/>
            <w:hideMark/>
          </w:tcPr>
          <w:p w:rsidR="003E180D" w:rsidRDefault="003E180D" w:rsidP="0088305C">
            <w:pPr>
              <w:spacing w:after="20" w:line="240" w:lineRule="auto"/>
              <w:jc w:val="center"/>
              <w:rPr>
                <w:rFonts w:cs="Times New Roman"/>
                <w:bCs/>
                <w:noProof/>
                <w:color w:val="000000" w:themeColor="text1"/>
                <w:szCs w:val="24"/>
              </w:rPr>
            </w:pPr>
            <w:r>
              <w:rPr>
                <w:rFonts w:cs="Times New Roman"/>
                <w:bCs/>
                <w:noProof/>
                <w:color w:val="000000" w:themeColor="text1"/>
                <w:szCs w:val="24"/>
              </w:rPr>
              <w:t>-3.0%</w:t>
            </w:r>
          </w:p>
        </w:tc>
        <w:tc>
          <w:tcPr>
            <w:tcW w:w="0" w:type="auto"/>
            <w:shd w:val="clear" w:color="auto" w:fill="auto"/>
            <w:noWrap/>
            <w:tcMar>
              <w:top w:w="15" w:type="dxa"/>
              <w:left w:w="15" w:type="dxa"/>
              <w:bottom w:w="0" w:type="dxa"/>
              <w:right w:w="15" w:type="dxa"/>
            </w:tcMar>
            <w:vAlign w:val="bottom"/>
            <w:hideMark/>
          </w:tcPr>
          <w:p w:rsidR="003E180D" w:rsidRDefault="003E180D" w:rsidP="0088305C">
            <w:pPr>
              <w:spacing w:after="20" w:line="240" w:lineRule="auto"/>
              <w:jc w:val="center"/>
              <w:rPr>
                <w:rFonts w:cs="Times New Roman"/>
                <w:bCs/>
                <w:noProof/>
                <w:color w:val="000000" w:themeColor="text1"/>
                <w:szCs w:val="24"/>
              </w:rPr>
            </w:pPr>
            <w:r>
              <w:rPr>
                <w:rFonts w:cs="Times New Roman"/>
                <w:bCs/>
                <w:noProof/>
                <w:color w:val="000000" w:themeColor="text1"/>
                <w:szCs w:val="24"/>
              </w:rPr>
              <w:t>-4.5%</w:t>
            </w:r>
          </w:p>
        </w:tc>
      </w:tr>
    </w:tbl>
    <w:p w:rsidR="003E180D" w:rsidRDefault="003E180D" w:rsidP="003E180D">
      <w:pPr>
        <w:spacing w:before="240" w:after="120" w:line="240" w:lineRule="auto"/>
        <w:jc w:val="both"/>
        <w:rPr>
          <w:rFonts w:cs="Times New Roman"/>
          <w:noProof/>
          <w:lang w:val="en-US"/>
        </w:rPr>
      </w:pPr>
      <w:r>
        <w:rPr>
          <w:rFonts w:cs="Times New Roman"/>
          <w:noProof/>
        </w:rPr>
        <w:fldChar w:fldCharType="begin"/>
      </w:r>
      <w:r>
        <w:rPr>
          <w:rFonts w:cs="Times New Roman"/>
          <w:noProof/>
        </w:rPr>
        <w:instrText xml:space="preserve"> REF _Ref506545570 \h  \* MERGEFORMAT </w:instrText>
      </w:r>
      <w:r>
        <w:rPr>
          <w:rFonts w:cs="Times New Roman"/>
          <w:noProof/>
        </w:rPr>
      </w:r>
      <w:r>
        <w:rPr>
          <w:rFonts w:cs="Times New Roman"/>
          <w:noProof/>
        </w:rPr>
        <w:fldChar w:fldCharType="separate"/>
      </w:r>
      <w:r>
        <w:rPr>
          <w:rFonts w:cs="Times New Roman"/>
          <w:noProof/>
        </w:rPr>
        <w:t>Figure 18</w:t>
      </w:r>
      <w:r>
        <w:rPr>
          <w:rFonts w:cs="Times New Roman"/>
          <w:noProof/>
        </w:rPr>
        <w:fldChar w:fldCharType="end"/>
      </w:r>
      <w:r>
        <w:rPr>
          <w:rFonts w:cs="Times New Roman"/>
          <w:noProof/>
        </w:rPr>
        <w:t xml:space="preserve"> shows that some fuel savings occur already under the baseline, and stricter targets would reduce fuel consumption even further. The other costs would only increase slightly due to the purchase of fuel-saving technologies.  </w:t>
      </w:r>
    </w:p>
    <w:p w:rsidR="003E180D" w:rsidRDefault="003E180D" w:rsidP="003E180D">
      <w:pPr>
        <w:keepNext/>
        <w:rPr>
          <w:rFonts w:cs="Times New Roman"/>
          <w:b/>
          <w:noProof/>
        </w:rPr>
      </w:pPr>
      <w:bookmarkStart w:id="829" w:name="_Ref506545570"/>
      <w:r>
        <w:rPr>
          <w:rFonts w:cs="Times New Roman"/>
          <w:b/>
          <w:noProof/>
        </w:rPr>
        <w:br w:type="page"/>
      </w:r>
    </w:p>
    <w:p w:rsidR="003E180D" w:rsidRDefault="003E180D" w:rsidP="003E180D">
      <w:pPr>
        <w:keepNext/>
        <w:rPr>
          <w:rFonts w:cs="Times New Roman"/>
          <w:b/>
          <w:noProof/>
        </w:rPr>
      </w:pPr>
      <w:r>
        <w:rPr>
          <w:rFonts w:cs="Times New Roman"/>
          <w:b/>
          <w:noProof/>
        </w:rPr>
        <w:t xml:space="preserve">Figure </w:t>
      </w:r>
      <w:r>
        <w:rPr>
          <w:rFonts w:cs="Times New Roman"/>
          <w:b/>
          <w:noProof/>
        </w:rPr>
        <w:fldChar w:fldCharType="begin"/>
      </w:r>
      <w:r>
        <w:rPr>
          <w:rFonts w:cs="Times New Roman"/>
          <w:b/>
          <w:noProof/>
        </w:rPr>
        <w:instrText xml:space="preserve"> SEQ Figure \* ARABIC </w:instrText>
      </w:r>
      <w:r>
        <w:rPr>
          <w:rFonts w:cs="Times New Roman"/>
          <w:b/>
          <w:noProof/>
        </w:rPr>
        <w:fldChar w:fldCharType="separate"/>
      </w:r>
      <w:r>
        <w:rPr>
          <w:rFonts w:cs="Times New Roman"/>
          <w:b/>
          <w:noProof/>
        </w:rPr>
        <w:t>18</w:t>
      </w:r>
      <w:r>
        <w:rPr>
          <w:rFonts w:cs="Times New Roman"/>
          <w:b/>
          <w:noProof/>
        </w:rPr>
        <w:fldChar w:fldCharType="end"/>
      </w:r>
      <w:bookmarkEnd w:id="829"/>
      <w:r>
        <w:rPr>
          <w:rFonts w:cs="Times New Roman"/>
          <w:b/>
          <w:noProof/>
        </w:rPr>
        <w:t>: Fuel costs incidence on transport operator costs</w:t>
      </w:r>
    </w:p>
    <w:p w:rsidR="003E180D" w:rsidRDefault="003E180D" w:rsidP="003E180D">
      <w:pPr>
        <w:pStyle w:val="Caption"/>
        <w:spacing w:after="0"/>
        <w:jc w:val="center"/>
        <w:rPr>
          <w:noProof/>
        </w:rPr>
      </w:pPr>
      <w:r>
        <w:rPr>
          <w:noProof/>
          <w:sz w:val="28"/>
          <w:lang w:eastAsia="en-GB"/>
        </w:rPr>
        <w:drawing>
          <wp:inline distT="0" distB="0" distL="0" distR="0" wp14:anchorId="3AF52750" wp14:editId="69F1F6BC">
            <wp:extent cx="2622430" cy="1637517"/>
            <wp:effectExtent l="0" t="0" r="6985" b="1270"/>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22430" cy="1637517"/>
                    </a:xfrm>
                    <a:prstGeom prst="rect">
                      <a:avLst/>
                    </a:prstGeom>
                    <a:noFill/>
                  </pic:spPr>
                </pic:pic>
              </a:graphicData>
            </a:graphic>
          </wp:inline>
        </w:drawing>
      </w:r>
      <w:r>
        <w:rPr>
          <w:noProof/>
          <w:sz w:val="28"/>
          <w:lang w:eastAsia="en-GB"/>
        </w:rPr>
        <w:drawing>
          <wp:inline distT="0" distB="0" distL="0" distR="0" wp14:anchorId="02937FDD" wp14:editId="6F9CF489">
            <wp:extent cx="2649387" cy="1654350"/>
            <wp:effectExtent l="0" t="0" r="0" b="3175"/>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49387" cy="1654350"/>
                    </a:xfrm>
                    <a:prstGeom prst="rect">
                      <a:avLst/>
                    </a:prstGeom>
                    <a:noFill/>
                  </pic:spPr>
                </pic:pic>
              </a:graphicData>
            </a:graphic>
          </wp:inline>
        </w:drawing>
      </w:r>
    </w:p>
    <w:p w:rsidR="003E180D" w:rsidRDefault="003E180D" w:rsidP="003E180D">
      <w:pPr>
        <w:pStyle w:val="Heading2"/>
        <w:numPr>
          <w:ilvl w:val="1"/>
          <w:numId w:val="22"/>
        </w:numPr>
        <w:spacing w:before="240" w:after="240"/>
        <w:rPr>
          <w:noProof/>
        </w:rPr>
      </w:pPr>
      <w:bookmarkStart w:id="830" w:name="_Toc510714363"/>
      <w:bookmarkStart w:id="831" w:name="_Toc508124809"/>
      <w:bookmarkStart w:id="832" w:name="_Toc508126173"/>
      <w:bookmarkStart w:id="833" w:name="_Toc508127546"/>
      <w:bookmarkStart w:id="834" w:name="_Toc508181067"/>
      <w:bookmarkStart w:id="835" w:name="_Toc508186658"/>
      <w:bookmarkStart w:id="836" w:name="_Toc510708141"/>
      <w:bookmarkStart w:id="837" w:name="_Toc514328838"/>
      <w:bookmarkEnd w:id="830"/>
      <w:r>
        <w:rPr>
          <w:noProof/>
        </w:rPr>
        <w:t>Macro-economic impacts, including employment</w:t>
      </w:r>
      <w:bookmarkEnd w:id="831"/>
      <w:bookmarkEnd w:id="832"/>
      <w:r>
        <w:rPr>
          <w:noProof/>
        </w:rPr>
        <w:t xml:space="preserve"> (EXIOMOD results)</w:t>
      </w:r>
      <w:bookmarkEnd w:id="833"/>
      <w:r>
        <w:rPr>
          <w:noProof/>
        </w:rPr>
        <w:t>, of different target level options</w:t>
      </w:r>
      <w:bookmarkEnd w:id="834"/>
      <w:bookmarkEnd w:id="835"/>
      <w:bookmarkEnd w:id="836"/>
      <w:bookmarkEnd w:id="837"/>
    </w:p>
    <w:p w:rsidR="003E180D" w:rsidRDefault="003E180D" w:rsidP="003E180D">
      <w:pPr>
        <w:keepNext/>
        <w:spacing w:after="120" w:line="240" w:lineRule="auto"/>
        <w:jc w:val="both"/>
        <w:rPr>
          <w:b/>
          <w:noProof/>
          <w:color w:val="000000" w:themeColor="text1"/>
        </w:rPr>
      </w:pPr>
      <w:bookmarkStart w:id="838" w:name="_Ref506281468"/>
      <w:bookmarkStart w:id="839" w:name="_Ref506457161"/>
      <w:bookmarkStart w:id="840" w:name="_Ref507510905"/>
      <w:r>
        <w:rPr>
          <w:b/>
          <w:noProof/>
          <w:color w:val="000000" w:themeColor="text1"/>
        </w:rPr>
        <w:t xml:space="preserve">Table </w:t>
      </w:r>
      <w:r>
        <w:rPr>
          <w:b/>
          <w:noProof/>
          <w:color w:val="000000" w:themeColor="text1"/>
        </w:rPr>
        <w:fldChar w:fldCharType="begin"/>
      </w:r>
      <w:r>
        <w:rPr>
          <w:b/>
          <w:noProof/>
          <w:color w:val="000000" w:themeColor="text1"/>
        </w:rPr>
        <w:instrText xml:space="preserve"> SEQ Table \* ARABIC </w:instrText>
      </w:r>
      <w:r>
        <w:rPr>
          <w:b/>
          <w:noProof/>
          <w:color w:val="000000" w:themeColor="text1"/>
        </w:rPr>
        <w:fldChar w:fldCharType="separate"/>
      </w:r>
      <w:r>
        <w:rPr>
          <w:b/>
          <w:noProof/>
          <w:color w:val="000000" w:themeColor="text1"/>
        </w:rPr>
        <w:t>23</w:t>
      </w:r>
      <w:r>
        <w:rPr>
          <w:b/>
          <w:noProof/>
          <w:color w:val="000000" w:themeColor="text1"/>
        </w:rPr>
        <w:fldChar w:fldCharType="end"/>
      </w:r>
      <w:bookmarkEnd w:id="838"/>
      <w:bookmarkEnd w:id="839"/>
      <w:r>
        <w:rPr>
          <w:b/>
          <w:noProof/>
          <w:color w:val="000000" w:themeColor="text1"/>
        </w:rPr>
        <w:t>: GDP impacts in the baseline (million euros) and percentage change from the baseline under selected options</w:t>
      </w:r>
      <w:bookmarkEnd w:id="840"/>
      <w:r>
        <w:rPr>
          <w:b/>
          <w:noProof/>
          <w:color w:val="000000" w:themeColor="text1"/>
        </w:rPr>
        <w:t xml:space="preserve"> for the CO</w:t>
      </w:r>
      <w:r>
        <w:rPr>
          <w:b/>
          <w:noProof/>
          <w:color w:val="000000" w:themeColor="text1"/>
          <w:vertAlign w:val="subscript"/>
        </w:rPr>
        <w:t>2</w:t>
      </w:r>
      <w:r>
        <w:rPr>
          <w:b/>
          <w:noProof/>
          <w:color w:val="000000" w:themeColor="text1"/>
        </w:rPr>
        <w:t xml:space="preserve"> target level when using the high cost assumptions</w:t>
      </w:r>
    </w:p>
    <w:tbl>
      <w:tblPr>
        <w:tblStyle w:val="TableGrid"/>
        <w:tblW w:w="0" w:type="auto"/>
        <w:jc w:val="center"/>
        <w:tblLayout w:type="fixed"/>
        <w:tblLook w:val="04A0" w:firstRow="1" w:lastRow="0" w:firstColumn="1" w:lastColumn="0" w:noHBand="0" w:noVBand="1"/>
      </w:tblPr>
      <w:tblGrid>
        <w:gridCol w:w="2802"/>
        <w:gridCol w:w="1842"/>
        <w:gridCol w:w="1843"/>
      </w:tblGrid>
      <w:tr w:rsidR="003E180D" w:rsidTr="0088305C">
        <w:trPr>
          <w:trHeight w:val="330"/>
          <w:jc w:val="center"/>
        </w:trPr>
        <w:tc>
          <w:tcPr>
            <w:tcW w:w="2802" w:type="dxa"/>
            <w:noWrap/>
            <w:hideMark/>
          </w:tcPr>
          <w:p w:rsidR="003E180D" w:rsidRDefault="003E180D" w:rsidP="0088305C">
            <w:pPr>
              <w:pStyle w:val="Text2"/>
              <w:spacing w:after="120"/>
              <w:ind w:left="0"/>
              <w:rPr>
                <w:b/>
                <w:noProof/>
              </w:rPr>
            </w:pPr>
            <w:r>
              <w:rPr>
                <w:b/>
                <w:noProof/>
              </w:rPr>
              <w:t>Option for target level</w:t>
            </w:r>
            <w:r>
              <w:rPr>
                <w:b/>
                <w:noProof/>
              </w:rPr>
              <w:br/>
              <w:t>(high cost assumptions)</w:t>
            </w:r>
          </w:p>
        </w:tc>
        <w:tc>
          <w:tcPr>
            <w:tcW w:w="1842" w:type="dxa"/>
            <w:noWrap/>
            <w:hideMark/>
          </w:tcPr>
          <w:p w:rsidR="003E180D" w:rsidRDefault="003E180D" w:rsidP="0088305C">
            <w:pPr>
              <w:pStyle w:val="Text2"/>
              <w:spacing w:after="120"/>
              <w:ind w:left="0"/>
              <w:jc w:val="center"/>
              <w:rPr>
                <w:b/>
                <w:noProof/>
              </w:rPr>
            </w:pPr>
            <w:r>
              <w:rPr>
                <w:b/>
                <w:noProof/>
              </w:rPr>
              <w:t>2025</w:t>
            </w:r>
          </w:p>
        </w:tc>
        <w:tc>
          <w:tcPr>
            <w:tcW w:w="1843" w:type="dxa"/>
            <w:noWrap/>
            <w:hideMark/>
          </w:tcPr>
          <w:p w:rsidR="003E180D" w:rsidRDefault="003E180D" w:rsidP="0088305C">
            <w:pPr>
              <w:pStyle w:val="Text2"/>
              <w:spacing w:after="120"/>
              <w:ind w:left="0"/>
              <w:jc w:val="center"/>
              <w:rPr>
                <w:b/>
                <w:noProof/>
              </w:rPr>
            </w:pPr>
            <w:r>
              <w:rPr>
                <w:b/>
                <w:noProof/>
              </w:rPr>
              <w:t>2030</w:t>
            </w:r>
          </w:p>
        </w:tc>
      </w:tr>
      <w:tr w:rsidR="003E180D" w:rsidTr="0088305C">
        <w:trPr>
          <w:trHeight w:val="330"/>
          <w:jc w:val="center"/>
        </w:trPr>
        <w:tc>
          <w:tcPr>
            <w:tcW w:w="2802" w:type="dxa"/>
            <w:noWrap/>
            <w:hideMark/>
          </w:tcPr>
          <w:p w:rsidR="003E180D" w:rsidRDefault="003E180D" w:rsidP="0088305C">
            <w:pPr>
              <w:pStyle w:val="Text2"/>
              <w:spacing w:after="120"/>
              <w:ind w:left="0"/>
              <w:rPr>
                <w:b/>
                <w:noProof/>
              </w:rPr>
            </w:pPr>
            <w:r>
              <w:rPr>
                <w:b/>
                <w:noProof/>
              </w:rPr>
              <w:t xml:space="preserve">Baseline (M EUR) </w:t>
            </w:r>
          </w:p>
        </w:tc>
        <w:tc>
          <w:tcPr>
            <w:tcW w:w="1842" w:type="dxa"/>
            <w:noWrap/>
            <w:hideMark/>
          </w:tcPr>
          <w:p w:rsidR="003E180D" w:rsidRDefault="003E180D" w:rsidP="0088305C">
            <w:pPr>
              <w:pStyle w:val="Text2"/>
              <w:spacing w:after="120"/>
              <w:ind w:left="0"/>
              <w:jc w:val="center"/>
              <w:rPr>
                <w:noProof/>
              </w:rPr>
            </w:pPr>
            <w:r>
              <w:rPr>
                <w:noProof/>
              </w:rPr>
              <w:t>15,803,228</w:t>
            </w:r>
          </w:p>
        </w:tc>
        <w:tc>
          <w:tcPr>
            <w:tcW w:w="1843" w:type="dxa"/>
            <w:noWrap/>
            <w:hideMark/>
          </w:tcPr>
          <w:p w:rsidR="003E180D" w:rsidRDefault="003E180D" w:rsidP="0088305C">
            <w:pPr>
              <w:pStyle w:val="Text2"/>
              <w:spacing w:after="120"/>
              <w:ind w:left="0"/>
              <w:jc w:val="center"/>
              <w:rPr>
                <w:noProof/>
              </w:rPr>
            </w:pPr>
            <w:r>
              <w:rPr>
                <w:noProof/>
              </w:rPr>
              <w:t>16,912,315</w:t>
            </w:r>
          </w:p>
        </w:tc>
      </w:tr>
      <w:tr w:rsidR="003E180D" w:rsidTr="0088305C">
        <w:trPr>
          <w:trHeight w:val="330"/>
          <w:jc w:val="center"/>
        </w:trPr>
        <w:tc>
          <w:tcPr>
            <w:tcW w:w="2802" w:type="dxa"/>
            <w:noWrap/>
            <w:hideMark/>
          </w:tcPr>
          <w:p w:rsidR="003E180D" w:rsidRDefault="003E180D" w:rsidP="0088305C">
            <w:pPr>
              <w:pStyle w:val="Text2"/>
              <w:spacing w:after="120"/>
              <w:ind w:left="0"/>
              <w:rPr>
                <w:b/>
                <w:noProof/>
              </w:rPr>
            </w:pPr>
            <w:r>
              <w:rPr>
                <w:b/>
                <w:noProof/>
              </w:rPr>
              <w:t xml:space="preserve">TL 20 </w:t>
            </w:r>
          </w:p>
        </w:tc>
        <w:tc>
          <w:tcPr>
            <w:tcW w:w="1842" w:type="dxa"/>
            <w:noWrap/>
            <w:hideMark/>
          </w:tcPr>
          <w:p w:rsidR="003E180D" w:rsidRDefault="003E180D" w:rsidP="0088305C">
            <w:pPr>
              <w:pStyle w:val="Text2"/>
              <w:spacing w:after="120"/>
              <w:ind w:left="0"/>
              <w:jc w:val="center"/>
              <w:rPr>
                <w:noProof/>
              </w:rPr>
            </w:pPr>
            <w:r>
              <w:rPr>
                <w:noProof/>
              </w:rPr>
              <w:t>0.00%</w:t>
            </w:r>
          </w:p>
        </w:tc>
        <w:tc>
          <w:tcPr>
            <w:tcW w:w="1843" w:type="dxa"/>
            <w:noWrap/>
            <w:hideMark/>
          </w:tcPr>
          <w:p w:rsidR="003E180D" w:rsidRDefault="003E180D" w:rsidP="0088305C">
            <w:pPr>
              <w:pStyle w:val="Text2"/>
              <w:spacing w:after="120"/>
              <w:ind w:left="0"/>
              <w:jc w:val="center"/>
              <w:rPr>
                <w:noProof/>
              </w:rPr>
            </w:pPr>
            <w:r>
              <w:rPr>
                <w:noProof/>
              </w:rPr>
              <w:t>0.01%</w:t>
            </w:r>
          </w:p>
        </w:tc>
      </w:tr>
      <w:tr w:rsidR="003E180D" w:rsidTr="0088305C">
        <w:trPr>
          <w:trHeight w:val="330"/>
          <w:jc w:val="center"/>
        </w:trPr>
        <w:tc>
          <w:tcPr>
            <w:tcW w:w="2802" w:type="dxa"/>
            <w:noWrap/>
            <w:hideMark/>
          </w:tcPr>
          <w:p w:rsidR="003E180D" w:rsidRDefault="003E180D" w:rsidP="0088305C">
            <w:pPr>
              <w:pStyle w:val="Text2"/>
              <w:spacing w:after="120"/>
              <w:ind w:left="0"/>
              <w:rPr>
                <w:b/>
                <w:noProof/>
              </w:rPr>
            </w:pPr>
            <w:r>
              <w:rPr>
                <w:b/>
                <w:noProof/>
              </w:rPr>
              <w:t xml:space="preserve">TL 30 </w:t>
            </w:r>
          </w:p>
        </w:tc>
        <w:tc>
          <w:tcPr>
            <w:tcW w:w="1842" w:type="dxa"/>
            <w:noWrap/>
            <w:hideMark/>
          </w:tcPr>
          <w:p w:rsidR="003E180D" w:rsidRDefault="003E180D" w:rsidP="0088305C">
            <w:pPr>
              <w:pStyle w:val="Text2"/>
              <w:spacing w:after="120"/>
              <w:ind w:left="0"/>
              <w:jc w:val="center"/>
              <w:rPr>
                <w:noProof/>
              </w:rPr>
            </w:pPr>
            <w:r>
              <w:rPr>
                <w:noProof/>
              </w:rPr>
              <w:t>0.01%</w:t>
            </w:r>
          </w:p>
        </w:tc>
        <w:tc>
          <w:tcPr>
            <w:tcW w:w="1843" w:type="dxa"/>
            <w:noWrap/>
            <w:hideMark/>
          </w:tcPr>
          <w:p w:rsidR="003E180D" w:rsidRDefault="003E180D" w:rsidP="0088305C">
            <w:pPr>
              <w:pStyle w:val="Text2"/>
              <w:spacing w:after="120"/>
              <w:ind w:left="0"/>
              <w:jc w:val="center"/>
              <w:rPr>
                <w:noProof/>
              </w:rPr>
            </w:pPr>
            <w:r>
              <w:rPr>
                <w:noProof/>
              </w:rPr>
              <w:t>0.02%</w:t>
            </w:r>
          </w:p>
        </w:tc>
      </w:tr>
    </w:tbl>
    <w:p w:rsidR="003E180D" w:rsidRDefault="003E180D" w:rsidP="003E180D">
      <w:pPr>
        <w:spacing w:before="240" w:line="240" w:lineRule="auto"/>
        <w:jc w:val="both"/>
        <w:rPr>
          <w:b/>
          <w:noProof/>
          <w:color w:val="000000" w:themeColor="text1"/>
        </w:rPr>
      </w:pPr>
      <w:bookmarkStart w:id="841" w:name="_Ref507579495"/>
      <w:r>
        <w:rPr>
          <w:b/>
          <w:noProof/>
          <w:color w:val="000000" w:themeColor="text1"/>
        </w:rPr>
        <w:t xml:space="preserve">Table </w:t>
      </w:r>
      <w:r>
        <w:rPr>
          <w:b/>
          <w:noProof/>
          <w:color w:val="000000" w:themeColor="text1"/>
        </w:rPr>
        <w:fldChar w:fldCharType="begin"/>
      </w:r>
      <w:r>
        <w:rPr>
          <w:b/>
          <w:noProof/>
          <w:color w:val="000000" w:themeColor="text1"/>
        </w:rPr>
        <w:instrText xml:space="preserve"> SEQ Table \* ARABIC </w:instrText>
      </w:r>
      <w:r>
        <w:rPr>
          <w:b/>
          <w:noProof/>
          <w:color w:val="000000" w:themeColor="text1"/>
        </w:rPr>
        <w:fldChar w:fldCharType="separate"/>
      </w:r>
      <w:r>
        <w:rPr>
          <w:b/>
          <w:noProof/>
          <w:color w:val="000000" w:themeColor="text1"/>
        </w:rPr>
        <w:t>24</w:t>
      </w:r>
      <w:r>
        <w:rPr>
          <w:b/>
          <w:noProof/>
          <w:color w:val="000000" w:themeColor="text1"/>
        </w:rPr>
        <w:fldChar w:fldCharType="end"/>
      </w:r>
      <w:r>
        <w:rPr>
          <w:b/>
          <w:noProof/>
          <w:color w:val="000000" w:themeColor="text1"/>
        </w:rPr>
        <w:fldChar w:fldCharType="begin"/>
      </w:r>
      <w:r>
        <w:rPr>
          <w:b/>
          <w:noProof/>
          <w:color w:val="000000" w:themeColor="text1"/>
        </w:rPr>
        <w:fldChar w:fldCharType="separate"/>
      </w:r>
      <w:r>
        <w:rPr>
          <w:noProof/>
          <w:color w:val="000000" w:themeColor="text1"/>
          <w:lang w:val="en-US"/>
        </w:rPr>
        <w:t>Error! No sequence specified.</w:t>
      </w:r>
      <w:r>
        <w:rPr>
          <w:b/>
          <w:noProof/>
          <w:color w:val="000000" w:themeColor="text1"/>
        </w:rPr>
        <w:fldChar w:fldCharType="end"/>
      </w:r>
      <w:bookmarkEnd w:id="841"/>
      <w:r>
        <w:rPr>
          <w:b/>
          <w:noProof/>
          <w:color w:val="000000" w:themeColor="text1"/>
        </w:rPr>
        <w:t>: Total number of jobs (000s) under the baseline and percentage changes to the baseline under different policy options when using the high cost assumptions</w:t>
      </w:r>
    </w:p>
    <w:tbl>
      <w:tblPr>
        <w:tblStyle w:val="TableGrid"/>
        <w:tblW w:w="0" w:type="auto"/>
        <w:jc w:val="center"/>
        <w:tblLayout w:type="fixed"/>
        <w:tblLook w:val="04A0" w:firstRow="1" w:lastRow="0" w:firstColumn="1" w:lastColumn="0" w:noHBand="0" w:noVBand="1"/>
      </w:tblPr>
      <w:tblGrid>
        <w:gridCol w:w="2682"/>
        <w:gridCol w:w="1477"/>
        <w:gridCol w:w="1478"/>
      </w:tblGrid>
      <w:tr w:rsidR="003E180D" w:rsidTr="0088305C">
        <w:trPr>
          <w:trHeight w:val="330"/>
          <w:jc w:val="center"/>
        </w:trPr>
        <w:tc>
          <w:tcPr>
            <w:tcW w:w="2682" w:type="dxa"/>
            <w:noWrap/>
            <w:hideMark/>
          </w:tcPr>
          <w:p w:rsidR="003E180D" w:rsidRDefault="003E180D" w:rsidP="0088305C">
            <w:pPr>
              <w:rPr>
                <w:b/>
                <w:noProof/>
                <w:color w:val="000000" w:themeColor="text1"/>
              </w:rPr>
            </w:pPr>
            <w:r>
              <w:rPr>
                <w:b/>
                <w:noProof/>
              </w:rPr>
              <w:t>Option for target level</w:t>
            </w:r>
            <w:r>
              <w:rPr>
                <w:b/>
                <w:noProof/>
              </w:rPr>
              <w:br/>
              <w:t>(high cost assumptions)</w:t>
            </w:r>
          </w:p>
        </w:tc>
        <w:tc>
          <w:tcPr>
            <w:tcW w:w="1477" w:type="dxa"/>
            <w:noWrap/>
            <w:hideMark/>
          </w:tcPr>
          <w:p w:rsidR="003E180D" w:rsidRDefault="003E180D" w:rsidP="0088305C">
            <w:pPr>
              <w:jc w:val="center"/>
              <w:rPr>
                <w:b/>
                <w:noProof/>
                <w:color w:val="000000" w:themeColor="text1"/>
              </w:rPr>
            </w:pPr>
            <w:r>
              <w:rPr>
                <w:b/>
                <w:noProof/>
                <w:color w:val="000000" w:themeColor="text1"/>
              </w:rPr>
              <w:t>2025</w:t>
            </w:r>
          </w:p>
        </w:tc>
        <w:tc>
          <w:tcPr>
            <w:tcW w:w="1478" w:type="dxa"/>
            <w:noWrap/>
            <w:hideMark/>
          </w:tcPr>
          <w:p w:rsidR="003E180D" w:rsidRDefault="003E180D" w:rsidP="0088305C">
            <w:pPr>
              <w:jc w:val="center"/>
              <w:rPr>
                <w:b/>
                <w:noProof/>
                <w:color w:val="000000" w:themeColor="text1"/>
              </w:rPr>
            </w:pPr>
            <w:r>
              <w:rPr>
                <w:b/>
                <w:noProof/>
                <w:color w:val="000000" w:themeColor="text1"/>
              </w:rPr>
              <w:t>2030</w:t>
            </w:r>
          </w:p>
        </w:tc>
      </w:tr>
      <w:tr w:rsidR="003E180D" w:rsidTr="0088305C">
        <w:trPr>
          <w:trHeight w:val="330"/>
          <w:jc w:val="center"/>
        </w:trPr>
        <w:tc>
          <w:tcPr>
            <w:tcW w:w="2682" w:type="dxa"/>
            <w:noWrap/>
            <w:hideMark/>
          </w:tcPr>
          <w:p w:rsidR="003E180D" w:rsidRDefault="003E180D" w:rsidP="0088305C">
            <w:pPr>
              <w:rPr>
                <w:b/>
                <w:noProof/>
                <w:color w:val="000000" w:themeColor="text1"/>
              </w:rPr>
            </w:pPr>
            <w:r>
              <w:rPr>
                <w:b/>
                <w:noProof/>
                <w:color w:val="000000" w:themeColor="text1"/>
              </w:rPr>
              <w:t>Baseline (000s)</w:t>
            </w:r>
          </w:p>
        </w:tc>
        <w:tc>
          <w:tcPr>
            <w:tcW w:w="1477" w:type="dxa"/>
            <w:noWrap/>
            <w:hideMark/>
          </w:tcPr>
          <w:p w:rsidR="003E180D" w:rsidRDefault="003E180D" w:rsidP="0088305C">
            <w:pPr>
              <w:jc w:val="center"/>
              <w:rPr>
                <w:noProof/>
                <w:color w:val="000000" w:themeColor="text1"/>
              </w:rPr>
            </w:pPr>
            <w:r>
              <w:rPr>
                <w:noProof/>
                <w:color w:val="000000" w:themeColor="text1"/>
              </w:rPr>
              <w:t>236,347</w:t>
            </w:r>
          </w:p>
        </w:tc>
        <w:tc>
          <w:tcPr>
            <w:tcW w:w="1478" w:type="dxa"/>
            <w:noWrap/>
            <w:hideMark/>
          </w:tcPr>
          <w:p w:rsidR="003E180D" w:rsidRDefault="003E180D" w:rsidP="0088305C">
            <w:pPr>
              <w:jc w:val="center"/>
              <w:rPr>
                <w:noProof/>
                <w:color w:val="000000" w:themeColor="text1"/>
              </w:rPr>
            </w:pPr>
            <w:r>
              <w:rPr>
                <w:noProof/>
                <w:color w:val="000000" w:themeColor="text1"/>
              </w:rPr>
              <w:t>242,105</w:t>
            </w:r>
          </w:p>
        </w:tc>
      </w:tr>
      <w:tr w:rsidR="003E180D" w:rsidTr="0088305C">
        <w:trPr>
          <w:trHeight w:val="330"/>
          <w:jc w:val="center"/>
        </w:trPr>
        <w:tc>
          <w:tcPr>
            <w:tcW w:w="2682" w:type="dxa"/>
            <w:noWrap/>
            <w:hideMark/>
          </w:tcPr>
          <w:p w:rsidR="003E180D" w:rsidRDefault="003E180D" w:rsidP="0088305C">
            <w:pPr>
              <w:rPr>
                <w:b/>
                <w:noProof/>
                <w:color w:val="000000" w:themeColor="text1"/>
              </w:rPr>
            </w:pPr>
            <w:r>
              <w:rPr>
                <w:b/>
                <w:noProof/>
                <w:color w:val="000000" w:themeColor="text1"/>
              </w:rPr>
              <w:t xml:space="preserve">TL 20 </w:t>
            </w:r>
          </w:p>
        </w:tc>
        <w:tc>
          <w:tcPr>
            <w:tcW w:w="1477" w:type="dxa"/>
            <w:noWrap/>
            <w:hideMark/>
          </w:tcPr>
          <w:p w:rsidR="003E180D" w:rsidRDefault="003E180D" w:rsidP="0088305C">
            <w:pPr>
              <w:jc w:val="center"/>
              <w:rPr>
                <w:noProof/>
                <w:color w:val="000000" w:themeColor="text1"/>
              </w:rPr>
            </w:pPr>
            <w:r>
              <w:rPr>
                <w:noProof/>
                <w:color w:val="000000" w:themeColor="text1"/>
              </w:rPr>
              <w:t>0.02%</w:t>
            </w:r>
          </w:p>
        </w:tc>
        <w:tc>
          <w:tcPr>
            <w:tcW w:w="1478" w:type="dxa"/>
            <w:noWrap/>
            <w:hideMark/>
          </w:tcPr>
          <w:p w:rsidR="003E180D" w:rsidRDefault="003E180D" w:rsidP="0088305C">
            <w:pPr>
              <w:jc w:val="center"/>
              <w:rPr>
                <w:noProof/>
                <w:color w:val="000000" w:themeColor="text1"/>
              </w:rPr>
            </w:pPr>
            <w:r>
              <w:rPr>
                <w:noProof/>
                <w:color w:val="000000" w:themeColor="text1"/>
              </w:rPr>
              <w:t>0.05%</w:t>
            </w:r>
          </w:p>
        </w:tc>
      </w:tr>
      <w:tr w:rsidR="003E180D" w:rsidTr="0088305C">
        <w:trPr>
          <w:trHeight w:val="330"/>
          <w:jc w:val="center"/>
        </w:trPr>
        <w:tc>
          <w:tcPr>
            <w:tcW w:w="2682" w:type="dxa"/>
            <w:noWrap/>
            <w:hideMark/>
          </w:tcPr>
          <w:p w:rsidR="003E180D" w:rsidRDefault="003E180D" w:rsidP="0088305C">
            <w:pPr>
              <w:rPr>
                <w:b/>
                <w:noProof/>
                <w:color w:val="000000" w:themeColor="text1"/>
              </w:rPr>
            </w:pPr>
            <w:r>
              <w:rPr>
                <w:b/>
                <w:noProof/>
                <w:color w:val="000000" w:themeColor="text1"/>
              </w:rPr>
              <w:t xml:space="preserve">TL 30 </w:t>
            </w:r>
          </w:p>
        </w:tc>
        <w:tc>
          <w:tcPr>
            <w:tcW w:w="1477" w:type="dxa"/>
            <w:noWrap/>
            <w:hideMark/>
          </w:tcPr>
          <w:p w:rsidR="003E180D" w:rsidRDefault="003E180D" w:rsidP="0088305C">
            <w:pPr>
              <w:jc w:val="center"/>
              <w:rPr>
                <w:noProof/>
                <w:color w:val="000000" w:themeColor="text1"/>
              </w:rPr>
            </w:pPr>
            <w:r>
              <w:rPr>
                <w:noProof/>
                <w:color w:val="000000" w:themeColor="text1"/>
              </w:rPr>
              <w:t>0.03%</w:t>
            </w:r>
          </w:p>
        </w:tc>
        <w:tc>
          <w:tcPr>
            <w:tcW w:w="1478" w:type="dxa"/>
            <w:noWrap/>
            <w:hideMark/>
          </w:tcPr>
          <w:p w:rsidR="003E180D" w:rsidRDefault="003E180D" w:rsidP="0088305C">
            <w:pPr>
              <w:jc w:val="center"/>
              <w:rPr>
                <w:noProof/>
                <w:color w:val="000000" w:themeColor="text1"/>
              </w:rPr>
            </w:pPr>
            <w:r>
              <w:rPr>
                <w:noProof/>
                <w:color w:val="000000" w:themeColor="text1"/>
              </w:rPr>
              <w:t>0.09%</w:t>
            </w:r>
          </w:p>
        </w:tc>
      </w:tr>
    </w:tbl>
    <w:p w:rsidR="003E180D" w:rsidRDefault="003E180D" w:rsidP="003E180D">
      <w:pPr>
        <w:spacing w:before="120" w:after="120" w:line="240" w:lineRule="auto"/>
        <w:rPr>
          <w:rFonts w:cs="Times New Roman"/>
          <w:b/>
          <w:noProof/>
          <w:szCs w:val="24"/>
        </w:rPr>
      </w:pPr>
    </w:p>
    <w:p w:rsidR="003E180D" w:rsidRDefault="003E180D" w:rsidP="003E180D">
      <w:pPr>
        <w:rPr>
          <w:b/>
          <w:noProof/>
        </w:rPr>
      </w:pPr>
      <w:r>
        <w:rPr>
          <w:rFonts w:cs="Times New Roman"/>
          <w:b/>
          <w:noProof/>
          <w:szCs w:val="24"/>
        </w:rPr>
        <w:t xml:space="preserve">Table </w:t>
      </w:r>
      <w:r>
        <w:rPr>
          <w:rFonts w:cs="Times New Roman"/>
          <w:b/>
          <w:noProof/>
          <w:szCs w:val="24"/>
        </w:rPr>
        <w:fldChar w:fldCharType="begin"/>
      </w:r>
      <w:r>
        <w:rPr>
          <w:rFonts w:cs="Times New Roman"/>
          <w:b/>
          <w:noProof/>
          <w:szCs w:val="24"/>
        </w:rPr>
        <w:instrText xml:space="preserve"> SEQ Table \* ARABIC </w:instrText>
      </w:r>
      <w:r>
        <w:rPr>
          <w:rFonts w:cs="Times New Roman"/>
          <w:b/>
          <w:noProof/>
        </w:rPr>
        <w:fldChar w:fldCharType="separate"/>
      </w:r>
      <w:r>
        <w:rPr>
          <w:rFonts w:cs="Times New Roman"/>
          <w:b/>
          <w:noProof/>
          <w:szCs w:val="24"/>
        </w:rPr>
        <w:t>25</w:t>
      </w:r>
      <w:r>
        <w:rPr>
          <w:rFonts w:cs="Times New Roman"/>
          <w:b/>
          <w:noProof/>
          <w:szCs w:val="24"/>
        </w:rPr>
        <w:fldChar w:fldCharType="end"/>
      </w:r>
      <w:r>
        <w:rPr>
          <w:rFonts w:cs="Times New Roman"/>
          <w:b/>
          <w:noProof/>
          <w:szCs w:val="24"/>
        </w:rPr>
        <w:t xml:space="preserve">: Total employment impacts </w:t>
      </w:r>
      <w:r>
        <w:rPr>
          <w:b/>
          <w:noProof/>
        </w:rPr>
        <w:t xml:space="preserve">for key sectors </w:t>
      </w:r>
      <w:r>
        <w:rPr>
          <w:rFonts w:cs="Times New Roman"/>
          <w:b/>
          <w:noProof/>
          <w:szCs w:val="24"/>
        </w:rPr>
        <w:t>in terms of percentage changes to the baseline</w:t>
      </w:r>
      <w:r>
        <w:rPr>
          <w:b/>
          <w:noProof/>
        </w:rPr>
        <w:t xml:space="preserve"> when using the base cost assumptions</w:t>
      </w:r>
    </w:p>
    <w:tbl>
      <w:tblPr>
        <w:tblStyle w:val="TableGrid"/>
        <w:tblW w:w="8834" w:type="dxa"/>
        <w:tblLayout w:type="fixed"/>
        <w:tblLook w:val="04A0" w:firstRow="1" w:lastRow="0" w:firstColumn="1" w:lastColumn="0" w:noHBand="0" w:noVBand="1"/>
      </w:tblPr>
      <w:tblGrid>
        <w:gridCol w:w="4106"/>
        <w:gridCol w:w="945"/>
        <w:gridCol w:w="946"/>
        <w:gridCol w:w="945"/>
        <w:gridCol w:w="946"/>
        <w:gridCol w:w="946"/>
      </w:tblGrid>
      <w:tr w:rsidR="003E180D" w:rsidTr="0088305C">
        <w:trPr>
          <w:trHeight w:val="300"/>
        </w:trPr>
        <w:tc>
          <w:tcPr>
            <w:tcW w:w="8834" w:type="dxa"/>
            <w:gridSpan w:val="6"/>
            <w:shd w:val="clear" w:color="auto" w:fill="F2F2F2" w:themeFill="background1" w:themeFillShade="F2"/>
            <w:noWrap/>
            <w:hideMark/>
          </w:tcPr>
          <w:p w:rsidR="003E180D" w:rsidRDefault="003E180D" w:rsidP="0088305C">
            <w:pPr>
              <w:spacing w:after="120"/>
              <w:rPr>
                <w:b/>
                <w:bCs/>
                <w:noProof/>
                <w:color w:val="000000" w:themeColor="text1"/>
              </w:rPr>
            </w:pPr>
            <w:r>
              <w:rPr>
                <w:b/>
                <w:noProof/>
                <w:szCs w:val="24"/>
              </w:rPr>
              <w:t xml:space="preserve">2025 - </w:t>
            </w:r>
            <w:r>
              <w:rPr>
                <w:b/>
                <w:noProof/>
              </w:rPr>
              <w:t>base cost assumptions</w:t>
            </w:r>
          </w:p>
        </w:tc>
      </w:tr>
      <w:tr w:rsidR="003E180D" w:rsidTr="0088305C">
        <w:trPr>
          <w:trHeight w:val="300"/>
        </w:trPr>
        <w:tc>
          <w:tcPr>
            <w:tcW w:w="4106" w:type="dxa"/>
            <w:noWrap/>
            <w:hideMark/>
          </w:tcPr>
          <w:p w:rsidR="003E180D" w:rsidRDefault="003E180D" w:rsidP="0088305C">
            <w:pPr>
              <w:rPr>
                <w:b/>
                <w:bCs/>
                <w:noProof/>
                <w:color w:val="000000" w:themeColor="text1"/>
              </w:rPr>
            </w:pPr>
            <w:r>
              <w:rPr>
                <w:b/>
                <w:bCs/>
                <w:noProof/>
                <w:color w:val="000000" w:themeColor="text1"/>
              </w:rPr>
              <w:t>Sector/Option</w:t>
            </w:r>
          </w:p>
        </w:tc>
        <w:tc>
          <w:tcPr>
            <w:tcW w:w="945" w:type="dxa"/>
            <w:noWrap/>
            <w:hideMark/>
          </w:tcPr>
          <w:p w:rsidR="003E180D" w:rsidRDefault="003E180D" w:rsidP="0088305C">
            <w:pPr>
              <w:jc w:val="center"/>
              <w:rPr>
                <w:bCs/>
                <w:noProof/>
                <w:color w:val="000000" w:themeColor="text1"/>
              </w:rPr>
            </w:pPr>
            <w:r>
              <w:rPr>
                <w:b/>
                <w:bCs/>
                <w:noProof/>
                <w:color w:val="000000" w:themeColor="text1"/>
              </w:rPr>
              <w:t>TL20</w:t>
            </w:r>
          </w:p>
        </w:tc>
        <w:tc>
          <w:tcPr>
            <w:tcW w:w="946" w:type="dxa"/>
            <w:noWrap/>
            <w:hideMark/>
          </w:tcPr>
          <w:p w:rsidR="003E180D" w:rsidRDefault="003E180D" w:rsidP="0088305C">
            <w:pPr>
              <w:jc w:val="center"/>
              <w:rPr>
                <w:bCs/>
                <w:noProof/>
                <w:color w:val="000000" w:themeColor="text1"/>
              </w:rPr>
            </w:pPr>
            <w:r>
              <w:rPr>
                <w:b/>
                <w:bCs/>
                <w:noProof/>
                <w:color w:val="000000" w:themeColor="text1"/>
              </w:rPr>
              <w:t>TL30NL</w:t>
            </w:r>
          </w:p>
        </w:tc>
        <w:tc>
          <w:tcPr>
            <w:tcW w:w="945" w:type="dxa"/>
            <w:noWrap/>
            <w:hideMark/>
          </w:tcPr>
          <w:p w:rsidR="003E180D" w:rsidRDefault="003E180D" w:rsidP="0088305C">
            <w:pPr>
              <w:jc w:val="center"/>
              <w:rPr>
                <w:bCs/>
                <w:noProof/>
                <w:color w:val="000000" w:themeColor="text1"/>
              </w:rPr>
            </w:pPr>
            <w:r>
              <w:rPr>
                <w:b/>
                <w:bCs/>
                <w:noProof/>
                <w:color w:val="000000" w:themeColor="text1"/>
              </w:rPr>
              <w:t>TL30</w:t>
            </w:r>
          </w:p>
        </w:tc>
        <w:tc>
          <w:tcPr>
            <w:tcW w:w="946" w:type="dxa"/>
            <w:noWrap/>
            <w:hideMark/>
          </w:tcPr>
          <w:p w:rsidR="003E180D" w:rsidRDefault="003E180D" w:rsidP="0088305C">
            <w:pPr>
              <w:jc w:val="center"/>
              <w:rPr>
                <w:bCs/>
                <w:noProof/>
                <w:color w:val="000000" w:themeColor="text1"/>
              </w:rPr>
            </w:pPr>
            <w:r>
              <w:rPr>
                <w:b/>
                <w:bCs/>
                <w:noProof/>
                <w:color w:val="000000" w:themeColor="text1"/>
              </w:rPr>
              <w:t>TL32</w:t>
            </w:r>
          </w:p>
        </w:tc>
        <w:tc>
          <w:tcPr>
            <w:tcW w:w="946" w:type="dxa"/>
            <w:noWrap/>
            <w:hideMark/>
          </w:tcPr>
          <w:p w:rsidR="003E180D" w:rsidRDefault="003E180D" w:rsidP="0088305C">
            <w:pPr>
              <w:jc w:val="center"/>
              <w:rPr>
                <w:bCs/>
                <w:noProof/>
                <w:color w:val="000000" w:themeColor="text1"/>
              </w:rPr>
            </w:pPr>
            <w:r>
              <w:rPr>
                <w:b/>
                <w:bCs/>
                <w:noProof/>
                <w:color w:val="000000" w:themeColor="text1"/>
              </w:rPr>
              <w:t>TL35</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szCs w:val="24"/>
              </w:rPr>
            </w:pPr>
            <w:r>
              <w:rPr>
                <w:bCs/>
                <w:noProof/>
                <w:color w:val="000000" w:themeColor="text1"/>
                <w:szCs w:val="24"/>
              </w:rPr>
              <w:t>Manufacturing of refined petroleum products</w:t>
            </w:r>
          </w:p>
        </w:tc>
        <w:tc>
          <w:tcPr>
            <w:tcW w:w="945"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-0.1%</w:t>
            </w:r>
          </w:p>
        </w:tc>
        <w:tc>
          <w:tcPr>
            <w:tcW w:w="946"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-0.1%</w:t>
            </w:r>
          </w:p>
        </w:tc>
        <w:tc>
          <w:tcPr>
            <w:tcW w:w="945"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-0.1%</w:t>
            </w:r>
          </w:p>
        </w:tc>
        <w:tc>
          <w:tcPr>
            <w:tcW w:w="946"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-0.2%</w:t>
            </w:r>
          </w:p>
        </w:tc>
        <w:tc>
          <w:tcPr>
            <w:tcW w:w="946"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-0.2%</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szCs w:val="24"/>
              </w:rPr>
            </w:pPr>
            <w:r>
              <w:rPr>
                <w:bCs/>
                <w:noProof/>
                <w:color w:val="000000" w:themeColor="text1"/>
                <w:szCs w:val="24"/>
              </w:rPr>
              <w:t>Manufacturing of motor-vehicles</w:t>
            </w:r>
          </w:p>
        </w:tc>
        <w:tc>
          <w:tcPr>
            <w:tcW w:w="945"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0.0%</w:t>
            </w:r>
          </w:p>
        </w:tc>
        <w:tc>
          <w:tcPr>
            <w:tcW w:w="946"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0.0%</w:t>
            </w:r>
          </w:p>
        </w:tc>
        <w:tc>
          <w:tcPr>
            <w:tcW w:w="945"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0.0%</w:t>
            </w:r>
          </w:p>
        </w:tc>
        <w:tc>
          <w:tcPr>
            <w:tcW w:w="946"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0.0%</w:t>
            </w:r>
          </w:p>
        </w:tc>
        <w:tc>
          <w:tcPr>
            <w:tcW w:w="946"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0.0%</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szCs w:val="24"/>
              </w:rPr>
            </w:pPr>
            <w:r>
              <w:rPr>
                <w:bCs/>
                <w:noProof/>
                <w:color w:val="000000" w:themeColor="text1"/>
                <w:szCs w:val="24"/>
              </w:rPr>
              <w:t>Transportation services</w:t>
            </w:r>
            <w:r>
              <w:rPr>
                <w:noProof/>
                <w:color w:val="000000" w:themeColor="text1"/>
                <w:szCs w:val="24"/>
                <w:vertAlign w:val="superscript"/>
              </w:rPr>
              <w:footnoteReference w:id="81"/>
            </w:r>
            <w:r>
              <w:rPr>
                <w:noProof/>
                <w:color w:val="000000" w:themeColor="text1"/>
                <w:szCs w:val="24"/>
              </w:rPr>
              <w:t> </w:t>
            </w:r>
          </w:p>
        </w:tc>
        <w:tc>
          <w:tcPr>
            <w:tcW w:w="945"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0.0%</w:t>
            </w:r>
          </w:p>
        </w:tc>
        <w:tc>
          <w:tcPr>
            <w:tcW w:w="946"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0.0%</w:t>
            </w:r>
          </w:p>
        </w:tc>
        <w:tc>
          <w:tcPr>
            <w:tcW w:w="945"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0.1%</w:t>
            </w:r>
          </w:p>
        </w:tc>
        <w:tc>
          <w:tcPr>
            <w:tcW w:w="946"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0.1%</w:t>
            </w:r>
          </w:p>
        </w:tc>
        <w:tc>
          <w:tcPr>
            <w:tcW w:w="946"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0.1%</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szCs w:val="24"/>
              </w:rPr>
            </w:pPr>
            <w:r>
              <w:rPr>
                <w:bCs/>
                <w:noProof/>
                <w:color w:val="000000" w:themeColor="text1"/>
                <w:szCs w:val="24"/>
              </w:rPr>
              <w:t>Other land transportation services</w:t>
            </w:r>
            <w:r>
              <w:rPr>
                <w:noProof/>
                <w:color w:val="000000" w:themeColor="text1"/>
                <w:szCs w:val="24"/>
                <w:vertAlign w:val="superscript"/>
              </w:rPr>
              <w:footnoteReference w:id="82"/>
            </w:r>
            <w:r>
              <w:rPr>
                <w:noProof/>
                <w:color w:val="000000" w:themeColor="text1"/>
                <w:szCs w:val="24"/>
              </w:rPr>
              <w:t> </w:t>
            </w:r>
          </w:p>
        </w:tc>
        <w:tc>
          <w:tcPr>
            <w:tcW w:w="945"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0.1%</w:t>
            </w:r>
          </w:p>
        </w:tc>
        <w:tc>
          <w:tcPr>
            <w:tcW w:w="946"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0.2%</w:t>
            </w:r>
          </w:p>
        </w:tc>
        <w:tc>
          <w:tcPr>
            <w:tcW w:w="945"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0.3%</w:t>
            </w:r>
          </w:p>
        </w:tc>
        <w:tc>
          <w:tcPr>
            <w:tcW w:w="946"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0.3%</w:t>
            </w:r>
          </w:p>
        </w:tc>
        <w:tc>
          <w:tcPr>
            <w:tcW w:w="946"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0.4%</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szCs w:val="24"/>
              </w:rPr>
            </w:pPr>
            <w:r>
              <w:rPr>
                <w:bCs/>
                <w:noProof/>
                <w:color w:val="000000" w:themeColor="text1"/>
                <w:szCs w:val="24"/>
              </w:rPr>
              <w:t>Mining fossil fuel (no petroleum)</w:t>
            </w:r>
          </w:p>
        </w:tc>
        <w:tc>
          <w:tcPr>
            <w:tcW w:w="945"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0.0%</w:t>
            </w:r>
          </w:p>
        </w:tc>
        <w:tc>
          <w:tcPr>
            <w:tcW w:w="946"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0.0%</w:t>
            </w:r>
          </w:p>
        </w:tc>
        <w:tc>
          <w:tcPr>
            <w:tcW w:w="945"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0.0%</w:t>
            </w:r>
          </w:p>
        </w:tc>
        <w:tc>
          <w:tcPr>
            <w:tcW w:w="946"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0.0%</w:t>
            </w:r>
          </w:p>
        </w:tc>
        <w:tc>
          <w:tcPr>
            <w:tcW w:w="946"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0.0%</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szCs w:val="24"/>
              </w:rPr>
            </w:pPr>
            <w:r>
              <w:rPr>
                <w:bCs/>
                <w:noProof/>
                <w:color w:val="000000" w:themeColor="text1"/>
                <w:szCs w:val="24"/>
              </w:rPr>
              <w:t>Extraction crude petroleum</w:t>
            </w:r>
          </w:p>
        </w:tc>
        <w:tc>
          <w:tcPr>
            <w:tcW w:w="945"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-0.1%</w:t>
            </w:r>
          </w:p>
        </w:tc>
        <w:tc>
          <w:tcPr>
            <w:tcW w:w="946"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-0.1%</w:t>
            </w:r>
          </w:p>
        </w:tc>
        <w:tc>
          <w:tcPr>
            <w:tcW w:w="945"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-0.1%</w:t>
            </w:r>
          </w:p>
        </w:tc>
        <w:tc>
          <w:tcPr>
            <w:tcW w:w="946"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-0.2%</w:t>
            </w:r>
          </w:p>
        </w:tc>
        <w:tc>
          <w:tcPr>
            <w:tcW w:w="946"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-0.2%</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szCs w:val="24"/>
              </w:rPr>
            </w:pPr>
            <w:r>
              <w:rPr>
                <w:bCs/>
                <w:noProof/>
                <w:color w:val="000000" w:themeColor="text1"/>
                <w:szCs w:val="24"/>
              </w:rPr>
              <w:t>Construction</w:t>
            </w:r>
          </w:p>
        </w:tc>
        <w:tc>
          <w:tcPr>
            <w:tcW w:w="945"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0.0%</w:t>
            </w:r>
          </w:p>
        </w:tc>
        <w:tc>
          <w:tcPr>
            <w:tcW w:w="946"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0.0%</w:t>
            </w:r>
          </w:p>
        </w:tc>
        <w:tc>
          <w:tcPr>
            <w:tcW w:w="945"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0.0%</w:t>
            </w:r>
          </w:p>
        </w:tc>
        <w:tc>
          <w:tcPr>
            <w:tcW w:w="946"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0.0%</w:t>
            </w:r>
          </w:p>
        </w:tc>
        <w:tc>
          <w:tcPr>
            <w:tcW w:w="946"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0.1%</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szCs w:val="24"/>
              </w:rPr>
            </w:pPr>
            <w:r>
              <w:rPr>
                <w:bCs/>
                <w:noProof/>
                <w:color w:val="000000" w:themeColor="text1"/>
                <w:szCs w:val="24"/>
              </w:rPr>
              <w:t>Sale and maintenance of motor-vehicles</w:t>
            </w:r>
          </w:p>
        </w:tc>
        <w:tc>
          <w:tcPr>
            <w:tcW w:w="945"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0.0%</w:t>
            </w:r>
          </w:p>
        </w:tc>
        <w:tc>
          <w:tcPr>
            <w:tcW w:w="946"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0.0%</w:t>
            </w:r>
          </w:p>
        </w:tc>
        <w:tc>
          <w:tcPr>
            <w:tcW w:w="945"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0.0%</w:t>
            </w:r>
          </w:p>
        </w:tc>
        <w:tc>
          <w:tcPr>
            <w:tcW w:w="946"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0.0%</w:t>
            </w:r>
          </w:p>
        </w:tc>
        <w:tc>
          <w:tcPr>
            <w:tcW w:w="946"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0.0%</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szCs w:val="24"/>
              </w:rPr>
            </w:pPr>
            <w:r>
              <w:rPr>
                <w:bCs/>
                <w:noProof/>
                <w:color w:val="000000" w:themeColor="text1"/>
                <w:szCs w:val="24"/>
              </w:rPr>
              <w:t>Manufacturing industry (no motor-vehicles)</w:t>
            </w:r>
          </w:p>
        </w:tc>
        <w:tc>
          <w:tcPr>
            <w:tcW w:w="945"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0.0%</w:t>
            </w:r>
          </w:p>
        </w:tc>
        <w:tc>
          <w:tcPr>
            <w:tcW w:w="946"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0.0%</w:t>
            </w:r>
          </w:p>
        </w:tc>
        <w:tc>
          <w:tcPr>
            <w:tcW w:w="945"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0.0%</w:t>
            </w:r>
          </w:p>
        </w:tc>
        <w:tc>
          <w:tcPr>
            <w:tcW w:w="946"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0.0%</w:t>
            </w:r>
          </w:p>
        </w:tc>
        <w:tc>
          <w:tcPr>
            <w:tcW w:w="946" w:type="dxa"/>
            <w:shd w:val="clear" w:color="auto" w:fill="auto"/>
            <w:noWrap/>
          </w:tcPr>
          <w:p w:rsidR="003E180D" w:rsidRDefault="003E180D" w:rsidP="0088305C">
            <w:pPr>
              <w:spacing w:line="276" w:lineRule="auto"/>
              <w:jc w:val="center"/>
              <w:rPr>
                <w:bCs/>
                <w:noProof/>
                <w:color w:val="000000" w:themeColor="text1"/>
                <w:szCs w:val="24"/>
              </w:rPr>
            </w:pPr>
            <w:r>
              <w:rPr>
                <w:bCs/>
                <w:noProof/>
                <w:color w:val="000000" w:themeColor="text1"/>
                <w:szCs w:val="24"/>
              </w:rPr>
              <w:t>0.0%</w:t>
            </w:r>
          </w:p>
        </w:tc>
      </w:tr>
      <w:tr w:rsidR="003E180D" w:rsidTr="0088305C">
        <w:trPr>
          <w:trHeight w:val="300"/>
        </w:trPr>
        <w:tc>
          <w:tcPr>
            <w:tcW w:w="8834" w:type="dxa"/>
            <w:gridSpan w:val="6"/>
            <w:shd w:val="clear" w:color="auto" w:fill="F2F2F2" w:themeFill="background1" w:themeFillShade="F2"/>
            <w:noWrap/>
            <w:hideMark/>
          </w:tcPr>
          <w:p w:rsidR="003E180D" w:rsidRDefault="003E180D" w:rsidP="0088305C">
            <w:pPr>
              <w:keepNext/>
              <w:spacing w:after="120"/>
              <w:rPr>
                <w:bCs/>
                <w:noProof/>
                <w:color w:val="000000" w:themeColor="text1"/>
              </w:rPr>
            </w:pPr>
            <w:r>
              <w:rPr>
                <w:b/>
                <w:noProof/>
                <w:szCs w:val="24"/>
              </w:rPr>
              <w:t xml:space="preserve">2030 - </w:t>
            </w:r>
            <w:r>
              <w:rPr>
                <w:b/>
                <w:noProof/>
              </w:rPr>
              <w:t>base cost assumptions</w:t>
            </w:r>
          </w:p>
        </w:tc>
      </w:tr>
      <w:tr w:rsidR="003E180D" w:rsidTr="0088305C">
        <w:trPr>
          <w:trHeight w:val="300"/>
        </w:trPr>
        <w:tc>
          <w:tcPr>
            <w:tcW w:w="4106" w:type="dxa"/>
            <w:noWrap/>
            <w:hideMark/>
          </w:tcPr>
          <w:p w:rsidR="003E180D" w:rsidRDefault="003E180D" w:rsidP="0088305C">
            <w:pPr>
              <w:keepNext/>
              <w:rPr>
                <w:b/>
                <w:bCs/>
                <w:noProof/>
                <w:color w:val="000000" w:themeColor="text1"/>
              </w:rPr>
            </w:pPr>
            <w:r>
              <w:rPr>
                <w:b/>
                <w:bCs/>
                <w:noProof/>
                <w:color w:val="000000" w:themeColor="text1"/>
              </w:rPr>
              <w:t>Sector/Option</w:t>
            </w:r>
          </w:p>
        </w:tc>
        <w:tc>
          <w:tcPr>
            <w:tcW w:w="945" w:type="dxa"/>
            <w:noWrap/>
            <w:hideMark/>
          </w:tcPr>
          <w:p w:rsidR="003E180D" w:rsidRDefault="003E180D" w:rsidP="0088305C">
            <w:pPr>
              <w:keepNext/>
              <w:jc w:val="center"/>
              <w:rPr>
                <w:bCs/>
                <w:noProof/>
                <w:color w:val="000000" w:themeColor="text1"/>
              </w:rPr>
            </w:pPr>
            <w:r>
              <w:rPr>
                <w:b/>
                <w:bCs/>
                <w:noProof/>
                <w:color w:val="000000" w:themeColor="text1"/>
              </w:rPr>
              <w:t>TL20</w:t>
            </w:r>
          </w:p>
        </w:tc>
        <w:tc>
          <w:tcPr>
            <w:tcW w:w="946" w:type="dxa"/>
            <w:noWrap/>
            <w:hideMark/>
          </w:tcPr>
          <w:p w:rsidR="003E180D" w:rsidRDefault="003E180D" w:rsidP="0088305C">
            <w:pPr>
              <w:keepNext/>
              <w:jc w:val="center"/>
              <w:rPr>
                <w:bCs/>
                <w:noProof/>
                <w:color w:val="000000" w:themeColor="text1"/>
              </w:rPr>
            </w:pPr>
            <w:r>
              <w:rPr>
                <w:b/>
                <w:bCs/>
                <w:noProof/>
                <w:color w:val="000000" w:themeColor="text1"/>
              </w:rPr>
              <w:t>TL30NL</w:t>
            </w:r>
          </w:p>
        </w:tc>
        <w:tc>
          <w:tcPr>
            <w:tcW w:w="945" w:type="dxa"/>
            <w:noWrap/>
            <w:hideMark/>
          </w:tcPr>
          <w:p w:rsidR="003E180D" w:rsidRDefault="003E180D" w:rsidP="0088305C">
            <w:pPr>
              <w:keepNext/>
              <w:jc w:val="center"/>
              <w:rPr>
                <w:bCs/>
                <w:noProof/>
                <w:color w:val="000000" w:themeColor="text1"/>
              </w:rPr>
            </w:pPr>
            <w:r>
              <w:rPr>
                <w:b/>
                <w:bCs/>
                <w:noProof/>
                <w:color w:val="000000" w:themeColor="text1"/>
              </w:rPr>
              <w:t>TL30</w:t>
            </w:r>
          </w:p>
        </w:tc>
        <w:tc>
          <w:tcPr>
            <w:tcW w:w="946" w:type="dxa"/>
            <w:noWrap/>
            <w:hideMark/>
          </w:tcPr>
          <w:p w:rsidR="003E180D" w:rsidRDefault="003E180D" w:rsidP="0088305C">
            <w:pPr>
              <w:keepNext/>
              <w:jc w:val="center"/>
              <w:rPr>
                <w:bCs/>
                <w:noProof/>
                <w:color w:val="000000" w:themeColor="text1"/>
              </w:rPr>
            </w:pPr>
            <w:r>
              <w:rPr>
                <w:b/>
                <w:bCs/>
                <w:noProof/>
                <w:color w:val="000000" w:themeColor="text1"/>
              </w:rPr>
              <w:t>TL32</w:t>
            </w:r>
          </w:p>
        </w:tc>
        <w:tc>
          <w:tcPr>
            <w:tcW w:w="946" w:type="dxa"/>
            <w:noWrap/>
            <w:hideMark/>
          </w:tcPr>
          <w:p w:rsidR="003E180D" w:rsidRDefault="003E180D" w:rsidP="0088305C">
            <w:pPr>
              <w:keepNext/>
              <w:jc w:val="center"/>
              <w:rPr>
                <w:bCs/>
                <w:noProof/>
                <w:color w:val="000000" w:themeColor="text1"/>
              </w:rPr>
            </w:pPr>
            <w:r>
              <w:rPr>
                <w:b/>
                <w:bCs/>
                <w:noProof/>
                <w:color w:val="000000" w:themeColor="text1"/>
              </w:rPr>
              <w:t>TL35</w:t>
            </w:r>
          </w:p>
        </w:tc>
      </w:tr>
      <w:tr w:rsidR="003E180D" w:rsidTr="0088305C">
        <w:trPr>
          <w:trHeight w:val="300"/>
        </w:trPr>
        <w:tc>
          <w:tcPr>
            <w:tcW w:w="4106" w:type="dxa"/>
            <w:noWrap/>
            <w:hideMark/>
          </w:tcPr>
          <w:p w:rsidR="003E180D" w:rsidRDefault="003E180D" w:rsidP="0088305C">
            <w:pPr>
              <w:spacing w:after="60"/>
              <w:rPr>
                <w:bCs/>
                <w:noProof/>
                <w:color w:val="000000" w:themeColor="text1"/>
              </w:rPr>
            </w:pPr>
            <w:r>
              <w:rPr>
                <w:bCs/>
                <w:noProof/>
                <w:color w:val="000000" w:themeColor="text1"/>
              </w:rPr>
              <w:t>Manufacturing of refined petroleum products</w:t>
            </w:r>
          </w:p>
        </w:tc>
        <w:tc>
          <w:tcPr>
            <w:tcW w:w="945" w:type="dxa"/>
            <w:tcBorders>
              <w:top w:val="single" w:sz="4" w:space="0" w:color="auto"/>
              <w:left w:val="nil"/>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-0.2%</w:t>
            </w:r>
          </w:p>
        </w:tc>
        <w:tc>
          <w:tcPr>
            <w:tcW w:w="946"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-0.4%</w:t>
            </w:r>
          </w:p>
        </w:tc>
        <w:tc>
          <w:tcPr>
            <w:tcW w:w="945"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-0.4%</w:t>
            </w:r>
          </w:p>
        </w:tc>
        <w:tc>
          <w:tcPr>
            <w:tcW w:w="946"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-0.5%</w:t>
            </w:r>
          </w:p>
        </w:tc>
        <w:tc>
          <w:tcPr>
            <w:tcW w:w="946"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-0.5%</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rPr>
            </w:pPr>
            <w:r>
              <w:rPr>
                <w:bCs/>
                <w:noProof/>
                <w:color w:val="000000" w:themeColor="text1"/>
              </w:rPr>
              <w:t>Manufacturing of motor-vehicles</w:t>
            </w:r>
          </w:p>
        </w:tc>
        <w:tc>
          <w:tcPr>
            <w:tcW w:w="945" w:type="dxa"/>
            <w:tcBorders>
              <w:top w:val="single" w:sz="4" w:space="0" w:color="auto"/>
              <w:left w:val="nil"/>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0.0%</w:t>
            </w:r>
          </w:p>
        </w:tc>
        <w:tc>
          <w:tcPr>
            <w:tcW w:w="946"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0.0%</w:t>
            </w:r>
          </w:p>
        </w:tc>
        <w:tc>
          <w:tcPr>
            <w:tcW w:w="945"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0.0%</w:t>
            </w:r>
          </w:p>
        </w:tc>
        <w:tc>
          <w:tcPr>
            <w:tcW w:w="946"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0.1%</w:t>
            </w:r>
          </w:p>
        </w:tc>
        <w:tc>
          <w:tcPr>
            <w:tcW w:w="946"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0.1%</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rPr>
            </w:pPr>
            <w:r>
              <w:rPr>
                <w:bCs/>
                <w:noProof/>
                <w:color w:val="000000" w:themeColor="text1"/>
              </w:rPr>
              <w:t>Transportation services</w:t>
            </w:r>
          </w:p>
        </w:tc>
        <w:tc>
          <w:tcPr>
            <w:tcW w:w="945" w:type="dxa"/>
            <w:tcBorders>
              <w:top w:val="single" w:sz="4" w:space="0" w:color="auto"/>
              <w:left w:val="nil"/>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0.1%</w:t>
            </w:r>
          </w:p>
        </w:tc>
        <w:tc>
          <w:tcPr>
            <w:tcW w:w="946"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0.2%</w:t>
            </w:r>
          </w:p>
        </w:tc>
        <w:tc>
          <w:tcPr>
            <w:tcW w:w="945"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0.3%</w:t>
            </w:r>
          </w:p>
        </w:tc>
        <w:tc>
          <w:tcPr>
            <w:tcW w:w="946"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0.3%</w:t>
            </w:r>
          </w:p>
        </w:tc>
        <w:tc>
          <w:tcPr>
            <w:tcW w:w="946"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0.4%</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rPr>
            </w:pPr>
            <w:r>
              <w:rPr>
                <w:bCs/>
                <w:noProof/>
                <w:color w:val="000000" w:themeColor="text1"/>
              </w:rPr>
              <w:t>Other land transportation services</w:t>
            </w:r>
          </w:p>
        </w:tc>
        <w:tc>
          <w:tcPr>
            <w:tcW w:w="945" w:type="dxa"/>
            <w:tcBorders>
              <w:top w:val="single" w:sz="4" w:space="0" w:color="auto"/>
              <w:left w:val="nil"/>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0.4%</w:t>
            </w:r>
          </w:p>
        </w:tc>
        <w:tc>
          <w:tcPr>
            <w:tcW w:w="946"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0.8%</w:t>
            </w:r>
          </w:p>
        </w:tc>
        <w:tc>
          <w:tcPr>
            <w:tcW w:w="945"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0.8%</w:t>
            </w:r>
          </w:p>
        </w:tc>
        <w:tc>
          <w:tcPr>
            <w:tcW w:w="946"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0.9%</w:t>
            </w:r>
          </w:p>
        </w:tc>
        <w:tc>
          <w:tcPr>
            <w:tcW w:w="946"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0.9%</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rPr>
            </w:pPr>
            <w:r>
              <w:rPr>
                <w:bCs/>
                <w:noProof/>
                <w:color w:val="000000" w:themeColor="text1"/>
              </w:rPr>
              <w:t>Mining fossil fuel (no petroleum)</w:t>
            </w:r>
          </w:p>
        </w:tc>
        <w:tc>
          <w:tcPr>
            <w:tcW w:w="945" w:type="dxa"/>
            <w:tcBorders>
              <w:top w:val="single" w:sz="4" w:space="0" w:color="auto"/>
              <w:left w:val="nil"/>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-0.1%</w:t>
            </w:r>
          </w:p>
        </w:tc>
        <w:tc>
          <w:tcPr>
            <w:tcW w:w="946"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-0.1%</w:t>
            </w:r>
          </w:p>
        </w:tc>
        <w:tc>
          <w:tcPr>
            <w:tcW w:w="945"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-0.1%</w:t>
            </w:r>
          </w:p>
        </w:tc>
        <w:tc>
          <w:tcPr>
            <w:tcW w:w="946"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-0.1%</w:t>
            </w:r>
          </w:p>
        </w:tc>
        <w:tc>
          <w:tcPr>
            <w:tcW w:w="946"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-0.1%</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rPr>
            </w:pPr>
            <w:r>
              <w:rPr>
                <w:bCs/>
                <w:noProof/>
                <w:color w:val="000000" w:themeColor="text1"/>
              </w:rPr>
              <w:t>Extraction crude petroleum</w:t>
            </w:r>
          </w:p>
        </w:tc>
        <w:tc>
          <w:tcPr>
            <w:tcW w:w="945" w:type="dxa"/>
            <w:tcBorders>
              <w:top w:val="single" w:sz="4" w:space="0" w:color="auto"/>
              <w:left w:val="nil"/>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-0.2%</w:t>
            </w:r>
          </w:p>
        </w:tc>
        <w:tc>
          <w:tcPr>
            <w:tcW w:w="946"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-0.5%</w:t>
            </w:r>
          </w:p>
        </w:tc>
        <w:tc>
          <w:tcPr>
            <w:tcW w:w="945"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-0.5%</w:t>
            </w:r>
          </w:p>
        </w:tc>
        <w:tc>
          <w:tcPr>
            <w:tcW w:w="946"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-0.6%</w:t>
            </w:r>
          </w:p>
        </w:tc>
        <w:tc>
          <w:tcPr>
            <w:tcW w:w="946"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-0.7%</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rPr>
            </w:pPr>
            <w:r>
              <w:rPr>
                <w:bCs/>
                <w:noProof/>
                <w:color w:val="000000" w:themeColor="text1"/>
              </w:rPr>
              <w:t>Construction</w:t>
            </w:r>
          </w:p>
        </w:tc>
        <w:tc>
          <w:tcPr>
            <w:tcW w:w="945" w:type="dxa"/>
            <w:tcBorders>
              <w:top w:val="single" w:sz="4" w:space="0" w:color="auto"/>
              <w:left w:val="nil"/>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0.0%</w:t>
            </w:r>
          </w:p>
        </w:tc>
        <w:tc>
          <w:tcPr>
            <w:tcW w:w="946"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0.1%</w:t>
            </w:r>
          </w:p>
        </w:tc>
        <w:tc>
          <w:tcPr>
            <w:tcW w:w="945"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0.1%</w:t>
            </w:r>
          </w:p>
        </w:tc>
        <w:tc>
          <w:tcPr>
            <w:tcW w:w="946"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0.2%</w:t>
            </w:r>
          </w:p>
        </w:tc>
        <w:tc>
          <w:tcPr>
            <w:tcW w:w="946"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0.2%</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rPr>
            </w:pPr>
            <w:r>
              <w:rPr>
                <w:bCs/>
                <w:noProof/>
                <w:color w:val="000000" w:themeColor="text1"/>
              </w:rPr>
              <w:t>Sale and maintenance of motor-vehicles</w:t>
            </w:r>
          </w:p>
        </w:tc>
        <w:tc>
          <w:tcPr>
            <w:tcW w:w="945" w:type="dxa"/>
            <w:tcBorders>
              <w:top w:val="single" w:sz="4" w:space="0" w:color="auto"/>
              <w:left w:val="nil"/>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0.0%</w:t>
            </w:r>
          </w:p>
        </w:tc>
        <w:tc>
          <w:tcPr>
            <w:tcW w:w="946"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0.0%</w:t>
            </w:r>
          </w:p>
        </w:tc>
        <w:tc>
          <w:tcPr>
            <w:tcW w:w="945"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0.0%</w:t>
            </w:r>
          </w:p>
        </w:tc>
        <w:tc>
          <w:tcPr>
            <w:tcW w:w="946"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0.0%</w:t>
            </w:r>
          </w:p>
        </w:tc>
        <w:tc>
          <w:tcPr>
            <w:tcW w:w="946"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0.0%</w:t>
            </w:r>
          </w:p>
        </w:tc>
      </w:tr>
      <w:tr w:rsidR="003E180D" w:rsidTr="0088305C">
        <w:trPr>
          <w:trHeight w:val="300"/>
        </w:trPr>
        <w:tc>
          <w:tcPr>
            <w:tcW w:w="4106" w:type="dxa"/>
            <w:noWrap/>
            <w:hideMark/>
          </w:tcPr>
          <w:p w:rsidR="003E180D" w:rsidRDefault="003E180D" w:rsidP="0088305C">
            <w:pPr>
              <w:rPr>
                <w:bCs/>
                <w:noProof/>
                <w:color w:val="000000" w:themeColor="text1"/>
              </w:rPr>
            </w:pPr>
            <w:r>
              <w:rPr>
                <w:bCs/>
                <w:noProof/>
                <w:color w:val="000000" w:themeColor="text1"/>
              </w:rPr>
              <w:t>Manufacturing industry (no motor-vehicles)</w:t>
            </w:r>
          </w:p>
        </w:tc>
        <w:tc>
          <w:tcPr>
            <w:tcW w:w="945" w:type="dxa"/>
            <w:tcBorders>
              <w:top w:val="single" w:sz="4" w:space="0" w:color="auto"/>
              <w:left w:val="nil"/>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0.0%</w:t>
            </w:r>
          </w:p>
        </w:tc>
        <w:tc>
          <w:tcPr>
            <w:tcW w:w="946"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0.0%</w:t>
            </w:r>
          </w:p>
        </w:tc>
        <w:tc>
          <w:tcPr>
            <w:tcW w:w="945"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0.0%</w:t>
            </w:r>
          </w:p>
        </w:tc>
        <w:tc>
          <w:tcPr>
            <w:tcW w:w="946"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0.0%</w:t>
            </w:r>
          </w:p>
        </w:tc>
        <w:tc>
          <w:tcPr>
            <w:tcW w:w="946" w:type="dxa"/>
            <w:tcBorders>
              <w:top w:val="single" w:sz="4" w:space="0" w:color="auto"/>
              <w:left w:val="single" w:sz="4" w:space="0" w:color="auto"/>
              <w:bottom w:val="single" w:sz="4" w:space="0" w:color="auto"/>
              <w:right w:val="single" w:sz="4" w:space="0" w:color="auto"/>
            </w:tcBorders>
            <w:shd w:val="clear" w:color="auto" w:fill="auto"/>
            <w:noWrap/>
          </w:tcPr>
          <w:p w:rsidR="003E180D" w:rsidRDefault="003E180D" w:rsidP="0088305C">
            <w:pPr>
              <w:spacing w:line="276" w:lineRule="auto"/>
              <w:jc w:val="center"/>
              <w:rPr>
                <w:bCs/>
                <w:noProof/>
                <w:color w:val="000000" w:themeColor="text1"/>
              </w:rPr>
            </w:pPr>
            <w:r>
              <w:rPr>
                <w:bCs/>
                <w:noProof/>
                <w:color w:val="000000" w:themeColor="text1"/>
                <w:szCs w:val="24"/>
              </w:rPr>
              <w:t>0.0%</w:t>
            </w:r>
          </w:p>
        </w:tc>
      </w:tr>
    </w:tbl>
    <w:p w:rsidR="003E180D" w:rsidRDefault="003E180D" w:rsidP="003E180D">
      <w:pPr>
        <w:spacing w:before="120" w:after="120" w:line="240" w:lineRule="auto"/>
        <w:rPr>
          <w:b/>
          <w:noProof/>
        </w:rPr>
      </w:pPr>
      <w:r>
        <w:rPr>
          <w:b/>
          <w:noProof/>
        </w:rPr>
        <w:t xml:space="preserve">Table </w:t>
      </w:r>
      <w:r>
        <w:rPr>
          <w:b/>
          <w:noProof/>
        </w:rPr>
        <w:fldChar w:fldCharType="begin"/>
      </w:r>
      <w:r>
        <w:rPr>
          <w:rFonts w:cs="Times New Roman"/>
          <w:b/>
          <w:noProof/>
          <w:szCs w:val="24"/>
        </w:rPr>
        <w:instrText xml:space="preserve"> SEQ Table \* ARABIC </w:instrText>
      </w:r>
      <w:r>
        <w:rPr>
          <w:b/>
          <w:noProof/>
        </w:rPr>
        <w:fldChar w:fldCharType="separate"/>
      </w:r>
      <w:r>
        <w:rPr>
          <w:rFonts w:cs="Times New Roman"/>
          <w:b/>
          <w:noProof/>
          <w:szCs w:val="24"/>
        </w:rPr>
        <w:t>26</w:t>
      </w:r>
      <w:r>
        <w:rPr>
          <w:b/>
          <w:noProof/>
        </w:rPr>
        <w:fldChar w:fldCharType="end"/>
      </w:r>
      <w:r>
        <w:rPr>
          <w:b/>
          <w:noProof/>
        </w:rPr>
        <w:t>: Total employment impacts for key sectors in terms of percentage changes to the baseline when using the high cost assumptions</w:t>
      </w:r>
    </w:p>
    <w:tbl>
      <w:tblPr>
        <w:tblStyle w:val="TableGrid"/>
        <w:tblW w:w="0" w:type="auto"/>
        <w:tblLayout w:type="fixed"/>
        <w:tblLook w:val="04A0" w:firstRow="1" w:lastRow="0" w:firstColumn="1" w:lastColumn="0" w:noHBand="0" w:noVBand="1"/>
      </w:tblPr>
      <w:tblGrid>
        <w:gridCol w:w="4644"/>
        <w:gridCol w:w="1276"/>
        <w:gridCol w:w="1134"/>
      </w:tblGrid>
      <w:tr w:rsidR="003E180D" w:rsidTr="0088305C">
        <w:trPr>
          <w:trHeight w:val="330"/>
        </w:trPr>
        <w:tc>
          <w:tcPr>
            <w:tcW w:w="7054" w:type="dxa"/>
            <w:gridSpan w:val="3"/>
            <w:shd w:val="clear" w:color="auto" w:fill="D9D9D9" w:themeFill="background1" w:themeFillShade="D9"/>
            <w:noWrap/>
            <w:hideMark/>
          </w:tcPr>
          <w:p w:rsidR="003E180D" w:rsidRDefault="003E180D" w:rsidP="0088305C">
            <w:pPr>
              <w:pStyle w:val="Caption"/>
              <w:spacing w:after="120"/>
              <w:rPr>
                <w:noProof/>
              </w:rPr>
            </w:pPr>
            <w:r>
              <w:rPr>
                <w:noProof/>
              </w:rPr>
              <w:t>2025 - high cost assumptions</w:t>
            </w:r>
          </w:p>
        </w:tc>
      </w:tr>
      <w:tr w:rsidR="003E180D" w:rsidTr="0088305C">
        <w:trPr>
          <w:trHeight w:val="330"/>
        </w:trPr>
        <w:tc>
          <w:tcPr>
            <w:tcW w:w="4644" w:type="dxa"/>
            <w:noWrap/>
            <w:hideMark/>
          </w:tcPr>
          <w:p w:rsidR="003E180D" w:rsidRDefault="003E180D" w:rsidP="0088305C">
            <w:pPr>
              <w:pStyle w:val="Caption"/>
              <w:spacing w:after="120"/>
              <w:jc w:val="both"/>
              <w:rPr>
                <w:noProof/>
              </w:rPr>
            </w:pPr>
            <w:r>
              <w:rPr>
                <w:bCs w:val="0"/>
                <w:noProof/>
              </w:rPr>
              <w:t>Sector/Option</w:t>
            </w:r>
          </w:p>
        </w:tc>
        <w:tc>
          <w:tcPr>
            <w:tcW w:w="1276" w:type="dxa"/>
            <w:noWrap/>
            <w:hideMark/>
          </w:tcPr>
          <w:p w:rsidR="003E180D" w:rsidRDefault="003E180D" w:rsidP="0088305C">
            <w:pPr>
              <w:pStyle w:val="Caption"/>
              <w:spacing w:after="120"/>
              <w:jc w:val="center"/>
              <w:rPr>
                <w:noProof/>
              </w:rPr>
            </w:pPr>
            <w:r>
              <w:rPr>
                <w:noProof/>
              </w:rPr>
              <w:t xml:space="preserve">TL 20 </w:t>
            </w:r>
          </w:p>
        </w:tc>
        <w:tc>
          <w:tcPr>
            <w:tcW w:w="1134" w:type="dxa"/>
            <w:noWrap/>
            <w:hideMark/>
          </w:tcPr>
          <w:p w:rsidR="003E180D" w:rsidRDefault="003E180D" w:rsidP="0088305C">
            <w:pPr>
              <w:pStyle w:val="Caption"/>
              <w:spacing w:after="120"/>
              <w:jc w:val="center"/>
              <w:rPr>
                <w:noProof/>
              </w:rPr>
            </w:pPr>
            <w:r>
              <w:rPr>
                <w:noProof/>
              </w:rPr>
              <w:t>TL 30</w:t>
            </w:r>
          </w:p>
        </w:tc>
      </w:tr>
      <w:tr w:rsidR="003E180D" w:rsidTr="0088305C">
        <w:trPr>
          <w:trHeight w:val="330"/>
        </w:trPr>
        <w:tc>
          <w:tcPr>
            <w:tcW w:w="4644" w:type="dxa"/>
            <w:noWrap/>
            <w:hideMark/>
          </w:tcPr>
          <w:p w:rsidR="003E180D" w:rsidRDefault="003E180D" w:rsidP="0088305C">
            <w:pPr>
              <w:pStyle w:val="Caption"/>
              <w:spacing w:line="276" w:lineRule="auto"/>
              <w:jc w:val="both"/>
              <w:rPr>
                <w:b w:val="0"/>
                <w:noProof/>
              </w:rPr>
            </w:pPr>
            <w:r>
              <w:rPr>
                <w:b w:val="0"/>
                <w:noProof/>
              </w:rPr>
              <w:t>Manufacturing of refined petroleum products</w:t>
            </w:r>
          </w:p>
        </w:tc>
        <w:tc>
          <w:tcPr>
            <w:tcW w:w="1276" w:type="dxa"/>
            <w:noWrap/>
          </w:tcPr>
          <w:p w:rsidR="003E180D" w:rsidRDefault="003E180D" w:rsidP="0088305C">
            <w:pPr>
              <w:pStyle w:val="Caption"/>
              <w:spacing w:line="276" w:lineRule="auto"/>
              <w:jc w:val="center"/>
              <w:rPr>
                <w:b w:val="0"/>
                <w:noProof/>
              </w:rPr>
            </w:pPr>
            <w:r>
              <w:rPr>
                <w:b w:val="0"/>
                <w:noProof/>
              </w:rPr>
              <w:t>-0.12%</w:t>
            </w:r>
          </w:p>
        </w:tc>
        <w:tc>
          <w:tcPr>
            <w:tcW w:w="1134" w:type="dxa"/>
            <w:noWrap/>
          </w:tcPr>
          <w:p w:rsidR="003E180D" w:rsidRDefault="003E180D" w:rsidP="0088305C">
            <w:pPr>
              <w:pStyle w:val="Caption"/>
              <w:spacing w:line="276" w:lineRule="auto"/>
              <w:jc w:val="center"/>
              <w:rPr>
                <w:b w:val="0"/>
                <w:noProof/>
              </w:rPr>
            </w:pPr>
            <w:r>
              <w:rPr>
                <w:b w:val="0"/>
                <w:noProof/>
              </w:rPr>
              <w:t>-0.20%</w:t>
            </w:r>
          </w:p>
        </w:tc>
      </w:tr>
      <w:tr w:rsidR="003E180D" w:rsidTr="0088305C">
        <w:trPr>
          <w:trHeight w:val="330"/>
        </w:trPr>
        <w:tc>
          <w:tcPr>
            <w:tcW w:w="4644" w:type="dxa"/>
            <w:noWrap/>
            <w:hideMark/>
          </w:tcPr>
          <w:p w:rsidR="003E180D" w:rsidRDefault="003E180D" w:rsidP="0088305C">
            <w:pPr>
              <w:pStyle w:val="Caption"/>
              <w:spacing w:line="276" w:lineRule="auto"/>
              <w:jc w:val="both"/>
              <w:rPr>
                <w:b w:val="0"/>
                <w:noProof/>
              </w:rPr>
            </w:pPr>
            <w:r>
              <w:rPr>
                <w:b w:val="0"/>
                <w:noProof/>
              </w:rPr>
              <w:t>Manufacturing of motor-vehicles</w:t>
            </w:r>
          </w:p>
        </w:tc>
        <w:tc>
          <w:tcPr>
            <w:tcW w:w="1276" w:type="dxa"/>
            <w:noWrap/>
          </w:tcPr>
          <w:p w:rsidR="003E180D" w:rsidRDefault="003E180D" w:rsidP="0088305C">
            <w:pPr>
              <w:pStyle w:val="Caption"/>
              <w:spacing w:line="276" w:lineRule="auto"/>
              <w:jc w:val="center"/>
              <w:rPr>
                <w:b w:val="0"/>
                <w:noProof/>
              </w:rPr>
            </w:pPr>
            <w:r>
              <w:rPr>
                <w:b w:val="0"/>
                <w:noProof/>
              </w:rPr>
              <w:t>0.02%</w:t>
            </w:r>
          </w:p>
        </w:tc>
        <w:tc>
          <w:tcPr>
            <w:tcW w:w="1134" w:type="dxa"/>
            <w:noWrap/>
          </w:tcPr>
          <w:p w:rsidR="003E180D" w:rsidRDefault="003E180D" w:rsidP="0088305C">
            <w:pPr>
              <w:pStyle w:val="Caption"/>
              <w:spacing w:line="276" w:lineRule="auto"/>
              <w:jc w:val="center"/>
              <w:rPr>
                <w:b w:val="0"/>
                <w:noProof/>
              </w:rPr>
            </w:pPr>
            <w:r>
              <w:rPr>
                <w:b w:val="0"/>
                <w:noProof/>
              </w:rPr>
              <w:t>0.03%</w:t>
            </w:r>
          </w:p>
        </w:tc>
      </w:tr>
      <w:tr w:rsidR="003E180D" w:rsidTr="0088305C">
        <w:trPr>
          <w:trHeight w:val="330"/>
        </w:trPr>
        <w:tc>
          <w:tcPr>
            <w:tcW w:w="4644" w:type="dxa"/>
            <w:noWrap/>
            <w:hideMark/>
          </w:tcPr>
          <w:p w:rsidR="003E180D" w:rsidRDefault="003E180D" w:rsidP="0088305C">
            <w:pPr>
              <w:pStyle w:val="Caption"/>
              <w:spacing w:line="276" w:lineRule="auto"/>
              <w:jc w:val="both"/>
              <w:rPr>
                <w:b w:val="0"/>
                <w:noProof/>
              </w:rPr>
            </w:pPr>
            <w:r>
              <w:rPr>
                <w:b w:val="0"/>
                <w:noProof/>
              </w:rPr>
              <w:t>Transportation services</w:t>
            </w:r>
            <w:r>
              <w:rPr>
                <w:noProof/>
                <w:vertAlign w:val="superscript"/>
              </w:rPr>
              <w:footnoteReference w:id="83"/>
            </w:r>
            <w:r>
              <w:rPr>
                <w:noProof/>
              </w:rPr>
              <w:t> </w:t>
            </w:r>
          </w:p>
        </w:tc>
        <w:tc>
          <w:tcPr>
            <w:tcW w:w="1276" w:type="dxa"/>
            <w:noWrap/>
          </w:tcPr>
          <w:p w:rsidR="003E180D" w:rsidRDefault="003E180D" w:rsidP="0088305C">
            <w:pPr>
              <w:pStyle w:val="Caption"/>
              <w:spacing w:line="276" w:lineRule="auto"/>
              <w:jc w:val="center"/>
              <w:rPr>
                <w:b w:val="0"/>
                <w:noProof/>
              </w:rPr>
            </w:pPr>
            <w:r>
              <w:rPr>
                <w:b w:val="0"/>
                <w:noProof/>
              </w:rPr>
              <w:t>0.09%</w:t>
            </w:r>
          </w:p>
        </w:tc>
        <w:tc>
          <w:tcPr>
            <w:tcW w:w="1134" w:type="dxa"/>
            <w:noWrap/>
          </w:tcPr>
          <w:p w:rsidR="003E180D" w:rsidRDefault="003E180D" w:rsidP="0088305C">
            <w:pPr>
              <w:pStyle w:val="Caption"/>
              <w:spacing w:line="276" w:lineRule="auto"/>
              <w:jc w:val="center"/>
              <w:rPr>
                <w:b w:val="0"/>
                <w:noProof/>
              </w:rPr>
            </w:pPr>
            <w:r>
              <w:rPr>
                <w:b w:val="0"/>
                <w:noProof/>
              </w:rPr>
              <w:t>0.15%</w:t>
            </w:r>
          </w:p>
        </w:tc>
      </w:tr>
      <w:tr w:rsidR="003E180D" w:rsidTr="0088305C">
        <w:trPr>
          <w:trHeight w:val="330"/>
        </w:trPr>
        <w:tc>
          <w:tcPr>
            <w:tcW w:w="4644" w:type="dxa"/>
            <w:noWrap/>
            <w:hideMark/>
          </w:tcPr>
          <w:p w:rsidR="003E180D" w:rsidRDefault="003E180D" w:rsidP="0088305C">
            <w:pPr>
              <w:pStyle w:val="Caption"/>
              <w:spacing w:line="276" w:lineRule="auto"/>
              <w:jc w:val="both"/>
              <w:rPr>
                <w:b w:val="0"/>
                <w:noProof/>
              </w:rPr>
            </w:pPr>
            <w:r>
              <w:rPr>
                <w:b w:val="0"/>
                <w:noProof/>
              </w:rPr>
              <w:t>Other land transportation services</w:t>
            </w:r>
            <w:r>
              <w:rPr>
                <w:noProof/>
                <w:vertAlign w:val="superscript"/>
              </w:rPr>
              <w:footnoteReference w:id="84"/>
            </w:r>
            <w:r>
              <w:rPr>
                <w:noProof/>
              </w:rPr>
              <w:t> </w:t>
            </w:r>
          </w:p>
        </w:tc>
        <w:tc>
          <w:tcPr>
            <w:tcW w:w="1276" w:type="dxa"/>
            <w:noWrap/>
          </w:tcPr>
          <w:p w:rsidR="003E180D" w:rsidRDefault="003E180D" w:rsidP="0088305C">
            <w:pPr>
              <w:pStyle w:val="Caption"/>
              <w:spacing w:line="276" w:lineRule="auto"/>
              <w:jc w:val="center"/>
              <w:rPr>
                <w:b w:val="0"/>
                <w:noProof/>
              </w:rPr>
            </w:pPr>
            <w:r>
              <w:rPr>
                <w:b w:val="0"/>
                <w:noProof/>
              </w:rPr>
              <w:t>0.17%</w:t>
            </w:r>
          </w:p>
        </w:tc>
        <w:tc>
          <w:tcPr>
            <w:tcW w:w="1134" w:type="dxa"/>
            <w:noWrap/>
          </w:tcPr>
          <w:p w:rsidR="003E180D" w:rsidRDefault="003E180D" w:rsidP="0088305C">
            <w:pPr>
              <w:pStyle w:val="Caption"/>
              <w:spacing w:line="276" w:lineRule="auto"/>
              <w:jc w:val="center"/>
              <w:rPr>
                <w:b w:val="0"/>
                <w:noProof/>
              </w:rPr>
            </w:pPr>
            <w:r>
              <w:rPr>
                <w:b w:val="0"/>
                <w:noProof/>
              </w:rPr>
              <w:t>0.26%</w:t>
            </w:r>
          </w:p>
        </w:tc>
      </w:tr>
      <w:tr w:rsidR="003E180D" w:rsidTr="0088305C">
        <w:trPr>
          <w:trHeight w:val="330"/>
        </w:trPr>
        <w:tc>
          <w:tcPr>
            <w:tcW w:w="4644" w:type="dxa"/>
            <w:noWrap/>
            <w:hideMark/>
          </w:tcPr>
          <w:p w:rsidR="003E180D" w:rsidRDefault="003E180D" w:rsidP="0088305C">
            <w:pPr>
              <w:pStyle w:val="Caption"/>
              <w:spacing w:line="276" w:lineRule="auto"/>
              <w:jc w:val="both"/>
              <w:rPr>
                <w:b w:val="0"/>
                <w:noProof/>
              </w:rPr>
            </w:pPr>
            <w:r>
              <w:rPr>
                <w:b w:val="0"/>
                <w:noProof/>
                <w:lang w:val="pt-PT"/>
              </w:rPr>
              <w:t>Mining fossil fuel (no petroleum)</w:t>
            </w:r>
          </w:p>
        </w:tc>
        <w:tc>
          <w:tcPr>
            <w:tcW w:w="1276" w:type="dxa"/>
            <w:noWrap/>
          </w:tcPr>
          <w:p w:rsidR="003E180D" w:rsidRDefault="003E180D" w:rsidP="0088305C">
            <w:pPr>
              <w:pStyle w:val="Caption"/>
              <w:spacing w:line="276" w:lineRule="auto"/>
              <w:jc w:val="center"/>
              <w:rPr>
                <w:b w:val="0"/>
                <w:noProof/>
              </w:rPr>
            </w:pPr>
            <w:r>
              <w:rPr>
                <w:b w:val="0"/>
                <w:noProof/>
              </w:rPr>
              <w:t>-0.03%</w:t>
            </w:r>
          </w:p>
        </w:tc>
        <w:tc>
          <w:tcPr>
            <w:tcW w:w="1134" w:type="dxa"/>
            <w:noWrap/>
          </w:tcPr>
          <w:p w:rsidR="003E180D" w:rsidRDefault="003E180D" w:rsidP="0088305C">
            <w:pPr>
              <w:pStyle w:val="Caption"/>
              <w:spacing w:line="276" w:lineRule="auto"/>
              <w:jc w:val="center"/>
              <w:rPr>
                <w:b w:val="0"/>
                <w:noProof/>
              </w:rPr>
            </w:pPr>
            <w:r>
              <w:rPr>
                <w:b w:val="0"/>
                <w:noProof/>
              </w:rPr>
              <w:t>-0.05%</w:t>
            </w:r>
          </w:p>
        </w:tc>
      </w:tr>
      <w:tr w:rsidR="003E180D" w:rsidTr="0088305C">
        <w:trPr>
          <w:trHeight w:val="330"/>
        </w:trPr>
        <w:tc>
          <w:tcPr>
            <w:tcW w:w="4644" w:type="dxa"/>
            <w:noWrap/>
            <w:hideMark/>
          </w:tcPr>
          <w:p w:rsidR="003E180D" w:rsidRDefault="003E180D" w:rsidP="0088305C">
            <w:pPr>
              <w:pStyle w:val="Caption"/>
              <w:spacing w:line="276" w:lineRule="auto"/>
              <w:jc w:val="both"/>
              <w:rPr>
                <w:b w:val="0"/>
                <w:noProof/>
              </w:rPr>
            </w:pPr>
            <w:r>
              <w:rPr>
                <w:b w:val="0"/>
                <w:noProof/>
              </w:rPr>
              <w:t>Extraction crude petroleum</w:t>
            </w:r>
          </w:p>
        </w:tc>
        <w:tc>
          <w:tcPr>
            <w:tcW w:w="1276" w:type="dxa"/>
            <w:noWrap/>
          </w:tcPr>
          <w:p w:rsidR="003E180D" w:rsidRDefault="003E180D" w:rsidP="0088305C">
            <w:pPr>
              <w:pStyle w:val="Caption"/>
              <w:spacing w:line="276" w:lineRule="auto"/>
              <w:jc w:val="center"/>
              <w:rPr>
                <w:b w:val="0"/>
                <w:noProof/>
              </w:rPr>
            </w:pPr>
            <w:r>
              <w:rPr>
                <w:b w:val="0"/>
                <w:noProof/>
              </w:rPr>
              <w:t>-0.16%</w:t>
            </w:r>
          </w:p>
        </w:tc>
        <w:tc>
          <w:tcPr>
            <w:tcW w:w="1134" w:type="dxa"/>
            <w:noWrap/>
          </w:tcPr>
          <w:p w:rsidR="003E180D" w:rsidRDefault="003E180D" w:rsidP="0088305C">
            <w:pPr>
              <w:pStyle w:val="Caption"/>
              <w:spacing w:line="276" w:lineRule="auto"/>
              <w:jc w:val="center"/>
              <w:rPr>
                <w:b w:val="0"/>
                <w:noProof/>
              </w:rPr>
            </w:pPr>
            <w:r>
              <w:rPr>
                <w:b w:val="0"/>
                <w:noProof/>
              </w:rPr>
              <w:t>-0.26%</w:t>
            </w:r>
          </w:p>
        </w:tc>
      </w:tr>
      <w:tr w:rsidR="003E180D" w:rsidTr="0088305C">
        <w:trPr>
          <w:trHeight w:val="330"/>
        </w:trPr>
        <w:tc>
          <w:tcPr>
            <w:tcW w:w="4644" w:type="dxa"/>
            <w:noWrap/>
            <w:hideMark/>
          </w:tcPr>
          <w:p w:rsidR="003E180D" w:rsidRDefault="003E180D" w:rsidP="0088305C">
            <w:pPr>
              <w:pStyle w:val="Caption"/>
              <w:spacing w:line="276" w:lineRule="auto"/>
              <w:jc w:val="both"/>
              <w:rPr>
                <w:b w:val="0"/>
                <w:noProof/>
              </w:rPr>
            </w:pPr>
            <w:r>
              <w:rPr>
                <w:b w:val="0"/>
                <w:noProof/>
              </w:rPr>
              <w:t>Construction</w:t>
            </w:r>
          </w:p>
        </w:tc>
        <w:tc>
          <w:tcPr>
            <w:tcW w:w="1276" w:type="dxa"/>
            <w:noWrap/>
          </w:tcPr>
          <w:p w:rsidR="003E180D" w:rsidRDefault="003E180D" w:rsidP="0088305C">
            <w:pPr>
              <w:pStyle w:val="Caption"/>
              <w:spacing w:line="276" w:lineRule="auto"/>
              <w:jc w:val="center"/>
              <w:rPr>
                <w:b w:val="0"/>
                <w:noProof/>
              </w:rPr>
            </w:pPr>
            <w:r>
              <w:rPr>
                <w:b w:val="0"/>
                <w:noProof/>
              </w:rPr>
              <w:t>0.04%</w:t>
            </w:r>
          </w:p>
        </w:tc>
        <w:tc>
          <w:tcPr>
            <w:tcW w:w="1134" w:type="dxa"/>
            <w:noWrap/>
          </w:tcPr>
          <w:p w:rsidR="003E180D" w:rsidRDefault="003E180D" w:rsidP="0088305C">
            <w:pPr>
              <w:pStyle w:val="Caption"/>
              <w:spacing w:line="276" w:lineRule="auto"/>
              <w:jc w:val="center"/>
              <w:rPr>
                <w:b w:val="0"/>
                <w:noProof/>
              </w:rPr>
            </w:pPr>
            <w:r>
              <w:rPr>
                <w:b w:val="0"/>
                <w:noProof/>
              </w:rPr>
              <w:t>0.07%</w:t>
            </w:r>
          </w:p>
        </w:tc>
      </w:tr>
      <w:tr w:rsidR="003E180D" w:rsidTr="0088305C">
        <w:trPr>
          <w:trHeight w:val="330"/>
        </w:trPr>
        <w:tc>
          <w:tcPr>
            <w:tcW w:w="4644" w:type="dxa"/>
            <w:noWrap/>
            <w:hideMark/>
          </w:tcPr>
          <w:p w:rsidR="003E180D" w:rsidRDefault="003E180D" w:rsidP="0088305C">
            <w:pPr>
              <w:pStyle w:val="Caption"/>
              <w:spacing w:line="276" w:lineRule="auto"/>
              <w:jc w:val="both"/>
              <w:rPr>
                <w:b w:val="0"/>
                <w:noProof/>
              </w:rPr>
            </w:pPr>
            <w:r>
              <w:rPr>
                <w:b w:val="0"/>
                <w:noProof/>
              </w:rPr>
              <w:t>Sale and maintenance of motor-vehicles</w:t>
            </w:r>
          </w:p>
        </w:tc>
        <w:tc>
          <w:tcPr>
            <w:tcW w:w="1276" w:type="dxa"/>
            <w:noWrap/>
          </w:tcPr>
          <w:p w:rsidR="003E180D" w:rsidRDefault="003E180D" w:rsidP="0088305C">
            <w:pPr>
              <w:pStyle w:val="Caption"/>
              <w:spacing w:line="276" w:lineRule="auto"/>
              <w:jc w:val="center"/>
              <w:rPr>
                <w:b w:val="0"/>
                <w:noProof/>
              </w:rPr>
            </w:pPr>
            <w:r>
              <w:rPr>
                <w:b w:val="0"/>
                <w:noProof/>
              </w:rPr>
              <w:t>-0.01%</w:t>
            </w:r>
          </w:p>
        </w:tc>
        <w:tc>
          <w:tcPr>
            <w:tcW w:w="1134" w:type="dxa"/>
            <w:noWrap/>
          </w:tcPr>
          <w:p w:rsidR="003E180D" w:rsidRDefault="003E180D" w:rsidP="0088305C">
            <w:pPr>
              <w:pStyle w:val="Caption"/>
              <w:spacing w:line="276" w:lineRule="auto"/>
              <w:jc w:val="center"/>
              <w:rPr>
                <w:b w:val="0"/>
                <w:noProof/>
              </w:rPr>
            </w:pPr>
            <w:r>
              <w:rPr>
                <w:b w:val="0"/>
                <w:noProof/>
              </w:rPr>
              <w:t>0.00%</w:t>
            </w:r>
          </w:p>
        </w:tc>
      </w:tr>
      <w:tr w:rsidR="003E180D" w:rsidTr="0088305C">
        <w:trPr>
          <w:trHeight w:val="330"/>
        </w:trPr>
        <w:tc>
          <w:tcPr>
            <w:tcW w:w="4644" w:type="dxa"/>
            <w:noWrap/>
            <w:hideMark/>
          </w:tcPr>
          <w:p w:rsidR="003E180D" w:rsidRDefault="003E180D" w:rsidP="0088305C">
            <w:pPr>
              <w:pStyle w:val="Caption"/>
              <w:spacing w:line="276" w:lineRule="auto"/>
              <w:jc w:val="both"/>
              <w:rPr>
                <w:b w:val="0"/>
                <w:noProof/>
              </w:rPr>
            </w:pPr>
            <w:r>
              <w:rPr>
                <w:b w:val="0"/>
                <w:noProof/>
              </w:rPr>
              <w:t>Manufacturing industry (no motor-vehicles)</w:t>
            </w:r>
          </w:p>
        </w:tc>
        <w:tc>
          <w:tcPr>
            <w:tcW w:w="1276" w:type="dxa"/>
            <w:noWrap/>
          </w:tcPr>
          <w:p w:rsidR="003E180D" w:rsidRDefault="003E180D" w:rsidP="0088305C">
            <w:pPr>
              <w:pStyle w:val="Caption"/>
              <w:spacing w:line="276" w:lineRule="auto"/>
              <w:jc w:val="center"/>
              <w:rPr>
                <w:b w:val="0"/>
                <w:noProof/>
              </w:rPr>
            </w:pPr>
            <w:r>
              <w:rPr>
                <w:b w:val="0"/>
                <w:noProof/>
              </w:rPr>
              <w:t>0.01%</w:t>
            </w:r>
          </w:p>
        </w:tc>
        <w:tc>
          <w:tcPr>
            <w:tcW w:w="1134" w:type="dxa"/>
            <w:noWrap/>
          </w:tcPr>
          <w:p w:rsidR="003E180D" w:rsidRDefault="003E180D" w:rsidP="0088305C">
            <w:pPr>
              <w:pStyle w:val="Caption"/>
              <w:spacing w:line="276" w:lineRule="auto"/>
              <w:jc w:val="center"/>
              <w:rPr>
                <w:b w:val="0"/>
                <w:noProof/>
              </w:rPr>
            </w:pPr>
            <w:r>
              <w:rPr>
                <w:b w:val="0"/>
                <w:noProof/>
              </w:rPr>
              <w:t>0.02%</w:t>
            </w:r>
          </w:p>
        </w:tc>
      </w:tr>
      <w:tr w:rsidR="003E180D" w:rsidTr="0088305C">
        <w:trPr>
          <w:trHeight w:val="330"/>
        </w:trPr>
        <w:tc>
          <w:tcPr>
            <w:tcW w:w="7054" w:type="dxa"/>
            <w:gridSpan w:val="3"/>
            <w:shd w:val="clear" w:color="auto" w:fill="D9D9D9" w:themeFill="background1" w:themeFillShade="D9"/>
            <w:noWrap/>
            <w:hideMark/>
          </w:tcPr>
          <w:p w:rsidR="003E180D" w:rsidRDefault="003E180D" w:rsidP="0088305C">
            <w:pPr>
              <w:pStyle w:val="Caption"/>
              <w:keepNext/>
              <w:spacing w:after="120"/>
              <w:rPr>
                <w:noProof/>
              </w:rPr>
            </w:pPr>
            <w:r>
              <w:rPr>
                <w:noProof/>
              </w:rPr>
              <w:t>2030 - high cost assumptions</w:t>
            </w:r>
          </w:p>
        </w:tc>
      </w:tr>
      <w:tr w:rsidR="003E180D" w:rsidTr="0088305C">
        <w:trPr>
          <w:trHeight w:val="330"/>
        </w:trPr>
        <w:tc>
          <w:tcPr>
            <w:tcW w:w="4644" w:type="dxa"/>
            <w:noWrap/>
            <w:hideMark/>
          </w:tcPr>
          <w:p w:rsidR="003E180D" w:rsidRDefault="003E180D" w:rsidP="0088305C">
            <w:pPr>
              <w:pStyle w:val="Caption"/>
              <w:spacing w:line="276" w:lineRule="auto"/>
              <w:jc w:val="both"/>
              <w:rPr>
                <w:b w:val="0"/>
                <w:noProof/>
              </w:rPr>
            </w:pPr>
            <w:r>
              <w:rPr>
                <w:b w:val="0"/>
                <w:noProof/>
              </w:rPr>
              <w:t>Manufacturing of refined petroleum products</w:t>
            </w:r>
          </w:p>
        </w:tc>
        <w:tc>
          <w:tcPr>
            <w:tcW w:w="1276" w:type="dxa"/>
            <w:noWrap/>
          </w:tcPr>
          <w:p w:rsidR="003E180D" w:rsidRDefault="003E180D" w:rsidP="0088305C">
            <w:pPr>
              <w:pStyle w:val="Caption"/>
              <w:spacing w:line="276" w:lineRule="auto"/>
              <w:jc w:val="center"/>
              <w:rPr>
                <w:b w:val="0"/>
                <w:noProof/>
              </w:rPr>
            </w:pPr>
            <w:r>
              <w:rPr>
                <w:b w:val="0"/>
                <w:noProof/>
              </w:rPr>
              <w:t>-0.28%</w:t>
            </w:r>
          </w:p>
        </w:tc>
        <w:tc>
          <w:tcPr>
            <w:tcW w:w="1134" w:type="dxa"/>
            <w:noWrap/>
          </w:tcPr>
          <w:p w:rsidR="003E180D" w:rsidRDefault="003E180D" w:rsidP="0088305C">
            <w:pPr>
              <w:pStyle w:val="Caption"/>
              <w:spacing w:line="276" w:lineRule="auto"/>
              <w:jc w:val="center"/>
              <w:rPr>
                <w:b w:val="0"/>
                <w:noProof/>
              </w:rPr>
            </w:pPr>
            <w:r>
              <w:rPr>
                <w:b w:val="0"/>
                <w:noProof/>
              </w:rPr>
              <w:t>-0.47%</w:t>
            </w:r>
          </w:p>
        </w:tc>
      </w:tr>
      <w:tr w:rsidR="003E180D" w:rsidTr="0088305C">
        <w:trPr>
          <w:trHeight w:val="330"/>
        </w:trPr>
        <w:tc>
          <w:tcPr>
            <w:tcW w:w="4644" w:type="dxa"/>
            <w:noWrap/>
            <w:hideMark/>
          </w:tcPr>
          <w:p w:rsidR="003E180D" w:rsidRDefault="003E180D" w:rsidP="0088305C">
            <w:pPr>
              <w:pStyle w:val="Caption"/>
              <w:spacing w:line="276" w:lineRule="auto"/>
              <w:jc w:val="both"/>
              <w:rPr>
                <w:b w:val="0"/>
                <w:noProof/>
              </w:rPr>
            </w:pPr>
            <w:r>
              <w:rPr>
                <w:b w:val="0"/>
                <w:noProof/>
              </w:rPr>
              <w:t>Manufacturing of motor-vehicles</w:t>
            </w:r>
          </w:p>
        </w:tc>
        <w:tc>
          <w:tcPr>
            <w:tcW w:w="1276" w:type="dxa"/>
            <w:noWrap/>
          </w:tcPr>
          <w:p w:rsidR="003E180D" w:rsidRDefault="003E180D" w:rsidP="0088305C">
            <w:pPr>
              <w:pStyle w:val="Caption"/>
              <w:spacing w:line="276" w:lineRule="auto"/>
              <w:jc w:val="center"/>
              <w:rPr>
                <w:b w:val="0"/>
                <w:noProof/>
              </w:rPr>
            </w:pPr>
            <w:r>
              <w:rPr>
                <w:b w:val="0"/>
                <w:noProof/>
              </w:rPr>
              <w:t>0.04%</w:t>
            </w:r>
          </w:p>
        </w:tc>
        <w:tc>
          <w:tcPr>
            <w:tcW w:w="1134" w:type="dxa"/>
            <w:noWrap/>
          </w:tcPr>
          <w:p w:rsidR="003E180D" w:rsidRDefault="003E180D" w:rsidP="0088305C">
            <w:pPr>
              <w:pStyle w:val="Caption"/>
              <w:spacing w:line="276" w:lineRule="auto"/>
              <w:jc w:val="center"/>
              <w:rPr>
                <w:b w:val="0"/>
                <w:noProof/>
              </w:rPr>
            </w:pPr>
            <w:r>
              <w:rPr>
                <w:b w:val="0"/>
                <w:noProof/>
              </w:rPr>
              <w:t>0.08%</w:t>
            </w:r>
          </w:p>
        </w:tc>
      </w:tr>
      <w:tr w:rsidR="003E180D" w:rsidTr="0088305C">
        <w:trPr>
          <w:trHeight w:val="330"/>
        </w:trPr>
        <w:tc>
          <w:tcPr>
            <w:tcW w:w="4644" w:type="dxa"/>
            <w:noWrap/>
            <w:hideMark/>
          </w:tcPr>
          <w:p w:rsidR="003E180D" w:rsidRDefault="003E180D" w:rsidP="0088305C">
            <w:pPr>
              <w:pStyle w:val="Caption"/>
              <w:spacing w:line="276" w:lineRule="auto"/>
              <w:jc w:val="both"/>
              <w:rPr>
                <w:b w:val="0"/>
                <w:noProof/>
              </w:rPr>
            </w:pPr>
            <w:r>
              <w:rPr>
                <w:b w:val="0"/>
                <w:noProof/>
              </w:rPr>
              <w:t>Transportation services</w:t>
            </w:r>
          </w:p>
        </w:tc>
        <w:tc>
          <w:tcPr>
            <w:tcW w:w="1276" w:type="dxa"/>
            <w:noWrap/>
          </w:tcPr>
          <w:p w:rsidR="003E180D" w:rsidRDefault="003E180D" w:rsidP="0088305C">
            <w:pPr>
              <w:pStyle w:val="Caption"/>
              <w:spacing w:line="276" w:lineRule="auto"/>
              <w:jc w:val="center"/>
              <w:rPr>
                <w:b w:val="0"/>
                <w:noProof/>
              </w:rPr>
            </w:pPr>
            <w:r>
              <w:rPr>
                <w:b w:val="0"/>
                <w:noProof/>
              </w:rPr>
              <w:t>0.26%</w:t>
            </w:r>
          </w:p>
        </w:tc>
        <w:tc>
          <w:tcPr>
            <w:tcW w:w="1134" w:type="dxa"/>
            <w:noWrap/>
          </w:tcPr>
          <w:p w:rsidR="003E180D" w:rsidRDefault="003E180D" w:rsidP="0088305C">
            <w:pPr>
              <w:pStyle w:val="Caption"/>
              <w:spacing w:line="276" w:lineRule="auto"/>
              <w:jc w:val="center"/>
              <w:rPr>
                <w:b w:val="0"/>
                <w:noProof/>
              </w:rPr>
            </w:pPr>
            <w:r>
              <w:rPr>
                <w:b w:val="0"/>
                <w:noProof/>
              </w:rPr>
              <w:t>0.48%</w:t>
            </w:r>
          </w:p>
        </w:tc>
      </w:tr>
      <w:tr w:rsidR="003E180D" w:rsidTr="0088305C">
        <w:trPr>
          <w:trHeight w:val="330"/>
        </w:trPr>
        <w:tc>
          <w:tcPr>
            <w:tcW w:w="4644" w:type="dxa"/>
            <w:noWrap/>
            <w:hideMark/>
          </w:tcPr>
          <w:p w:rsidR="003E180D" w:rsidRDefault="003E180D" w:rsidP="0088305C">
            <w:pPr>
              <w:pStyle w:val="Caption"/>
              <w:spacing w:line="276" w:lineRule="auto"/>
              <w:jc w:val="both"/>
              <w:rPr>
                <w:b w:val="0"/>
                <w:noProof/>
              </w:rPr>
            </w:pPr>
            <w:r>
              <w:rPr>
                <w:b w:val="0"/>
                <w:noProof/>
              </w:rPr>
              <w:t>Other land transportation services</w:t>
            </w:r>
          </w:p>
        </w:tc>
        <w:tc>
          <w:tcPr>
            <w:tcW w:w="1276" w:type="dxa"/>
            <w:noWrap/>
          </w:tcPr>
          <w:p w:rsidR="003E180D" w:rsidRDefault="003E180D" w:rsidP="0088305C">
            <w:pPr>
              <w:pStyle w:val="Caption"/>
              <w:spacing w:line="276" w:lineRule="auto"/>
              <w:jc w:val="center"/>
              <w:rPr>
                <w:b w:val="0"/>
                <w:noProof/>
              </w:rPr>
            </w:pPr>
            <w:r>
              <w:rPr>
                <w:b w:val="0"/>
                <w:noProof/>
              </w:rPr>
              <w:t>0.43%</w:t>
            </w:r>
          </w:p>
        </w:tc>
        <w:tc>
          <w:tcPr>
            <w:tcW w:w="1134" w:type="dxa"/>
            <w:noWrap/>
          </w:tcPr>
          <w:p w:rsidR="003E180D" w:rsidRDefault="003E180D" w:rsidP="0088305C">
            <w:pPr>
              <w:pStyle w:val="Caption"/>
              <w:spacing w:line="276" w:lineRule="auto"/>
              <w:jc w:val="center"/>
              <w:rPr>
                <w:b w:val="0"/>
                <w:noProof/>
              </w:rPr>
            </w:pPr>
            <w:r>
              <w:rPr>
                <w:b w:val="0"/>
                <w:noProof/>
              </w:rPr>
              <w:t>0.60%</w:t>
            </w:r>
          </w:p>
        </w:tc>
      </w:tr>
      <w:tr w:rsidR="003E180D" w:rsidTr="0088305C">
        <w:trPr>
          <w:trHeight w:val="330"/>
        </w:trPr>
        <w:tc>
          <w:tcPr>
            <w:tcW w:w="4644" w:type="dxa"/>
            <w:noWrap/>
            <w:hideMark/>
          </w:tcPr>
          <w:p w:rsidR="003E180D" w:rsidRDefault="003E180D" w:rsidP="0088305C">
            <w:pPr>
              <w:pStyle w:val="Caption"/>
              <w:spacing w:line="276" w:lineRule="auto"/>
              <w:jc w:val="both"/>
              <w:rPr>
                <w:b w:val="0"/>
                <w:noProof/>
              </w:rPr>
            </w:pPr>
            <w:r>
              <w:rPr>
                <w:b w:val="0"/>
                <w:noProof/>
                <w:lang w:val="pt-PT"/>
              </w:rPr>
              <w:t>Mining fossil fuel (no petroleum)</w:t>
            </w:r>
          </w:p>
        </w:tc>
        <w:tc>
          <w:tcPr>
            <w:tcW w:w="1276" w:type="dxa"/>
            <w:noWrap/>
          </w:tcPr>
          <w:p w:rsidR="003E180D" w:rsidRDefault="003E180D" w:rsidP="0088305C">
            <w:pPr>
              <w:pStyle w:val="Caption"/>
              <w:spacing w:line="276" w:lineRule="auto"/>
              <w:jc w:val="center"/>
              <w:rPr>
                <w:b w:val="0"/>
                <w:noProof/>
              </w:rPr>
            </w:pPr>
            <w:r>
              <w:rPr>
                <w:b w:val="0"/>
                <w:noProof/>
              </w:rPr>
              <w:t>-0.08%</w:t>
            </w:r>
          </w:p>
        </w:tc>
        <w:tc>
          <w:tcPr>
            <w:tcW w:w="1134" w:type="dxa"/>
            <w:noWrap/>
          </w:tcPr>
          <w:p w:rsidR="003E180D" w:rsidRDefault="003E180D" w:rsidP="0088305C">
            <w:pPr>
              <w:pStyle w:val="Caption"/>
              <w:spacing w:line="276" w:lineRule="auto"/>
              <w:jc w:val="center"/>
              <w:rPr>
                <w:b w:val="0"/>
                <w:noProof/>
              </w:rPr>
            </w:pPr>
            <w:r>
              <w:rPr>
                <w:b w:val="0"/>
                <w:noProof/>
              </w:rPr>
              <w:t>-0.13%</w:t>
            </w:r>
          </w:p>
        </w:tc>
      </w:tr>
      <w:tr w:rsidR="003E180D" w:rsidTr="0088305C">
        <w:trPr>
          <w:trHeight w:val="330"/>
        </w:trPr>
        <w:tc>
          <w:tcPr>
            <w:tcW w:w="4644" w:type="dxa"/>
            <w:noWrap/>
            <w:hideMark/>
          </w:tcPr>
          <w:p w:rsidR="003E180D" w:rsidRDefault="003E180D" w:rsidP="0088305C">
            <w:pPr>
              <w:pStyle w:val="Caption"/>
              <w:spacing w:line="276" w:lineRule="auto"/>
              <w:jc w:val="both"/>
              <w:rPr>
                <w:b w:val="0"/>
                <w:noProof/>
              </w:rPr>
            </w:pPr>
            <w:r>
              <w:rPr>
                <w:b w:val="0"/>
                <w:noProof/>
              </w:rPr>
              <w:t>Extraction crude petroleum</w:t>
            </w:r>
          </w:p>
        </w:tc>
        <w:tc>
          <w:tcPr>
            <w:tcW w:w="1276" w:type="dxa"/>
            <w:noWrap/>
          </w:tcPr>
          <w:p w:rsidR="003E180D" w:rsidRDefault="003E180D" w:rsidP="0088305C">
            <w:pPr>
              <w:pStyle w:val="Caption"/>
              <w:spacing w:line="276" w:lineRule="auto"/>
              <w:jc w:val="center"/>
              <w:rPr>
                <w:b w:val="0"/>
                <w:noProof/>
              </w:rPr>
            </w:pPr>
            <w:r>
              <w:rPr>
                <w:b w:val="0"/>
                <w:noProof/>
              </w:rPr>
              <w:t>-0.40%</w:t>
            </w:r>
          </w:p>
        </w:tc>
        <w:tc>
          <w:tcPr>
            <w:tcW w:w="1134" w:type="dxa"/>
            <w:noWrap/>
          </w:tcPr>
          <w:p w:rsidR="003E180D" w:rsidRDefault="003E180D" w:rsidP="0088305C">
            <w:pPr>
              <w:pStyle w:val="Caption"/>
              <w:spacing w:line="276" w:lineRule="auto"/>
              <w:jc w:val="center"/>
              <w:rPr>
                <w:b w:val="0"/>
                <w:noProof/>
              </w:rPr>
            </w:pPr>
            <w:r>
              <w:rPr>
                <w:b w:val="0"/>
                <w:noProof/>
              </w:rPr>
              <w:t>-0.69%</w:t>
            </w:r>
          </w:p>
        </w:tc>
      </w:tr>
      <w:tr w:rsidR="003E180D" w:rsidTr="0088305C">
        <w:trPr>
          <w:trHeight w:val="330"/>
        </w:trPr>
        <w:tc>
          <w:tcPr>
            <w:tcW w:w="4644" w:type="dxa"/>
            <w:noWrap/>
            <w:hideMark/>
          </w:tcPr>
          <w:p w:rsidR="003E180D" w:rsidRDefault="003E180D" w:rsidP="0088305C">
            <w:pPr>
              <w:pStyle w:val="Caption"/>
              <w:spacing w:line="276" w:lineRule="auto"/>
              <w:jc w:val="both"/>
              <w:rPr>
                <w:b w:val="0"/>
                <w:noProof/>
              </w:rPr>
            </w:pPr>
            <w:r>
              <w:rPr>
                <w:b w:val="0"/>
                <w:noProof/>
              </w:rPr>
              <w:t>Construction</w:t>
            </w:r>
          </w:p>
        </w:tc>
        <w:tc>
          <w:tcPr>
            <w:tcW w:w="1276" w:type="dxa"/>
            <w:noWrap/>
          </w:tcPr>
          <w:p w:rsidR="003E180D" w:rsidRDefault="003E180D" w:rsidP="0088305C">
            <w:pPr>
              <w:pStyle w:val="Caption"/>
              <w:spacing w:line="276" w:lineRule="auto"/>
              <w:jc w:val="center"/>
              <w:rPr>
                <w:b w:val="0"/>
                <w:noProof/>
              </w:rPr>
            </w:pPr>
            <w:r>
              <w:rPr>
                <w:b w:val="0"/>
                <w:noProof/>
              </w:rPr>
              <w:t>0.12%</w:t>
            </w:r>
          </w:p>
        </w:tc>
        <w:tc>
          <w:tcPr>
            <w:tcW w:w="1134" w:type="dxa"/>
            <w:noWrap/>
          </w:tcPr>
          <w:p w:rsidR="003E180D" w:rsidRDefault="003E180D" w:rsidP="0088305C">
            <w:pPr>
              <w:pStyle w:val="Caption"/>
              <w:spacing w:line="276" w:lineRule="auto"/>
              <w:jc w:val="center"/>
              <w:rPr>
                <w:b w:val="0"/>
                <w:noProof/>
              </w:rPr>
            </w:pPr>
            <w:r>
              <w:rPr>
                <w:b w:val="0"/>
                <w:noProof/>
              </w:rPr>
              <w:t>0.23%</w:t>
            </w:r>
          </w:p>
        </w:tc>
      </w:tr>
      <w:tr w:rsidR="003E180D" w:rsidTr="0088305C">
        <w:trPr>
          <w:trHeight w:val="330"/>
        </w:trPr>
        <w:tc>
          <w:tcPr>
            <w:tcW w:w="4644" w:type="dxa"/>
            <w:noWrap/>
            <w:hideMark/>
          </w:tcPr>
          <w:p w:rsidR="003E180D" w:rsidRDefault="003E180D" w:rsidP="0088305C">
            <w:pPr>
              <w:pStyle w:val="Caption"/>
              <w:spacing w:line="276" w:lineRule="auto"/>
              <w:jc w:val="both"/>
              <w:rPr>
                <w:b w:val="0"/>
                <w:noProof/>
              </w:rPr>
            </w:pPr>
            <w:r>
              <w:rPr>
                <w:b w:val="0"/>
                <w:noProof/>
              </w:rPr>
              <w:t>Sale and maintenance of motor-vehicles</w:t>
            </w:r>
          </w:p>
        </w:tc>
        <w:tc>
          <w:tcPr>
            <w:tcW w:w="1276" w:type="dxa"/>
            <w:noWrap/>
          </w:tcPr>
          <w:p w:rsidR="003E180D" w:rsidRDefault="003E180D" w:rsidP="0088305C">
            <w:pPr>
              <w:pStyle w:val="Caption"/>
              <w:spacing w:line="276" w:lineRule="auto"/>
              <w:jc w:val="center"/>
              <w:rPr>
                <w:b w:val="0"/>
                <w:noProof/>
              </w:rPr>
            </w:pPr>
            <w:r>
              <w:rPr>
                <w:b w:val="0"/>
                <w:noProof/>
              </w:rPr>
              <w:t>0.02%</w:t>
            </w:r>
          </w:p>
        </w:tc>
        <w:tc>
          <w:tcPr>
            <w:tcW w:w="1134" w:type="dxa"/>
            <w:noWrap/>
          </w:tcPr>
          <w:p w:rsidR="003E180D" w:rsidRDefault="003E180D" w:rsidP="0088305C">
            <w:pPr>
              <w:pStyle w:val="Caption"/>
              <w:spacing w:line="276" w:lineRule="auto"/>
              <w:jc w:val="center"/>
              <w:rPr>
                <w:b w:val="0"/>
                <w:noProof/>
              </w:rPr>
            </w:pPr>
            <w:r>
              <w:rPr>
                <w:b w:val="0"/>
                <w:noProof/>
              </w:rPr>
              <w:t>0.02%</w:t>
            </w:r>
          </w:p>
        </w:tc>
      </w:tr>
      <w:tr w:rsidR="003E180D" w:rsidTr="0088305C">
        <w:trPr>
          <w:trHeight w:val="330"/>
        </w:trPr>
        <w:tc>
          <w:tcPr>
            <w:tcW w:w="4644" w:type="dxa"/>
            <w:noWrap/>
            <w:hideMark/>
          </w:tcPr>
          <w:p w:rsidR="003E180D" w:rsidRDefault="003E180D" w:rsidP="0088305C">
            <w:pPr>
              <w:pStyle w:val="Caption"/>
              <w:spacing w:line="276" w:lineRule="auto"/>
              <w:jc w:val="both"/>
              <w:rPr>
                <w:b w:val="0"/>
                <w:noProof/>
              </w:rPr>
            </w:pPr>
            <w:r>
              <w:rPr>
                <w:b w:val="0"/>
                <w:noProof/>
              </w:rPr>
              <w:t>Manufacturing industry (no motor-vehicles)</w:t>
            </w:r>
          </w:p>
        </w:tc>
        <w:tc>
          <w:tcPr>
            <w:tcW w:w="1276" w:type="dxa"/>
            <w:noWrap/>
          </w:tcPr>
          <w:p w:rsidR="003E180D" w:rsidRDefault="003E180D" w:rsidP="0088305C">
            <w:pPr>
              <w:pStyle w:val="Caption"/>
              <w:spacing w:line="276" w:lineRule="auto"/>
              <w:jc w:val="center"/>
              <w:rPr>
                <w:b w:val="0"/>
                <w:noProof/>
              </w:rPr>
            </w:pPr>
            <w:r>
              <w:rPr>
                <w:b w:val="0"/>
                <w:noProof/>
              </w:rPr>
              <w:t>0.02%</w:t>
            </w:r>
          </w:p>
        </w:tc>
        <w:tc>
          <w:tcPr>
            <w:tcW w:w="1134" w:type="dxa"/>
            <w:noWrap/>
          </w:tcPr>
          <w:p w:rsidR="003E180D" w:rsidRDefault="003E180D" w:rsidP="0088305C">
            <w:pPr>
              <w:pStyle w:val="Caption"/>
              <w:spacing w:line="276" w:lineRule="auto"/>
              <w:jc w:val="center"/>
              <w:rPr>
                <w:b w:val="0"/>
                <w:bCs w:val="0"/>
                <w:noProof/>
              </w:rPr>
            </w:pPr>
            <w:r>
              <w:rPr>
                <w:b w:val="0"/>
                <w:noProof/>
              </w:rPr>
              <w:t>0.05%</w:t>
            </w:r>
          </w:p>
        </w:tc>
      </w:tr>
    </w:tbl>
    <w:p w:rsidR="003E180D" w:rsidRDefault="003E180D" w:rsidP="003E180D">
      <w:pPr>
        <w:rPr>
          <w:rFonts w:cs="Times New Roman"/>
          <w:b/>
          <w:bCs/>
          <w:noProof/>
          <w:color w:val="000000" w:themeColor="text1"/>
          <w:szCs w:val="24"/>
        </w:rPr>
      </w:pPr>
      <w:r>
        <w:rPr>
          <w:rFonts w:cs="Times New Roman"/>
          <w:b/>
          <w:bCs/>
          <w:noProof/>
          <w:color w:val="000000" w:themeColor="text1"/>
          <w:szCs w:val="24"/>
        </w:rPr>
        <w:br w:type="page"/>
      </w:r>
    </w:p>
    <w:p w:rsidR="003E180D" w:rsidRDefault="003E180D" w:rsidP="003E180D">
      <w:pPr>
        <w:spacing w:before="240" w:after="120" w:line="240" w:lineRule="auto"/>
        <w:jc w:val="both"/>
        <w:rPr>
          <w:rFonts w:cs="Times New Roman"/>
          <w:b/>
          <w:bCs/>
          <w:noProof/>
          <w:color w:val="000000" w:themeColor="text1"/>
          <w:szCs w:val="24"/>
        </w:rPr>
      </w:pPr>
      <w:r>
        <w:rPr>
          <w:rFonts w:cs="Times New Roman"/>
          <w:b/>
          <w:bCs/>
          <w:noProof/>
          <w:color w:val="000000" w:themeColor="text1"/>
          <w:szCs w:val="24"/>
        </w:rPr>
        <w:t xml:space="preserve">Table </w:t>
      </w:r>
      <w:r>
        <w:rPr>
          <w:rFonts w:cs="Times New Roman"/>
          <w:b/>
          <w:bCs/>
          <w:noProof/>
          <w:color w:val="000000" w:themeColor="text1"/>
          <w:szCs w:val="24"/>
        </w:rPr>
        <w:fldChar w:fldCharType="begin"/>
      </w:r>
      <w:r>
        <w:rPr>
          <w:rFonts w:cs="Times New Roman"/>
          <w:b/>
          <w:bCs/>
          <w:noProof/>
          <w:color w:val="000000" w:themeColor="text1"/>
          <w:szCs w:val="24"/>
        </w:rPr>
        <w:instrText xml:space="preserve"> SEQ Table \* ARABIC </w:instrText>
      </w:r>
      <w:r>
        <w:rPr>
          <w:rFonts w:cs="Times New Roman"/>
          <w:b/>
          <w:bCs/>
          <w:noProof/>
          <w:color w:val="000000" w:themeColor="text1"/>
          <w:szCs w:val="24"/>
        </w:rPr>
        <w:fldChar w:fldCharType="separate"/>
      </w:r>
      <w:r>
        <w:rPr>
          <w:rFonts w:cs="Times New Roman"/>
          <w:b/>
          <w:bCs/>
          <w:noProof/>
          <w:color w:val="000000" w:themeColor="text1"/>
          <w:szCs w:val="24"/>
        </w:rPr>
        <w:t>27</w:t>
      </w:r>
      <w:r>
        <w:rPr>
          <w:rFonts w:cs="Times New Roman"/>
          <w:b/>
          <w:bCs/>
          <w:noProof/>
          <w:color w:val="000000" w:themeColor="text1"/>
          <w:szCs w:val="24"/>
        </w:rPr>
        <w:fldChar w:fldCharType="end"/>
      </w:r>
      <w:r>
        <w:rPr>
          <w:rFonts w:cs="Times New Roman"/>
          <w:b/>
          <w:bCs/>
          <w:noProof/>
          <w:color w:val="000000" w:themeColor="text1"/>
          <w:szCs w:val="24"/>
        </w:rPr>
        <w:t xml:space="preserve">: Impacts on the turnover of the most affected sectors as a percentage change from the baseline </w:t>
      </w:r>
      <w:r>
        <w:rPr>
          <w:b/>
          <w:bCs/>
          <w:noProof/>
          <w:color w:val="000000" w:themeColor="text1"/>
          <w:szCs w:val="24"/>
        </w:rPr>
        <w:t xml:space="preserve">when using </w:t>
      </w:r>
      <w:r>
        <w:rPr>
          <w:rFonts w:cs="Times New Roman"/>
          <w:b/>
          <w:bCs/>
          <w:noProof/>
          <w:color w:val="000000" w:themeColor="text1"/>
          <w:szCs w:val="24"/>
        </w:rPr>
        <w:t xml:space="preserve">the base cost assumptions </w:t>
      </w:r>
    </w:p>
    <w:tbl>
      <w:tblPr>
        <w:tblStyle w:val="TableGrid"/>
        <w:tblW w:w="8834" w:type="dxa"/>
        <w:tblLayout w:type="fixed"/>
        <w:tblLook w:val="04A0" w:firstRow="1" w:lastRow="0" w:firstColumn="1" w:lastColumn="0" w:noHBand="0" w:noVBand="1"/>
      </w:tblPr>
      <w:tblGrid>
        <w:gridCol w:w="4106"/>
        <w:gridCol w:w="945"/>
        <w:gridCol w:w="1153"/>
        <w:gridCol w:w="850"/>
        <w:gridCol w:w="834"/>
        <w:gridCol w:w="946"/>
      </w:tblGrid>
      <w:tr w:rsidR="003E180D" w:rsidTr="0088305C">
        <w:trPr>
          <w:trHeight w:val="300"/>
        </w:trPr>
        <w:tc>
          <w:tcPr>
            <w:tcW w:w="8834" w:type="dxa"/>
            <w:gridSpan w:val="6"/>
            <w:shd w:val="clear" w:color="auto" w:fill="F2F2F2" w:themeFill="background1" w:themeFillShade="F2"/>
            <w:noWrap/>
            <w:hideMark/>
          </w:tcPr>
          <w:p w:rsidR="003E180D" w:rsidRDefault="003E180D" w:rsidP="0088305C">
            <w:pPr>
              <w:spacing w:after="120"/>
              <w:rPr>
                <w:b/>
                <w:bCs/>
                <w:noProof/>
                <w:color w:val="000000" w:themeColor="text1"/>
              </w:rPr>
            </w:pPr>
            <w:r>
              <w:rPr>
                <w:b/>
                <w:noProof/>
                <w:szCs w:val="24"/>
              </w:rPr>
              <w:t xml:space="preserve">2025 - </w:t>
            </w:r>
            <w:r>
              <w:rPr>
                <w:b/>
                <w:noProof/>
              </w:rPr>
              <w:t>base cost assumptions</w:t>
            </w:r>
          </w:p>
        </w:tc>
      </w:tr>
      <w:tr w:rsidR="003E180D" w:rsidTr="0088305C">
        <w:trPr>
          <w:trHeight w:val="300"/>
        </w:trPr>
        <w:tc>
          <w:tcPr>
            <w:tcW w:w="4106" w:type="dxa"/>
            <w:noWrap/>
            <w:hideMark/>
          </w:tcPr>
          <w:p w:rsidR="003E180D" w:rsidRDefault="003E180D" w:rsidP="0088305C">
            <w:pPr>
              <w:spacing w:after="120"/>
              <w:rPr>
                <w:rFonts w:eastAsiaTheme="minorHAnsi"/>
                <w:b/>
                <w:bCs/>
                <w:noProof/>
                <w:color w:val="000000" w:themeColor="text1"/>
                <w:szCs w:val="24"/>
                <w:lang w:eastAsia="en-US"/>
              </w:rPr>
            </w:pPr>
            <w:r>
              <w:rPr>
                <w:rFonts w:eastAsiaTheme="minorHAnsi"/>
                <w:b/>
                <w:bCs/>
                <w:noProof/>
                <w:color w:val="000000" w:themeColor="text1"/>
                <w:szCs w:val="24"/>
                <w:lang w:eastAsia="en-US"/>
              </w:rPr>
              <w:t>Sector/Option</w:t>
            </w:r>
          </w:p>
        </w:tc>
        <w:tc>
          <w:tcPr>
            <w:tcW w:w="945" w:type="dxa"/>
            <w:noWrap/>
            <w:hideMark/>
          </w:tcPr>
          <w:p w:rsidR="003E180D" w:rsidRDefault="003E180D" w:rsidP="0088305C">
            <w:pPr>
              <w:spacing w:after="120"/>
              <w:jc w:val="center"/>
              <w:rPr>
                <w:bCs/>
                <w:noProof/>
                <w:color w:val="000000" w:themeColor="text1"/>
              </w:rPr>
            </w:pPr>
            <w:r>
              <w:rPr>
                <w:b/>
                <w:bCs/>
                <w:noProof/>
                <w:color w:val="000000" w:themeColor="text1"/>
              </w:rPr>
              <w:t>TL20</w:t>
            </w:r>
          </w:p>
        </w:tc>
        <w:tc>
          <w:tcPr>
            <w:tcW w:w="1153" w:type="dxa"/>
            <w:noWrap/>
            <w:hideMark/>
          </w:tcPr>
          <w:p w:rsidR="003E180D" w:rsidRDefault="003E180D" w:rsidP="0088305C">
            <w:pPr>
              <w:spacing w:after="120"/>
              <w:jc w:val="center"/>
              <w:rPr>
                <w:bCs/>
                <w:noProof/>
                <w:color w:val="000000" w:themeColor="text1"/>
              </w:rPr>
            </w:pPr>
            <w:r>
              <w:rPr>
                <w:b/>
                <w:bCs/>
                <w:noProof/>
                <w:color w:val="000000" w:themeColor="text1"/>
              </w:rPr>
              <w:t>TL30NL</w:t>
            </w:r>
          </w:p>
        </w:tc>
        <w:tc>
          <w:tcPr>
            <w:tcW w:w="850" w:type="dxa"/>
            <w:noWrap/>
            <w:hideMark/>
          </w:tcPr>
          <w:p w:rsidR="003E180D" w:rsidRDefault="003E180D" w:rsidP="0088305C">
            <w:pPr>
              <w:spacing w:after="120"/>
              <w:jc w:val="center"/>
              <w:rPr>
                <w:bCs/>
                <w:noProof/>
                <w:color w:val="000000" w:themeColor="text1"/>
              </w:rPr>
            </w:pPr>
            <w:r>
              <w:rPr>
                <w:b/>
                <w:bCs/>
                <w:noProof/>
                <w:color w:val="000000" w:themeColor="text1"/>
              </w:rPr>
              <w:t>TL30</w:t>
            </w:r>
          </w:p>
        </w:tc>
        <w:tc>
          <w:tcPr>
            <w:tcW w:w="834" w:type="dxa"/>
            <w:noWrap/>
            <w:hideMark/>
          </w:tcPr>
          <w:p w:rsidR="003E180D" w:rsidRDefault="003E180D" w:rsidP="0088305C">
            <w:pPr>
              <w:spacing w:after="120"/>
              <w:jc w:val="center"/>
              <w:rPr>
                <w:bCs/>
                <w:noProof/>
                <w:color w:val="000000" w:themeColor="text1"/>
              </w:rPr>
            </w:pPr>
            <w:r>
              <w:rPr>
                <w:b/>
                <w:bCs/>
                <w:noProof/>
                <w:color w:val="000000" w:themeColor="text1"/>
              </w:rPr>
              <w:t>TL32</w:t>
            </w:r>
          </w:p>
        </w:tc>
        <w:tc>
          <w:tcPr>
            <w:tcW w:w="946" w:type="dxa"/>
            <w:noWrap/>
            <w:hideMark/>
          </w:tcPr>
          <w:p w:rsidR="003E180D" w:rsidRDefault="003E180D" w:rsidP="0088305C">
            <w:pPr>
              <w:spacing w:after="120"/>
              <w:jc w:val="center"/>
              <w:rPr>
                <w:bCs/>
                <w:noProof/>
                <w:color w:val="000000" w:themeColor="text1"/>
              </w:rPr>
            </w:pPr>
            <w:r>
              <w:rPr>
                <w:b/>
                <w:bCs/>
                <w:noProof/>
                <w:color w:val="000000" w:themeColor="text1"/>
              </w:rPr>
              <w:t>TL35</w:t>
            </w:r>
          </w:p>
        </w:tc>
      </w:tr>
      <w:tr w:rsidR="003E180D" w:rsidTr="0088305C">
        <w:trPr>
          <w:trHeight w:val="300"/>
        </w:trPr>
        <w:tc>
          <w:tcPr>
            <w:tcW w:w="4106" w:type="dxa"/>
            <w:noWrap/>
            <w:hideMark/>
          </w:tcPr>
          <w:p w:rsidR="003E180D" w:rsidRDefault="003E180D" w:rsidP="0088305C">
            <w:pPr>
              <w:spacing w:line="276" w:lineRule="auto"/>
              <w:rPr>
                <w:rFonts w:eastAsiaTheme="minorHAnsi"/>
                <w:bCs/>
                <w:noProof/>
                <w:color w:val="000000" w:themeColor="text1"/>
                <w:szCs w:val="24"/>
                <w:lang w:eastAsia="en-US"/>
              </w:rPr>
            </w:pPr>
            <w:r>
              <w:rPr>
                <w:rFonts w:eastAsiaTheme="minorHAnsi"/>
                <w:bCs/>
                <w:noProof/>
                <w:color w:val="000000" w:themeColor="text1"/>
                <w:szCs w:val="24"/>
                <w:lang w:eastAsia="en-US"/>
              </w:rPr>
              <w:t>Manufacturing of refined petroleum products</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-0.1%</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-0.1%</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-0.2%</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-0.2%</w:t>
            </w:r>
          </w:p>
        </w:tc>
      </w:tr>
      <w:tr w:rsidR="003E180D" w:rsidTr="0088305C">
        <w:trPr>
          <w:trHeight w:val="300"/>
        </w:trPr>
        <w:tc>
          <w:tcPr>
            <w:tcW w:w="4106" w:type="dxa"/>
            <w:noWrap/>
            <w:hideMark/>
          </w:tcPr>
          <w:p w:rsidR="003E180D" w:rsidRDefault="003E180D" w:rsidP="0088305C">
            <w:pPr>
              <w:spacing w:line="276" w:lineRule="auto"/>
              <w:rPr>
                <w:rFonts w:eastAsiaTheme="minorHAnsi"/>
                <w:bCs/>
                <w:noProof/>
                <w:color w:val="000000" w:themeColor="text1"/>
                <w:szCs w:val="24"/>
                <w:lang w:eastAsia="en-US"/>
              </w:rPr>
            </w:pPr>
            <w:r>
              <w:rPr>
                <w:rFonts w:eastAsiaTheme="minorHAnsi"/>
                <w:bCs/>
                <w:noProof/>
                <w:color w:val="000000" w:themeColor="text1"/>
                <w:szCs w:val="24"/>
                <w:lang w:eastAsia="en-US"/>
              </w:rPr>
              <w:t>Manufacturing of motor-vehicles</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rPr>
            </w:pPr>
            <w:r>
              <w:rPr>
                <w:bCs/>
                <w:noProof/>
                <w:color w:val="000000" w:themeColor="text1"/>
              </w:rPr>
              <w:t>Transportation services</w:t>
            </w:r>
            <w:r>
              <w:rPr>
                <w:bCs/>
                <w:noProof/>
                <w:color w:val="000000" w:themeColor="text1"/>
                <w:vertAlign w:val="superscript"/>
              </w:rPr>
              <w:footnoteReference w:id="85"/>
            </w:r>
            <w:r>
              <w:rPr>
                <w:bCs/>
                <w:noProof/>
                <w:color w:val="000000" w:themeColor="text1"/>
              </w:rPr>
              <w:t> </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0.1%</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0.1%</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rPr>
            </w:pPr>
            <w:r>
              <w:rPr>
                <w:bCs/>
                <w:noProof/>
                <w:color w:val="000000" w:themeColor="text1"/>
              </w:rPr>
              <w:t>Other land transportation services</w:t>
            </w:r>
            <w:r>
              <w:rPr>
                <w:bCs/>
                <w:noProof/>
                <w:color w:val="000000" w:themeColor="text1"/>
                <w:vertAlign w:val="superscript"/>
              </w:rPr>
              <w:footnoteReference w:id="86"/>
            </w:r>
            <w:r>
              <w:rPr>
                <w:bCs/>
                <w:noProof/>
                <w:color w:val="000000" w:themeColor="text1"/>
              </w:rPr>
              <w:t> </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0.1%</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0.3%</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0.4%</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0.6%</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lang w:val="pt-PT"/>
              </w:rPr>
            </w:pPr>
            <w:r>
              <w:rPr>
                <w:bCs/>
                <w:noProof/>
                <w:color w:val="000000" w:themeColor="text1"/>
                <w:lang w:val="pt-PT"/>
              </w:rPr>
              <w:t>Mining fossil fuel (no petroleum)</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-0.1%</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rPr>
            </w:pPr>
            <w:r>
              <w:rPr>
                <w:bCs/>
                <w:noProof/>
                <w:color w:val="000000" w:themeColor="text1"/>
              </w:rPr>
              <w:t>Extraction crude petroleum</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-0.1%</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-0.1%</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-0.2%</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-0.3%</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rPr>
            </w:pPr>
            <w:r>
              <w:rPr>
                <w:bCs/>
                <w:noProof/>
                <w:color w:val="000000" w:themeColor="text1"/>
              </w:rPr>
              <w:t>Construction</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rPr>
            </w:pPr>
            <w:r>
              <w:rPr>
                <w:bCs/>
                <w:noProof/>
                <w:color w:val="000000" w:themeColor="text1"/>
              </w:rPr>
              <w:t>Sale and maintenance of motor-vehicles</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rPr>
            </w:pPr>
            <w:r>
              <w:rPr>
                <w:bCs/>
                <w:noProof/>
                <w:color w:val="000000" w:themeColor="text1"/>
              </w:rPr>
              <w:t>Manufacturing industry (no motor-vehicles)</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r>
      <w:tr w:rsidR="003E180D" w:rsidTr="0088305C">
        <w:trPr>
          <w:trHeight w:val="300"/>
        </w:trPr>
        <w:tc>
          <w:tcPr>
            <w:tcW w:w="8834" w:type="dxa"/>
            <w:gridSpan w:val="6"/>
            <w:shd w:val="clear" w:color="auto" w:fill="F2F2F2" w:themeFill="background1" w:themeFillShade="F2"/>
            <w:noWrap/>
            <w:hideMark/>
          </w:tcPr>
          <w:p w:rsidR="003E180D" w:rsidRDefault="003E180D" w:rsidP="0088305C">
            <w:pPr>
              <w:spacing w:after="120"/>
              <w:rPr>
                <w:bCs/>
                <w:noProof/>
                <w:color w:val="000000" w:themeColor="text1"/>
              </w:rPr>
            </w:pPr>
            <w:r>
              <w:rPr>
                <w:b/>
                <w:noProof/>
                <w:szCs w:val="24"/>
              </w:rPr>
              <w:t xml:space="preserve">2030 - </w:t>
            </w:r>
            <w:r>
              <w:rPr>
                <w:b/>
                <w:noProof/>
              </w:rPr>
              <w:t>base cost assumptions</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rPr>
            </w:pPr>
            <w:r>
              <w:rPr>
                <w:bCs/>
                <w:noProof/>
                <w:color w:val="000000" w:themeColor="text1"/>
              </w:rPr>
              <w:t>Manufacturing of refined petroleum products</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-0.2%</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-0.4%</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-0.5%</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-0.5%</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rPr>
            </w:pPr>
            <w:r>
              <w:rPr>
                <w:bCs/>
                <w:noProof/>
                <w:color w:val="000000" w:themeColor="text1"/>
              </w:rPr>
              <w:t>Manufacturing of motor-vehicles</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rPr>
            </w:pPr>
            <w:r>
              <w:rPr>
                <w:bCs/>
                <w:noProof/>
                <w:color w:val="000000" w:themeColor="text1"/>
              </w:rPr>
              <w:t>Transportation services</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0.1%</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0.3%</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0.3%</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rPr>
            </w:pPr>
            <w:r>
              <w:rPr>
                <w:bCs/>
                <w:noProof/>
                <w:color w:val="000000" w:themeColor="text1"/>
              </w:rPr>
              <w:t>Other land transportation services</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0.6%</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1.4%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1.6%</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1.9%</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2.4%</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lang w:val="pt-PT"/>
              </w:rPr>
            </w:pPr>
            <w:r>
              <w:rPr>
                <w:bCs/>
                <w:noProof/>
                <w:color w:val="000000" w:themeColor="text1"/>
                <w:lang w:val="pt-PT"/>
              </w:rPr>
              <w:t>Mining fossil fuel (no petroleum)</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-0.1%</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-0.1%</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-0.2%</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-0.2%</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rPr>
            </w:pPr>
            <w:r>
              <w:rPr>
                <w:bCs/>
                <w:noProof/>
                <w:color w:val="000000" w:themeColor="text1"/>
              </w:rPr>
              <w:t>Extraction crude petroleum</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-0.2%</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-0.6%</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-0.6%</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-0.8%</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rPr>
            </w:pPr>
            <w:r>
              <w:rPr>
                <w:bCs/>
                <w:noProof/>
                <w:color w:val="000000" w:themeColor="text1"/>
              </w:rPr>
              <w:t>Construction</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0.1%</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0.1%</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0.2%</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rPr>
            </w:pPr>
            <w:r>
              <w:rPr>
                <w:bCs/>
                <w:noProof/>
                <w:color w:val="000000" w:themeColor="text1"/>
              </w:rPr>
              <w:t>Sale and maintenance of motor-vehicles</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-0.1%</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-0.1%</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-0.1%</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r>
      <w:tr w:rsidR="003E180D" w:rsidTr="0088305C">
        <w:trPr>
          <w:trHeight w:val="300"/>
        </w:trPr>
        <w:tc>
          <w:tcPr>
            <w:tcW w:w="4106" w:type="dxa"/>
            <w:noWrap/>
            <w:hideMark/>
          </w:tcPr>
          <w:p w:rsidR="003E180D" w:rsidRDefault="003E180D" w:rsidP="0088305C">
            <w:pPr>
              <w:spacing w:line="276" w:lineRule="auto"/>
              <w:rPr>
                <w:bCs/>
                <w:noProof/>
                <w:color w:val="000000" w:themeColor="text1"/>
              </w:rPr>
            </w:pPr>
            <w:r>
              <w:rPr>
                <w:bCs/>
                <w:noProof/>
                <w:color w:val="000000" w:themeColor="text1"/>
              </w:rPr>
              <w:t>Manufacturing industry (no motor-vehicles)</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80D" w:rsidRDefault="003E180D" w:rsidP="0088305C">
            <w:pPr>
              <w:spacing w:line="276" w:lineRule="auto"/>
              <w:jc w:val="center"/>
              <w:rPr>
                <w:bCs/>
                <w:noProof/>
                <w:color w:val="000000" w:themeColor="text1"/>
              </w:rPr>
            </w:pPr>
            <w:r>
              <w:rPr>
                <w:bCs/>
                <w:noProof/>
                <w:color w:val="000000" w:themeColor="text1"/>
              </w:rPr>
              <w:t>0.0%</w:t>
            </w:r>
          </w:p>
        </w:tc>
      </w:tr>
    </w:tbl>
    <w:p w:rsidR="003E180D" w:rsidRDefault="003E180D" w:rsidP="003E180D">
      <w:pPr>
        <w:pStyle w:val="Caption"/>
        <w:spacing w:before="240" w:after="120"/>
        <w:jc w:val="both"/>
        <w:rPr>
          <w:noProof/>
        </w:rPr>
      </w:pPr>
    </w:p>
    <w:p w:rsidR="003E180D" w:rsidRDefault="003E180D" w:rsidP="003E180D">
      <w:pPr>
        <w:rPr>
          <w:rFonts w:cs="Times New Roman"/>
          <w:noProof/>
          <w:szCs w:val="18"/>
        </w:rPr>
      </w:pPr>
      <w:r>
        <w:rPr>
          <w:noProof/>
        </w:rPr>
        <w:br w:type="page"/>
      </w:r>
    </w:p>
    <w:p w:rsidR="003E180D" w:rsidRDefault="003E180D" w:rsidP="003E180D">
      <w:pPr>
        <w:pStyle w:val="Caption"/>
        <w:spacing w:before="240" w:after="120"/>
        <w:jc w:val="both"/>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28</w:t>
      </w:r>
      <w:r>
        <w:rPr>
          <w:noProof/>
        </w:rPr>
        <w:fldChar w:fldCharType="end"/>
      </w:r>
      <w:r>
        <w:rPr>
          <w:noProof/>
        </w:rPr>
        <w:t>: Impacts on the turnover of the most affected sectors as a percentage change from the baseline when using the high cost assumptions</w:t>
      </w:r>
    </w:p>
    <w:tbl>
      <w:tblPr>
        <w:tblStyle w:val="TableGrid"/>
        <w:tblW w:w="0" w:type="auto"/>
        <w:tblLook w:val="04A0" w:firstRow="1" w:lastRow="0" w:firstColumn="1" w:lastColumn="0" w:noHBand="0" w:noVBand="1"/>
      </w:tblPr>
      <w:tblGrid>
        <w:gridCol w:w="5353"/>
        <w:gridCol w:w="1559"/>
        <w:gridCol w:w="1418"/>
      </w:tblGrid>
      <w:tr w:rsidR="003E180D" w:rsidTr="0088305C">
        <w:trPr>
          <w:trHeight w:val="330"/>
        </w:trPr>
        <w:tc>
          <w:tcPr>
            <w:tcW w:w="8330" w:type="dxa"/>
            <w:gridSpan w:val="3"/>
            <w:shd w:val="clear" w:color="auto" w:fill="D9D9D9" w:themeFill="background1" w:themeFillShade="D9"/>
            <w:noWrap/>
            <w:hideMark/>
          </w:tcPr>
          <w:p w:rsidR="003E180D" w:rsidRDefault="003E180D" w:rsidP="0088305C">
            <w:pPr>
              <w:pStyle w:val="Caption"/>
              <w:spacing w:after="120"/>
              <w:rPr>
                <w:noProof/>
              </w:rPr>
            </w:pPr>
            <w:r>
              <w:rPr>
                <w:noProof/>
              </w:rPr>
              <w:t>2025 - high cost assumptions</w:t>
            </w:r>
          </w:p>
        </w:tc>
      </w:tr>
      <w:tr w:rsidR="003E180D" w:rsidTr="0088305C">
        <w:trPr>
          <w:trHeight w:val="330"/>
        </w:trPr>
        <w:tc>
          <w:tcPr>
            <w:tcW w:w="5353" w:type="dxa"/>
            <w:noWrap/>
            <w:hideMark/>
          </w:tcPr>
          <w:p w:rsidR="003E180D" w:rsidRDefault="003E180D" w:rsidP="0088305C">
            <w:pPr>
              <w:pStyle w:val="Caption"/>
              <w:spacing w:after="120"/>
              <w:jc w:val="both"/>
              <w:rPr>
                <w:noProof/>
              </w:rPr>
            </w:pPr>
            <w:r>
              <w:rPr>
                <w:noProof/>
              </w:rPr>
              <w:t xml:space="preserve">Sector/Option </w:t>
            </w:r>
          </w:p>
        </w:tc>
        <w:tc>
          <w:tcPr>
            <w:tcW w:w="1559" w:type="dxa"/>
            <w:noWrap/>
            <w:hideMark/>
          </w:tcPr>
          <w:p w:rsidR="003E180D" w:rsidRDefault="003E180D" w:rsidP="0088305C">
            <w:pPr>
              <w:pStyle w:val="Caption"/>
              <w:spacing w:after="120"/>
              <w:jc w:val="center"/>
              <w:rPr>
                <w:noProof/>
              </w:rPr>
            </w:pPr>
            <w:r>
              <w:rPr>
                <w:noProof/>
              </w:rPr>
              <w:t xml:space="preserve">TL 20 </w:t>
            </w:r>
          </w:p>
        </w:tc>
        <w:tc>
          <w:tcPr>
            <w:tcW w:w="1418" w:type="dxa"/>
            <w:noWrap/>
            <w:hideMark/>
          </w:tcPr>
          <w:p w:rsidR="003E180D" w:rsidRDefault="003E180D" w:rsidP="0088305C">
            <w:pPr>
              <w:pStyle w:val="Caption"/>
              <w:spacing w:after="120"/>
              <w:jc w:val="center"/>
              <w:rPr>
                <w:noProof/>
              </w:rPr>
            </w:pPr>
            <w:r>
              <w:rPr>
                <w:noProof/>
              </w:rPr>
              <w:t>TL 30</w:t>
            </w:r>
          </w:p>
        </w:tc>
      </w:tr>
      <w:tr w:rsidR="003E180D" w:rsidTr="0088305C">
        <w:trPr>
          <w:trHeight w:val="330"/>
        </w:trPr>
        <w:tc>
          <w:tcPr>
            <w:tcW w:w="5353" w:type="dxa"/>
            <w:noWrap/>
            <w:hideMark/>
          </w:tcPr>
          <w:p w:rsidR="003E180D" w:rsidRDefault="003E180D" w:rsidP="0088305C">
            <w:pPr>
              <w:pStyle w:val="Caption"/>
              <w:spacing w:line="276" w:lineRule="auto"/>
              <w:jc w:val="both"/>
              <w:rPr>
                <w:b w:val="0"/>
                <w:noProof/>
              </w:rPr>
            </w:pPr>
            <w:r>
              <w:rPr>
                <w:b w:val="0"/>
                <w:noProof/>
              </w:rPr>
              <w:t>Manufacturing of refined petroleum products</w:t>
            </w:r>
          </w:p>
        </w:tc>
        <w:tc>
          <w:tcPr>
            <w:tcW w:w="1559" w:type="dxa"/>
            <w:noWrap/>
            <w:hideMark/>
          </w:tcPr>
          <w:p w:rsidR="003E180D" w:rsidRDefault="003E180D" w:rsidP="0088305C">
            <w:pPr>
              <w:pStyle w:val="Caption"/>
              <w:spacing w:line="276" w:lineRule="auto"/>
              <w:jc w:val="center"/>
              <w:rPr>
                <w:b w:val="0"/>
                <w:noProof/>
              </w:rPr>
            </w:pPr>
            <w:r>
              <w:rPr>
                <w:b w:val="0"/>
                <w:noProof/>
              </w:rPr>
              <w:t>-0.13%</w:t>
            </w:r>
          </w:p>
        </w:tc>
        <w:tc>
          <w:tcPr>
            <w:tcW w:w="1418" w:type="dxa"/>
            <w:noWrap/>
            <w:hideMark/>
          </w:tcPr>
          <w:p w:rsidR="003E180D" w:rsidRDefault="003E180D" w:rsidP="0088305C">
            <w:pPr>
              <w:pStyle w:val="Caption"/>
              <w:spacing w:line="276" w:lineRule="auto"/>
              <w:jc w:val="center"/>
              <w:rPr>
                <w:b w:val="0"/>
                <w:noProof/>
              </w:rPr>
            </w:pPr>
            <w:r>
              <w:rPr>
                <w:b w:val="0"/>
                <w:noProof/>
              </w:rPr>
              <w:t>-0.21%</w:t>
            </w:r>
          </w:p>
        </w:tc>
      </w:tr>
      <w:tr w:rsidR="003E180D" w:rsidTr="0088305C">
        <w:trPr>
          <w:trHeight w:val="330"/>
        </w:trPr>
        <w:tc>
          <w:tcPr>
            <w:tcW w:w="5353" w:type="dxa"/>
            <w:noWrap/>
            <w:hideMark/>
          </w:tcPr>
          <w:p w:rsidR="003E180D" w:rsidRDefault="003E180D" w:rsidP="0088305C">
            <w:pPr>
              <w:pStyle w:val="Caption"/>
              <w:spacing w:line="276" w:lineRule="auto"/>
              <w:jc w:val="both"/>
              <w:rPr>
                <w:b w:val="0"/>
                <w:noProof/>
              </w:rPr>
            </w:pPr>
            <w:r>
              <w:rPr>
                <w:b w:val="0"/>
                <w:noProof/>
              </w:rPr>
              <w:t>Manufacturing of motor-vehicles</w:t>
            </w:r>
          </w:p>
        </w:tc>
        <w:tc>
          <w:tcPr>
            <w:tcW w:w="1559" w:type="dxa"/>
            <w:noWrap/>
            <w:hideMark/>
          </w:tcPr>
          <w:p w:rsidR="003E180D" w:rsidRDefault="003E180D" w:rsidP="0088305C">
            <w:pPr>
              <w:pStyle w:val="Caption"/>
              <w:spacing w:line="276" w:lineRule="auto"/>
              <w:jc w:val="center"/>
              <w:rPr>
                <w:b w:val="0"/>
                <w:noProof/>
              </w:rPr>
            </w:pPr>
            <w:r>
              <w:rPr>
                <w:b w:val="0"/>
                <w:noProof/>
              </w:rPr>
              <w:t>0.01%</w:t>
            </w:r>
          </w:p>
        </w:tc>
        <w:tc>
          <w:tcPr>
            <w:tcW w:w="1418" w:type="dxa"/>
            <w:noWrap/>
            <w:hideMark/>
          </w:tcPr>
          <w:p w:rsidR="003E180D" w:rsidRDefault="003E180D" w:rsidP="0088305C">
            <w:pPr>
              <w:pStyle w:val="Caption"/>
              <w:spacing w:line="276" w:lineRule="auto"/>
              <w:jc w:val="center"/>
              <w:rPr>
                <w:b w:val="0"/>
                <w:noProof/>
              </w:rPr>
            </w:pPr>
            <w:r>
              <w:rPr>
                <w:b w:val="0"/>
                <w:noProof/>
              </w:rPr>
              <w:t>0.02%</w:t>
            </w:r>
          </w:p>
        </w:tc>
      </w:tr>
      <w:tr w:rsidR="003E180D" w:rsidTr="0088305C">
        <w:trPr>
          <w:trHeight w:val="330"/>
        </w:trPr>
        <w:tc>
          <w:tcPr>
            <w:tcW w:w="5353" w:type="dxa"/>
            <w:noWrap/>
            <w:hideMark/>
          </w:tcPr>
          <w:p w:rsidR="003E180D" w:rsidRDefault="003E180D" w:rsidP="0088305C">
            <w:pPr>
              <w:pStyle w:val="Caption"/>
              <w:spacing w:line="276" w:lineRule="auto"/>
              <w:jc w:val="both"/>
              <w:rPr>
                <w:b w:val="0"/>
                <w:noProof/>
              </w:rPr>
            </w:pPr>
            <w:r>
              <w:rPr>
                <w:b w:val="0"/>
                <w:noProof/>
              </w:rPr>
              <w:t>Transportation services</w:t>
            </w:r>
            <w:r>
              <w:rPr>
                <w:rStyle w:val="FootnoteReference"/>
                <w:b w:val="0"/>
                <w:noProof/>
              </w:rPr>
              <w:footnoteReference w:id="87"/>
            </w:r>
            <w:r>
              <w:rPr>
                <w:b w:val="0"/>
                <w:noProof/>
              </w:rPr>
              <w:t> </w:t>
            </w:r>
          </w:p>
        </w:tc>
        <w:tc>
          <w:tcPr>
            <w:tcW w:w="1559" w:type="dxa"/>
            <w:noWrap/>
            <w:hideMark/>
          </w:tcPr>
          <w:p w:rsidR="003E180D" w:rsidRDefault="003E180D" w:rsidP="0088305C">
            <w:pPr>
              <w:pStyle w:val="Caption"/>
              <w:spacing w:line="276" w:lineRule="auto"/>
              <w:jc w:val="center"/>
              <w:rPr>
                <w:b w:val="0"/>
                <w:noProof/>
              </w:rPr>
            </w:pPr>
            <w:r>
              <w:rPr>
                <w:b w:val="0"/>
                <w:noProof/>
              </w:rPr>
              <w:t>0.08%</w:t>
            </w:r>
          </w:p>
        </w:tc>
        <w:tc>
          <w:tcPr>
            <w:tcW w:w="1418" w:type="dxa"/>
            <w:noWrap/>
            <w:hideMark/>
          </w:tcPr>
          <w:p w:rsidR="003E180D" w:rsidRDefault="003E180D" w:rsidP="0088305C">
            <w:pPr>
              <w:pStyle w:val="Caption"/>
              <w:spacing w:line="276" w:lineRule="auto"/>
              <w:jc w:val="center"/>
              <w:rPr>
                <w:b w:val="0"/>
                <w:noProof/>
              </w:rPr>
            </w:pPr>
            <w:r>
              <w:rPr>
                <w:b w:val="0"/>
                <w:noProof/>
              </w:rPr>
              <w:t>0.13%</w:t>
            </w:r>
          </w:p>
        </w:tc>
      </w:tr>
      <w:tr w:rsidR="003E180D" w:rsidTr="0088305C">
        <w:trPr>
          <w:trHeight w:val="330"/>
        </w:trPr>
        <w:tc>
          <w:tcPr>
            <w:tcW w:w="5353" w:type="dxa"/>
            <w:noWrap/>
            <w:hideMark/>
          </w:tcPr>
          <w:p w:rsidR="003E180D" w:rsidRDefault="003E180D" w:rsidP="0088305C">
            <w:pPr>
              <w:pStyle w:val="Caption"/>
              <w:spacing w:line="276" w:lineRule="auto"/>
              <w:jc w:val="both"/>
              <w:rPr>
                <w:b w:val="0"/>
                <w:noProof/>
              </w:rPr>
            </w:pPr>
            <w:r>
              <w:rPr>
                <w:b w:val="0"/>
                <w:noProof/>
              </w:rPr>
              <w:t>Other land transportation services</w:t>
            </w:r>
            <w:r>
              <w:rPr>
                <w:rStyle w:val="FootnoteReference"/>
                <w:b w:val="0"/>
                <w:noProof/>
              </w:rPr>
              <w:footnoteReference w:id="88"/>
            </w:r>
            <w:r>
              <w:rPr>
                <w:b w:val="0"/>
                <w:noProof/>
              </w:rPr>
              <w:t> </w:t>
            </w:r>
          </w:p>
        </w:tc>
        <w:tc>
          <w:tcPr>
            <w:tcW w:w="1559" w:type="dxa"/>
            <w:noWrap/>
            <w:hideMark/>
          </w:tcPr>
          <w:p w:rsidR="003E180D" w:rsidRDefault="003E180D" w:rsidP="0088305C">
            <w:pPr>
              <w:pStyle w:val="Caption"/>
              <w:spacing w:line="276" w:lineRule="auto"/>
              <w:jc w:val="center"/>
              <w:rPr>
                <w:b w:val="0"/>
                <w:noProof/>
              </w:rPr>
            </w:pPr>
            <w:r>
              <w:rPr>
                <w:b w:val="0"/>
                <w:noProof/>
              </w:rPr>
              <w:t>0.46%</w:t>
            </w:r>
          </w:p>
        </w:tc>
        <w:tc>
          <w:tcPr>
            <w:tcW w:w="1418" w:type="dxa"/>
            <w:noWrap/>
            <w:hideMark/>
          </w:tcPr>
          <w:p w:rsidR="003E180D" w:rsidRDefault="003E180D" w:rsidP="0088305C">
            <w:pPr>
              <w:pStyle w:val="Caption"/>
              <w:spacing w:line="276" w:lineRule="auto"/>
              <w:jc w:val="center"/>
              <w:rPr>
                <w:b w:val="0"/>
                <w:noProof/>
              </w:rPr>
            </w:pPr>
            <w:r>
              <w:rPr>
                <w:b w:val="0"/>
                <w:noProof/>
              </w:rPr>
              <w:t>0.77%</w:t>
            </w:r>
          </w:p>
        </w:tc>
      </w:tr>
      <w:tr w:rsidR="003E180D" w:rsidTr="0088305C">
        <w:trPr>
          <w:trHeight w:val="330"/>
        </w:trPr>
        <w:tc>
          <w:tcPr>
            <w:tcW w:w="5353" w:type="dxa"/>
            <w:noWrap/>
            <w:hideMark/>
          </w:tcPr>
          <w:p w:rsidR="003E180D" w:rsidRDefault="003E180D" w:rsidP="0088305C">
            <w:pPr>
              <w:pStyle w:val="Caption"/>
              <w:spacing w:line="276" w:lineRule="auto"/>
              <w:jc w:val="both"/>
              <w:rPr>
                <w:b w:val="0"/>
                <w:noProof/>
              </w:rPr>
            </w:pPr>
            <w:r>
              <w:rPr>
                <w:b w:val="0"/>
                <w:noProof/>
                <w:lang w:val="pt-PT"/>
              </w:rPr>
              <w:t>Mining fossil fuel (no petroleum)</w:t>
            </w:r>
          </w:p>
        </w:tc>
        <w:tc>
          <w:tcPr>
            <w:tcW w:w="1559" w:type="dxa"/>
            <w:noWrap/>
            <w:hideMark/>
          </w:tcPr>
          <w:p w:rsidR="003E180D" w:rsidRDefault="003E180D" w:rsidP="0088305C">
            <w:pPr>
              <w:pStyle w:val="Caption"/>
              <w:spacing w:line="276" w:lineRule="auto"/>
              <w:jc w:val="center"/>
              <w:rPr>
                <w:b w:val="0"/>
                <w:noProof/>
              </w:rPr>
            </w:pPr>
            <w:r>
              <w:rPr>
                <w:b w:val="0"/>
                <w:noProof/>
              </w:rPr>
              <w:t>-0.04%</w:t>
            </w:r>
          </w:p>
        </w:tc>
        <w:tc>
          <w:tcPr>
            <w:tcW w:w="1418" w:type="dxa"/>
            <w:noWrap/>
            <w:hideMark/>
          </w:tcPr>
          <w:p w:rsidR="003E180D" w:rsidRDefault="003E180D" w:rsidP="0088305C">
            <w:pPr>
              <w:pStyle w:val="Caption"/>
              <w:spacing w:line="276" w:lineRule="auto"/>
              <w:jc w:val="center"/>
              <w:rPr>
                <w:b w:val="0"/>
                <w:noProof/>
              </w:rPr>
            </w:pPr>
            <w:r>
              <w:rPr>
                <w:b w:val="0"/>
                <w:noProof/>
              </w:rPr>
              <w:t>-0.07%</w:t>
            </w:r>
          </w:p>
        </w:tc>
      </w:tr>
      <w:tr w:rsidR="003E180D" w:rsidTr="0088305C">
        <w:trPr>
          <w:trHeight w:val="330"/>
        </w:trPr>
        <w:tc>
          <w:tcPr>
            <w:tcW w:w="5353" w:type="dxa"/>
            <w:noWrap/>
            <w:hideMark/>
          </w:tcPr>
          <w:p w:rsidR="003E180D" w:rsidRDefault="003E180D" w:rsidP="0088305C">
            <w:pPr>
              <w:pStyle w:val="Caption"/>
              <w:spacing w:line="276" w:lineRule="auto"/>
              <w:jc w:val="both"/>
              <w:rPr>
                <w:b w:val="0"/>
                <w:noProof/>
              </w:rPr>
            </w:pPr>
            <w:r>
              <w:rPr>
                <w:b w:val="0"/>
                <w:noProof/>
              </w:rPr>
              <w:t>Extraction crude petroleum</w:t>
            </w:r>
          </w:p>
        </w:tc>
        <w:tc>
          <w:tcPr>
            <w:tcW w:w="1559" w:type="dxa"/>
            <w:noWrap/>
            <w:hideMark/>
          </w:tcPr>
          <w:p w:rsidR="003E180D" w:rsidRDefault="003E180D" w:rsidP="0088305C">
            <w:pPr>
              <w:pStyle w:val="Caption"/>
              <w:spacing w:line="276" w:lineRule="auto"/>
              <w:jc w:val="center"/>
              <w:rPr>
                <w:b w:val="0"/>
                <w:noProof/>
              </w:rPr>
            </w:pPr>
            <w:r>
              <w:rPr>
                <w:b w:val="0"/>
                <w:noProof/>
              </w:rPr>
              <w:t>-0.17%</w:t>
            </w:r>
          </w:p>
        </w:tc>
        <w:tc>
          <w:tcPr>
            <w:tcW w:w="1418" w:type="dxa"/>
            <w:noWrap/>
            <w:hideMark/>
          </w:tcPr>
          <w:p w:rsidR="003E180D" w:rsidRDefault="003E180D" w:rsidP="0088305C">
            <w:pPr>
              <w:pStyle w:val="Caption"/>
              <w:spacing w:line="276" w:lineRule="auto"/>
              <w:jc w:val="center"/>
              <w:rPr>
                <w:b w:val="0"/>
                <w:noProof/>
              </w:rPr>
            </w:pPr>
            <w:r>
              <w:rPr>
                <w:b w:val="0"/>
                <w:noProof/>
              </w:rPr>
              <w:t>-0.28%</w:t>
            </w:r>
          </w:p>
        </w:tc>
      </w:tr>
      <w:tr w:rsidR="003E180D" w:rsidTr="0088305C">
        <w:trPr>
          <w:trHeight w:val="330"/>
        </w:trPr>
        <w:tc>
          <w:tcPr>
            <w:tcW w:w="5353" w:type="dxa"/>
            <w:noWrap/>
            <w:hideMark/>
          </w:tcPr>
          <w:p w:rsidR="003E180D" w:rsidRDefault="003E180D" w:rsidP="0088305C">
            <w:pPr>
              <w:pStyle w:val="Caption"/>
              <w:spacing w:line="276" w:lineRule="auto"/>
              <w:jc w:val="both"/>
              <w:rPr>
                <w:b w:val="0"/>
                <w:noProof/>
              </w:rPr>
            </w:pPr>
            <w:r>
              <w:rPr>
                <w:b w:val="0"/>
                <w:noProof/>
              </w:rPr>
              <w:t>Construction</w:t>
            </w:r>
          </w:p>
        </w:tc>
        <w:tc>
          <w:tcPr>
            <w:tcW w:w="1559" w:type="dxa"/>
            <w:noWrap/>
            <w:hideMark/>
          </w:tcPr>
          <w:p w:rsidR="003E180D" w:rsidRDefault="003E180D" w:rsidP="0088305C">
            <w:pPr>
              <w:pStyle w:val="Caption"/>
              <w:spacing w:line="276" w:lineRule="auto"/>
              <w:jc w:val="center"/>
              <w:rPr>
                <w:b w:val="0"/>
                <w:noProof/>
              </w:rPr>
            </w:pPr>
            <w:r>
              <w:rPr>
                <w:b w:val="0"/>
                <w:noProof/>
              </w:rPr>
              <w:t>0.04%</w:t>
            </w:r>
          </w:p>
        </w:tc>
        <w:tc>
          <w:tcPr>
            <w:tcW w:w="1418" w:type="dxa"/>
            <w:noWrap/>
            <w:hideMark/>
          </w:tcPr>
          <w:p w:rsidR="003E180D" w:rsidRDefault="003E180D" w:rsidP="0088305C">
            <w:pPr>
              <w:pStyle w:val="Caption"/>
              <w:spacing w:line="276" w:lineRule="auto"/>
              <w:jc w:val="center"/>
              <w:rPr>
                <w:b w:val="0"/>
                <w:noProof/>
              </w:rPr>
            </w:pPr>
            <w:r>
              <w:rPr>
                <w:b w:val="0"/>
                <w:noProof/>
              </w:rPr>
              <w:t>0.06%</w:t>
            </w:r>
          </w:p>
        </w:tc>
      </w:tr>
      <w:tr w:rsidR="003E180D" w:rsidTr="0088305C">
        <w:trPr>
          <w:trHeight w:val="330"/>
        </w:trPr>
        <w:tc>
          <w:tcPr>
            <w:tcW w:w="5353" w:type="dxa"/>
            <w:noWrap/>
            <w:hideMark/>
          </w:tcPr>
          <w:p w:rsidR="003E180D" w:rsidRDefault="003E180D" w:rsidP="0088305C">
            <w:pPr>
              <w:pStyle w:val="Caption"/>
              <w:spacing w:line="276" w:lineRule="auto"/>
              <w:jc w:val="both"/>
              <w:rPr>
                <w:b w:val="0"/>
                <w:noProof/>
              </w:rPr>
            </w:pPr>
            <w:r>
              <w:rPr>
                <w:b w:val="0"/>
                <w:noProof/>
              </w:rPr>
              <w:t>Sale and maintenance of motor-vehicles</w:t>
            </w:r>
          </w:p>
        </w:tc>
        <w:tc>
          <w:tcPr>
            <w:tcW w:w="1559" w:type="dxa"/>
            <w:noWrap/>
            <w:hideMark/>
          </w:tcPr>
          <w:p w:rsidR="003E180D" w:rsidRDefault="003E180D" w:rsidP="0088305C">
            <w:pPr>
              <w:pStyle w:val="Caption"/>
              <w:spacing w:line="276" w:lineRule="auto"/>
              <w:jc w:val="center"/>
              <w:rPr>
                <w:b w:val="0"/>
                <w:noProof/>
              </w:rPr>
            </w:pPr>
            <w:r>
              <w:rPr>
                <w:b w:val="0"/>
                <w:noProof/>
              </w:rPr>
              <w:t>-0.01%</w:t>
            </w:r>
          </w:p>
        </w:tc>
        <w:tc>
          <w:tcPr>
            <w:tcW w:w="1418" w:type="dxa"/>
            <w:noWrap/>
            <w:hideMark/>
          </w:tcPr>
          <w:p w:rsidR="003E180D" w:rsidRDefault="003E180D" w:rsidP="0088305C">
            <w:pPr>
              <w:pStyle w:val="Caption"/>
              <w:spacing w:line="276" w:lineRule="auto"/>
              <w:jc w:val="center"/>
              <w:rPr>
                <w:b w:val="0"/>
                <w:noProof/>
              </w:rPr>
            </w:pPr>
            <w:r>
              <w:rPr>
                <w:b w:val="0"/>
                <w:noProof/>
              </w:rPr>
              <w:t>-0.02%</w:t>
            </w:r>
          </w:p>
        </w:tc>
      </w:tr>
      <w:tr w:rsidR="003E180D" w:rsidTr="0088305C">
        <w:trPr>
          <w:trHeight w:val="330"/>
        </w:trPr>
        <w:tc>
          <w:tcPr>
            <w:tcW w:w="5353" w:type="dxa"/>
            <w:noWrap/>
            <w:hideMark/>
          </w:tcPr>
          <w:p w:rsidR="003E180D" w:rsidRDefault="003E180D" w:rsidP="0088305C">
            <w:pPr>
              <w:pStyle w:val="Caption"/>
              <w:spacing w:line="276" w:lineRule="auto"/>
              <w:jc w:val="both"/>
              <w:rPr>
                <w:b w:val="0"/>
                <w:noProof/>
              </w:rPr>
            </w:pPr>
            <w:r>
              <w:rPr>
                <w:b w:val="0"/>
                <w:noProof/>
              </w:rPr>
              <w:t>Manufacturing industry (no motor-vehicles)</w:t>
            </w:r>
          </w:p>
        </w:tc>
        <w:tc>
          <w:tcPr>
            <w:tcW w:w="1559" w:type="dxa"/>
            <w:noWrap/>
            <w:hideMark/>
          </w:tcPr>
          <w:p w:rsidR="003E180D" w:rsidRDefault="003E180D" w:rsidP="0088305C">
            <w:pPr>
              <w:pStyle w:val="Caption"/>
              <w:spacing w:line="276" w:lineRule="auto"/>
              <w:jc w:val="center"/>
              <w:rPr>
                <w:b w:val="0"/>
                <w:noProof/>
              </w:rPr>
            </w:pPr>
            <w:r>
              <w:rPr>
                <w:b w:val="0"/>
                <w:noProof/>
              </w:rPr>
              <w:t>0.00%</w:t>
            </w:r>
          </w:p>
        </w:tc>
        <w:tc>
          <w:tcPr>
            <w:tcW w:w="1418" w:type="dxa"/>
            <w:noWrap/>
            <w:hideMark/>
          </w:tcPr>
          <w:p w:rsidR="003E180D" w:rsidRDefault="003E180D" w:rsidP="0088305C">
            <w:pPr>
              <w:pStyle w:val="Caption"/>
              <w:spacing w:line="276" w:lineRule="auto"/>
              <w:jc w:val="center"/>
              <w:rPr>
                <w:b w:val="0"/>
                <w:noProof/>
              </w:rPr>
            </w:pPr>
            <w:r>
              <w:rPr>
                <w:b w:val="0"/>
                <w:noProof/>
              </w:rPr>
              <w:t>0.01%</w:t>
            </w:r>
          </w:p>
        </w:tc>
      </w:tr>
      <w:tr w:rsidR="003E180D" w:rsidTr="0088305C">
        <w:trPr>
          <w:trHeight w:val="330"/>
        </w:trPr>
        <w:tc>
          <w:tcPr>
            <w:tcW w:w="8330" w:type="dxa"/>
            <w:gridSpan w:val="3"/>
            <w:shd w:val="clear" w:color="auto" w:fill="D9D9D9" w:themeFill="background1" w:themeFillShade="D9"/>
            <w:noWrap/>
            <w:hideMark/>
          </w:tcPr>
          <w:p w:rsidR="003E180D" w:rsidRDefault="003E180D" w:rsidP="0088305C">
            <w:pPr>
              <w:pStyle w:val="Caption"/>
              <w:spacing w:after="120"/>
              <w:rPr>
                <w:noProof/>
              </w:rPr>
            </w:pPr>
            <w:r>
              <w:rPr>
                <w:noProof/>
              </w:rPr>
              <w:t>2030 - high cost assumptions</w:t>
            </w:r>
          </w:p>
        </w:tc>
      </w:tr>
      <w:tr w:rsidR="003E180D" w:rsidTr="0088305C">
        <w:trPr>
          <w:trHeight w:val="330"/>
        </w:trPr>
        <w:tc>
          <w:tcPr>
            <w:tcW w:w="5353" w:type="dxa"/>
            <w:noWrap/>
            <w:hideMark/>
          </w:tcPr>
          <w:p w:rsidR="003E180D" w:rsidRDefault="003E180D" w:rsidP="0088305C">
            <w:pPr>
              <w:pStyle w:val="Caption"/>
              <w:spacing w:line="276" w:lineRule="auto"/>
              <w:jc w:val="both"/>
              <w:rPr>
                <w:b w:val="0"/>
                <w:noProof/>
              </w:rPr>
            </w:pPr>
            <w:r>
              <w:rPr>
                <w:b w:val="0"/>
                <w:noProof/>
              </w:rPr>
              <w:t>Manufacturing of refined petroleum products</w:t>
            </w:r>
          </w:p>
        </w:tc>
        <w:tc>
          <w:tcPr>
            <w:tcW w:w="1559" w:type="dxa"/>
            <w:noWrap/>
            <w:hideMark/>
          </w:tcPr>
          <w:p w:rsidR="003E180D" w:rsidRDefault="003E180D" w:rsidP="0088305C">
            <w:pPr>
              <w:pStyle w:val="Caption"/>
              <w:spacing w:line="276" w:lineRule="auto"/>
              <w:jc w:val="center"/>
              <w:rPr>
                <w:b w:val="0"/>
                <w:noProof/>
              </w:rPr>
            </w:pPr>
            <w:r>
              <w:rPr>
                <w:b w:val="0"/>
                <w:noProof/>
              </w:rPr>
              <w:t>-0.30%</w:t>
            </w:r>
          </w:p>
        </w:tc>
        <w:tc>
          <w:tcPr>
            <w:tcW w:w="1418" w:type="dxa"/>
            <w:noWrap/>
            <w:hideMark/>
          </w:tcPr>
          <w:p w:rsidR="003E180D" w:rsidRDefault="003E180D" w:rsidP="0088305C">
            <w:pPr>
              <w:pStyle w:val="Caption"/>
              <w:spacing w:line="276" w:lineRule="auto"/>
              <w:jc w:val="center"/>
              <w:rPr>
                <w:b w:val="0"/>
                <w:noProof/>
              </w:rPr>
            </w:pPr>
            <w:r>
              <w:rPr>
                <w:b w:val="0"/>
                <w:noProof/>
              </w:rPr>
              <w:t>-0.51%</w:t>
            </w:r>
          </w:p>
        </w:tc>
      </w:tr>
      <w:tr w:rsidR="003E180D" w:rsidTr="0088305C">
        <w:trPr>
          <w:trHeight w:val="330"/>
        </w:trPr>
        <w:tc>
          <w:tcPr>
            <w:tcW w:w="5353" w:type="dxa"/>
            <w:noWrap/>
            <w:hideMark/>
          </w:tcPr>
          <w:p w:rsidR="003E180D" w:rsidRDefault="003E180D" w:rsidP="0088305C">
            <w:pPr>
              <w:pStyle w:val="Caption"/>
              <w:spacing w:line="276" w:lineRule="auto"/>
              <w:jc w:val="both"/>
              <w:rPr>
                <w:b w:val="0"/>
                <w:noProof/>
              </w:rPr>
            </w:pPr>
            <w:r>
              <w:rPr>
                <w:b w:val="0"/>
                <w:noProof/>
              </w:rPr>
              <w:t>Manufacturing of motor-vehicles</w:t>
            </w:r>
          </w:p>
        </w:tc>
        <w:tc>
          <w:tcPr>
            <w:tcW w:w="1559" w:type="dxa"/>
            <w:noWrap/>
            <w:hideMark/>
          </w:tcPr>
          <w:p w:rsidR="003E180D" w:rsidRDefault="003E180D" w:rsidP="0088305C">
            <w:pPr>
              <w:pStyle w:val="Caption"/>
              <w:spacing w:line="276" w:lineRule="auto"/>
              <w:jc w:val="center"/>
              <w:rPr>
                <w:b w:val="0"/>
                <w:noProof/>
              </w:rPr>
            </w:pPr>
            <w:r>
              <w:rPr>
                <w:b w:val="0"/>
                <w:noProof/>
              </w:rPr>
              <w:t>0.03%</w:t>
            </w:r>
          </w:p>
        </w:tc>
        <w:tc>
          <w:tcPr>
            <w:tcW w:w="1418" w:type="dxa"/>
            <w:noWrap/>
            <w:hideMark/>
          </w:tcPr>
          <w:p w:rsidR="003E180D" w:rsidRDefault="003E180D" w:rsidP="0088305C">
            <w:pPr>
              <w:pStyle w:val="Caption"/>
              <w:spacing w:line="276" w:lineRule="auto"/>
              <w:jc w:val="center"/>
              <w:rPr>
                <w:b w:val="0"/>
                <w:noProof/>
              </w:rPr>
            </w:pPr>
            <w:r>
              <w:rPr>
                <w:b w:val="0"/>
                <w:noProof/>
              </w:rPr>
              <w:t>0.05%</w:t>
            </w:r>
          </w:p>
        </w:tc>
      </w:tr>
      <w:tr w:rsidR="003E180D" w:rsidTr="0088305C">
        <w:trPr>
          <w:trHeight w:val="330"/>
        </w:trPr>
        <w:tc>
          <w:tcPr>
            <w:tcW w:w="5353" w:type="dxa"/>
            <w:noWrap/>
            <w:hideMark/>
          </w:tcPr>
          <w:p w:rsidR="003E180D" w:rsidRDefault="003E180D" w:rsidP="0088305C">
            <w:pPr>
              <w:pStyle w:val="Caption"/>
              <w:spacing w:line="276" w:lineRule="auto"/>
              <w:jc w:val="both"/>
              <w:rPr>
                <w:b w:val="0"/>
                <w:noProof/>
              </w:rPr>
            </w:pPr>
            <w:r>
              <w:rPr>
                <w:b w:val="0"/>
                <w:noProof/>
              </w:rPr>
              <w:t>Transportation services</w:t>
            </w:r>
          </w:p>
        </w:tc>
        <w:tc>
          <w:tcPr>
            <w:tcW w:w="1559" w:type="dxa"/>
            <w:noWrap/>
            <w:hideMark/>
          </w:tcPr>
          <w:p w:rsidR="003E180D" w:rsidRDefault="003E180D" w:rsidP="0088305C">
            <w:pPr>
              <w:pStyle w:val="Caption"/>
              <w:spacing w:line="276" w:lineRule="auto"/>
              <w:jc w:val="center"/>
              <w:rPr>
                <w:b w:val="0"/>
                <w:noProof/>
              </w:rPr>
            </w:pPr>
            <w:r>
              <w:rPr>
                <w:b w:val="0"/>
                <w:noProof/>
              </w:rPr>
              <w:t>0.24%</w:t>
            </w:r>
          </w:p>
        </w:tc>
        <w:tc>
          <w:tcPr>
            <w:tcW w:w="1418" w:type="dxa"/>
            <w:noWrap/>
            <w:hideMark/>
          </w:tcPr>
          <w:p w:rsidR="003E180D" w:rsidRDefault="003E180D" w:rsidP="0088305C">
            <w:pPr>
              <w:pStyle w:val="Caption"/>
              <w:spacing w:line="276" w:lineRule="auto"/>
              <w:jc w:val="center"/>
              <w:rPr>
                <w:b w:val="0"/>
                <w:noProof/>
              </w:rPr>
            </w:pPr>
            <w:r>
              <w:rPr>
                <w:b w:val="0"/>
                <w:noProof/>
              </w:rPr>
              <w:t>0.44%</w:t>
            </w:r>
          </w:p>
        </w:tc>
      </w:tr>
      <w:tr w:rsidR="003E180D" w:rsidTr="0088305C">
        <w:trPr>
          <w:trHeight w:val="330"/>
        </w:trPr>
        <w:tc>
          <w:tcPr>
            <w:tcW w:w="5353" w:type="dxa"/>
            <w:noWrap/>
            <w:hideMark/>
          </w:tcPr>
          <w:p w:rsidR="003E180D" w:rsidRDefault="003E180D" w:rsidP="0088305C">
            <w:pPr>
              <w:pStyle w:val="Caption"/>
              <w:spacing w:line="276" w:lineRule="auto"/>
              <w:jc w:val="both"/>
              <w:rPr>
                <w:b w:val="0"/>
                <w:noProof/>
              </w:rPr>
            </w:pPr>
            <w:r>
              <w:rPr>
                <w:b w:val="0"/>
                <w:noProof/>
              </w:rPr>
              <w:t>Other land transportation services</w:t>
            </w:r>
          </w:p>
        </w:tc>
        <w:tc>
          <w:tcPr>
            <w:tcW w:w="1559" w:type="dxa"/>
            <w:noWrap/>
            <w:hideMark/>
          </w:tcPr>
          <w:p w:rsidR="003E180D" w:rsidRDefault="003E180D" w:rsidP="0088305C">
            <w:pPr>
              <w:pStyle w:val="Caption"/>
              <w:spacing w:line="276" w:lineRule="auto"/>
              <w:jc w:val="center"/>
              <w:rPr>
                <w:b w:val="0"/>
                <w:noProof/>
              </w:rPr>
            </w:pPr>
            <w:r>
              <w:rPr>
                <w:b w:val="0"/>
                <w:noProof/>
              </w:rPr>
              <w:t>1.46%</w:t>
            </w:r>
          </w:p>
        </w:tc>
        <w:tc>
          <w:tcPr>
            <w:tcW w:w="1418" w:type="dxa"/>
            <w:noWrap/>
            <w:hideMark/>
          </w:tcPr>
          <w:p w:rsidR="003E180D" w:rsidRDefault="003E180D" w:rsidP="0088305C">
            <w:pPr>
              <w:pStyle w:val="Caption"/>
              <w:spacing w:line="276" w:lineRule="auto"/>
              <w:jc w:val="center"/>
              <w:rPr>
                <w:b w:val="0"/>
                <w:noProof/>
              </w:rPr>
            </w:pPr>
            <w:r>
              <w:rPr>
                <w:b w:val="0"/>
                <w:noProof/>
              </w:rPr>
              <w:t>2.67%</w:t>
            </w:r>
          </w:p>
        </w:tc>
      </w:tr>
      <w:tr w:rsidR="003E180D" w:rsidTr="0088305C">
        <w:trPr>
          <w:trHeight w:val="330"/>
        </w:trPr>
        <w:tc>
          <w:tcPr>
            <w:tcW w:w="5353" w:type="dxa"/>
            <w:noWrap/>
            <w:hideMark/>
          </w:tcPr>
          <w:p w:rsidR="003E180D" w:rsidRDefault="003E180D" w:rsidP="0088305C">
            <w:pPr>
              <w:pStyle w:val="Caption"/>
              <w:spacing w:line="276" w:lineRule="auto"/>
              <w:jc w:val="both"/>
              <w:rPr>
                <w:b w:val="0"/>
                <w:noProof/>
              </w:rPr>
            </w:pPr>
            <w:r>
              <w:rPr>
                <w:b w:val="0"/>
                <w:noProof/>
                <w:lang w:val="pt-PT"/>
              </w:rPr>
              <w:t>Mining fossil fuel (no petroleum)</w:t>
            </w:r>
          </w:p>
        </w:tc>
        <w:tc>
          <w:tcPr>
            <w:tcW w:w="1559" w:type="dxa"/>
            <w:noWrap/>
            <w:hideMark/>
          </w:tcPr>
          <w:p w:rsidR="003E180D" w:rsidRDefault="003E180D" w:rsidP="0088305C">
            <w:pPr>
              <w:pStyle w:val="Caption"/>
              <w:spacing w:line="276" w:lineRule="auto"/>
              <w:jc w:val="center"/>
              <w:rPr>
                <w:b w:val="0"/>
                <w:noProof/>
              </w:rPr>
            </w:pPr>
            <w:r>
              <w:rPr>
                <w:b w:val="0"/>
                <w:noProof/>
              </w:rPr>
              <w:t>-0.12%</w:t>
            </w:r>
          </w:p>
        </w:tc>
        <w:tc>
          <w:tcPr>
            <w:tcW w:w="1418" w:type="dxa"/>
            <w:noWrap/>
            <w:hideMark/>
          </w:tcPr>
          <w:p w:rsidR="003E180D" w:rsidRDefault="003E180D" w:rsidP="0088305C">
            <w:pPr>
              <w:pStyle w:val="Caption"/>
              <w:spacing w:line="276" w:lineRule="auto"/>
              <w:jc w:val="center"/>
              <w:rPr>
                <w:b w:val="0"/>
                <w:noProof/>
              </w:rPr>
            </w:pPr>
            <w:r>
              <w:rPr>
                <w:b w:val="0"/>
                <w:noProof/>
              </w:rPr>
              <w:t>-0.20%</w:t>
            </w:r>
          </w:p>
        </w:tc>
      </w:tr>
      <w:tr w:rsidR="003E180D" w:rsidTr="0088305C">
        <w:trPr>
          <w:trHeight w:val="330"/>
        </w:trPr>
        <w:tc>
          <w:tcPr>
            <w:tcW w:w="5353" w:type="dxa"/>
            <w:noWrap/>
            <w:hideMark/>
          </w:tcPr>
          <w:p w:rsidR="003E180D" w:rsidRDefault="003E180D" w:rsidP="0088305C">
            <w:pPr>
              <w:pStyle w:val="Caption"/>
              <w:spacing w:line="276" w:lineRule="auto"/>
              <w:jc w:val="both"/>
              <w:rPr>
                <w:b w:val="0"/>
                <w:noProof/>
              </w:rPr>
            </w:pPr>
            <w:r>
              <w:rPr>
                <w:b w:val="0"/>
                <w:noProof/>
              </w:rPr>
              <w:t>Extraction crude petroleum</w:t>
            </w:r>
          </w:p>
        </w:tc>
        <w:tc>
          <w:tcPr>
            <w:tcW w:w="1559" w:type="dxa"/>
            <w:noWrap/>
            <w:hideMark/>
          </w:tcPr>
          <w:p w:rsidR="003E180D" w:rsidRDefault="003E180D" w:rsidP="0088305C">
            <w:pPr>
              <w:pStyle w:val="Caption"/>
              <w:spacing w:line="276" w:lineRule="auto"/>
              <w:jc w:val="center"/>
              <w:rPr>
                <w:b w:val="0"/>
                <w:noProof/>
              </w:rPr>
            </w:pPr>
            <w:r>
              <w:rPr>
                <w:b w:val="0"/>
                <w:noProof/>
              </w:rPr>
              <w:t>-0.44%</w:t>
            </w:r>
          </w:p>
        </w:tc>
        <w:tc>
          <w:tcPr>
            <w:tcW w:w="1418" w:type="dxa"/>
            <w:noWrap/>
            <w:hideMark/>
          </w:tcPr>
          <w:p w:rsidR="003E180D" w:rsidRDefault="003E180D" w:rsidP="0088305C">
            <w:pPr>
              <w:pStyle w:val="Caption"/>
              <w:spacing w:line="276" w:lineRule="auto"/>
              <w:jc w:val="center"/>
              <w:rPr>
                <w:b w:val="0"/>
                <w:noProof/>
              </w:rPr>
            </w:pPr>
            <w:r>
              <w:rPr>
                <w:b w:val="0"/>
                <w:noProof/>
              </w:rPr>
              <w:t>-0.77%</w:t>
            </w:r>
          </w:p>
        </w:tc>
      </w:tr>
      <w:tr w:rsidR="003E180D" w:rsidTr="0088305C">
        <w:trPr>
          <w:trHeight w:val="330"/>
        </w:trPr>
        <w:tc>
          <w:tcPr>
            <w:tcW w:w="5353" w:type="dxa"/>
            <w:noWrap/>
            <w:hideMark/>
          </w:tcPr>
          <w:p w:rsidR="003E180D" w:rsidRDefault="003E180D" w:rsidP="0088305C">
            <w:pPr>
              <w:pStyle w:val="Caption"/>
              <w:spacing w:line="276" w:lineRule="auto"/>
              <w:jc w:val="both"/>
              <w:rPr>
                <w:b w:val="0"/>
                <w:noProof/>
              </w:rPr>
            </w:pPr>
            <w:r>
              <w:rPr>
                <w:b w:val="0"/>
                <w:noProof/>
              </w:rPr>
              <w:t>Construction</w:t>
            </w:r>
          </w:p>
        </w:tc>
        <w:tc>
          <w:tcPr>
            <w:tcW w:w="1559" w:type="dxa"/>
            <w:noWrap/>
            <w:hideMark/>
          </w:tcPr>
          <w:p w:rsidR="003E180D" w:rsidRDefault="003E180D" w:rsidP="0088305C">
            <w:pPr>
              <w:pStyle w:val="Caption"/>
              <w:spacing w:line="276" w:lineRule="auto"/>
              <w:jc w:val="center"/>
              <w:rPr>
                <w:b w:val="0"/>
                <w:noProof/>
              </w:rPr>
            </w:pPr>
            <w:r>
              <w:rPr>
                <w:b w:val="0"/>
                <w:noProof/>
              </w:rPr>
              <w:t>0.10%</w:t>
            </w:r>
          </w:p>
        </w:tc>
        <w:tc>
          <w:tcPr>
            <w:tcW w:w="1418" w:type="dxa"/>
            <w:noWrap/>
            <w:hideMark/>
          </w:tcPr>
          <w:p w:rsidR="003E180D" w:rsidRDefault="003E180D" w:rsidP="0088305C">
            <w:pPr>
              <w:pStyle w:val="Caption"/>
              <w:spacing w:line="276" w:lineRule="auto"/>
              <w:jc w:val="center"/>
              <w:rPr>
                <w:b w:val="0"/>
                <w:noProof/>
              </w:rPr>
            </w:pPr>
            <w:r>
              <w:rPr>
                <w:b w:val="0"/>
                <w:noProof/>
              </w:rPr>
              <w:t>0.19%</w:t>
            </w:r>
          </w:p>
        </w:tc>
      </w:tr>
      <w:tr w:rsidR="003E180D" w:rsidTr="0088305C">
        <w:trPr>
          <w:trHeight w:val="330"/>
        </w:trPr>
        <w:tc>
          <w:tcPr>
            <w:tcW w:w="5353" w:type="dxa"/>
            <w:noWrap/>
            <w:hideMark/>
          </w:tcPr>
          <w:p w:rsidR="003E180D" w:rsidRDefault="003E180D" w:rsidP="0088305C">
            <w:pPr>
              <w:pStyle w:val="Caption"/>
              <w:spacing w:line="276" w:lineRule="auto"/>
              <w:jc w:val="both"/>
              <w:rPr>
                <w:b w:val="0"/>
                <w:noProof/>
              </w:rPr>
            </w:pPr>
            <w:r>
              <w:rPr>
                <w:b w:val="0"/>
                <w:noProof/>
              </w:rPr>
              <w:t>Sale and maintenance of motor-vehicles</w:t>
            </w:r>
          </w:p>
        </w:tc>
        <w:tc>
          <w:tcPr>
            <w:tcW w:w="1559" w:type="dxa"/>
            <w:noWrap/>
            <w:hideMark/>
          </w:tcPr>
          <w:p w:rsidR="003E180D" w:rsidRDefault="003E180D" w:rsidP="0088305C">
            <w:pPr>
              <w:pStyle w:val="Caption"/>
              <w:spacing w:line="276" w:lineRule="auto"/>
              <w:jc w:val="center"/>
              <w:rPr>
                <w:b w:val="0"/>
                <w:noProof/>
              </w:rPr>
            </w:pPr>
            <w:r>
              <w:rPr>
                <w:b w:val="0"/>
                <w:noProof/>
              </w:rPr>
              <w:t>-0.05%</w:t>
            </w:r>
          </w:p>
        </w:tc>
        <w:tc>
          <w:tcPr>
            <w:tcW w:w="1418" w:type="dxa"/>
            <w:noWrap/>
            <w:hideMark/>
          </w:tcPr>
          <w:p w:rsidR="003E180D" w:rsidRDefault="003E180D" w:rsidP="0088305C">
            <w:pPr>
              <w:pStyle w:val="Caption"/>
              <w:spacing w:line="276" w:lineRule="auto"/>
              <w:jc w:val="center"/>
              <w:rPr>
                <w:b w:val="0"/>
                <w:noProof/>
              </w:rPr>
            </w:pPr>
            <w:r>
              <w:rPr>
                <w:b w:val="0"/>
                <w:noProof/>
              </w:rPr>
              <w:t>-0.05%</w:t>
            </w:r>
          </w:p>
        </w:tc>
      </w:tr>
      <w:tr w:rsidR="003E180D" w:rsidTr="0088305C">
        <w:trPr>
          <w:trHeight w:val="330"/>
        </w:trPr>
        <w:tc>
          <w:tcPr>
            <w:tcW w:w="5353" w:type="dxa"/>
            <w:noWrap/>
            <w:hideMark/>
          </w:tcPr>
          <w:p w:rsidR="003E180D" w:rsidRDefault="003E180D" w:rsidP="0088305C">
            <w:pPr>
              <w:pStyle w:val="Caption"/>
              <w:spacing w:line="276" w:lineRule="auto"/>
              <w:jc w:val="both"/>
              <w:rPr>
                <w:b w:val="0"/>
                <w:noProof/>
              </w:rPr>
            </w:pPr>
            <w:r>
              <w:rPr>
                <w:b w:val="0"/>
                <w:noProof/>
              </w:rPr>
              <w:t>Manufacturing industry (no motor-vehicles)</w:t>
            </w:r>
          </w:p>
        </w:tc>
        <w:tc>
          <w:tcPr>
            <w:tcW w:w="1559" w:type="dxa"/>
            <w:noWrap/>
            <w:hideMark/>
          </w:tcPr>
          <w:p w:rsidR="003E180D" w:rsidRDefault="003E180D" w:rsidP="0088305C">
            <w:pPr>
              <w:pStyle w:val="Caption"/>
              <w:spacing w:line="276" w:lineRule="auto"/>
              <w:jc w:val="center"/>
              <w:rPr>
                <w:b w:val="0"/>
                <w:noProof/>
              </w:rPr>
            </w:pPr>
            <w:r>
              <w:rPr>
                <w:b w:val="0"/>
                <w:noProof/>
              </w:rPr>
              <w:t>0.00%</w:t>
            </w:r>
          </w:p>
        </w:tc>
        <w:tc>
          <w:tcPr>
            <w:tcW w:w="1418" w:type="dxa"/>
            <w:noWrap/>
            <w:hideMark/>
          </w:tcPr>
          <w:p w:rsidR="003E180D" w:rsidRDefault="003E180D" w:rsidP="0088305C">
            <w:pPr>
              <w:pStyle w:val="Caption"/>
              <w:spacing w:line="276" w:lineRule="auto"/>
              <w:jc w:val="center"/>
              <w:rPr>
                <w:b w:val="0"/>
                <w:noProof/>
              </w:rPr>
            </w:pPr>
            <w:r>
              <w:rPr>
                <w:b w:val="0"/>
                <w:noProof/>
              </w:rPr>
              <w:t>0.01%</w:t>
            </w:r>
          </w:p>
        </w:tc>
      </w:tr>
    </w:tbl>
    <w:p w:rsidR="003E180D" w:rsidRDefault="003E180D" w:rsidP="003E180D">
      <w:pPr>
        <w:pStyle w:val="Heading2"/>
        <w:numPr>
          <w:ilvl w:val="1"/>
          <w:numId w:val="22"/>
        </w:numPr>
        <w:spacing w:before="240" w:after="240"/>
        <w:rPr>
          <w:noProof/>
        </w:rPr>
      </w:pPr>
      <w:bookmarkStart w:id="842" w:name="_Toc508124812"/>
      <w:bookmarkStart w:id="843" w:name="_Toc508126176"/>
      <w:bookmarkStart w:id="844" w:name="_Toc508127547"/>
      <w:bookmarkStart w:id="845" w:name="_Toc508127900"/>
      <w:bookmarkStart w:id="846" w:name="_Toc508129694"/>
      <w:bookmarkStart w:id="847" w:name="_Toc508181068"/>
      <w:bookmarkStart w:id="848" w:name="_Toc508186659"/>
      <w:bookmarkStart w:id="849" w:name="_Toc510708142"/>
      <w:bookmarkStart w:id="850" w:name="_Toc514328839"/>
      <w:r>
        <w:rPr>
          <w:noProof/>
        </w:rPr>
        <w:t>Environmental impacts of different target level options: CO</w:t>
      </w:r>
      <w:r>
        <w:rPr>
          <w:noProof/>
          <w:vertAlign w:val="subscript"/>
        </w:rPr>
        <w:t>2</w:t>
      </w:r>
      <w:r>
        <w:rPr>
          <w:noProof/>
        </w:rPr>
        <w:t xml:space="preserve"> emissions and air pollutant emissions</w:t>
      </w:r>
      <w:bookmarkEnd w:id="842"/>
      <w:bookmarkEnd w:id="843"/>
      <w:bookmarkEnd w:id="844"/>
      <w:bookmarkEnd w:id="845"/>
      <w:bookmarkEnd w:id="846"/>
      <w:bookmarkEnd w:id="847"/>
      <w:bookmarkEnd w:id="848"/>
      <w:bookmarkEnd w:id="849"/>
      <w:bookmarkEnd w:id="850"/>
    </w:p>
    <w:p w:rsidR="003E180D" w:rsidRDefault="003E180D" w:rsidP="003E180D">
      <w:pPr>
        <w:pStyle w:val="Caption"/>
        <w:keepNext/>
        <w:jc w:val="both"/>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19</w:t>
      </w:r>
      <w:r>
        <w:rPr>
          <w:noProof/>
        </w:rPr>
        <w:fldChar w:fldCharType="end"/>
      </w:r>
      <w:r>
        <w:rPr>
          <w:noProof/>
        </w:rPr>
        <w:t>: Cumulative reduction (kt) compared to the baseline over the period 2020-2035 of HDV CO</w:t>
      </w:r>
      <w:r>
        <w:rPr>
          <w:noProof/>
          <w:vertAlign w:val="subscript"/>
        </w:rPr>
        <w:t>2</w:t>
      </w:r>
      <w:r>
        <w:rPr>
          <w:noProof/>
        </w:rPr>
        <w:t xml:space="preserve"> emissions for EU-28 using the base cost assumptions</w:t>
      </w:r>
    </w:p>
    <w:p w:rsidR="003E180D" w:rsidRDefault="003E180D" w:rsidP="003E180D">
      <w:pPr>
        <w:pStyle w:val="Text2"/>
        <w:rPr>
          <w:noProof/>
        </w:rPr>
      </w:pPr>
      <w:r>
        <w:rPr>
          <w:noProof/>
          <w:lang w:eastAsia="en-GB"/>
        </w:rPr>
        <w:drawing>
          <wp:inline distT="0" distB="0" distL="0" distR="0" wp14:anchorId="735E0EE6" wp14:editId="7A6E8A4F">
            <wp:extent cx="3895725" cy="2341245"/>
            <wp:effectExtent l="19050" t="19050" r="28575"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95725" cy="2341245"/>
                    </a:xfrm>
                    <a:prstGeom prst="rect">
                      <a:avLst/>
                    </a:prstGeom>
                    <a:noFill/>
                    <a:ln>
                      <a:solidFill>
                        <a:schemeClr val="tx1"/>
                      </a:solidFill>
                    </a:ln>
                  </pic:spPr>
                </pic:pic>
              </a:graphicData>
            </a:graphic>
          </wp:inline>
        </w:drawing>
      </w:r>
    </w:p>
    <w:p w:rsidR="003E180D" w:rsidRDefault="003E180D" w:rsidP="003E180D">
      <w:pPr>
        <w:pStyle w:val="Caption"/>
        <w:keepNext/>
        <w:spacing w:before="240" w:after="120"/>
        <w:jc w:val="both"/>
        <w:rPr>
          <w:noProof/>
        </w:rPr>
      </w:pPr>
      <w:bookmarkStart w:id="851" w:name="_Ref508024865"/>
      <w:r>
        <w:rPr>
          <w:noProof/>
        </w:rPr>
        <w:t xml:space="preserve">Table </w:t>
      </w:r>
      <w:r>
        <w:rPr>
          <w:noProof/>
        </w:rPr>
        <w:fldChar w:fldCharType="begin"/>
      </w:r>
      <w:r>
        <w:rPr>
          <w:noProof/>
        </w:rPr>
        <w:instrText xml:space="preserve"> SEQ Table \* ARABIC </w:instrText>
      </w:r>
      <w:r>
        <w:rPr>
          <w:noProof/>
        </w:rPr>
        <w:fldChar w:fldCharType="separate"/>
      </w:r>
      <w:r>
        <w:rPr>
          <w:noProof/>
        </w:rPr>
        <w:t>29</w:t>
      </w:r>
      <w:r>
        <w:rPr>
          <w:noProof/>
        </w:rPr>
        <w:fldChar w:fldCharType="end"/>
      </w:r>
      <w:bookmarkEnd w:id="851"/>
      <w:r>
        <w:rPr>
          <w:noProof/>
        </w:rPr>
        <w:t>: NO</w:t>
      </w:r>
      <w:r>
        <w:rPr>
          <w:noProof/>
          <w:vertAlign w:val="subscript"/>
        </w:rPr>
        <w:t>x</w:t>
      </w:r>
      <w:r>
        <w:rPr>
          <w:noProof/>
        </w:rPr>
        <w:t xml:space="preserve"> and PM</w:t>
      </w:r>
      <w:r>
        <w:rPr>
          <w:noProof/>
          <w:vertAlign w:val="subscript"/>
        </w:rPr>
        <w:t>2.5</w:t>
      </w:r>
      <w:r>
        <w:rPr>
          <w:noProof/>
        </w:rPr>
        <w:t xml:space="preserve"> emissions of road transport in EU-28: % reduction compared to the baseline using the base cost assumptions</w:t>
      </w:r>
    </w:p>
    <w:tbl>
      <w:tblPr>
        <w:tblW w:w="36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1211"/>
        <w:gridCol w:w="1212"/>
        <w:gridCol w:w="1212"/>
        <w:gridCol w:w="1211"/>
      </w:tblGrid>
      <w:tr w:rsidR="003E180D" w:rsidTr="0088305C">
        <w:trPr>
          <w:trHeight w:val="264"/>
          <w:jc w:val="center"/>
        </w:trPr>
        <w:tc>
          <w:tcPr>
            <w:tcW w:w="1230" w:type="pct"/>
          </w:tcPr>
          <w:p w:rsidR="003E180D" w:rsidRDefault="003E180D" w:rsidP="0088305C">
            <w:pPr>
              <w:spacing w:after="60"/>
              <w:rPr>
                <w:rFonts w:cs="Times New Roman"/>
                <w:b/>
                <w:noProof/>
                <w:szCs w:val="24"/>
              </w:rPr>
            </w:pPr>
          </w:p>
        </w:tc>
        <w:tc>
          <w:tcPr>
            <w:tcW w:w="1885" w:type="pct"/>
            <w:gridSpan w:val="2"/>
          </w:tcPr>
          <w:p w:rsidR="003E180D" w:rsidRDefault="003E180D" w:rsidP="0088305C">
            <w:pPr>
              <w:spacing w:after="60"/>
              <w:jc w:val="center"/>
              <w:rPr>
                <w:rFonts w:cs="Times New Roman"/>
                <w:noProof/>
                <w:szCs w:val="24"/>
              </w:rPr>
            </w:pPr>
            <w:r>
              <w:rPr>
                <w:rFonts w:cs="Times New Roman"/>
                <w:b/>
                <w:noProof/>
                <w:szCs w:val="24"/>
              </w:rPr>
              <w:t>NO</w:t>
            </w:r>
            <w:r>
              <w:rPr>
                <w:rFonts w:cs="Times New Roman"/>
                <w:b/>
                <w:noProof/>
                <w:szCs w:val="24"/>
                <w:vertAlign w:val="subscript"/>
              </w:rPr>
              <w:t>x</w:t>
            </w:r>
            <w:r>
              <w:rPr>
                <w:rFonts w:cs="Times New Roman"/>
                <w:b/>
                <w:noProof/>
                <w:szCs w:val="24"/>
              </w:rPr>
              <w:t xml:space="preserve"> emissions</w:t>
            </w:r>
          </w:p>
        </w:tc>
        <w:tc>
          <w:tcPr>
            <w:tcW w:w="1885" w:type="pct"/>
            <w:gridSpan w:val="2"/>
          </w:tcPr>
          <w:p w:rsidR="003E180D" w:rsidRDefault="003E180D" w:rsidP="0088305C">
            <w:pPr>
              <w:spacing w:after="60"/>
              <w:jc w:val="center"/>
              <w:rPr>
                <w:rFonts w:cs="Times New Roman"/>
                <w:noProof/>
                <w:szCs w:val="24"/>
              </w:rPr>
            </w:pPr>
            <w:r>
              <w:rPr>
                <w:rFonts w:cs="Times New Roman"/>
                <w:b/>
                <w:noProof/>
                <w:szCs w:val="24"/>
              </w:rPr>
              <w:t>PM</w:t>
            </w:r>
            <w:r>
              <w:rPr>
                <w:rFonts w:cs="Times New Roman"/>
                <w:b/>
                <w:noProof/>
                <w:szCs w:val="24"/>
                <w:vertAlign w:val="subscript"/>
              </w:rPr>
              <w:t>2.5</w:t>
            </w:r>
            <w:r>
              <w:rPr>
                <w:rFonts w:cs="Times New Roman"/>
                <w:b/>
                <w:noProof/>
                <w:szCs w:val="24"/>
              </w:rPr>
              <w:t xml:space="preserve"> emissions</w:t>
            </w:r>
          </w:p>
        </w:tc>
      </w:tr>
      <w:tr w:rsidR="003E180D" w:rsidTr="0088305C">
        <w:trPr>
          <w:trHeight w:val="264"/>
          <w:jc w:val="center"/>
        </w:trPr>
        <w:tc>
          <w:tcPr>
            <w:tcW w:w="1230" w:type="pct"/>
          </w:tcPr>
          <w:p w:rsidR="003E180D" w:rsidRDefault="003E180D" w:rsidP="0088305C">
            <w:pPr>
              <w:spacing w:after="60"/>
              <w:rPr>
                <w:rFonts w:cs="Times New Roman"/>
                <w:b/>
                <w:noProof/>
                <w:szCs w:val="24"/>
              </w:rPr>
            </w:pPr>
          </w:p>
        </w:tc>
        <w:tc>
          <w:tcPr>
            <w:tcW w:w="942" w:type="pct"/>
          </w:tcPr>
          <w:p w:rsidR="003E180D" w:rsidRDefault="003E180D" w:rsidP="0088305C">
            <w:pPr>
              <w:spacing w:after="60"/>
              <w:jc w:val="center"/>
              <w:rPr>
                <w:rFonts w:cs="Times New Roman"/>
                <w:b/>
                <w:noProof/>
                <w:szCs w:val="24"/>
              </w:rPr>
            </w:pPr>
            <w:r>
              <w:rPr>
                <w:rFonts w:cs="Times New Roman"/>
                <w:b/>
                <w:noProof/>
                <w:szCs w:val="24"/>
              </w:rPr>
              <w:t>2025</w:t>
            </w:r>
          </w:p>
        </w:tc>
        <w:tc>
          <w:tcPr>
            <w:tcW w:w="943" w:type="pct"/>
          </w:tcPr>
          <w:p w:rsidR="003E180D" w:rsidRDefault="003E180D" w:rsidP="0088305C">
            <w:pPr>
              <w:spacing w:after="60"/>
              <w:jc w:val="center"/>
              <w:rPr>
                <w:rFonts w:cs="Times New Roman"/>
                <w:b/>
                <w:noProof/>
                <w:szCs w:val="24"/>
              </w:rPr>
            </w:pPr>
            <w:r>
              <w:rPr>
                <w:rFonts w:cs="Times New Roman"/>
                <w:b/>
                <w:noProof/>
                <w:szCs w:val="24"/>
              </w:rPr>
              <w:t>2030</w:t>
            </w:r>
          </w:p>
        </w:tc>
        <w:tc>
          <w:tcPr>
            <w:tcW w:w="943" w:type="pct"/>
          </w:tcPr>
          <w:p w:rsidR="003E180D" w:rsidRDefault="003E180D" w:rsidP="0088305C">
            <w:pPr>
              <w:spacing w:after="60"/>
              <w:jc w:val="center"/>
              <w:rPr>
                <w:rFonts w:cs="Times New Roman"/>
                <w:b/>
                <w:noProof/>
                <w:szCs w:val="24"/>
              </w:rPr>
            </w:pPr>
            <w:r>
              <w:rPr>
                <w:rFonts w:cs="Times New Roman"/>
                <w:b/>
                <w:noProof/>
                <w:szCs w:val="24"/>
              </w:rPr>
              <w:t>2025</w:t>
            </w:r>
          </w:p>
        </w:tc>
        <w:tc>
          <w:tcPr>
            <w:tcW w:w="942" w:type="pct"/>
          </w:tcPr>
          <w:p w:rsidR="003E180D" w:rsidRDefault="003E180D" w:rsidP="0088305C">
            <w:pPr>
              <w:spacing w:after="60"/>
              <w:jc w:val="center"/>
              <w:rPr>
                <w:rFonts w:cs="Times New Roman"/>
                <w:b/>
                <w:noProof/>
                <w:szCs w:val="24"/>
              </w:rPr>
            </w:pPr>
            <w:r>
              <w:rPr>
                <w:rFonts w:cs="Times New Roman"/>
                <w:b/>
                <w:noProof/>
                <w:szCs w:val="24"/>
              </w:rPr>
              <w:t>2030</w:t>
            </w:r>
          </w:p>
        </w:tc>
      </w:tr>
      <w:tr w:rsidR="003E180D" w:rsidTr="0088305C">
        <w:trPr>
          <w:trHeight w:val="264"/>
          <w:jc w:val="center"/>
        </w:trPr>
        <w:tc>
          <w:tcPr>
            <w:tcW w:w="1230" w:type="pct"/>
          </w:tcPr>
          <w:p w:rsidR="003E180D" w:rsidRDefault="003E180D" w:rsidP="0088305C">
            <w:pPr>
              <w:spacing w:after="60"/>
              <w:rPr>
                <w:rFonts w:cs="Times New Roman"/>
                <w:b/>
                <w:noProof/>
                <w:szCs w:val="24"/>
              </w:rPr>
            </w:pPr>
            <w:r>
              <w:rPr>
                <w:rFonts w:cs="Times New Roman"/>
                <w:b/>
                <w:noProof/>
                <w:szCs w:val="24"/>
              </w:rPr>
              <w:t>TL20</w:t>
            </w:r>
          </w:p>
        </w:tc>
        <w:tc>
          <w:tcPr>
            <w:tcW w:w="942" w:type="pct"/>
          </w:tcPr>
          <w:p w:rsidR="003E180D" w:rsidRDefault="003E180D" w:rsidP="0088305C">
            <w:pPr>
              <w:spacing w:after="60"/>
              <w:jc w:val="center"/>
              <w:rPr>
                <w:rFonts w:cs="Times New Roman"/>
                <w:b/>
                <w:noProof/>
                <w:szCs w:val="24"/>
              </w:rPr>
            </w:pPr>
            <w:r>
              <w:rPr>
                <w:rFonts w:cs="Times New Roman"/>
                <w:noProof/>
                <w:szCs w:val="24"/>
              </w:rPr>
              <w:t>-0.3%</w:t>
            </w:r>
          </w:p>
        </w:tc>
        <w:tc>
          <w:tcPr>
            <w:tcW w:w="943" w:type="pct"/>
          </w:tcPr>
          <w:p w:rsidR="003E180D" w:rsidRDefault="003E180D" w:rsidP="0088305C">
            <w:pPr>
              <w:spacing w:after="60"/>
              <w:jc w:val="center"/>
              <w:rPr>
                <w:rFonts w:cs="Times New Roman"/>
                <w:b/>
                <w:noProof/>
                <w:szCs w:val="24"/>
              </w:rPr>
            </w:pPr>
            <w:r>
              <w:rPr>
                <w:rFonts w:cs="Times New Roman"/>
                <w:noProof/>
                <w:szCs w:val="24"/>
              </w:rPr>
              <w:t>-1.3%</w:t>
            </w:r>
          </w:p>
        </w:tc>
        <w:tc>
          <w:tcPr>
            <w:tcW w:w="943" w:type="pct"/>
          </w:tcPr>
          <w:p w:rsidR="003E180D" w:rsidRDefault="003E180D" w:rsidP="0088305C">
            <w:pPr>
              <w:spacing w:after="60"/>
              <w:jc w:val="center"/>
              <w:rPr>
                <w:rFonts w:cs="Times New Roman"/>
                <w:noProof/>
                <w:szCs w:val="24"/>
              </w:rPr>
            </w:pPr>
            <w:r>
              <w:rPr>
                <w:rFonts w:cs="Times New Roman"/>
                <w:noProof/>
                <w:szCs w:val="24"/>
              </w:rPr>
              <w:t>-0.1%</w:t>
            </w:r>
          </w:p>
        </w:tc>
        <w:tc>
          <w:tcPr>
            <w:tcW w:w="942" w:type="pct"/>
          </w:tcPr>
          <w:p w:rsidR="003E180D" w:rsidRDefault="003E180D" w:rsidP="0088305C">
            <w:pPr>
              <w:spacing w:after="60"/>
              <w:jc w:val="center"/>
              <w:rPr>
                <w:rFonts w:cs="Times New Roman"/>
                <w:noProof/>
                <w:szCs w:val="24"/>
              </w:rPr>
            </w:pPr>
            <w:r>
              <w:rPr>
                <w:rFonts w:cs="Times New Roman"/>
                <w:noProof/>
                <w:szCs w:val="24"/>
              </w:rPr>
              <w:t>-0.2%</w:t>
            </w:r>
          </w:p>
        </w:tc>
      </w:tr>
      <w:tr w:rsidR="003E180D" w:rsidTr="0088305C">
        <w:trPr>
          <w:trHeight w:val="264"/>
          <w:jc w:val="center"/>
        </w:trPr>
        <w:tc>
          <w:tcPr>
            <w:tcW w:w="1230" w:type="pct"/>
          </w:tcPr>
          <w:p w:rsidR="003E180D" w:rsidRDefault="003E180D" w:rsidP="0088305C">
            <w:pPr>
              <w:spacing w:after="60"/>
              <w:rPr>
                <w:rFonts w:cs="Times New Roman"/>
                <w:b/>
                <w:noProof/>
                <w:szCs w:val="24"/>
              </w:rPr>
            </w:pPr>
            <w:r>
              <w:rPr>
                <w:rFonts w:cs="Times New Roman"/>
                <w:b/>
                <w:noProof/>
                <w:szCs w:val="24"/>
              </w:rPr>
              <w:t>TL30NL</w:t>
            </w:r>
          </w:p>
        </w:tc>
        <w:tc>
          <w:tcPr>
            <w:tcW w:w="942" w:type="pct"/>
          </w:tcPr>
          <w:p w:rsidR="003E180D" w:rsidRDefault="003E180D" w:rsidP="0088305C">
            <w:pPr>
              <w:spacing w:after="60"/>
              <w:jc w:val="center"/>
              <w:rPr>
                <w:rFonts w:cs="Times New Roman"/>
                <w:noProof/>
                <w:szCs w:val="24"/>
              </w:rPr>
            </w:pPr>
            <w:r>
              <w:rPr>
                <w:rFonts w:cs="Times New Roman"/>
                <w:noProof/>
                <w:szCs w:val="24"/>
              </w:rPr>
              <w:t>-0.4%</w:t>
            </w:r>
          </w:p>
        </w:tc>
        <w:tc>
          <w:tcPr>
            <w:tcW w:w="943" w:type="pct"/>
          </w:tcPr>
          <w:p w:rsidR="003E180D" w:rsidRDefault="003E180D" w:rsidP="0088305C">
            <w:pPr>
              <w:spacing w:after="60"/>
              <w:jc w:val="center"/>
              <w:rPr>
                <w:rFonts w:cs="Times New Roman"/>
                <w:noProof/>
                <w:szCs w:val="24"/>
              </w:rPr>
            </w:pPr>
            <w:r>
              <w:rPr>
                <w:rFonts w:cs="Times New Roman"/>
                <w:noProof/>
                <w:szCs w:val="24"/>
              </w:rPr>
              <w:t>-2.8%</w:t>
            </w:r>
          </w:p>
        </w:tc>
        <w:tc>
          <w:tcPr>
            <w:tcW w:w="943" w:type="pct"/>
          </w:tcPr>
          <w:p w:rsidR="003E180D" w:rsidRDefault="003E180D" w:rsidP="0088305C">
            <w:pPr>
              <w:spacing w:after="60"/>
              <w:jc w:val="center"/>
              <w:rPr>
                <w:rFonts w:cs="Times New Roman"/>
                <w:noProof/>
                <w:szCs w:val="24"/>
              </w:rPr>
            </w:pPr>
            <w:r>
              <w:rPr>
                <w:rFonts w:cs="Times New Roman"/>
                <w:noProof/>
                <w:szCs w:val="24"/>
              </w:rPr>
              <w:t>-0.1%</w:t>
            </w:r>
          </w:p>
        </w:tc>
        <w:tc>
          <w:tcPr>
            <w:tcW w:w="942" w:type="pct"/>
          </w:tcPr>
          <w:p w:rsidR="003E180D" w:rsidRDefault="003E180D" w:rsidP="0088305C">
            <w:pPr>
              <w:spacing w:after="60"/>
              <w:jc w:val="center"/>
              <w:rPr>
                <w:rFonts w:cs="Times New Roman"/>
                <w:noProof/>
                <w:szCs w:val="24"/>
              </w:rPr>
            </w:pPr>
            <w:r>
              <w:rPr>
                <w:rFonts w:cs="Times New Roman"/>
                <w:noProof/>
                <w:szCs w:val="24"/>
              </w:rPr>
              <w:t>-0.3%</w:t>
            </w:r>
          </w:p>
        </w:tc>
      </w:tr>
      <w:tr w:rsidR="003E180D" w:rsidTr="0088305C">
        <w:trPr>
          <w:trHeight w:val="264"/>
          <w:jc w:val="center"/>
        </w:trPr>
        <w:tc>
          <w:tcPr>
            <w:tcW w:w="1230" w:type="pct"/>
          </w:tcPr>
          <w:p w:rsidR="003E180D" w:rsidRDefault="003E180D" w:rsidP="0088305C">
            <w:pPr>
              <w:spacing w:after="60"/>
              <w:rPr>
                <w:rFonts w:cs="Times New Roman"/>
                <w:b/>
                <w:noProof/>
                <w:szCs w:val="24"/>
              </w:rPr>
            </w:pPr>
            <w:r>
              <w:rPr>
                <w:rFonts w:cs="Times New Roman"/>
                <w:b/>
                <w:noProof/>
                <w:szCs w:val="24"/>
              </w:rPr>
              <w:t>TL30</w:t>
            </w:r>
          </w:p>
        </w:tc>
        <w:tc>
          <w:tcPr>
            <w:tcW w:w="942" w:type="pct"/>
          </w:tcPr>
          <w:p w:rsidR="003E180D" w:rsidRDefault="003E180D" w:rsidP="0088305C">
            <w:pPr>
              <w:spacing w:after="60"/>
              <w:jc w:val="center"/>
              <w:rPr>
                <w:rFonts w:cs="Times New Roman"/>
                <w:b/>
                <w:noProof/>
                <w:szCs w:val="24"/>
              </w:rPr>
            </w:pPr>
            <w:r>
              <w:rPr>
                <w:rFonts w:cs="Times New Roman"/>
                <w:noProof/>
                <w:szCs w:val="24"/>
              </w:rPr>
              <w:t>-0.5%</w:t>
            </w:r>
          </w:p>
        </w:tc>
        <w:tc>
          <w:tcPr>
            <w:tcW w:w="943" w:type="pct"/>
          </w:tcPr>
          <w:p w:rsidR="003E180D" w:rsidRDefault="003E180D" w:rsidP="0088305C">
            <w:pPr>
              <w:spacing w:after="60"/>
              <w:jc w:val="center"/>
              <w:rPr>
                <w:rFonts w:cs="Times New Roman"/>
                <w:b/>
                <w:noProof/>
                <w:szCs w:val="24"/>
              </w:rPr>
            </w:pPr>
            <w:r>
              <w:rPr>
                <w:rFonts w:cs="Times New Roman"/>
                <w:noProof/>
                <w:szCs w:val="24"/>
              </w:rPr>
              <w:t>-3.2%</w:t>
            </w:r>
          </w:p>
        </w:tc>
        <w:tc>
          <w:tcPr>
            <w:tcW w:w="943" w:type="pct"/>
          </w:tcPr>
          <w:p w:rsidR="003E180D" w:rsidRDefault="003E180D" w:rsidP="0088305C">
            <w:pPr>
              <w:spacing w:after="60"/>
              <w:jc w:val="center"/>
              <w:rPr>
                <w:rFonts w:cs="Times New Roman"/>
                <w:noProof/>
                <w:szCs w:val="24"/>
              </w:rPr>
            </w:pPr>
            <w:r>
              <w:rPr>
                <w:rFonts w:cs="Times New Roman"/>
                <w:noProof/>
                <w:szCs w:val="24"/>
              </w:rPr>
              <w:t>-0.1%</w:t>
            </w:r>
          </w:p>
        </w:tc>
        <w:tc>
          <w:tcPr>
            <w:tcW w:w="942" w:type="pct"/>
          </w:tcPr>
          <w:p w:rsidR="003E180D" w:rsidRDefault="003E180D" w:rsidP="0088305C">
            <w:pPr>
              <w:spacing w:after="60"/>
              <w:jc w:val="center"/>
              <w:rPr>
                <w:rFonts w:cs="Times New Roman"/>
                <w:noProof/>
                <w:szCs w:val="24"/>
              </w:rPr>
            </w:pPr>
            <w:r>
              <w:rPr>
                <w:rFonts w:cs="Times New Roman"/>
                <w:noProof/>
                <w:szCs w:val="24"/>
              </w:rPr>
              <w:t>-0.4%</w:t>
            </w:r>
          </w:p>
        </w:tc>
      </w:tr>
      <w:tr w:rsidR="003E180D" w:rsidTr="0088305C">
        <w:trPr>
          <w:trHeight w:val="264"/>
          <w:jc w:val="center"/>
        </w:trPr>
        <w:tc>
          <w:tcPr>
            <w:tcW w:w="1230" w:type="pct"/>
          </w:tcPr>
          <w:p w:rsidR="003E180D" w:rsidRDefault="003E180D" w:rsidP="0088305C">
            <w:pPr>
              <w:spacing w:after="60"/>
              <w:rPr>
                <w:rFonts w:cs="Times New Roman"/>
                <w:b/>
                <w:noProof/>
                <w:szCs w:val="24"/>
              </w:rPr>
            </w:pPr>
            <w:r>
              <w:rPr>
                <w:rFonts w:cs="Times New Roman"/>
                <w:b/>
                <w:noProof/>
                <w:szCs w:val="24"/>
              </w:rPr>
              <w:t>TL32</w:t>
            </w:r>
          </w:p>
        </w:tc>
        <w:tc>
          <w:tcPr>
            <w:tcW w:w="942" w:type="pct"/>
          </w:tcPr>
          <w:p w:rsidR="003E180D" w:rsidRDefault="003E180D" w:rsidP="0088305C">
            <w:pPr>
              <w:spacing w:after="60"/>
              <w:jc w:val="center"/>
              <w:rPr>
                <w:rFonts w:cs="Times New Roman"/>
                <w:b/>
                <w:noProof/>
                <w:szCs w:val="24"/>
              </w:rPr>
            </w:pPr>
            <w:r>
              <w:rPr>
                <w:rFonts w:cs="Times New Roman"/>
                <w:noProof/>
                <w:szCs w:val="24"/>
              </w:rPr>
              <w:t>-0.6%</w:t>
            </w:r>
          </w:p>
        </w:tc>
        <w:tc>
          <w:tcPr>
            <w:tcW w:w="943" w:type="pct"/>
          </w:tcPr>
          <w:p w:rsidR="003E180D" w:rsidRDefault="003E180D" w:rsidP="0088305C">
            <w:pPr>
              <w:spacing w:after="60"/>
              <w:jc w:val="center"/>
              <w:rPr>
                <w:rFonts w:cs="Times New Roman"/>
                <w:b/>
                <w:noProof/>
                <w:szCs w:val="24"/>
              </w:rPr>
            </w:pPr>
            <w:r>
              <w:rPr>
                <w:rFonts w:cs="Times New Roman"/>
                <w:noProof/>
                <w:szCs w:val="24"/>
              </w:rPr>
              <w:t>-3.9%</w:t>
            </w:r>
          </w:p>
        </w:tc>
        <w:tc>
          <w:tcPr>
            <w:tcW w:w="943" w:type="pct"/>
          </w:tcPr>
          <w:p w:rsidR="003E180D" w:rsidRDefault="003E180D" w:rsidP="0088305C">
            <w:pPr>
              <w:spacing w:after="60"/>
              <w:jc w:val="center"/>
              <w:rPr>
                <w:rFonts w:cs="Times New Roman"/>
                <w:noProof/>
                <w:szCs w:val="24"/>
              </w:rPr>
            </w:pPr>
            <w:r>
              <w:rPr>
                <w:rFonts w:cs="Times New Roman"/>
                <w:noProof/>
                <w:szCs w:val="24"/>
              </w:rPr>
              <w:t>-0.1%</w:t>
            </w:r>
          </w:p>
        </w:tc>
        <w:tc>
          <w:tcPr>
            <w:tcW w:w="942" w:type="pct"/>
          </w:tcPr>
          <w:p w:rsidR="003E180D" w:rsidRDefault="003E180D" w:rsidP="0088305C">
            <w:pPr>
              <w:spacing w:after="60"/>
              <w:jc w:val="center"/>
              <w:rPr>
                <w:rFonts w:cs="Times New Roman"/>
                <w:noProof/>
                <w:szCs w:val="24"/>
              </w:rPr>
            </w:pPr>
            <w:r>
              <w:rPr>
                <w:rFonts w:cs="Times New Roman"/>
                <w:noProof/>
                <w:szCs w:val="24"/>
              </w:rPr>
              <w:t>-0.5%</w:t>
            </w:r>
          </w:p>
        </w:tc>
      </w:tr>
      <w:tr w:rsidR="003E180D" w:rsidTr="0088305C">
        <w:trPr>
          <w:trHeight w:val="264"/>
          <w:jc w:val="center"/>
        </w:trPr>
        <w:tc>
          <w:tcPr>
            <w:tcW w:w="1230" w:type="pct"/>
          </w:tcPr>
          <w:p w:rsidR="003E180D" w:rsidRDefault="003E180D" w:rsidP="0088305C">
            <w:pPr>
              <w:spacing w:after="60"/>
              <w:rPr>
                <w:rFonts w:cs="Times New Roman"/>
                <w:b/>
                <w:noProof/>
                <w:szCs w:val="24"/>
              </w:rPr>
            </w:pPr>
            <w:r>
              <w:rPr>
                <w:rFonts w:cs="Times New Roman"/>
                <w:b/>
                <w:noProof/>
                <w:szCs w:val="24"/>
              </w:rPr>
              <w:t>TL35</w:t>
            </w:r>
          </w:p>
        </w:tc>
        <w:tc>
          <w:tcPr>
            <w:tcW w:w="942" w:type="pct"/>
          </w:tcPr>
          <w:p w:rsidR="003E180D" w:rsidRDefault="003E180D" w:rsidP="0088305C">
            <w:pPr>
              <w:spacing w:after="60"/>
              <w:jc w:val="center"/>
              <w:rPr>
                <w:rFonts w:cs="Times New Roman"/>
                <w:b/>
                <w:noProof/>
                <w:szCs w:val="24"/>
              </w:rPr>
            </w:pPr>
            <w:r>
              <w:rPr>
                <w:rFonts w:cs="Times New Roman"/>
                <w:noProof/>
                <w:szCs w:val="24"/>
              </w:rPr>
              <w:t>-0.8%</w:t>
            </w:r>
          </w:p>
        </w:tc>
        <w:tc>
          <w:tcPr>
            <w:tcW w:w="943" w:type="pct"/>
          </w:tcPr>
          <w:p w:rsidR="003E180D" w:rsidRDefault="003E180D" w:rsidP="0088305C">
            <w:pPr>
              <w:spacing w:after="60"/>
              <w:jc w:val="center"/>
              <w:rPr>
                <w:rFonts w:cs="Times New Roman"/>
                <w:b/>
                <w:noProof/>
                <w:szCs w:val="24"/>
              </w:rPr>
            </w:pPr>
            <w:r>
              <w:rPr>
                <w:rFonts w:cs="Times New Roman"/>
                <w:noProof/>
                <w:szCs w:val="24"/>
              </w:rPr>
              <w:t>-4.7%</w:t>
            </w:r>
          </w:p>
        </w:tc>
        <w:tc>
          <w:tcPr>
            <w:tcW w:w="943" w:type="pct"/>
          </w:tcPr>
          <w:p w:rsidR="003E180D" w:rsidRDefault="003E180D" w:rsidP="0088305C">
            <w:pPr>
              <w:spacing w:after="60"/>
              <w:jc w:val="center"/>
              <w:rPr>
                <w:rFonts w:cs="Times New Roman"/>
                <w:noProof/>
                <w:szCs w:val="24"/>
              </w:rPr>
            </w:pPr>
            <w:r>
              <w:rPr>
                <w:rFonts w:cs="Times New Roman"/>
                <w:noProof/>
                <w:szCs w:val="24"/>
              </w:rPr>
              <w:t>-0.1%</w:t>
            </w:r>
          </w:p>
        </w:tc>
        <w:tc>
          <w:tcPr>
            <w:tcW w:w="942" w:type="pct"/>
          </w:tcPr>
          <w:p w:rsidR="003E180D" w:rsidRDefault="003E180D" w:rsidP="0088305C">
            <w:pPr>
              <w:spacing w:after="60"/>
              <w:jc w:val="center"/>
              <w:rPr>
                <w:rFonts w:cs="Times New Roman"/>
                <w:noProof/>
                <w:szCs w:val="24"/>
              </w:rPr>
            </w:pPr>
            <w:r>
              <w:rPr>
                <w:rFonts w:cs="Times New Roman"/>
                <w:noProof/>
                <w:szCs w:val="24"/>
              </w:rPr>
              <w:t>-0.6%</w:t>
            </w:r>
          </w:p>
        </w:tc>
      </w:tr>
    </w:tbl>
    <w:p w:rsidR="003E180D" w:rsidRDefault="003E180D" w:rsidP="003E180D">
      <w:pPr>
        <w:pStyle w:val="Heading2"/>
        <w:numPr>
          <w:ilvl w:val="1"/>
          <w:numId w:val="22"/>
        </w:numPr>
        <w:spacing w:before="240" w:after="240"/>
        <w:rPr>
          <w:noProof/>
        </w:rPr>
      </w:pPr>
      <w:bookmarkStart w:id="852" w:name="_Toc510708143"/>
      <w:bookmarkStart w:id="853" w:name="_Toc508124813"/>
      <w:bookmarkStart w:id="854" w:name="_Toc508126177"/>
      <w:bookmarkStart w:id="855" w:name="_Toc508127548"/>
      <w:bookmarkStart w:id="856" w:name="_Toc508127901"/>
      <w:bookmarkStart w:id="857" w:name="_Toc508129695"/>
      <w:bookmarkStart w:id="858" w:name="_Toc508181069"/>
      <w:bookmarkStart w:id="859" w:name="_Toc508186660"/>
      <w:bookmarkStart w:id="860" w:name="_Toc514328840"/>
      <w:r>
        <w:rPr>
          <w:noProof/>
        </w:rPr>
        <w:t>Sensitivity – results for EU-27, without UK</w:t>
      </w:r>
      <w:bookmarkEnd w:id="852"/>
      <w:bookmarkEnd w:id="860"/>
    </w:p>
    <w:p w:rsidR="003E180D" w:rsidRDefault="003E180D" w:rsidP="003E180D">
      <w:pPr>
        <w:pStyle w:val="Text2"/>
        <w:spacing w:after="120"/>
        <w:ind w:left="0"/>
        <w:rPr>
          <w:noProof/>
        </w:rPr>
      </w:pPr>
      <w:r>
        <w:rPr>
          <w:noProof/>
        </w:rPr>
        <w:t xml:space="preserve">Some sensitivity analysis was performed in order to estimate the impact of Brexit on some results of the modelling. </w:t>
      </w:r>
    </w:p>
    <w:p w:rsidR="003E180D" w:rsidRDefault="003E180D" w:rsidP="003E180D">
      <w:pPr>
        <w:pStyle w:val="Text2"/>
        <w:spacing w:after="120"/>
        <w:ind w:left="0"/>
        <w:rPr>
          <w:noProof/>
        </w:rPr>
      </w:pPr>
      <w:r>
        <w:rPr>
          <w:noProof/>
        </w:rPr>
        <w:t xml:space="preserve">This showed that the new lorry fleet composition in 2025 and 2030, i.e. the share of diesel and LNG vehicles in the new fleet, would not be affected. The figures shown in </w:t>
      </w:r>
      <w:r>
        <w:rPr>
          <w:noProof/>
        </w:rPr>
        <w:fldChar w:fldCharType="begin"/>
      </w:r>
      <w:r>
        <w:rPr>
          <w:noProof/>
        </w:rPr>
        <w:instrText xml:space="preserve"> REF _Ref510691937 \h  \* MERGEFORMAT </w:instrText>
      </w:r>
      <w:r>
        <w:rPr>
          <w:noProof/>
        </w:rPr>
      </w:r>
      <w:r>
        <w:rPr>
          <w:noProof/>
        </w:rPr>
        <w:fldChar w:fldCharType="separate"/>
      </w:r>
      <w:r>
        <w:rPr>
          <w:noProof/>
        </w:rPr>
        <w:t>Table 11</w:t>
      </w:r>
      <w:r>
        <w:rPr>
          <w:noProof/>
        </w:rPr>
        <w:fldChar w:fldCharType="end"/>
      </w:r>
      <w:r>
        <w:rPr>
          <w:noProof/>
        </w:rPr>
        <w:t>with regards to the net economic savings would thus equally apply for EU-27.</w:t>
      </w:r>
    </w:p>
    <w:p w:rsidR="003E180D" w:rsidRDefault="003E180D" w:rsidP="003E180D">
      <w:pPr>
        <w:spacing w:after="120" w:line="240" w:lineRule="auto"/>
        <w:jc w:val="both"/>
        <w:rPr>
          <w:noProof/>
        </w:rPr>
      </w:pPr>
      <w:r>
        <w:rPr>
          <w:noProof/>
        </w:rPr>
        <w:t>In terms of CO</w:t>
      </w:r>
      <w:r>
        <w:rPr>
          <w:noProof/>
          <w:vertAlign w:val="subscript"/>
        </w:rPr>
        <w:t>2</w:t>
      </w:r>
      <w:r>
        <w:rPr>
          <w:noProof/>
        </w:rPr>
        <w:t xml:space="preserve"> emissions, </w:t>
      </w:r>
      <w:r>
        <w:rPr>
          <w:noProof/>
        </w:rPr>
        <w:fldChar w:fldCharType="begin"/>
      </w:r>
      <w:r>
        <w:rPr>
          <w:noProof/>
        </w:rPr>
        <w:instrText xml:space="preserve"> REF _Ref510707015 \h </w:instrText>
      </w:r>
      <w:r>
        <w:rPr>
          <w:noProof/>
        </w:rPr>
      </w:r>
      <w:r>
        <w:rPr>
          <w:noProof/>
        </w:rPr>
        <w:fldChar w:fldCharType="separate"/>
      </w:r>
      <w:r>
        <w:rPr>
          <w:noProof/>
        </w:rPr>
        <w:t>Figure 20</w:t>
      </w:r>
      <w:r>
        <w:rPr>
          <w:noProof/>
        </w:rPr>
        <w:fldChar w:fldCharType="end"/>
      </w:r>
      <w:r>
        <w:rPr>
          <w:noProof/>
        </w:rPr>
        <w:t xml:space="preserve"> shows the difference between EU-28 and EU-27 in terms of the cumulative emission reduction (kt) compared to the baseline over the period 2020-2035. While emission reductions are obviously slightly lower for EU-27, the overall trends across the target level options are not affected. </w:t>
      </w:r>
    </w:p>
    <w:p w:rsidR="003E180D" w:rsidRDefault="003E180D" w:rsidP="003E180D">
      <w:pPr>
        <w:pStyle w:val="Caption"/>
        <w:keepNext/>
        <w:jc w:val="both"/>
        <w:rPr>
          <w:noProof/>
        </w:rPr>
      </w:pPr>
      <w:bookmarkStart w:id="861" w:name="_Ref510707015"/>
      <w:r>
        <w:rPr>
          <w:noProof/>
        </w:rPr>
        <w:t xml:space="preserve">Figure </w:t>
      </w:r>
      <w:r>
        <w:rPr>
          <w:noProof/>
        </w:rPr>
        <w:fldChar w:fldCharType="begin"/>
      </w:r>
      <w:r>
        <w:rPr>
          <w:noProof/>
        </w:rPr>
        <w:instrText xml:space="preserve"> SEQ Figure \* ARABIC </w:instrText>
      </w:r>
      <w:r>
        <w:rPr>
          <w:noProof/>
        </w:rPr>
        <w:fldChar w:fldCharType="separate"/>
      </w:r>
      <w:r>
        <w:rPr>
          <w:noProof/>
        </w:rPr>
        <w:t>20</w:t>
      </w:r>
      <w:r>
        <w:rPr>
          <w:noProof/>
        </w:rPr>
        <w:fldChar w:fldCharType="end"/>
      </w:r>
      <w:bookmarkEnd w:id="861"/>
      <w:r>
        <w:rPr>
          <w:noProof/>
        </w:rPr>
        <w:t>: Cumulative reduction (kt) compared to the baseline over the period 2020-2035 of HDV CO</w:t>
      </w:r>
      <w:r>
        <w:rPr>
          <w:noProof/>
          <w:vertAlign w:val="subscript"/>
        </w:rPr>
        <w:t>2</w:t>
      </w:r>
      <w:r>
        <w:rPr>
          <w:noProof/>
        </w:rPr>
        <w:t xml:space="preserve"> emissions for EU-28 and for EU-27, without UK, using the base cost assumptions</w:t>
      </w:r>
    </w:p>
    <w:p w:rsidR="003E180D" w:rsidRDefault="003E180D" w:rsidP="003E180D">
      <w:pPr>
        <w:pStyle w:val="Text2"/>
        <w:ind w:left="0"/>
        <w:jc w:val="center"/>
        <w:rPr>
          <w:noProof/>
        </w:rPr>
      </w:pPr>
      <w:r>
        <w:rPr>
          <w:noProof/>
          <w:lang w:eastAsia="en-GB"/>
        </w:rPr>
        <w:drawing>
          <wp:inline distT="0" distB="0" distL="0" distR="0" wp14:anchorId="7DBCE32B" wp14:editId="5263ED2B">
            <wp:extent cx="4706620" cy="2755900"/>
            <wp:effectExtent l="19050" t="19050" r="17780" b="254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06620" cy="2755900"/>
                    </a:xfrm>
                    <a:prstGeom prst="rect">
                      <a:avLst/>
                    </a:prstGeom>
                    <a:noFill/>
                    <a:ln>
                      <a:solidFill>
                        <a:schemeClr val="tx1"/>
                      </a:solidFill>
                    </a:ln>
                  </pic:spPr>
                </pic:pic>
              </a:graphicData>
            </a:graphic>
          </wp:inline>
        </w:drawing>
      </w:r>
    </w:p>
    <w:p w:rsidR="003E180D" w:rsidRDefault="003E180D" w:rsidP="003E180D">
      <w:pPr>
        <w:pStyle w:val="Heading2"/>
        <w:numPr>
          <w:ilvl w:val="1"/>
          <w:numId w:val="22"/>
        </w:numPr>
        <w:spacing w:before="240" w:after="240"/>
        <w:rPr>
          <w:noProof/>
        </w:rPr>
      </w:pPr>
      <w:bookmarkStart w:id="862" w:name="_Toc510708144"/>
      <w:bookmarkStart w:id="863" w:name="_Toc514328841"/>
      <w:r>
        <w:rPr>
          <w:noProof/>
        </w:rPr>
        <w:t>Contribution to the ESR targets</w:t>
      </w:r>
      <w:bookmarkEnd w:id="853"/>
      <w:bookmarkEnd w:id="854"/>
      <w:bookmarkEnd w:id="855"/>
      <w:bookmarkEnd w:id="856"/>
      <w:bookmarkEnd w:id="857"/>
      <w:bookmarkEnd w:id="858"/>
      <w:bookmarkEnd w:id="859"/>
      <w:bookmarkEnd w:id="862"/>
      <w:bookmarkEnd w:id="863"/>
      <w:r>
        <w:rPr>
          <w:noProof/>
        </w:rPr>
        <w:t xml:space="preserve"> </w:t>
      </w:r>
    </w:p>
    <w:p w:rsidR="003E180D" w:rsidRDefault="003E180D" w:rsidP="003E180D">
      <w:pPr>
        <w:pStyle w:val="Caption"/>
        <w:keepNext/>
        <w:jc w:val="both"/>
        <w:rPr>
          <w:noProof/>
        </w:rPr>
      </w:pPr>
      <w:bookmarkStart w:id="864" w:name="_Ref506559822"/>
      <w:r>
        <w:rPr>
          <w:noProof/>
        </w:rPr>
        <w:t xml:space="preserve">Table </w:t>
      </w:r>
      <w:r>
        <w:rPr>
          <w:noProof/>
        </w:rPr>
        <w:fldChar w:fldCharType="begin"/>
      </w:r>
      <w:r>
        <w:rPr>
          <w:noProof/>
        </w:rPr>
        <w:instrText xml:space="preserve"> SEQ Table \* ARABIC </w:instrText>
      </w:r>
      <w:r>
        <w:rPr>
          <w:noProof/>
        </w:rPr>
        <w:fldChar w:fldCharType="separate"/>
      </w:r>
      <w:r>
        <w:rPr>
          <w:noProof/>
        </w:rPr>
        <w:t>30</w:t>
      </w:r>
      <w:r>
        <w:rPr>
          <w:noProof/>
        </w:rPr>
        <w:fldChar w:fldCharType="end"/>
      </w:r>
      <w:bookmarkEnd w:id="864"/>
      <w:r>
        <w:rPr>
          <w:noProof/>
        </w:rPr>
        <w:t>: Evolution of GHG emissions between 2005 (100%) and 2030 under the baseline and different policy options</w:t>
      </w:r>
    </w:p>
    <w:tbl>
      <w:tblPr>
        <w:tblStyle w:val="TableGrid"/>
        <w:tblW w:w="8612" w:type="dxa"/>
        <w:tblLayout w:type="fixed"/>
        <w:tblLook w:val="04A0" w:firstRow="1" w:lastRow="0" w:firstColumn="1" w:lastColumn="0" w:noHBand="0" w:noVBand="1"/>
      </w:tblPr>
      <w:tblGrid>
        <w:gridCol w:w="2093"/>
        <w:gridCol w:w="806"/>
        <w:gridCol w:w="1142"/>
        <w:gridCol w:w="1143"/>
        <w:gridCol w:w="1142"/>
        <w:gridCol w:w="1143"/>
        <w:gridCol w:w="1143"/>
      </w:tblGrid>
      <w:tr w:rsidR="003E180D" w:rsidTr="0088305C">
        <w:trPr>
          <w:trHeight w:val="300"/>
        </w:trPr>
        <w:tc>
          <w:tcPr>
            <w:tcW w:w="2093" w:type="dxa"/>
            <w:noWrap/>
            <w:hideMark/>
          </w:tcPr>
          <w:p w:rsidR="003E180D" w:rsidRDefault="003E180D" w:rsidP="0088305C">
            <w:pPr>
              <w:rPr>
                <w:b/>
                <w:noProof/>
                <w:szCs w:val="24"/>
              </w:rPr>
            </w:pPr>
            <w:r>
              <w:rPr>
                <w:b/>
                <w:noProof/>
                <w:szCs w:val="24"/>
              </w:rPr>
              <w:t> </w:t>
            </w:r>
          </w:p>
        </w:tc>
        <w:tc>
          <w:tcPr>
            <w:tcW w:w="806" w:type="dxa"/>
            <w:noWrap/>
            <w:hideMark/>
          </w:tcPr>
          <w:p w:rsidR="003E180D" w:rsidRDefault="003E180D" w:rsidP="0088305C">
            <w:pPr>
              <w:rPr>
                <w:b/>
                <w:noProof/>
                <w:szCs w:val="24"/>
              </w:rPr>
            </w:pPr>
            <w:r>
              <w:rPr>
                <w:b/>
                <w:noProof/>
                <w:szCs w:val="24"/>
              </w:rPr>
              <w:t>2005</w:t>
            </w:r>
          </w:p>
        </w:tc>
        <w:tc>
          <w:tcPr>
            <w:tcW w:w="1142" w:type="dxa"/>
            <w:noWrap/>
            <w:hideMark/>
          </w:tcPr>
          <w:p w:rsidR="003E180D" w:rsidRDefault="003E180D" w:rsidP="0088305C">
            <w:pPr>
              <w:rPr>
                <w:b/>
                <w:noProof/>
                <w:szCs w:val="24"/>
              </w:rPr>
            </w:pPr>
            <w:r>
              <w:rPr>
                <w:b/>
                <w:noProof/>
                <w:szCs w:val="24"/>
              </w:rPr>
              <w:t>2010</w:t>
            </w:r>
          </w:p>
        </w:tc>
        <w:tc>
          <w:tcPr>
            <w:tcW w:w="1143" w:type="dxa"/>
            <w:noWrap/>
            <w:hideMark/>
          </w:tcPr>
          <w:p w:rsidR="003E180D" w:rsidRDefault="003E180D" w:rsidP="0088305C">
            <w:pPr>
              <w:rPr>
                <w:b/>
                <w:noProof/>
                <w:szCs w:val="24"/>
              </w:rPr>
            </w:pPr>
            <w:r>
              <w:rPr>
                <w:b/>
                <w:noProof/>
                <w:szCs w:val="24"/>
              </w:rPr>
              <w:t>2015</w:t>
            </w:r>
          </w:p>
        </w:tc>
        <w:tc>
          <w:tcPr>
            <w:tcW w:w="1142" w:type="dxa"/>
            <w:noWrap/>
            <w:hideMark/>
          </w:tcPr>
          <w:p w:rsidR="003E180D" w:rsidRDefault="003E180D" w:rsidP="0088305C">
            <w:pPr>
              <w:rPr>
                <w:b/>
                <w:noProof/>
                <w:szCs w:val="24"/>
              </w:rPr>
            </w:pPr>
            <w:r>
              <w:rPr>
                <w:b/>
                <w:noProof/>
                <w:szCs w:val="24"/>
              </w:rPr>
              <w:t>2020</w:t>
            </w:r>
          </w:p>
        </w:tc>
        <w:tc>
          <w:tcPr>
            <w:tcW w:w="1143" w:type="dxa"/>
            <w:noWrap/>
            <w:hideMark/>
          </w:tcPr>
          <w:p w:rsidR="003E180D" w:rsidRDefault="003E180D" w:rsidP="0088305C">
            <w:pPr>
              <w:rPr>
                <w:b/>
                <w:noProof/>
                <w:szCs w:val="24"/>
              </w:rPr>
            </w:pPr>
            <w:r>
              <w:rPr>
                <w:b/>
                <w:noProof/>
                <w:szCs w:val="24"/>
              </w:rPr>
              <w:t>2025</w:t>
            </w:r>
          </w:p>
        </w:tc>
        <w:tc>
          <w:tcPr>
            <w:tcW w:w="1143" w:type="dxa"/>
            <w:noWrap/>
            <w:hideMark/>
          </w:tcPr>
          <w:p w:rsidR="003E180D" w:rsidRDefault="003E180D" w:rsidP="0088305C">
            <w:pPr>
              <w:rPr>
                <w:b/>
                <w:noProof/>
                <w:szCs w:val="24"/>
              </w:rPr>
            </w:pPr>
            <w:r>
              <w:rPr>
                <w:b/>
                <w:noProof/>
                <w:szCs w:val="24"/>
              </w:rPr>
              <w:t>2030</w:t>
            </w:r>
          </w:p>
        </w:tc>
      </w:tr>
      <w:tr w:rsidR="003E180D" w:rsidTr="0088305C">
        <w:trPr>
          <w:trHeight w:val="300"/>
        </w:trPr>
        <w:tc>
          <w:tcPr>
            <w:tcW w:w="2093" w:type="dxa"/>
            <w:noWrap/>
            <w:hideMark/>
          </w:tcPr>
          <w:p w:rsidR="003E180D" w:rsidRDefault="003E180D" w:rsidP="0088305C">
            <w:pPr>
              <w:rPr>
                <w:b/>
                <w:noProof/>
                <w:szCs w:val="24"/>
              </w:rPr>
            </w:pPr>
            <w:r>
              <w:rPr>
                <w:b/>
                <w:noProof/>
                <w:szCs w:val="24"/>
              </w:rPr>
              <w:t>baseline HDV</w:t>
            </w:r>
          </w:p>
        </w:tc>
        <w:tc>
          <w:tcPr>
            <w:tcW w:w="806" w:type="dxa"/>
            <w:noWrap/>
            <w:hideMark/>
          </w:tcPr>
          <w:p w:rsidR="003E180D" w:rsidRDefault="003E180D" w:rsidP="0088305C">
            <w:pPr>
              <w:jc w:val="center"/>
              <w:rPr>
                <w:noProof/>
                <w:szCs w:val="24"/>
              </w:rPr>
            </w:pPr>
            <w:r>
              <w:rPr>
                <w:noProof/>
                <w:szCs w:val="24"/>
              </w:rPr>
              <w:t>100%</w:t>
            </w:r>
          </w:p>
        </w:tc>
        <w:tc>
          <w:tcPr>
            <w:tcW w:w="1142" w:type="dxa"/>
            <w:noWrap/>
            <w:hideMark/>
          </w:tcPr>
          <w:p w:rsidR="003E180D" w:rsidRDefault="003E180D" w:rsidP="0088305C">
            <w:pPr>
              <w:jc w:val="center"/>
              <w:rPr>
                <w:noProof/>
                <w:szCs w:val="24"/>
              </w:rPr>
            </w:pPr>
            <w:r>
              <w:rPr>
                <w:noProof/>
              </w:rPr>
              <w:t>96%</w:t>
            </w:r>
          </w:p>
        </w:tc>
        <w:tc>
          <w:tcPr>
            <w:tcW w:w="1143" w:type="dxa"/>
            <w:noWrap/>
            <w:hideMark/>
          </w:tcPr>
          <w:p w:rsidR="003E180D" w:rsidRDefault="003E180D" w:rsidP="0088305C">
            <w:pPr>
              <w:jc w:val="center"/>
              <w:rPr>
                <w:noProof/>
                <w:szCs w:val="24"/>
              </w:rPr>
            </w:pPr>
            <w:r>
              <w:rPr>
                <w:noProof/>
              </w:rPr>
              <w:t>95%</w:t>
            </w:r>
          </w:p>
        </w:tc>
        <w:tc>
          <w:tcPr>
            <w:tcW w:w="1142" w:type="dxa"/>
            <w:noWrap/>
            <w:hideMark/>
          </w:tcPr>
          <w:p w:rsidR="003E180D" w:rsidRDefault="003E180D" w:rsidP="0088305C">
            <w:pPr>
              <w:jc w:val="center"/>
              <w:rPr>
                <w:noProof/>
                <w:szCs w:val="24"/>
              </w:rPr>
            </w:pPr>
            <w:r>
              <w:rPr>
                <w:noProof/>
              </w:rPr>
              <w:t>91%</w:t>
            </w:r>
          </w:p>
        </w:tc>
        <w:tc>
          <w:tcPr>
            <w:tcW w:w="1143" w:type="dxa"/>
            <w:noWrap/>
            <w:hideMark/>
          </w:tcPr>
          <w:p w:rsidR="003E180D" w:rsidRDefault="003E180D" w:rsidP="0088305C">
            <w:pPr>
              <w:jc w:val="center"/>
              <w:rPr>
                <w:noProof/>
                <w:szCs w:val="24"/>
              </w:rPr>
            </w:pPr>
            <w:r>
              <w:rPr>
                <w:noProof/>
              </w:rPr>
              <w:t>86%</w:t>
            </w:r>
          </w:p>
        </w:tc>
        <w:tc>
          <w:tcPr>
            <w:tcW w:w="1143" w:type="dxa"/>
            <w:noWrap/>
            <w:hideMark/>
          </w:tcPr>
          <w:p w:rsidR="003E180D" w:rsidRDefault="003E180D" w:rsidP="0088305C">
            <w:pPr>
              <w:jc w:val="center"/>
              <w:rPr>
                <w:noProof/>
                <w:szCs w:val="24"/>
              </w:rPr>
            </w:pPr>
            <w:r>
              <w:rPr>
                <w:noProof/>
              </w:rPr>
              <w:t>83%</w:t>
            </w:r>
          </w:p>
        </w:tc>
      </w:tr>
      <w:tr w:rsidR="003E180D" w:rsidTr="0088305C">
        <w:trPr>
          <w:trHeight w:val="300"/>
        </w:trPr>
        <w:tc>
          <w:tcPr>
            <w:tcW w:w="2093" w:type="dxa"/>
            <w:noWrap/>
            <w:hideMark/>
          </w:tcPr>
          <w:p w:rsidR="003E180D" w:rsidRDefault="003E180D" w:rsidP="0088305C">
            <w:pPr>
              <w:rPr>
                <w:b/>
                <w:noProof/>
                <w:szCs w:val="24"/>
              </w:rPr>
            </w:pPr>
            <w:r>
              <w:rPr>
                <w:b/>
                <w:noProof/>
                <w:szCs w:val="24"/>
              </w:rPr>
              <w:t>Cars + vans proposal</w:t>
            </w:r>
          </w:p>
        </w:tc>
        <w:tc>
          <w:tcPr>
            <w:tcW w:w="806" w:type="dxa"/>
            <w:noWrap/>
            <w:hideMark/>
          </w:tcPr>
          <w:p w:rsidR="003E180D" w:rsidRDefault="003E180D" w:rsidP="0088305C">
            <w:pPr>
              <w:jc w:val="center"/>
              <w:rPr>
                <w:noProof/>
                <w:szCs w:val="24"/>
              </w:rPr>
            </w:pPr>
            <w:r>
              <w:rPr>
                <w:noProof/>
                <w:szCs w:val="24"/>
              </w:rPr>
              <w:t>100%</w:t>
            </w:r>
          </w:p>
        </w:tc>
        <w:tc>
          <w:tcPr>
            <w:tcW w:w="1142" w:type="dxa"/>
            <w:noWrap/>
            <w:hideMark/>
          </w:tcPr>
          <w:p w:rsidR="003E180D" w:rsidRDefault="003E180D" w:rsidP="0088305C">
            <w:pPr>
              <w:jc w:val="center"/>
              <w:rPr>
                <w:noProof/>
                <w:szCs w:val="24"/>
              </w:rPr>
            </w:pPr>
            <w:r>
              <w:rPr>
                <w:noProof/>
              </w:rPr>
              <w:t>96%</w:t>
            </w:r>
          </w:p>
        </w:tc>
        <w:tc>
          <w:tcPr>
            <w:tcW w:w="1143" w:type="dxa"/>
            <w:noWrap/>
            <w:hideMark/>
          </w:tcPr>
          <w:p w:rsidR="003E180D" w:rsidRDefault="003E180D" w:rsidP="0088305C">
            <w:pPr>
              <w:jc w:val="center"/>
              <w:rPr>
                <w:noProof/>
                <w:szCs w:val="24"/>
              </w:rPr>
            </w:pPr>
            <w:r>
              <w:rPr>
                <w:noProof/>
              </w:rPr>
              <w:t>95%</w:t>
            </w:r>
          </w:p>
        </w:tc>
        <w:tc>
          <w:tcPr>
            <w:tcW w:w="1142" w:type="dxa"/>
            <w:noWrap/>
            <w:hideMark/>
          </w:tcPr>
          <w:p w:rsidR="003E180D" w:rsidRDefault="003E180D" w:rsidP="0088305C">
            <w:pPr>
              <w:jc w:val="center"/>
              <w:rPr>
                <w:noProof/>
                <w:szCs w:val="24"/>
              </w:rPr>
            </w:pPr>
            <w:r>
              <w:rPr>
                <w:noProof/>
              </w:rPr>
              <w:t>91%</w:t>
            </w:r>
          </w:p>
        </w:tc>
        <w:tc>
          <w:tcPr>
            <w:tcW w:w="1143" w:type="dxa"/>
            <w:noWrap/>
            <w:hideMark/>
          </w:tcPr>
          <w:p w:rsidR="003E180D" w:rsidRDefault="003E180D" w:rsidP="0088305C">
            <w:pPr>
              <w:jc w:val="center"/>
              <w:rPr>
                <w:noProof/>
                <w:szCs w:val="24"/>
              </w:rPr>
            </w:pPr>
            <w:r>
              <w:rPr>
                <w:noProof/>
              </w:rPr>
              <w:t>85%</w:t>
            </w:r>
          </w:p>
        </w:tc>
        <w:tc>
          <w:tcPr>
            <w:tcW w:w="1143" w:type="dxa"/>
            <w:noWrap/>
            <w:hideMark/>
          </w:tcPr>
          <w:p w:rsidR="003E180D" w:rsidRDefault="003E180D" w:rsidP="0088305C">
            <w:pPr>
              <w:jc w:val="center"/>
              <w:rPr>
                <w:noProof/>
                <w:szCs w:val="24"/>
              </w:rPr>
            </w:pPr>
            <w:r>
              <w:rPr>
                <w:noProof/>
              </w:rPr>
              <w:t>79%</w:t>
            </w:r>
          </w:p>
        </w:tc>
      </w:tr>
      <w:tr w:rsidR="003E180D" w:rsidTr="0088305C">
        <w:trPr>
          <w:trHeight w:val="300"/>
        </w:trPr>
        <w:tc>
          <w:tcPr>
            <w:tcW w:w="2093" w:type="dxa"/>
            <w:noWrap/>
            <w:hideMark/>
          </w:tcPr>
          <w:p w:rsidR="003E180D" w:rsidRDefault="003E180D" w:rsidP="0088305C">
            <w:pPr>
              <w:rPr>
                <w:b/>
                <w:noProof/>
                <w:szCs w:val="24"/>
              </w:rPr>
            </w:pPr>
            <w:r>
              <w:rPr>
                <w:b/>
                <w:noProof/>
                <w:szCs w:val="24"/>
              </w:rPr>
              <w:t>Cars + vans+HDV TL20</w:t>
            </w:r>
          </w:p>
        </w:tc>
        <w:tc>
          <w:tcPr>
            <w:tcW w:w="806" w:type="dxa"/>
            <w:noWrap/>
            <w:hideMark/>
          </w:tcPr>
          <w:p w:rsidR="003E180D" w:rsidRDefault="003E180D" w:rsidP="0088305C">
            <w:pPr>
              <w:jc w:val="center"/>
              <w:rPr>
                <w:noProof/>
                <w:szCs w:val="24"/>
              </w:rPr>
            </w:pPr>
            <w:r>
              <w:rPr>
                <w:noProof/>
                <w:szCs w:val="24"/>
              </w:rPr>
              <w:t>100%</w:t>
            </w:r>
          </w:p>
        </w:tc>
        <w:tc>
          <w:tcPr>
            <w:tcW w:w="1142" w:type="dxa"/>
            <w:noWrap/>
            <w:hideMark/>
          </w:tcPr>
          <w:p w:rsidR="003E180D" w:rsidRDefault="003E180D" w:rsidP="0088305C">
            <w:pPr>
              <w:jc w:val="center"/>
              <w:rPr>
                <w:noProof/>
                <w:szCs w:val="24"/>
              </w:rPr>
            </w:pPr>
            <w:r>
              <w:rPr>
                <w:noProof/>
              </w:rPr>
              <w:t>96%</w:t>
            </w:r>
          </w:p>
        </w:tc>
        <w:tc>
          <w:tcPr>
            <w:tcW w:w="1143" w:type="dxa"/>
            <w:noWrap/>
            <w:hideMark/>
          </w:tcPr>
          <w:p w:rsidR="003E180D" w:rsidRDefault="003E180D" w:rsidP="0088305C">
            <w:pPr>
              <w:jc w:val="center"/>
              <w:rPr>
                <w:noProof/>
                <w:szCs w:val="24"/>
              </w:rPr>
            </w:pPr>
            <w:r>
              <w:rPr>
                <w:noProof/>
              </w:rPr>
              <w:t>95%</w:t>
            </w:r>
          </w:p>
        </w:tc>
        <w:tc>
          <w:tcPr>
            <w:tcW w:w="1142" w:type="dxa"/>
            <w:noWrap/>
            <w:hideMark/>
          </w:tcPr>
          <w:p w:rsidR="003E180D" w:rsidRDefault="003E180D" w:rsidP="0088305C">
            <w:pPr>
              <w:jc w:val="center"/>
              <w:rPr>
                <w:noProof/>
                <w:szCs w:val="24"/>
              </w:rPr>
            </w:pPr>
            <w:r>
              <w:rPr>
                <w:noProof/>
              </w:rPr>
              <w:t>91%</w:t>
            </w:r>
          </w:p>
        </w:tc>
        <w:tc>
          <w:tcPr>
            <w:tcW w:w="1143" w:type="dxa"/>
            <w:noWrap/>
            <w:hideMark/>
          </w:tcPr>
          <w:p w:rsidR="003E180D" w:rsidRDefault="003E180D" w:rsidP="0088305C">
            <w:pPr>
              <w:jc w:val="center"/>
              <w:rPr>
                <w:noProof/>
                <w:szCs w:val="24"/>
              </w:rPr>
            </w:pPr>
            <w:r>
              <w:rPr>
                <w:noProof/>
              </w:rPr>
              <w:t>85%</w:t>
            </w:r>
          </w:p>
        </w:tc>
        <w:tc>
          <w:tcPr>
            <w:tcW w:w="1143" w:type="dxa"/>
            <w:noWrap/>
            <w:hideMark/>
          </w:tcPr>
          <w:p w:rsidR="003E180D" w:rsidRDefault="003E180D" w:rsidP="0088305C">
            <w:pPr>
              <w:jc w:val="center"/>
              <w:rPr>
                <w:noProof/>
                <w:szCs w:val="24"/>
              </w:rPr>
            </w:pPr>
            <w:r>
              <w:rPr>
                <w:noProof/>
              </w:rPr>
              <w:t>78%</w:t>
            </w:r>
          </w:p>
        </w:tc>
      </w:tr>
      <w:tr w:rsidR="003E180D" w:rsidTr="0088305C">
        <w:trPr>
          <w:trHeight w:val="300"/>
        </w:trPr>
        <w:tc>
          <w:tcPr>
            <w:tcW w:w="2093" w:type="dxa"/>
            <w:noWrap/>
            <w:hideMark/>
          </w:tcPr>
          <w:p w:rsidR="003E180D" w:rsidRDefault="003E180D" w:rsidP="0088305C">
            <w:pPr>
              <w:rPr>
                <w:b/>
                <w:noProof/>
                <w:szCs w:val="24"/>
              </w:rPr>
            </w:pPr>
            <w:r>
              <w:rPr>
                <w:b/>
                <w:noProof/>
                <w:szCs w:val="24"/>
              </w:rPr>
              <w:t>Cars +vans + HDV TL30</w:t>
            </w:r>
          </w:p>
        </w:tc>
        <w:tc>
          <w:tcPr>
            <w:tcW w:w="806" w:type="dxa"/>
            <w:noWrap/>
            <w:hideMark/>
          </w:tcPr>
          <w:p w:rsidR="003E180D" w:rsidRDefault="003E180D" w:rsidP="0088305C">
            <w:pPr>
              <w:jc w:val="center"/>
              <w:rPr>
                <w:noProof/>
                <w:szCs w:val="24"/>
              </w:rPr>
            </w:pPr>
            <w:r>
              <w:rPr>
                <w:noProof/>
                <w:szCs w:val="24"/>
              </w:rPr>
              <w:t>100%</w:t>
            </w:r>
          </w:p>
        </w:tc>
        <w:tc>
          <w:tcPr>
            <w:tcW w:w="1142" w:type="dxa"/>
            <w:noWrap/>
            <w:hideMark/>
          </w:tcPr>
          <w:p w:rsidR="003E180D" w:rsidRDefault="003E180D" w:rsidP="0088305C">
            <w:pPr>
              <w:jc w:val="center"/>
              <w:rPr>
                <w:noProof/>
                <w:szCs w:val="24"/>
              </w:rPr>
            </w:pPr>
            <w:r>
              <w:rPr>
                <w:noProof/>
              </w:rPr>
              <w:t>96%</w:t>
            </w:r>
          </w:p>
        </w:tc>
        <w:tc>
          <w:tcPr>
            <w:tcW w:w="1143" w:type="dxa"/>
            <w:noWrap/>
            <w:hideMark/>
          </w:tcPr>
          <w:p w:rsidR="003E180D" w:rsidRDefault="003E180D" w:rsidP="0088305C">
            <w:pPr>
              <w:jc w:val="center"/>
              <w:rPr>
                <w:noProof/>
                <w:szCs w:val="24"/>
              </w:rPr>
            </w:pPr>
            <w:r>
              <w:rPr>
                <w:noProof/>
              </w:rPr>
              <w:t>95%</w:t>
            </w:r>
          </w:p>
        </w:tc>
        <w:tc>
          <w:tcPr>
            <w:tcW w:w="1142" w:type="dxa"/>
            <w:noWrap/>
            <w:hideMark/>
          </w:tcPr>
          <w:p w:rsidR="003E180D" w:rsidRDefault="003E180D" w:rsidP="0088305C">
            <w:pPr>
              <w:jc w:val="center"/>
              <w:rPr>
                <w:noProof/>
                <w:szCs w:val="24"/>
              </w:rPr>
            </w:pPr>
            <w:r>
              <w:rPr>
                <w:noProof/>
              </w:rPr>
              <w:t>91%</w:t>
            </w:r>
          </w:p>
        </w:tc>
        <w:tc>
          <w:tcPr>
            <w:tcW w:w="1143" w:type="dxa"/>
            <w:noWrap/>
            <w:hideMark/>
          </w:tcPr>
          <w:p w:rsidR="003E180D" w:rsidRDefault="003E180D" w:rsidP="0088305C">
            <w:pPr>
              <w:jc w:val="center"/>
              <w:rPr>
                <w:noProof/>
                <w:szCs w:val="24"/>
              </w:rPr>
            </w:pPr>
            <w:r>
              <w:rPr>
                <w:noProof/>
              </w:rPr>
              <w:t>85%</w:t>
            </w:r>
          </w:p>
        </w:tc>
        <w:tc>
          <w:tcPr>
            <w:tcW w:w="1143" w:type="dxa"/>
            <w:noWrap/>
            <w:hideMark/>
          </w:tcPr>
          <w:p w:rsidR="003E180D" w:rsidRDefault="003E180D" w:rsidP="0088305C">
            <w:pPr>
              <w:jc w:val="center"/>
              <w:rPr>
                <w:noProof/>
                <w:szCs w:val="24"/>
              </w:rPr>
            </w:pPr>
            <w:r>
              <w:rPr>
                <w:noProof/>
              </w:rPr>
              <w:t>78%</w:t>
            </w:r>
          </w:p>
        </w:tc>
      </w:tr>
      <w:tr w:rsidR="003E180D" w:rsidTr="0088305C">
        <w:trPr>
          <w:trHeight w:val="300"/>
        </w:trPr>
        <w:tc>
          <w:tcPr>
            <w:tcW w:w="2093" w:type="dxa"/>
            <w:noWrap/>
            <w:hideMark/>
          </w:tcPr>
          <w:p w:rsidR="003E180D" w:rsidRDefault="003E180D" w:rsidP="0088305C">
            <w:pPr>
              <w:rPr>
                <w:b/>
                <w:noProof/>
                <w:szCs w:val="24"/>
              </w:rPr>
            </w:pPr>
            <w:r>
              <w:rPr>
                <w:b/>
                <w:noProof/>
                <w:szCs w:val="24"/>
              </w:rPr>
              <w:t>Cars + vans + HDV TL35</w:t>
            </w:r>
          </w:p>
        </w:tc>
        <w:tc>
          <w:tcPr>
            <w:tcW w:w="806" w:type="dxa"/>
            <w:noWrap/>
            <w:hideMark/>
          </w:tcPr>
          <w:p w:rsidR="003E180D" w:rsidRDefault="003E180D" w:rsidP="0088305C">
            <w:pPr>
              <w:jc w:val="center"/>
              <w:rPr>
                <w:noProof/>
                <w:szCs w:val="24"/>
              </w:rPr>
            </w:pPr>
            <w:r>
              <w:rPr>
                <w:noProof/>
                <w:szCs w:val="24"/>
              </w:rPr>
              <w:t>100%</w:t>
            </w:r>
          </w:p>
        </w:tc>
        <w:tc>
          <w:tcPr>
            <w:tcW w:w="1142" w:type="dxa"/>
            <w:noWrap/>
            <w:hideMark/>
          </w:tcPr>
          <w:p w:rsidR="003E180D" w:rsidRDefault="003E180D" w:rsidP="0088305C">
            <w:pPr>
              <w:jc w:val="center"/>
              <w:rPr>
                <w:noProof/>
                <w:szCs w:val="24"/>
              </w:rPr>
            </w:pPr>
            <w:r>
              <w:rPr>
                <w:noProof/>
              </w:rPr>
              <w:t>96%</w:t>
            </w:r>
          </w:p>
        </w:tc>
        <w:tc>
          <w:tcPr>
            <w:tcW w:w="1143" w:type="dxa"/>
            <w:noWrap/>
            <w:hideMark/>
          </w:tcPr>
          <w:p w:rsidR="003E180D" w:rsidRDefault="003E180D" w:rsidP="0088305C">
            <w:pPr>
              <w:jc w:val="center"/>
              <w:rPr>
                <w:noProof/>
                <w:szCs w:val="24"/>
              </w:rPr>
            </w:pPr>
            <w:r>
              <w:rPr>
                <w:noProof/>
              </w:rPr>
              <w:t>95%</w:t>
            </w:r>
          </w:p>
        </w:tc>
        <w:tc>
          <w:tcPr>
            <w:tcW w:w="1142" w:type="dxa"/>
            <w:noWrap/>
            <w:hideMark/>
          </w:tcPr>
          <w:p w:rsidR="003E180D" w:rsidRDefault="003E180D" w:rsidP="0088305C">
            <w:pPr>
              <w:jc w:val="center"/>
              <w:rPr>
                <w:noProof/>
                <w:szCs w:val="24"/>
              </w:rPr>
            </w:pPr>
            <w:r>
              <w:rPr>
                <w:noProof/>
              </w:rPr>
              <w:t>91%</w:t>
            </w:r>
          </w:p>
        </w:tc>
        <w:tc>
          <w:tcPr>
            <w:tcW w:w="1143" w:type="dxa"/>
            <w:noWrap/>
            <w:hideMark/>
          </w:tcPr>
          <w:p w:rsidR="003E180D" w:rsidRDefault="003E180D" w:rsidP="0088305C">
            <w:pPr>
              <w:jc w:val="center"/>
              <w:rPr>
                <w:noProof/>
                <w:szCs w:val="24"/>
              </w:rPr>
            </w:pPr>
            <w:r>
              <w:rPr>
                <w:noProof/>
              </w:rPr>
              <w:t>84%</w:t>
            </w:r>
          </w:p>
        </w:tc>
        <w:tc>
          <w:tcPr>
            <w:tcW w:w="1143" w:type="dxa"/>
            <w:noWrap/>
            <w:hideMark/>
          </w:tcPr>
          <w:p w:rsidR="003E180D" w:rsidRDefault="003E180D" w:rsidP="0088305C">
            <w:pPr>
              <w:jc w:val="center"/>
              <w:rPr>
                <w:noProof/>
                <w:szCs w:val="24"/>
              </w:rPr>
            </w:pPr>
            <w:r>
              <w:rPr>
                <w:noProof/>
              </w:rPr>
              <w:t>77%</w:t>
            </w:r>
          </w:p>
        </w:tc>
      </w:tr>
      <w:tr w:rsidR="003E180D" w:rsidTr="0088305C">
        <w:trPr>
          <w:trHeight w:val="300"/>
        </w:trPr>
        <w:tc>
          <w:tcPr>
            <w:tcW w:w="2093" w:type="dxa"/>
            <w:noWrap/>
            <w:hideMark/>
          </w:tcPr>
          <w:p w:rsidR="003E180D" w:rsidRDefault="003E180D" w:rsidP="0088305C">
            <w:pPr>
              <w:rPr>
                <w:b/>
                <w:noProof/>
                <w:szCs w:val="24"/>
              </w:rPr>
            </w:pPr>
            <w:r>
              <w:rPr>
                <w:b/>
                <w:noProof/>
                <w:szCs w:val="24"/>
              </w:rPr>
              <w:t>EuCo30</w:t>
            </w:r>
          </w:p>
        </w:tc>
        <w:tc>
          <w:tcPr>
            <w:tcW w:w="806" w:type="dxa"/>
            <w:noWrap/>
            <w:hideMark/>
          </w:tcPr>
          <w:p w:rsidR="003E180D" w:rsidRDefault="003E180D" w:rsidP="0088305C">
            <w:pPr>
              <w:jc w:val="center"/>
              <w:rPr>
                <w:noProof/>
                <w:szCs w:val="24"/>
              </w:rPr>
            </w:pPr>
            <w:r>
              <w:rPr>
                <w:noProof/>
                <w:szCs w:val="24"/>
              </w:rPr>
              <w:t>100%</w:t>
            </w:r>
          </w:p>
        </w:tc>
        <w:tc>
          <w:tcPr>
            <w:tcW w:w="1142" w:type="dxa"/>
            <w:noWrap/>
            <w:hideMark/>
          </w:tcPr>
          <w:p w:rsidR="003E180D" w:rsidRDefault="003E180D" w:rsidP="0088305C">
            <w:pPr>
              <w:jc w:val="center"/>
              <w:rPr>
                <w:noProof/>
                <w:szCs w:val="24"/>
              </w:rPr>
            </w:pPr>
            <w:r>
              <w:rPr>
                <w:noProof/>
              </w:rPr>
              <w:t>96%</w:t>
            </w:r>
          </w:p>
        </w:tc>
        <w:tc>
          <w:tcPr>
            <w:tcW w:w="1143" w:type="dxa"/>
            <w:noWrap/>
            <w:hideMark/>
          </w:tcPr>
          <w:p w:rsidR="003E180D" w:rsidRDefault="003E180D" w:rsidP="0088305C">
            <w:pPr>
              <w:jc w:val="center"/>
              <w:rPr>
                <w:noProof/>
                <w:szCs w:val="24"/>
              </w:rPr>
            </w:pPr>
            <w:r>
              <w:rPr>
                <w:noProof/>
              </w:rPr>
              <w:t>94%</w:t>
            </w:r>
          </w:p>
        </w:tc>
        <w:tc>
          <w:tcPr>
            <w:tcW w:w="1142" w:type="dxa"/>
            <w:noWrap/>
            <w:hideMark/>
          </w:tcPr>
          <w:p w:rsidR="003E180D" w:rsidRDefault="003E180D" w:rsidP="0088305C">
            <w:pPr>
              <w:jc w:val="center"/>
              <w:rPr>
                <w:noProof/>
                <w:szCs w:val="24"/>
              </w:rPr>
            </w:pPr>
            <w:r>
              <w:rPr>
                <w:noProof/>
              </w:rPr>
              <w:t>88%</w:t>
            </w:r>
          </w:p>
        </w:tc>
        <w:tc>
          <w:tcPr>
            <w:tcW w:w="1143" w:type="dxa"/>
            <w:noWrap/>
            <w:hideMark/>
          </w:tcPr>
          <w:p w:rsidR="003E180D" w:rsidRDefault="003E180D" w:rsidP="0088305C">
            <w:pPr>
              <w:jc w:val="center"/>
              <w:rPr>
                <w:noProof/>
                <w:szCs w:val="24"/>
              </w:rPr>
            </w:pPr>
            <w:r>
              <w:rPr>
                <w:noProof/>
              </w:rPr>
              <w:t>81%</w:t>
            </w:r>
          </w:p>
        </w:tc>
        <w:tc>
          <w:tcPr>
            <w:tcW w:w="1143" w:type="dxa"/>
            <w:noWrap/>
            <w:hideMark/>
          </w:tcPr>
          <w:p w:rsidR="003E180D" w:rsidRDefault="003E180D" w:rsidP="0088305C">
            <w:pPr>
              <w:jc w:val="center"/>
              <w:rPr>
                <w:noProof/>
                <w:szCs w:val="24"/>
              </w:rPr>
            </w:pPr>
            <w:r>
              <w:rPr>
                <w:noProof/>
              </w:rPr>
              <w:t>75%</w:t>
            </w:r>
          </w:p>
        </w:tc>
      </w:tr>
    </w:tbl>
    <w:p w:rsidR="003E180D" w:rsidRDefault="003E180D" w:rsidP="003E180D">
      <w:pPr>
        <w:pStyle w:val="Heading2"/>
        <w:numPr>
          <w:ilvl w:val="1"/>
          <w:numId w:val="22"/>
        </w:numPr>
        <w:spacing w:before="240" w:after="240"/>
        <w:rPr>
          <w:noProof/>
        </w:rPr>
      </w:pPr>
      <w:bookmarkStart w:id="865" w:name="_Toc508181070"/>
      <w:bookmarkStart w:id="866" w:name="_Toc508186661"/>
      <w:bookmarkStart w:id="867" w:name="_Toc510708145"/>
      <w:bookmarkStart w:id="868" w:name="_Toc514328842"/>
      <w:r>
        <w:rPr>
          <w:noProof/>
        </w:rPr>
        <w:t>Penalties – economic impacts</w:t>
      </w:r>
      <w:bookmarkEnd w:id="865"/>
      <w:bookmarkEnd w:id="866"/>
      <w:bookmarkEnd w:id="867"/>
      <w:bookmarkEnd w:id="868"/>
    </w:p>
    <w:p w:rsidR="003E180D" w:rsidRDefault="003E180D" w:rsidP="003E180D">
      <w:pPr>
        <w:tabs>
          <w:tab w:val="left" w:pos="2302"/>
        </w:tabs>
        <w:spacing w:after="120" w:line="240" w:lineRule="auto"/>
        <w:jc w:val="both"/>
        <w:rPr>
          <w:noProof/>
        </w:rPr>
      </w:pPr>
      <w:r>
        <w:rPr>
          <w:rFonts w:cs="Times New Roman"/>
          <w:noProof/>
          <w:szCs w:val="24"/>
        </w:rPr>
        <w:t xml:space="preserve">The economic impact of financial penalties will depend on the target level set as this influences the marginal technology costs. </w:t>
      </w:r>
      <w:r>
        <w:rPr>
          <w:rFonts w:cs="Times New Roman"/>
          <w:noProof/>
          <w:szCs w:val="24"/>
        </w:rPr>
        <w:fldChar w:fldCharType="begin"/>
      </w:r>
      <w:r>
        <w:rPr>
          <w:rFonts w:cs="Times New Roman"/>
          <w:noProof/>
          <w:szCs w:val="24"/>
        </w:rPr>
        <w:instrText xml:space="preserve"> REF _Ref506208361 \h  \* MERGEFORMAT </w:instrText>
      </w:r>
      <w:r>
        <w:rPr>
          <w:rFonts w:cs="Times New Roman"/>
          <w:noProof/>
          <w:szCs w:val="24"/>
        </w:rPr>
      </w:r>
      <w:r>
        <w:rPr>
          <w:rFonts w:cs="Times New Roman"/>
          <w:noProof/>
          <w:szCs w:val="24"/>
        </w:rPr>
        <w:fldChar w:fldCharType="separate"/>
      </w:r>
      <w:r>
        <w:rPr>
          <w:noProof/>
        </w:rPr>
        <w:br w:type="page"/>
      </w:r>
    </w:p>
    <w:p w:rsidR="003E180D" w:rsidRDefault="003E180D" w:rsidP="003E180D">
      <w:pPr>
        <w:tabs>
          <w:tab w:val="left" w:pos="2302"/>
        </w:tabs>
        <w:spacing w:after="120" w:line="240" w:lineRule="auto"/>
        <w:jc w:val="both"/>
        <w:rPr>
          <w:rFonts w:cs="Times New Roman"/>
          <w:noProof/>
          <w:szCs w:val="24"/>
        </w:rPr>
      </w:pPr>
      <w:r>
        <w:rPr>
          <w:rFonts w:cs="Times New Roman"/>
          <w:noProof/>
          <w:szCs w:val="24"/>
        </w:rPr>
        <w:t>Table</w:t>
      </w:r>
      <w:r>
        <w:rPr>
          <w:b/>
          <w:noProof/>
        </w:rPr>
        <w:t xml:space="preserve"> 31</w:t>
      </w:r>
      <w:r>
        <w:rPr>
          <w:rFonts w:cs="Times New Roman"/>
          <w:noProof/>
          <w:szCs w:val="24"/>
        </w:rPr>
        <w:fldChar w:fldCharType="end"/>
      </w:r>
      <w:r>
        <w:rPr>
          <w:rFonts w:cs="Times New Roman"/>
          <w:noProof/>
          <w:szCs w:val="24"/>
        </w:rPr>
        <w:t xml:space="preserve"> summarises the marginal technology costs for meeting the different target levels assessed, based on </w:t>
      </w:r>
      <w:r>
        <w:rPr>
          <w:noProof/>
          <w:color w:val="000000" w:themeColor="text1"/>
        </w:rPr>
        <w:t xml:space="preserve">the base cost </w:t>
      </w:r>
      <w:r>
        <w:rPr>
          <w:rFonts w:cs="Times New Roman"/>
          <w:noProof/>
          <w:szCs w:val="24"/>
        </w:rPr>
        <w:t>assumptions.</w:t>
      </w:r>
    </w:p>
    <w:p w:rsidR="003E180D" w:rsidRDefault="003E180D" w:rsidP="003E180D">
      <w:pPr>
        <w:rPr>
          <w:b/>
          <w:noProof/>
        </w:rPr>
      </w:pPr>
      <w:bookmarkStart w:id="869" w:name="_Ref506208361"/>
      <w:bookmarkStart w:id="870" w:name="_Ref508034988"/>
      <w:r>
        <w:rPr>
          <w:b/>
          <w:noProof/>
        </w:rPr>
        <w:br w:type="page"/>
      </w:r>
    </w:p>
    <w:p w:rsidR="003E180D" w:rsidRDefault="003E180D" w:rsidP="003E180D">
      <w:pPr>
        <w:keepNext/>
        <w:spacing w:after="120" w:line="240" w:lineRule="auto"/>
        <w:jc w:val="both"/>
        <w:rPr>
          <w:b/>
          <w:noProof/>
        </w:rPr>
      </w:pPr>
      <w:r>
        <w:rPr>
          <w:b/>
          <w:noProof/>
        </w:rPr>
        <w:t xml:space="preserve">Table </w:t>
      </w:r>
      <w:r>
        <w:rPr>
          <w:b/>
          <w:noProof/>
        </w:rPr>
        <w:fldChar w:fldCharType="begin"/>
      </w:r>
      <w:r>
        <w:rPr>
          <w:b/>
          <w:noProof/>
        </w:rPr>
        <w:instrText xml:space="preserve"> SEQ Table \* ARABIC </w:instrText>
      </w:r>
      <w:r>
        <w:rPr>
          <w:b/>
          <w:noProof/>
        </w:rPr>
        <w:fldChar w:fldCharType="separate"/>
      </w:r>
      <w:r>
        <w:rPr>
          <w:b/>
          <w:noProof/>
        </w:rPr>
        <w:t>31</w:t>
      </w:r>
      <w:r>
        <w:rPr>
          <w:b/>
          <w:noProof/>
        </w:rPr>
        <w:fldChar w:fldCharType="end"/>
      </w:r>
      <w:bookmarkEnd w:id="869"/>
      <w:bookmarkEnd w:id="870"/>
      <w:r>
        <w:rPr>
          <w:b/>
          <w:noProof/>
        </w:rPr>
        <w:t xml:space="preserve">: Marginal technology costs </w:t>
      </w:r>
      <w:r>
        <w:rPr>
          <w:rFonts w:eastAsia="Times New Roman"/>
          <w:b/>
          <w:noProof/>
        </w:rPr>
        <w:t>(€ / (g CO</w:t>
      </w:r>
      <w:r>
        <w:rPr>
          <w:b/>
          <w:noProof/>
          <w:vertAlign w:val="subscript"/>
        </w:rPr>
        <w:t>2</w:t>
      </w:r>
      <w:r>
        <w:rPr>
          <w:rFonts w:eastAsia="Times New Roman"/>
          <w:b/>
          <w:noProof/>
        </w:rPr>
        <w:t xml:space="preserve">/km)) </w:t>
      </w:r>
      <w:r>
        <w:rPr>
          <w:b/>
          <w:noProof/>
        </w:rPr>
        <w:t xml:space="preserve">in 2025 and 2030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3"/>
        <w:gridCol w:w="1395"/>
        <w:gridCol w:w="1396"/>
      </w:tblGrid>
      <w:tr w:rsidR="003E180D" w:rsidTr="0088305C">
        <w:trPr>
          <w:trHeight w:val="349"/>
          <w:jc w:val="center"/>
        </w:trPr>
        <w:tc>
          <w:tcPr>
            <w:tcW w:w="1603" w:type="dxa"/>
            <w:shd w:val="clear" w:color="auto" w:fill="auto"/>
          </w:tcPr>
          <w:p w:rsidR="003E180D" w:rsidRDefault="003E180D" w:rsidP="0088305C">
            <w:pPr>
              <w:spacing w:after="0"/>
              <w:jc w:val="both"/>
              <w:rPr>
                <w:b/>
                <w:noProof/>
              </w:rPr>
            </w:pPr>
            <w:r>
              <w:rPr>
                <w:b/>
                <w:noProof/>
              </w:rPr>
              <w:t>Option</w:t>
            </w:r>
          </w:p>
        </w:tc>
        <w:tc>
          <w:tcPr>
            <w:tcW w:w="1395" w:type="dxa"/>
            <w:shd w:val="clear" w:color="auto" w:fill="auto"/>
            <w:hideMark/>
          </w:tcPr>
          <w:p w:rsidR="003E180D" w:rsidRDefault="003E180D" w:rsidP="0088305C">
            <w:pPr>
              <w:spacing w:after="0"/>
              <w:jc w:val="center"/>
              <w:rPr>
                <w:b/>
                <w:noProof/>
              </w:rPr>
            </w:pPr>
            <w:r>
              <w:rPr>
                <w:b/>
                <w:noProof/>
              </w:rPr>
              <w:t>2025</w:t>
            </w:r>
          </w:p>
        </w:tc>
        <w:tc>
          <w:tcPr>
            <w:tcW w:w="1396" w:type="dxa"/>
            <w:shd w:val="clear" w:color="auto" w:fill="auto"/>
          </w:tcPr>
          <w:p w:rsidR="003E180D" w:rsidRDefault="003E180D" w:rsidP="0088305C">
            <w:pPr>
              <w:tabs>
                <w:tab w:val="right" w:pos="3088"/>
              </w:tabs>
              <w:spacing w:after="0"/>
              <w:jc w:val="center"/>
              <w:rPr>
                <w:b/>
                <w:noProof/>
              </w:rPr>
            </w:pPr>
            <w:r>
              <w:rPr>
                <w:b/>
                <w:noProof/>
              </w:rPr>
              <w:t>2030</w:t>
            </w:r>
          </w:p>
        </w:tc>
      </w:tr>
      <w:tr w:rsidR="003E180D" w:rsidTr="0088305C">
        <w:trPr>
          <w:trHeight w:val="300"/>
          <w:jc w:val="center"/>
        </w:trPr>
        <w:tc>
          <w:tcPr>
            <w:tcW w:w="1603" w:type="dxa"/>
            <w:shd w:val="clear" w:color="auto" w:fill="auto"/>
          </w:tcPr>
          <w:p w:rsidR="003E180D" w:rsidRDefault="003E180D" w:rsidP="0088305C">
            <w:pPr>
              <w:spacing w:after="0"/>
              <w:jc w:val="both"/>
              <w:rPr>
                <w:noProof/>
              </w:rPr>
            </w:pPr>
            <w:r>
              <w:rPr>
                <w:noProof/>
              </w:rPr>
              <w:t>TL20</w:t>
            </w:r>
          </w:p>
        </w:tc>
        <w:tc>
          <w:tcPr>
            <w:tcW w:w="1395" w:type="dxa"/>
            <w:shd w:val="clear" w:color="auto" w:fill="auto"/>
            <w:noWrap/>
            <w:vAlign w:val="bottom"/>
            <w:hideMark/>
          </w:tcPr>
          <w:p w:rsidR="003E180D" w:rsidRDefault="003E180D" w:rsidP="0088305C">
            <w:pPr>
              <w:spacing w:after="0"/>
              <w:jc w:val="center"/>
              <w:rPr>
                <w:noProof/>
              </w:rPr>
            </w:pPr>
            <w:r>
              <w:rPr>
                <w:noProof/>
              </w:rPr>
              <w:t>27</w:t>
            </w:r>
          </w:p>
        </w:tc>
        <w:tc>
          <w:tcPr>
            <w:tcW w:w="1396" w:type="dxa"/>
            <w:shd w:val="clear" w:color="auto" w:fill="auto"/>
            <w:noWrap/>
            <w:vAlign w:val="bottom"/>
            <w:hideMark/>
          </w:tcPr>
          <w:p w:rsidR="003E180D" w:rsidRDefault="003E180D" w:rsidP="0088305C">
            <w:pPr>
              <w:spacing w:after="0"/>
              <w:jc w:val="center"/>
              <w:rPr>
                <w:noProof/>
              </w:rPr>
            </w:pPr>
            <w:r>
              <w:rPr>
                <w:noProof/>
              </w:rPr>
              <w:t>75</w:t>
            </w:r>
          </w:p>
        </w:tc>
      </w:tr>
      <w:tr w:rsidR="003E180D" w:rsidTr="0088305C">
        <w:trPr>
          <w:trHeight w:val="300"/>
          <w:jc w:val="center"/>
        </w:trPr>
        <w:tc>
          <w:tcPr>
            <w:tcW w:w="1603" w:type="dxa"/>
            <w:shd w:val="clear" w:color="auto" w:fill="auto"/>
          </w:tcPr>
          <w:p w:rsidR="003E180D" w:rsidRDefault="003E180D" w:rsidP="0088305C">
            <w:pPr>
              <w:spacing w:after="0"/>
              <w:jc w:val="both"/>
              <w:rPr>
                <w:noProof/>
              </w:rPr>
            </w:pPr>
            <w:r>
              <w:rPr>
                <w:noProof/>
              </w:rPr>
              <w:t>TL30NL</w:t>
            </w:r>
          </w:p>
        </w:tc>
        <w:tc>
          <w:tcPr>
            <w:tcW w:w="1395" w:type="dxa"/>
            <w:shd w:val="clear" w:color="auto" w:fill="auto"/>
            <w:noWrap/>
            <w:vAlign w:val="bottom"/>
          </w:tcPr>
          <w:p w:rsidR="003E180D" w:rsidRDefault="003E180D" w:rsidP="0088305C">
            <w:pPr>
              <w:spacing w:after="0"/>
              <w:jc w:val="center"/>
              <w:rPr>
                <w:noProof/>
              </w:rPr>
            </w:pPr>
            <w:r>
              <w:rPr>
                <w:noProof/>
              </w:rPr>
              <w:t>39</w:t>
            </w:r>
          </w:p>
        </w:tc>
        <w:tc>
          <w:tcPr>
            <w:tcW w:w="1396" w:type="dxa"/>
            <w:shd w:val="clear" w:color="auto" w:fill="auto"/>
            <w:noWrap/>
            <w:vAlign w:val="bottom"/>
          </w:tcPr>
          <w:p w:rsidR="003E180D" w:rsidRDefault="003E180D" w:rsidP="0088305C">
            <w:pPr>
              <w:spacing w:after="0"/>
              <w:jc w:val="center"/>
              <w:rPr>
                <w:noProof/>
              </w:rPr>
            </w:pPr>
            <w:r>
              <w:rPr>
                <w:noProof/>
              </w:rPr>
              <w:t>485</w:t>
            </w:r>
          </w:p>
        </w:tc>
      </w:tr>
      <w:tr w:rsidR="003E180D" w:rsidTr="0088305C">
        <w:trPr>
          <w:trHeight w:val="300"/>
          <w:jc w:val="center"/>
        </w:trPr>
        <w:tc>
          <w:tcPr>
            <w:tcW w:w="1603" w:type="dxa"/>
            <w:shd w:val="clear" w:color="auto" w:fill="auto"/>
          </w:tcPr>
          <w:p w:rsidR="003E180D" w:rsidRDefault="003E180D" w:rsidP="0088305C">
            <w:pPr>
              <w:spacing w:after="0"/>
              <w:jc w:val="both"/>
              <w:rPr>
                <w:noProof/>
              </w:rPr>
            </w:pPr>
            <w:r>
              <w:rPr>
                <w:noProof/>
              </w:rPr>
              <w:t>TL30</w:t>
            </w:r>
          </w:p>
        </w:tc>
        <w:tc>
          <w:tcPr>
            <w:tcW w:w="1395" w:type="dxa"/>
            <w:shd w:val="clear" w:color="auto" w:fill="auto"/>
            <w:noWrap/>
            <w:vAlign w:val="bottom"/>
            <w:hideMark/>
          </w:tcPr>
          <w:p w:rsidR="003E180D" w:rsidRDefault="003E180D" w:rsidP="0088305C">
            <w:pPr>
              <w:spacing w:after="0"/>
              <w:jc w:val="center"/>
              <w:rPr>
                <w:noProof/>
              </w:rPr>
            </w:pPr>
            <w:r>
              <w:rPr>
                <w:noProof/>
              </w:rPr>
              <w:t>65</w:t>
            </w:r>
          </w:p>
        </w:tc>
        <w:tc>
          <w:tcPr>
            <w:tcW w:w="1396" w:type="dxa"/>
            <w:shd w:val="clear" w:color="auto" w:fill="auto"/>
            <w:noWrap/>
            <w:vAlign w:val="bottom"/>
            <w:hideMark/>
          </w:tcPr>
          <w:p w:rsidR="003E180D" w:rsidRDefault="003E180D" w:rsidP="0088305C">
            <w:pPr>
              <w:spacing w:after="0"/>
              <w:jc w:val="center"/>
              <w:rPr>
                <w:noProof/>
              </w:rPr>
            </w:pPr>
            <w:r>
              <w:rPr>
                <w:noProof/>
              </w:rPr>
              <w:t>475</w:t>
            </w:r>
          </w:p>
        </w:tc>
      </w:tr>
      <w:tr w:rsidR="003E180D" w:rsidTr="0088305C">
        <w:trPr>
          <w:trHeight w:val="300"/>
          <w:jc w:val="center"/>
        </w:trPr>
        <w:tc>
          <w:tcPr>
            <w:tcW w:w="1603" w:type="dxa"/>
            <w:shd w:val="clear" w:color="auto" w:fill="auto"/>
          </w:tcPr>
          <w:p w:rsidR="003E180D" w:rsidRDefault="003E180D" w:rsidP="0088305C">
            <w:pPr>
              <w:spacing w:after="0"/>
              <w:jc w:val="both"/>
              <w:rPr>
                <w:noProof/>
              </w:rPr>
            </w:pPr>
            <w:r>
              <w:rPr>
                <w:noProof/>
              </w:rPr>
              <w:t>TL32</w:t>
            </w:r>
          </w:p>
        </w:tc>
        <w:tc>
          <w:tcPr>
            <w:tcW w:w="1395" w:type="dxa"/>
            <w:shd w:val="clear" w:color="auto" w:fill="auto"/>
            <w:noWrap/>
            <w:vAlign w:val="bottom"/>
            <w:hideMark/>
          </w:tcPr>
          <w:p w:rsidR="003E180D" w:rsidRDefault="003E180D" w:rsidP="0088305C">
            <w:pPr>
              <w:spacing w:after="0"/>
              <w:jc w:val="center"/>
              <w:rPr>
                <w:noProof/>
              </w:rPr>
            </w:pPr>
            <w:r>
              <w:rPr>
                <w:noProof/>
              </w:rPr>
              <w:t>92</w:t>
            </w:r>
          </w:p>
        </w:tc>
        <w:tc>
          <w:tcPr>
            <w:tcW w:w="1396" w:type="dxa"/>
            <w:shd w:val="clear" w:color="auto" w:fill="auto"/>
            <w:noWrap/>
            <w:vAlign w:val="bottom"/>
            <w:hideMark/>
          </w:tcPr>
          <w:p w:rsidR="003E180D" w:rsidRDefault="003E180D" w:rsidP="0088305C">
            <w:pPr>
              <w:spacing w:after="0"/>
              <w:jc w:val="center"/>
              <w:rPr>
                <w:noProof/>
              </w:rPr>
            </w:pPr>
            <w:r>
              <w:rPr>
                <w:noProof/>
              </w:rPr>
              <w:t>827</w:t>
            </w:r>
          </w:p>
        </w:tc>
      </w:tr>
      <w:tr w:rsidR="003E180D" w:rsidTr="0088305C">
        <w:trPr>
          <w:trHeight w:val="300"/>
          <w:jc w:val="center"/>
        </w:trPr>
        <w:tc>
          <w:tcPr>
            <w:tcW w:w="1603" w:type="dxa"/>
            <w:shd w:val="clear" w:color="auto" w:fill="auto"/>
          </w:tcPr>
          <w:p w:rsidR="003E180D" w:rsidRDefault="003E180D" w:rsidP="0088305C">
            <w:pPr>
              <w:spacing w:after="0"/>
              <w:jc w:val="both"/>
              <w:rPr>
                <w:noProof/>
              </w:rPr>
            </w:pPr>
            <w:r>
              <w:rPr>
                <w:noProof/>
              </w:rPr>
              <w:t>TL35</w:t>
            </w:r>
          </w:p>
        </w:tc>
        <w:tc>
          <w:tcPr>
            <w:tcW w:w="1395" w:type="dxa"/>
            <w:shd w:val="clear" w:color="auto" w:fill="auto"/>
            <w:noWrap/>
            <w:vAlign w:val="bottom"/>
            <w:hideMark/>
          </w:tcPr>
          <w:p w:rsidR="003E180D" w:rsidRDefault="003E180D" w:rsidP="0088305C">
            <w:pPr>
              <w:spacing w:after="0"/>
              <w:jc w:val="center"/>
              <w:rPr>
                <w:noProof/>
              </w:rPr>
            </w:pPr>
            <w:r>
              <w:rPr>
                <w:noProof/>
              </w:rPr>
              <w:t>159</w:t>
            </w:r>
          </w:p>
        </w:tc>
        <w:tc>
          <w:tcPr>
            <w:tcW w:w="1396" w:type="dxa"/>
            <w:shd w:val="clear" w:color="auto" w:fill="auto"/>
            <w:noWrap/>
            <w:vAlign w:val="bottom"/>
            <w:hideMark/>
          </w:tcPr>
          <w:p w:rsidR="003E180D" w:rsidRDefault="003E180D" w:rsidP="0088305C">
            <w:pPr>
              <w:spacing w:after="0"/>
              <w:jc w:val="center"/>
              <w:rPr>
                <w:noProof/>
              </w:rPr>
            </w:pPr>
            <w:r>
              <w:rPr>
                <w:noProof/>
              </w:rPr>
              <w:t>991</w:t>
            </w:r>
          </w:p>
        </w:tc>
      </w:tr>
    </w:tbl>
    <w:p w:rsidR="003E180D" w:rsidRDefault="003E180D" w:rsidP="003E180D">
      <w:pPr>
        <w:tabs>
          <w:tab w:val="left" w:pos="2302"/>
        </w:tabs>
        <w:spacing w:before="240" w:after="120" w:line="240" w:lineRule="auto"/>
        <w:jc w:val="both"/>
        <w:rPr>
          <w:noProof/>
        </w:rPr>
      </w:pPr>
      <w:r>
        <w:rPr>
          <w:rFonts w:eastAsia="Times New Roman"/>
          <w:noProof/>
        </w:rPr>
        <w:t xml:space="preserve">HDVs have an average lifetime mileage of around 1.2 million km, which is about six times higher than LDVs. On that basis, the </w:t>
      </w:r>
      <w:r>
        <w:rPr>
          <w:rFonts w:eastAsia="Times New Roman" w:cs="Times New Roman"/>
          <w:noProof/>
          <w:szCs w:val="20"/>
        </w:rPr>
        <w:t xml:space="preserve">penalty of </w:t>
      </w:r>
      <w:r>
        <w:rPr>
          <w:rFonts w:eastAsia="Times New Roman"/>
          <w:noProof/>
        </w:rPr>
        <w:t>€95 per g CO</w:t>
      </w:r>
      <w:r>
        <w:rPr>
          <w:noProof/>
          <w:vertAlign w:val="subscript"/>
        </w:rPr>
        <w:t>2</w:t>
      </w:r>
      <w:r>
        <w:rPr>
          <w:rFonts w:eastAsia="Times New Roman"/>
          <w:noProof/>
        </w:rPr>
        <w:t xml:space="preserve">/km </w:t>
      </w:r>
      <w:r>
        <w:rPr>
          <w:rFonts w:eastAsia="Times New Roman" w:cs="Times New Roman"/>
          <w:noProof/>
          <w:szCs w:val="20"/>
        </w:rPr>
        <w:t xml:space="preserve">of target exceedance, which applies under the EU Regulations </w:t>
      </w:r>
      <w:r>
        <w:rPr>
          <w:rFonts w:eastAsia="Times New Roman"/>
          <w:noProof/>
        </w:rPr>
        <w:t xml:space="preserve">for </w:t>
      </w:r>
      <w:r>
        <w:rPr>
          <w:rFonts w:eastAsia="Times New Roman" w:cs="Times New Roman"/>
          <w:noProof/>
          <w:szCs w:val="20"/>
        </w:rPr>
        <w:t>LDV,</w:t>
      </w:r>
      <w:r>
        <w:rPr>
          <w:rFonts w:eastAsia="Times New Roman"/>
          <w:noProof/>
        </w:rPr>
        <w:t xml:space="preserve"> would translate into a €570 per g CO</w:t>
      </w:r>
      <w:r>
        <w:rPr>
          <w:noProof/>
          <w:vertAlign w:val="subscript"/>
        </w:rPr>
        <w:t>2</w:t>
      </w:r>
      <w:r>
        <w:rPr>
          <w:rFonts w:eastAsia="Times New Roman"/>
          <w:noProof/>
        </w:rPr>
        <w:t>/km penalty for HDVs</w:t>
      </w:r>
      <w:r>
        <w:rPr>
          <w:rStyle w:val="FootnoteReference"/>
          <w:rFonts w:eastAsia="Times New Roman"/>
          <w:noProof/>
        </w:rPr>
        <w:footnoteReference w:id="89"/>
      </w:r>
      <w:r>
        <w:rPr>
          <w:rFonts w:eastAsia="Times New Roman"/>
          <w:noProof/>
        </w:rPr>
        <w:t xml:space="preserve">. </w:t>
      </w:r>
    </w:p>
    <w:p w:rsidR="003E180D" w:rsidRDefault="003E180D" w:rsidP="003E180D">
      <w:pPr>
        <w:tabs>
          <w:tab w:val="left" w:pos="2302"/>
        </w:tabs>
        <w:spacing w:after="120" w:line="240" w:lineRule="auto"/>
        <w:jc w:val="both"/>
        <w:rPr>
          <w:noProof/>
        </w:rPr>
      </w:pPr>
      <w:r>
        <w:rPr>
          <w:rFonts w:cs="Times New Roman"/>
          <w:noProof/>
          <w:szCs w:val="24"/>
        </w:rPr>
        <w:t xml:space="preserve">As </w:t>
      </w:r>
      <w:r>
        <w:rPr>
          <w:rFonts w:cs="Times New Roman"/>
          <w:noProof/>
          <w:szCs w:val="24"/>
        </w:rPr>
        <w:fldChar w:fldCharType="begin"/>
      </w:r>
      <w:r>
        <w:rPr>
          <w:rFonts w:cs="Times New Roman"/>
          <w:noProof/>
          <w:szCs w:val="24"/>
        </w:rPr>
        <w:instrText xml:space="preserve"> REF _Ref508034988 \h  \* MERGEFORMAT </w:instrText>
      </w:r>
      <w:r>
        <w:rPr>
          <w:rFonts w:cs="Times New Roman"/>
          <w:noProof/>
          <w:szCs w:val="24"/>
        </w:rPr>
      </w:r>
      <w:r>
        <w:rPr>
          <w:rFonts w:cs="Times New Roman"/>
          <w:noProof/>
          <w:szCs w:val="24"/>
        </w:rPr>
        <w:fldChar w:fldCharType="separate"/>
      </w:r>
      <w:r>
        <w:rPr>
          <w:noProof/>
        </w:rPr>
        <w:br w:type="page"/>
      </w:r>
    </w:p>
    <w:p w:rsidR="003E180D" w:rsidRDefault="003E180D" w:rsidP="003E180D">
      <w:pPr>
        <w:tabs>
          <w:tab w:val="left" w:pos="2302"/>
        </w:tabs>
        <w:spacing w:after="120" w:line="240" w:lineRule="auto"/>
        <w:jc w:val="both"/>
        <w:rPr>
          <w:rFonts w:cs="Times New Roman"/>
          <w:noProof/>
          <w:szCs w:val="24"/>
        </w:rPr>
      </w:pPr>
      <w:r>
        <w:rPr>
          <w:noProof/>
        </w:rPr>
        <w:t>Table</w:t>
      </w:r>
      <w:r>
        <w:rPr>
          <w:b/>
          <w:noProof/>
        </w:rPr>
        <w:t xml:space="preserve"> 31</w:t>
      </w:r>
      <w:r>
        <w:rPr>
          <w:rFonts w:cs="Times New Roman"/>
          <w:noProof/>
          <w:szCs w:val="24"/>
        </w:rPr>
        <w:fldChar w:fldCharType="end"/>
      </w:r>
      <w:r>
        <w:rPr>
          <w:rFonts w:cs="Times New Roman"/>
          <w:noProof/>
          <w:szCs w:val="24"/>
        </w:rPr>
        <w:t xml:space="preserve"> shows, such penalty would exceed the marginal technology costs in the HDV sector for most </w:t>
      </w:r>
      <w:r>
        <w:rPr>
          <w:noProof/>
        </w:rPr>
        <w:t>target level options, but not  for the most ambitious ones in 2030.</w:t>
      </w:r>
      <w:r>
        <w:rPr>
          <w:rFonts w:cs="Times New Roman"/>
          <w:noProof/>
          <w:szCs w:val="24"/>
        </w:rPr>
        <w:t xml:space="preserve"> </w:t>
      </w:r>
    </w:p>
    <w:p w:rsidR="003E180D" w:rsidRDefault="003E180D" w:rsidP="003E180D">
      <w:pPr>
        <w:rPr>
          <w:rFonts w:eastAsia="Times New Roman" w:cs="Times New Roman"/>
          <w:b/>
          <w:smallCaps/>
          <w:noProof/>
          <w:szCs w:val="24"/>
        </w:rPr>
      </w:pPr>
      <w:r>
        <w:rPr>
          <w:noProof/>
          <w:szCs w:val="24"/>
        </w:rPr>
        <w:br w:type="page"/>
      </w:r>
    </w:p>
    <w:p w:rsidR="003E180D" w:rsidRDefault="003E180D" w:rsidP="003E180D">
      <w:pPr>
        <w:pStyle w:val="Heading1"/>
        <w:numPr>
          <w:ilvl w:val="0"/>
          <w:numId w:val="22"/>
        </w:numPr>
        <w:rPr>
          <w:noProof/>
        </w:rPr>
      </w:pPr>
      <w:bookmarkStart w:id="871" w:name="_Toc507493389"/>
      <w:bookmarkStart w:id="872" w:name="_Toc507496415"/>
      <w:bookmarkStart w:id="873" w:name="_Toc507512114"/>
      <w:bookmarkStart w:id="874" w:name="_Toc507517578"/>
      <w:bookmarkStart w:id="875" w:name="_Toc508124815"/>
      <w:bookmarkStart w:id="876" w:name="_Toc508126179"/>
      <w:bookmarkStart w:id="877" w:name="_Toc508127550"/>
      <w:bookmarkStart w:id="878" w:name="_Toc508127903"/>
      <w:bookmarkStart w:id="879" w:name="_Toc508129697"/>
      <w:bookmarkStart w:id="880" w:name="_Toc508181071"/>
      <w:bookmarkStart w:id="881" w:name="_Toc508186662"/>
      <w:bookmarkStart w:id="882" w:name="_Toc510708146"/>
      <w:bookmarkStart w:id="883" w:name="_Toc514328843"/>
      <w:bookmarkEnd w:id="287"/>
      <w:bookmarkEnd w:id="288"/>
      <w:bookmarkEnd w:id="289"/>
      <w:bookmarkEnd w:id="290"/>
      <w:r>
        <w:rPr>
          <w:noProof/>
        </w:rPr>
        <w:t>Annex 11: Distribution of the EU fleet-wide target between the various lorry families (sub-)groups and manufacturers</w:t>
      </w:r>
      <w:bookmarkEnd w:id="871"/>
      <w:bookmarkEnd w:id="872"/>
      <w:bookmarkEnd w:id="873"/>
      <w:bookmarkEnd w:id="874"/>
      <w:bookmarkEnd w:id="875"/>
      <w:bookmarkEnd w:id="876"/>
      <w:bookmarkEnd w:id="877"/>
      <w:bookmarkEnd w:id="878"/>
      <w:bookmarkEnd w:id="879"/>
      <w:bookmarkEnd w:id="880"/>
      <w:bookmarkEnd w:id="881"/>
      <w:bookmarkEnd w:id="882"/>
      <w:bookmarkEnd w:id="883"/>
    </w:p>
    <w:p w:rsidR="003E180D" w:rsidRDefault="003E180D" w:rsidP="003E180D">
      <w:pPr>
        <w:pStyle w:val="Heading2"/>
        <w:numPr>
          <w:ilvl w:val="1"/>
          <w:numId w:val="22"/>
        </w:numPr>
        <w:spacing w:before="240" w:after="240"/>
        <w:rPr>
          <w:noProof/>
          <w:lang w:eastAsia="en-GB"/>
        </w:rPr>
      </w:pPr>
      <w:bookmarkStart w:id="884" w:name="_Toc507492048"/>
      <w:bookmarkStart w:id="885" w:name="_Toc507492350"/>
      <w:bookmarkStart w:id="886" w:name="_Toc507492493"/>
      <w:bookmarkStart w:id="887" w:name="_Toc507494538"/>
      <w:bookmarkStart w:id="888" w:name="_Toc507495477"/>
      <w:bookmarkStart w:id="889" w:name="_Toc507501921"/>
      <w:bookmarkStart w:id="890" w:name="_Toc507507272"/>
      <w:bookmarkStart w:id="891" w:name="_Toc507507405"/>
      <w:bookmarkStart w:id="892" w:name="_Toc507512115"/>
      <w:bookmarkStart w:id="893" w:name="_Toc507512611"/>
      <w:bookmarkStart w:id="894" w:name="_Toc507519131"/>
      <w:bookmarkStart w:id="895" w:name="_Toc507493391"/>
      <w:bookmarkStart w:id="896" w:name="_Toc507496417"/>
      <w:bookmarkStart w:id="897" w:name="_Toc507512116"/>
      <w:bookmarkStart w:id="898" w:name="_Toc507517580"/>
      <w:bookmarkStart w:id="899" w:name="_Toc508124816"/>
      <w:bookmarkStart w:id="900" w:name="_Toc508126180"/>
      <w:bookmarkStart w:id="901" w:name="_Toc508127551"/>
      <w:bookmarkStart w:id="902" w:name="_Toc508127904"/>
      <w:bookmarkStart w:id="903" w:name="_Toc508129698"/>
      <w:bookmarkStart w:id="904" w:name="_Toc508181072"/>
      <w:bookmarkStart w:id="905" w:name="_Toc508186663"/>
      <w:bookmarkStart w:id="906" w:name="_Toc510708147"/>
      <w:bookmarkStart w:id="907" w:name="_Toc514328844"/>
      <w:bookmarkEnd w:id="884"/>
      <w:bookmarkEnd w:id="885"/>
      <w:bookmarkEnd w:id="886"/>
      <w:bookmarkEnd w:id="887"/>
      <w:bookmarkEnd w:id="888"/>
      <w:bookmarkEnd w:id="889"/>
      <w:bookmarkEnd w:id="890"/>
      <w:bookmarkEnd w:id="891"/>
      <w:bookmarkEnd w:id="892"/>
      <w:bookmarkEnd w:id="893"/>
      <w:bookmarkEnd w:id="894"/>
      <w:r>
        <w:rPr>
          <w:noProof/>
        </w:rPr>
        <w:t>Sub-group targets</w:t>
      </w:r>
      <w:bookmarkEnd w:id="895"/>
      <w:bookmarkEnd w:id="896"/>
      <w:bookmarkEnd w:id="897"/>
      <w:bookmarkEnd w:id="898"/>
      <w:bookmarkEnd w:id="899"/>
      <w:bookmarkEnd w:id="900"/>
      <w:bookmarkEnd w:id="901"/>
      <w:bookmarkEnd w:id="902"/>
      <w:bookmarkEnd w:id="903"/>
      <w:bookmarkEnd w:id="904"/>
      <w:bookmarkEnd w:id="905"/>
      <w:bookmarkEnd w:id="906"/>
      <w:bookmarkEnd w:id="907"/>
    </w:p>
    <w:p w:rsidR="003E180D" w:rsidRDefault="003E180D" w:rsidP="003E180D">
      <w:pPr>
        <w:suppressAutoHyphens/>
        <w:spacing w:after="120" w:line="240" w:lineRule="auto"/>
        <w:jc w:val="both"/>
        <w:rPr>
          <w:rFonts w:eastAsia="Times New Roman"/>
          <w:noProof/>
          <w:lang w:eastAsia="en-GB"/>
        </w:rPr>
      </w:pPr>
      <w:r>
        <w:rPr>
          <w:rFonts w:eastAsia="Times New Roman" w:cs="Times New Roman"/>
          <w:noProof/>
          <w:szCs w:val="24"/>
          <w:lang w:eastAsia="en-GB"/>
        </w:rPr>
        <w:t xml:space="preserve">As described in </w:t>
      </w:r>
      <w:r>
        <w:rPr>
          <w:rFonts w:eastAsia="Times New Roman"/>
          <w:noProof/>
          <w:lang w:eastAsia="en-GB"/>
        </w:rPr>
        <w:t>Section 5.2</w:t>
      </w:r>
      <w:r>
        <w:rPr>
          <w:rFonts w:eastAsia="Times New Roman" w:cs="Times New Roman"/>
          <w:noProof/>
          <w:szCs w:val="24"/>
          <w:lang w:eastAsia="en-GB"/>
        </w:rPr>
        <w:t xml:space="preserve"> of the Impact Assessment, in order to take into account the technical and business characteristics</w:t>
      </w:r>
      <w:r>
        <w:rPr>
          <w:rFonts w:cs="Times New Roman"/>
          <w:bCs/>
          <w:noProof/>
          <w:szCs w:val="24"/>
        </w:rPr>
        <w:t xml:space="preserve"> </w:t>
      </w:r>
      <w:r>
        <w:rPr>
          <w:rFonts w:eastAsia="Times New Roman" w:cs="Times New Roman"/>
          <w:noProof/>
          <w:szCs w:val="24"/>
          <w:lang w:eastAsia="en-GB"/>
        </w:rPr>
        <w:t xml:space="preserve">of the various lorries, separate emission targets should be defined for each HDV </w:t>
      </w:r>
      <w:r>
        <w:rPr>
          <w:rFonts w:eastAsia="Times New Roman"/>
          <w:noProof/>
          <w:lang w:eastAsia="en-GB"/>
        </w:rPr>
        <w:t>sub-group (see Annex 8.2)</w:t>
      </w:r>
      <w:r>
        <w:rPr>
          <w:rFonts w:eastAsia="Times New Roman" w:cs="Times New Roman"/>
          <w:noProof/>
          <w:szCs w:val="24"/>
          <w:lang w:eastAsia="en-GB"/>
        </w:rPr>
        <w:t>.</w:t>
      </w:r>
      <w:r>
        <w:rPr>
          <w:rFonts w:eastAsia="Times New Roman"/>
          <w:noProof/>
          <w:lang w:eastAsia="en-GB"/>
        </w:rPr>
        <w:t xml:space="preserve"> </w:t>
      </w:r>
    </w:p>
    <w:p w:rsidR="003E180D" w:rsidRDefault="003E180D" w:rsidP="003E180D">
      <w:pPr>
        <w:tabs>
          <w:tab w:val="left" w:pos="2302"/>
        </w:tabs>
        <w:spacing w:after="120" w:line="240" w:lineRule="auto"/>
        <w:jc w:val="both"/>
        <w:rPr>
          <w:rFonts w:eastAsia="Times New Roman"/>
          <w:noProof/>
        </w:rPr>
      </w:pPr>
      <w:r>
        <w:rPr>
          <w:rFonts w:eastAsia="Times New Roman" w:cs="Times New Roman"/>
          <w:noProof/>
          <w:szCs w:val="24"/>
        </w:rPr>
        <w:t>Within</w:t>
      </w:r>
      <w:r>
        <w:rPr>
          <w:rFonts w:eastAsia="Times New Roman"/>
          <w:noProof/>
        </w:rPr>
        <w:t xml:space="preserve"> each of the vehicle groups differences occur depending on the mission profile of the vehicles. For the vehicle groups considered in this </w:t>
      </w:r>
      <w:r>
        <w:rPr>
          <w:rFonts w:eastAsia="Times New Roman" w:cs="Times New Roman"/>
          <w:noProof/>
          <w:szCs w:val="24"/>
        </w:rPr>
        <w:t>Impact Assessment</w:t>
      </w:r>
      <w:r>
        <w:rPr>
          <w:rFonts w:eastAsia="Times New Roman"/>
          <w:noProof/>
        </w:rPr>
        <w:t xml:space="preserve">, the two most relevant mission profiles listed in the Certification Regulation are Long Haul (LH) and Regional Delivery (RD). </w:t>
      </w:r>
    </w:p>
    <w:p w:rsidR="003E180D" w:rsidRDefault="003E180D" w:rsidP="003E180D">
      <w:pPr>
        <w:tabs>
          <w:tab w:val="left" w:pos="2302"/>
        </w:tabs>
        <w:spacing w:after="120" w:line="240" w:lineRule="auto"/>
        <w:jc w:val="both"/>
        <w:rPr>
          <w:rFonts w:eastAsia="Times New Roman"/>
          <w:noProof/>
        </w:rPr>
      </w:pPr>
      <w:r>
        <w:rPr>
          <w:rFonts w:eastAsia="Times New Roman"/>
          <w:noProof/>
        </w:rPr>
        <w:fldChar w:fldCharType="begin"/>
      </w:r>
      <w:r>
        <w:rPr>
          <w:rFonts w:eastAsia="Times New Roman" w:cs="Times New Roman"/>
          <w:noProof/>
          <w:szCs w:val="24"/>
        </w:rPr>
        <w:instrText xml:space="preserve"> REF _Ref504136190 \h  \* MERGEFORMAT </w:instrText>
      </w:r>
      <w:r>
        <w:rPr>
          <w:rFonts w:eastAsia="Times New Roman"/>
          <w:noProof/>
        </w:rPr>
      </w:r>
      <w:r>
        <w:rPr>
          <w:rFonts w:eastAsia="Times New Roman"/>
          <w:noProof/>
        </w:rPr>
        <w:fldChar w:fldCharType="separate"/>
      </w:r>
      <w:r>
        <w:rPr>
          <w:rFonts w:eastAsia="Times New Roman" w:cs="Times New Roman"/>
          <w:noProof/>
          <w:szCs w:val="24"/>
        </w:rPr>
        <w:t>Figure 21</w:t>
      </w:r>
      <w:r>
        <w:rPr>
          <w:rFonts w:eastAsia="Times New Roman"/>
          <w:noProof/>
        </w:rPr>
        <w:fldChar w:fldCharType="end"/>
      </w:r>
      <w:r>
        <w:rPr>
          <w:rFonts w:eastAsia="Times New Roman"/>
          <w:noProof/>
        </w:rPr>
        <w:t xml:space="preserve"> illustrates the differences in fuel consumption between the four vehicle groups considered, distinguishing the LH and RD mission profiles for each of them. </w:t>
      </w:r>
    </w:p>
    <w:p w:rsidR="003E180D" w:rsidRDefault="003E180D" w:rsidP="003E180D">
      <w:pPr>
        <w:keepNext/>
        <w:spacing w:after="120" w:line="240" w:lineRule="auto"/>
        <w:jc w:val="both"/>
        <w:rPr>
          <w:rFonts w:eastAsia="Times New Roman" w:cs="Times New Roman"/>
          <w:b/>
          <w:noProof/>
          <w:szCs w:val="24"/>
        </w:rPr>
      </w:pPr>
      <w:bookmarkStart w:id="908" w:name="_Ref504136190"/>
      <w:r>
        <w:rPr>
          <w:rFonts w:eastAsia="Times New Roman"/>
          <w:b/>
          <w:noProof/>
        </w:rPr>
        <w:t xml:space="preserve">Figure </w:t>
      </w:r>
      <w:r>
        <w:rPr>
          <w:rFonts w:eastAsia="Times New Roman"/>
          <w:b/>
          <w:noProof/>
        </w:rPr>
        <w:fldChar w:fldCharType="begin"/>
      </w:r>
      <w:r>
        <w:rPr>
          <w:rFonts w:eastAsia="Times New Roman" w:cs="Times New Roman"/>
          <w:b/>
          <w:noProof/>
          <w:szCs w:val="24"/>
        </w:rPr>
        <w:instrText xml:space="preserve"> SEQ Figure \* ARABIC </w:instrText>
      </w:r>
      <w:r>
        <w:rPr>
          <w:rFonts w:eastAsia="Times New Roman"/>
          <w:b/>
          <w:noProof/>
        </w:rPr>
        <w:fldChar w:fldCharType="separate"/>
      </w:r>
      <w:r>
        <w:rPr>
          <w:rFonts w:eastAsia="Times New Roman" w:cs="Times New Roman"/>
          <w:b/>
          <w:noProof/>
          <w:szCs w:val="24"/>
        </w:rPr>
        <w:t>21</w:t>
      </w:r>
      <w:r>
        <w:rPr>
          <w:rFonts w:eastAsia="Times New Roman"/>
          <w:b/>
          <w:noProof/>
        </w:rPr>
        <w:fldChar w:fldCharType="end"/>
      </w:r>
      <w:bookmarkEnd w:id="908"/>
      <w:r>
        <w:rPr>
          <w:rFonts w:eastAsia="Times New Roman"/>
          <w:b/>
          <w:noProof/>
        </w:rPr>
        <w:t>: Average fuel consumption (l/100 tkm) (2016) for the four vehicle groups considered in this impact assessment under the RD and LH mission profiles</w:t>
      </w:r>
      <w:r>
        <w:rPr>
          <w:rFonts w:eastAsia="Times New Roman" w:cs="Times New Roman"/>
          <w:b/>
          <w:noProof/>
          <w:szCs w:val="24"/>
        </w:rPr>
        <w:t xml:space="preserve"> </w:t>
      </w:r>
    </w:p>
    <w:p w:rsidR="003E180D" w:rsidRDefault="003E180D" w:rsidP="003E180D">
      <w:pPr>
        <w:suppressAutoHyphens/>
        <w:spacing w:after="120" w:line="240" w:lineRule="auto"/>
        <w:jc w:val="center"/>
        <w:rPr>
          <w:noProof/>
        </w:rPr>
      </w:pPr>
      <w:r>
        <w:rPr>
          <w:rFonts w:eastAsia="Times New Roman" w:cs="Times New Roman"/>
          <w:noProof/>
          <w:szCs w:val="24"/>
          <w:lang w:eastAsia="en-GB"/>
        </w:rPr>
        <w:drawing>
          <wp:inline distT="0" distB="0" distL="0" distR="0" wp14:anchorId="1189E7C1" wp14:editId="728C9F45">
            <wp:extent cx="4533391" cy="22320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33391" cy="2232000"/>
                    </a:xfrm>
                    <a:prstGeom prst="rect">
                      <a:avLst/>
                    </a:prstGeom>
                    <a:noFill/>
                  </pic:spPr>
                </pic:pic>
              </a:graphicData>
            </a:graphic>
          </wp:inline>
        </w:drawing>
      </w:r>
    </w:p>
    <w:p w:rsidR="003E180D" w:rsidRDefault="003E180D" w:rsidP="003E180D">
      <w:pPr>
        <w:pStyle w:val="Heading2"/>
        <w:numPr>
          <w:ilvl w:val="1"/>
          <w:numId w:val="22"/>
        </w:numPr>
        <w:spacing w:before="240" w:after="240"/>
        <w:rPr>
          <w:noProof/>
          <w:lang w:eastAsia="en-GB"/>
        </w:rPr>
      </w:pPr>
      <w:bookmarkStart w:id="909" w:name="_Toc507493393"/>
      <w:bookmarkStart w:id="910" w:name="_Toc507496419"/>
      <w:bookmarkStart w:id="911" w:name="_Toc507512118"/>
      <w:bookmarkStart w:id="912" w:name="_Toc507517582"/>
      <w:bookmarkStart w:id="913" w:name="_Toc508124817"/>
      <w:bookmarkStart w:id="914" w:name="_Toc508126181"/>
      <w:bookmarkStart w:id="915" w:name="_Toc508127552"/>
      <w:bookmarkStart w:id="916" w:name="_Toc508127905"/>
      <w:bookmarkStart w:id="917" w:name="_Toc508129699"/>
      <w:bookmarkStart w:id="918" w:name="_Toc508181073"/>
      <w:bookmarkStart w:id="919" w:name="_Toc508186664"/>
      <w:bookmarkStart w:id="920" w:name="_Toc510708148"/>
      <w:bookmarkStart w:id="921" w:name="_Toc514328845"/>
      <w:r>
        <w:rPr>
          <w:noProof/>
        </w:rPr>
        <w:t>Assessment of compliance</w:t>
      </w:r>
      <w:bookmarkEnd w:id="909"/>
      <w:bookmarkEnd w:id="910"/>
      <w:bookmarkEnd w:id="911"/>
      <w:bookmarkEnd w:id="912"/>
      <w:bookmarkEnd w:id="913"/>
      <w:bookmarkEnd w:id="914"/>
      <w:bookmarkEnd w:id="915"/>
      <w:bookmarkEnd w:id="916"/>
      <w:bookmarkEnd w:id="917"/>
      <w:bookmarkEnd w:id="918"/>
      <w:bookmarkEnd w:id="919"/>
      <w:bookmarkEnd w:id="920"/>
      <w:bookmarkEnd w:id="921"/>
    </w:p>
    <w:p w:rsidR="003E180D" w:rsidRDefault="003E180D" w:rsidP="003E180D">
      <w:pPr>
        <w:suppressAutoHyphens/>
        <w:spacing w:after="120" w:line="240" w:lineRule="auto"/>
        <w:jc w:val="both"/>
        <w:rPr>
          <w:noProof/>
        </w:rPr>
      </w:pPr>
      <w:r>
        <w:rPr>
          <w:rFonts w:cs="Times New Roman"/>
          <w:bCs/>
          <w:noProof/>
          <w:szCs w:val="24"/>
        </w:rPr>
        <w:t xml:space="preserve">Under option Distribution 2 starting from the </w:t>
      </w:r>
      <w:r>
        <w:rPr>
          <w:noProof/>
        </w:rPr>
        <w:t xml:space="preserve">8 sub-group targets, a single target for each </w:t>
      </w:r>
      <w:r>
        <w:rPr>
          <w:rFonts w:cs="Times New Roman"/>
          <w:bCs/>
          <w:noProof/>
          <w:szCs w:val="24"/>
        </w:rPr>
        <w:t>manufacturer</w:t>
      </w:r>
      <w:r>
        <w:rPr>
          <w:noProof/>
        </w:rPr>
        <w:t xml:space="preserve"> would be defined. These </w:t>
      </w:r>
      <w:r>
        <w:rPr>
          <w:rFonts w:cs="Times New Roman"/>
          <w:bCs/>
          <w:noProof/>
          <w:szCs w:val="24"/>
        </w:rPr>
        <w:t>manufacturer</w:t>
      </w:r>
      <w:r>
        <w:rPr>
          <w:noProof/>
        </w:rPr>
        <w:t xml:space="preserve"> targets would be calculated as a weighted average of the sub-group targets, taking into account:</w:t>
      </w:r>
    </w:p>
    <w:p w:rsidR="003E180D" w:rsidRDefault="003E180D" w:rsidP="003E180D">
      <w:pPr>
        <w:suppressAutoHyphens/>
        <w:spacing w:after="120" w:line="240" w:lineRule="auto"/>
        <w:jc w:val="both"/>
        <w:rPr>
          <w:noProof/>
        </w:rPr>
      </w:pPr>
      <w:r>
        <w:rPr>
          <w:rFonts w:cs="Times New Roman"/>
          <w:bCs/>
          <w:noProof/>
          <w:szCs w:val="24"/>
        </w:rPr>
        <w:t>(i) the fleet composition of each manufacturer, i.e. the number of vehicles re</w:t>
      </w:r>
      <w:r>
        <w:rPr>
          <w:noProof/>
        </w:rPr>
        <w:t xml:space="preserve">gistered by that </w:t>
      </w:r>
      <w:r>
        <w:rPr>
          <w:rFonts w:cs="Times New Roman"/>
          <w:bCs/>
          <w:noProof/>
          <w:szCs w:val="24"/>
        </w:rPr>
        <w:t>manufacturer</w:t>
      </w:r>
      <w:r>
        <w:rPr>
          <w:noProof/>
        </w:rPr>
        <w:t xml:space="preserve"> within each sub-group;</w:t>
      </w:r>
    </w:p>
    <w:p w:rsidR="003E180D" w:rsidRDefault="003E180D" w:rsidP="003E180D">
      <w:pPr>
        <w:suppressAutoHyphens/>
        <w:spacing w:after="120" w:line="240" w:lineRule="auto"/>
        <w:jc w:val="both"/>
        <w:rPr>
          <w:rFonts w:cs="Times New Roman"/>
          <w:noProof/>
          <w:szCs w:val="24"/>
          <w:lang w:eastAsia="en-GB"/>
        </w:rPr>
      </w:pPr>
      <w:r>
        <w:rPr>
          <w:rFonts w:cs="Times New Roman"/>
          <w:bCs/>
          <w:noProof/>
          <w:szCs w:val="24"/>
        </w:rPr>
        <w:t xml:space="preserve">(ii) the average mileage and payload of vehicles within each sub-group, as these determine the total </w:t>
      </w:r>
      <w:r>
        <w:rPr>
          <w:rFonts w:cs="Times New Roman"/>
          <w:noProof/>
          <w:szCs w:val="24"/>
        </w:rPr>
        <w:t>CO</w:t>
      </w:r>
      <w:r>
        <w:rPr>
          <w:rFonts w:cs="Times New Roman"/>
          <w:noProof/>
          <w:szCs w:val="24"/>
          <w:vertAlign w:val="subscript"/>
        </w:rPr>
        <w:t>2</w:t>
      </w:r>
      <w:r>
        <w:rPr>
          <w:rFonts w:cs="Times New Roman"/>
          <w:noProof/>
          <w:szCs w:val="24"/>
        </w:rPr>
        <w:t xml:space="preserve"> </w:t>
      </w:r>
      <w:r>
        <w:rPr>
          <w:rFonts w:cs="Times New Roman"/>
          <w:bCs/>
          <w:noProof/>
          <w:szCs w:val="24"/>
        </w:rPr>
        <w:t>emissions of a vehicle.</w:t>
      </w:r>
    </w:p>
    <w:p w:rsidR="003E180D" w:rsidRDefault="003E180D" w:rsidP="003E180D">
      <w:pPr>
        <w:spacing w:after="120" w:line="240" w:lineRule="auto"/>
        <w:jc w:val="both"/>
        <w:rPr>
          <w:rFonts w:cs="Times New Roman"/>
          <w:noProof/>
          <w:szCs w:val="24"/>
        </w:rPr>
      </w:pPr>
      <w:r>
        <w:rPr>
          <w:rFonts w:cs="Times New Roman"/>
          <w:noProof/>
          <w:szCs w:val="24"/>
        </w:rPr>
        <w:t>The different sub-groups are characterised by different payloads and lifetime mileages. Therefore, the total CO</w:t>
      </w:r>
      <w:r>
        <w:rPr>
          <w:rFonts w:cs="Times New Roman"/>
          <w:noProof/>
          <w:szCs w:val="24"/>
          <w:vertAlign w:val="subscript"/>
        </w:rPr>
        <w:t>2</w:t>
      </w:r>
      <w:r>
        <w:rPr>
          <w:rFonts w:cs="Times New Roman"/>
          <w:noProof/>
          <w:szCs w:val="24"/>
        </w:rPr>
        <w:t xml:space="preserve"> emissions of a vehicle with a given emission level in g CO</w:t>
      </w:r>
      <w:r>
        <w:rPr>
          <w:rFonts w:cs="Times New Roman"/>
          <w:noProof/>
          <w:szCs w:val="24"/>
          <w:vertAlign w:val="subscript"/>
        </w:rPr>
        <w:t>2</w:t>
      </w:r>
      <w:r>
        <w:rPr>
          <w:rFonts w:cs="Times New Roman"/>
          <w:noProof/>
          <w:szCs w:val="24"/>
        </w:rPr>
        <w:t xml:space="preserve">/tkm will vary depending on the sub-group it belongs to. In order to describe this dependency, a </w:t>
      </w:r>
      <w:r>
        <w:rPr>
          <w:rFonts w:cs="Times New Roman"/>
          <w:b/>
          <w:noProof/>
          <w:szCs w:val="24"/>
        </w:rPr>
        <w:t>utility parameter</w:t>
      </w:r>
      <w:r>
        <w:rPr>
          <w:rFonts w:cs="Times New Roman"/>
          <w:noProof/>
          <w:szCs w:val="24"/>
        </w:rPr>
        <w:t xml:space="preserve"> is defined for each sub-group, which would be used for the weighting of the sub-group targets and emissions:</w:t>
      </w:r>
    </w:p>
    <w:p w:rsidR="003E180D" w:rsidRDefault="003E180D" w:rsidP="003E180D">
      <w:pPr>
        <w:tabs>
          <w:tab w:val="right" w:pos="8618"/>
        </w:tabs>
        <w:spacing w:after="120" w:line="240" w:lineRule="auto"/>
        <w:rPr>
          <w:rFonts w:cs="Times New Roman"/>
          <w:i/>
          <w:noProof/>
        </w:rPr>
      </w:pPr>
      <w:r>
        <w:rPr>
          <w:rFonts w:cs="Times New Roman"/>
          <w:i/>
          <w:noProof/>
        </w:rPr>
        <w:t xml:space="preserve">(sub-group utility parameter) = ((mileage * payload) of sub-group)/(normalisation parameter) </w:t>
      </w:r>
      <w:r>
        <w:rPr>
          <w:rFonts w:cs="Times New Roman"/>
          <w:i/>
          <w:noProof/>
        </w:rPr>
        <w:br/>
      </w:r>
      <w:r>
        <w:rPr>
          <w:rFonts w:cs="Times New Roman"/>
          <w:i/>
          <w:noProof/>
        </w:rPr>
        <w:tab/>
      </w:r>
      <w:r>
        <w:rPr>
          <w:rFonts w:cs="Times New Roman"/>
          <w:b/>
          <w:noProof/>
        </w:rPr>
        <w:t>[equ. 11.1]</w:t>
      </w:r>
    </w:p>
    <w:p w:rsidR="003E180D" w:rsidRDefault="003E180D" w:rsidP="003E180D">
      <w:pPr>
        <w:spacing w:after="120" w:line="240" w:lineRule="auto"/>
        <w:jc w:val="both"/>
        <w:rPr>
          <w:rFonts w:cs="Times New Roman"/>
          <w:noProof/>
          <w:szCs w:val="24"/>
        </w:rPr>
      </w:pPr>
      <w:r>
        <w:rPr>
          <w:rFonts w:cs="Times New Roman"/>
          <w:noProof/>
          <w:szCs w:val="24"/>
        </w:rPr>
        <w:t xml:space="preserve">The </w:t>
      </w:r>
      <w:r>
        <w:rPr>
          <w:rFonts w:cs="Times New Roman"/>
          <w:i/>
          <w:noProof/>
          <w:szCs w:val="24"/>
        </w:rPr>
        <w:t>(normalisation parameter)</w:t>
      </w:r>
      <w:r>
        <w:rPr>
          <w:rFonts w:cs="Times New Roman"/>
          <w:noProof/>
          <w:szCs w:val="24"/>
        </w:rPr>
        <w:t xml:space="preserve"> can in principle be arbitrarily chosen. As the simplest and most transparent approach, it is suggested that the </w:t>
      </w:r>
      <w:r>
        <w:rPr>
          <w:rFonts w:cs="Times New Roman"/>
          <w:i/>
          <w:noProof/>
          <w:szCs w:val="24"/>
        </w:rPr>
        <w:t>(mileage * payload)</w:t>
      </w:r>
      <w:r>
        <w:rPr>
          <w:rFonts w:cs="Times New Roman"/>
          <w:noProof/>
          <w:szCs w:val="24"/>
        </w:rPr>
        <w:t xml:space="preserve"> of the vehicles in the "major" sub-group 5-LH (representing more than 60% of all vehicles in the fleet and an even higher share of CO</w:t>
      </w:r>
      <w:r>
        <w:rPr>
          <w:rFonts w:cs="Times New Roman"/>
          <w:noProof/>
          <w:szCs w:val="24"/>
          <w:vertAlign w:val="subscript"/>
        </w:rPr>
        <w:t>2</w:t>
      </w:r>
      <w:r>
        <w:rPr>
          <w:rFonts w:cs="Times New Roman"/>
          <w:noProof/>
          <w:szCs w:val="24"/>
        </w:rPr>
        <w:t xml:space="preserve"> emissions) would be used for this purpose. This would mean that the CO</w:t>
      </w:r>
      <w:r>
        <w:rPr>
          <w:rFonts w:cs="Times New Roman"/>
          <w:noProof/>
          <w:szCs w:val="24"/>
          <w:vertAlign w:val="subscript"/>
        </w:rPr>
        <w:t>2</w:t>
      </w:r>
      <w:r>
        <w:rPr>
          <w:rFonts w:cs="Times New Roman"/>
          <w:noProof/>
          <w:szCs w:val="24"/>
        </w:rPr>
        <w:t xml:space="preserve"> emissions of all other sub-groups would be expressed in relation to this major sub-group: </w:t>
      </w:r>
    </w:p>
    <w:p w:rsidR="003E180D" w:rsidRDefault="003E180D" w:rsidP="003E180D">
      <w:pPr>
        <w:tabs>
          <w:tab w:val="right" w:pos="8618"/>
        </w:tabs>
        <w:spacing w:after="120" w:line="240" w:lineRule="auto"/>
        <w:jc w:val="both"/>
        <w:rPr>
          <w:rFonts w:cs="Times New Roman"/>
          <w:noProof/>
          <w:szCs w:val="24"/>
        </w:rPr>
      </w:pPr>
      <w:r>
        <w:rPr>
          <w:rFonts w:cs="Times New Roman"/>
          <w:i/>
          <w:noProof/>
        </w:rPr>
        <w:t xml:space="preserve">(normalisation parameter) = </w:t>
      </w:r>
      <w:r>
        <w:rPr>
          <w:rFonts w:cs="Times New Roman"/>
          <w:i/>
          <w:noProof/>
          <w:szCs w:val="24"/>
        </w:rPr>
        <w:t xml:space="preserve"> </w:t>
      </w:r>
      <w:r>
        <w:rPr>
          <w:rFonts w:cs="Times New Roman"/>
          <w:i/>
          <w:noProof/>
        </w:rPr>
        <w:t xml:space="preserve">((mileage * payload) of vehicles in sub-group 5-LH) </w:t>
      </w:r>
      <w:r>
        <w:rPr>
          <w:rFonts w:cs="Times New Roman"/>
          <w:i/>
          <w:noProof/>
        </w:rPr>
        <w:br/>
      </w:r>
      <w:r>
        <w:rPr>
          <w:rFonts w:cs="Times New Roman"/>
          <w:i/>
          <w:noProof/>
        </w:rPr>
        <w:tab/>
      </w:r>
      <w:r>
        <w:rPr>
          <w:rFonts w:cs="Times New Roman"/>
          <w:b/>
          <w:noProof/>
        </w:rPr>
        <w:t>[equ. 11.2]</w:t>
      </w:r>
    </w:p>
    <w:p w:rsidR="003E180D" w:rsidRDefault="003E180D" w:rsidP="003E180D">
      <w:pPr>
        <w:spacing w:after="120" w:line="240" w:lineRule="auto"/>
        <w:jc w:val="both"/>
        <w:rPr>
          <w:rFonts w:cs="Times New Roman"/>
          <w:noProof/>
          <w:szCs w:val="24"/>
        </w:rPr>
      </w:pPr>
      <w:r>
        <w:rPr>
          <w:rFonts w:cs="Times New Roman"/>
          <w:noProof/>
          <w:szCs w:val="24"/>
        </w:rPr>
        <w:t>Using the abovementioned approach, the OEM specific CO</w:t>
      </w:r>
      <w:r>
        <w:rPr>
          <w:rFonts w:cs="Times New Roman"/>
          <w:noProof/>
          <w:szCs w:val="24"/>
          <w:vertAlign w:val="subscript"/>
        </w:rPr>
        <w:t>2</w:t>
      </w:r>
      <w:r>
        <w:rPr>
          <w:rFonts w:cs="Times New Roman"/>
          <w:noProof/>
          <w:szCs w:val="24"/>
        </w:rPr>
        <w:t xml:space="preserve"> targets would be defined as follows:</w:t>
      </w:r>
    </w:p>
    <w:p w:rsidR="003E180D" w:rsidRDefault="003E180D" w:rsidP="003E180D">
      <w:pPr>
        <w:tabs>
          <w:tab w:val="right" w:pos="8618"/>
        </w:tabs>
        <w:spacing w:after="120" w:line="240" w:lineRule="auto"/>
        <w:rPr>
          <w:rFonts w:cs="Times New Roman"/>
          <w:noProof/>
        </w:rPr>
      </w:pPr>
      <w:r>
        <w:rPr>
          <w:rFonts w:cs="Times New Roman"/>
          <w:i/>
          <w:noProof/>
        </w:rPr>
        <w:t>OEM target = ∑ (sub-group utility parameter) *(sub-group target) * (sub-group share in OEM fleet)</w:t>
      </w:r>
      <w:r>
        <w:rPr>
          <w:rFonts w:cs="Times New Roman"/>
          <w:i/>
          <w:noProof/>
        </w:rPr>
        <w:tab/>
      </w:r>
      <w:r>
        <w:rPr>
          <w:rFonts w:cs="Times New Roman"/>
          <w:b/>
          <w:noProof/>
        </w:rPr>
        <w:t>[equ. 11.3]</w:t>
      </w:r>
    </w:p>
    <w:p w:rsidR="003E180D" w:rsidRDefault="003E180D" w:rsidP="003E180D">
      <w:pPr>
        <w:spacing w:after="120" w:line="240" w:lineRule="auto"/>
        <w:jc w:val="both"/>
        <w:rPr>
          <w:rFonts w:cs="Times New Roman"/>
          <w:noProof/>
          <w:szCs w:val="24"/>
        </w:rPr>
      </w:pPr>
      <w:r>
        <w:rPr>
          <w:rFonts w:cs="Times New Roman"/>
          <w:noProof/>
          <w:szCs w:val="24"/>
        </w:rPr>
        <w:t>For assessing compliance, the total CO</w:t>
      </w:r>
      <w:r>
        <w:rPr>
          <w:rFonts w:cs="Times New Roman"/>
          <w:noProof/>
          <w:szCs w:val="24"/>
          <w:vertAlign w:val="subscript"/>
        </w:rPr>
        <w:t>2</w:t>
      </w:r>
      <w:r>
        <w:rPr>
          <w:rFonts w:cs="Times New Roman"/>
          <w:noProof/>
          <w:szCs w:val="24"/>
        </w:rPr>
        <w:t xml:space="preserve"> emissions of the OEM are calculated as follows:</w:t>
      </w:r>
    </w:p>
    <w:p w:rsidR="003E180D" w:rsidRDefault="003E180D" w:rsidP="003E180D">
      <w:pPr>
        <w:suppressAutoHyphens/>
        <w:spacing w:after="120" w:line="240" w:lineRule="auto"/>
        <w:jc w:val="both"/>
        <w:rPr>
          <w:rFonts w:cs="Times New Roman"/>
          <w:bCs/>
          <w:i/>
          <w:noProof/>
          <w:szCs w:val="24"/>
        </w:rPr>
      </w:pPr>
      <w:r>
        <w:rPr>
          <w:rFonts w:eastAsia="Times New Roman" w:cs="Times New Roman"/>
          <w:i/>
          <w:noProof/>
          <w:szCs w:val="24"/>
          <w:lang w:eastAsia="en-GB"/>
        </w:rPr>
        <w:t>OEMtot</w:t>
      </w:r>
      <w:r>
        <w:rPr>
          <w:rFonts w:cs="Times New Roman"/>
          <w:bCs/>
          <w:i/>
          <w:noProof/>
          <w:szCs w:val="24"/>
        </w:rPr>
        <w:t>CO</w:t>
      </w:r>
      <w:r>
        <w:rPr>
          <w:rFonts w:cs="Times New Roman"/>
          <w:bCs/>
          <w:i/>
          <w:noProof/>
          <w:szCs w:val="24"/>
          <w:vertAlign w:val="subscript"/>
        </w:rPr>
        <w:t>2</w:t>
      </w:r>
      <w:r>
        <w:rPr>
          <w:rFonts w:cs="Times New Roman"/>
          <w:bCs/>
          <w:i/>
          <w:noProof/>
          <w:szCs w:val="24"/>
        </w:rPr>
        <w:t xml:space="preserve"> = </w:t>
      </w:r>
    </w:p>
    <w:p w:rsidR="003E180D" w:rsidRDefault="003E180D" w:rsidP="003E180D">
      <w:pPr>
        <w:tabs>
          <w:tab w:val="right" w:pos="8618"/>
        </w:tabs>
        <w:suppressAutoHyphens/>
        <w:spacing w:after="120" w:line="240" w:lineRule="auto"/>
        <w:jc w:val="both"/>
        <w:rPr>
          <w:rFonts w:cs="Times New Roman"/>
          <w:i/>
          <w:noProof/>
        </w:rPr>
      </w:pPr>
      <w:r>
        <w:rPr>
          <w:rFonts w:cs="Times New Roman"/>
          <w:i/>
          <w:noProof/>
        </w:rPr>
        <w:t>∑ (sub-group utility parameter) *(OEM average CO</w:t>
      </w:r>
      <w:r>
        <w:rPr>
          <w:rFonts w:cs="Times New Roman"/>
          <w:i/>
          <w:noProof/>
          <w:vertAlign w:val="subscript"/>
        </w:rPr>
        <w:t>2</w:t>
      </w:r>
      <w:r>
        <w:rPr>
          <w:rFonts w:cs="Times New Roman"/>
          <w:i/>
          <w:noProof/>
        </w:rPr>
        <w:t xml:space="preserve"> emissions in sub-group) * (sub-group share in OEM fleet)</w:t>
      </w:r>
      <w:r>
        <w:rPr>
          <w:rFonts w:cs="Times New Roman"/>
          <w:i/>
          <w:noProof/>
        </w:rPr>
        <w:tab/>
      </w:r>
      <w:r>
        <w:rPr>
          <w:rFonts w:cs="Times New Roman"/>
          <w:b/>
          <w:noProof/>
        </w:rPr>
        <w:t>[equ. 11.4]</w:t>
      </w:r>
    </w:p>
    <w:p w:rsidR="003E180D" w:rsidRDefault="003E180D" w:rsidP="003E180D">
      <w:pPr>
        <w:suppressAutoHyphens/>
        <w:spacing w:before="240" w:line="240" w:lineRule="auto"/>
        <w:rPr>
          <w:rFonts w:eastAsia="Times New Roman" w:cs="Times New Roman"/>
          <w:noProof/>
          <w:szCs w:val="24"/>
          <w:lang w:eastAsia="en-GB"/>
        </w:rPr>
      </w:pPr>
      <w:r>
        <w:rPr>
          <w:rFonts w:eastAsia="Times New Roman" w:cs="Times New Roman"/>
          <w:noProof/>
          <w:szCs w:val="24"/>
          <w:lang w:eastAsia="en-GB"/>
        </w:rPr>
        <w:t>The sums shown above are over all sub-groups.</w:t>
      </w:r>
    </w:p>
    <w:p w:rsidR="003E180D" w:rsidRDefault="003E180D" w:rsidP="003E180D">
      <w:pPr>
        <w:spacing w:after="120" w:line="240" w:lineRule="auto"/>
        <w:jc w:val="both"/>
        <w:rPr>
          <w:rFonts w:cs="Times New Roman"/>
          <w:noProof/>
        </w:rPr>
      </w:pPr>
      <w:r>
        <w:rPr>
          <w:rFonts w:cs="Times New Roman"/>
          <w:noProof/>
          <w:szCs w:val="24"/>
        </w:rPr>
        <w:t xml:space="preserve">Compliance is achieved by an OEM if      </w:t>
      </w:r>
      <w:r>
        <w:rPr>
          <w:rFonts w:cs="Times New Roman"/>
          <w:i/>
          <w:noProof/>
          <w:szCs w:val="24"/>
        </w:rPr>
        <w:t>OEM</w:t>
      </w:r>
      <w:r>
        <w:rPr>
          <w:rFonts w:eastAsia="Times New Roman" w:cs="Times New Roman"/>
          <w:i/>
          <w:noProof/>
          <w:szCs w:val="24"/>
          <w:lang w:eastAsia="en-GB"/>
        </w:rPr>
        <w:t>tot</w:t>
      </w:r>
      <w:r>
        <w:rPr>
          <w:rFonts w:cs="Times New Roman"/>
          <w:bCs/>
          <w:i/>
          <w:noProof/>
          <w:szCs w:val="24"/>
        </w:rPr>
        <w:t>CO</w:t>
      </w:r>
      <w:r>
        <w:rPr>
          <w:rFonts w:cs="Times New Roman"/>
          <w:bCs/>
          <w:i/>
          <w:noProof/>
          <w:szCs w:val="24"/>
          <w:vertAlign w:val="subscript"/>
        </w:rPr>
        <w:t>2</w:t>
      </w:r>
      <w:r>
        <w:rPr>
          <w:rFonts w:cs="Times New Roman"/>
          <w:bCs/>
          <w:i/>
          <w:noProof/>
          <w:szCs w:val="24"/>
        </w:rPr>
        <w:t xml:space="preserve">   </w:t>
      </w:r>
      <w:r>
        <w:rPr>
          <w:rFonts w:cs="Times New Roman"/>
          <w:noProof/>
          <w:szCs w:val="24"/>
        </w:rPr>
        <w:t xml:space="preserve">&lt;   </w:t>
      </w:r>
      <w:r>
        <w:rPr>
          <w:rFonts w:eastAsia="Times New Roman" w:cs="Times New Roman"/>
          <w:i/>
          <w:noProof/>
          <w:szCs w:val="24"/>
          <w:lang w:eastAsia="en-GB"/>
        </w:rPr>
        <w:t xml:space="preserve">OEM target  </w:t>
      </w:r>
    </w:p>
    <w:p w:rsidR="003E180D" w:rsidRDefault="003E180D" w:rsidP="003E180D">
      <w:pPr>
        <w:rPr>
          <w:rFonts w:eastAsia="Times New Roman" w:cs="Times New Roman"/>
          <w:noProof/>
          <w:szCs w:val="24"/>
          <w:lang w:eastAsia="en-GB"/>
        </w:rPr>
      </w:pPr>
      <w:r>
        <w:rPr>
          <w:rFonts w:eastAsia="Times New Roman" w:cs="Times New Roman"/>
          <w:noProof/>
          <w:szCs w:val="24"/>
          <w:lang w:eastAsia="en-GB"/>
        </w:rPr>
        <w:br w:type="page"/>
      </w:r>
    </w:p>
    <w:p w:rsidR="003E180D" w:rsidRDefault="003E180D" w:rsidP="003E180D">
      <w:pPr>
        <w:pStyle w:val="Heading1"/>
        <w:numPr>
          <w:ilvl w:val="0"/>
          <w:numId w:val="22"/>
        </w:numPr>
        <w:rPr>
          <w:noProof/>
        </w:rPr>
      </w:pPr>
      <w:bookmarkStart w:id="922" w:name="_Toc507490586"/>
      <w:bookmarkStart w:id="923" w:name="_Toc507490824"/>
      <w:bookmarkStart w:id="924" w:name="_Toc507490962"/>
      <w:bookmarkStart w:id="925" w:name="_Toc507491100"/>
      <w:bookmarkStart w:id="926" w:name="_Toc507492052"/>
      <w:bookmarkStart w:id="927" w:name="_Toc507492354"/>
      <w:bookmarkStart w:id="928" w:name="_Toc507492497"/>
      <w:bookmarkStart w:id="929" w:name="_Toc507494542"/>
      <w:bookmarkStart w:id="930" w:name="_Toc507495481"/>
      <w:bookmarkStart w:id="931" w:name="_Toc507501925"/>
      <w:bookmarkStart w:id="932" w:name="_Toc507507276"/>
      <w:bookmarkStart w:id="933" w:name="_Toc507507409"/>
      <w:bookmarkStart w:id="934" w:name="_Toc507512119"/>
      <w:bookmarkStart w:id="935" w:name="_Toc507512615"/>
      <w:bookmarkStart w:id="936" w:name="_Toc507519135"/>
      <w:bookmarkStart w:id="937" w:name="_Toc507490687"/>
      <w:bookmarkStart w:id="938" w:name="_Toc507490925"/>
      <w:bookmarkStart w:id="939" w:name="_Toc507491063"/>
      <w:bookmarkStart w:id="940" w:name="_Toc507491201"/>
      <w:bookmarkStart w:id="941" w:name="_Toc507492153"/>
      <w:bookmarkStart w:id="942" w:name="_Toc507492455"/>
      <w:bookmarkStart w:id="943" w:name="_Toc507492598"/>
      <w:bookmarkStart w:id="944" w:name="_Toc507494643"/>
      <w:bookmarkStart w:id="945" w:name="_Toc507495582"/>
      <w:bookmarkStart w:id="946" w:name="_Toc507502026"/>
      <w:bookmarkStart w:id="947" w:name="_Toc507507377"/>
      <w:bookmarkStart w:id="948" w:name="_Toc507507510"/>
      <w:bookmarkStart w:id="949" w:name="_Toc507512220"/>
      <w:bookmarkStart w:id="950" w:name="_Toc507512716"/>
      <w:bookmarkStart w:id="951" w:name="_Toc507519236"/>
      <w:bookmarkStart w:id="952" w:name="_Toc508124818"/>
      <w:bookmarkStart w:id="953" w:name="_Toc508126182"/>
      <w:bookmarkStart w:id="954" w:name="_Toc508127553"/>
      <w:bookmarkStart w:id="955" w:name="_Toc508127906"/>
      <w:bookmarkStart w:id="956" w:name="_Toc508129700"/>
      <w:bookmarkStart w:id="957" w:name="_Toc508181074"/>
      <w:bookmarkStart w:id="958" w:name="_Toc508186665"/>
      <w:bookmarkStart w:id="959" w:name="_Toc510708149"/>
      <w:bookmarkStart w:id="960" w:name="_Toc514328846"/>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r>
        <w:rPr>
          <w:noProof/>
        </w:rPr>
        <w:t>Annex 12: Weighting of mission profiles for calculating CO</w:t>
      </w:r>
      <w:r>
        <w:rPr>
          <w:noProof/>
          <w:vertAlign w:val="subscript"/>
        </w:rPr>
        <w:t>2</w:t>
      </w:r>
      <w:r>
        <w:rPr>
          <w:noProof/>
        </w:rPr>
        <w:t xml:space="preserve"> emissions for the purpose of assessing compliance with CO</w:t>
      </w:r>
      <w:r>
        <w:rPr>
          <w:noProof/>
          <w:vertAlign w:val="subscript"/>
        </w:rPr>
        <w:t>2</w:t>
      </w:r>
      <w:r>
        <w:rPr>
          <w:noProof/>
        </w:rPr>
        <w:t xml:space="preserve"> targets</w:t>
      </w:r>
      <w:bookmarkEnd w:id="952"/>
      <w:bookmarkEnd w:id="953"/>
      <w:bookmarkEnd w:id="954"/>
      <w:bookmarkEnd w:id="955"/>
      <w:bookmarkEnd w:id="956"/>
      <w:bookmarkEnd w:id="957"/>
      <w:bookmarkEnd w:id="958"/>
      <w:bookmarkEnd w:id="959"/>
      <w:bookmarkEnd w:id="960"/>
    </w:p>
    <w:p w:rsidR="003E180D" w:rsidRDefault="003E180D" w:rsidP="003E180D">
      <w:pPr>
        <w:pStyle w:val="Heading2"/>
        <w:numPr>
          <w:ilvl w:val="1"/>
          <w:numId w:val="22"/>
        </w:numPr>
        <w:spacing w:before="240" w:after="240"/>
        <w:rPr>
          <w:noProof/>
        </w:rPr>
      </w:pPr>
      <w:bookmarkStart w:id="961" w:name="_Toc507493387"/>
      <w:bookmarkStart w:id="962" w:name="_Toc507496413"/>
      <w:bookmarkStart w:id="963" w:name="_Toc507517576"/>
      <w:bookmarkStart w:id="964" w:name="_Toc507512112"/>
      <w:bookmarkStart w:id="965" w:name="_Toc508124819"/>
      <w:bookmarkStart w:id="966" w:name="_Toc508126183"/>
      <w:bookmarkStart w:id="967" w:name="_Toc508127554"/>
      <w:bookmarkStart w:id="968" w:name="_Toc508127907"/>
      <w:bookmarkStart w:id="969" w:name="_Toc508129701"/>
      <w:bookmarkStart w:id="970" w:name="_Toc508181075"/>
      <w:bookmarkStart w:id="971" w:name="_Toc508186666"/>
      <w:bookmarkStart w:id="972" w:name="_Toc510708150"/>
      <w:bookmarkStart w:id="973" w:name="_Toc514328847"/>
      <w:r>
        <w:rPr>
          <w:noProof/>
        </w:rPr>
        <w:t>Mission profiles in VECTO</w:t>
      </w:r>
      <w:bookmarkEnd w:id="961"/>
      <w:bookmarkEnd w:id="962"/>
      <w:bookmarkEnd w:id="963"/>
      <w:bookmarkEnd w:id="964"/>
      <w:bookmarkEnd w:id="965"/>
      <w:bookmarkEnd w:id="966"/>
      <w:bookmarkEnd w:id="967"/>
      <w:bookmarkEnd w:id="968"/>
      <w:bookmarkEnd w:id="969"/>
      <w:bookmarkEnd w:id="970"/>
      <w:bookmarkEnd w:id="971"/>
      <w:bookmarkEnd w:id="972"/>
      <w:bookmarkEnd w:id="973"/>
    </w:p>
    <w:p w:rsidR="003E180D" w:rsidRDefault="003E180D" w:rsidP="003E180D">
      <w:pPr>
        <w:spacing w:after="120" w:line="240" w:lineRule="auto"/>
        <w:jc w:val="both"/>
        <w:rPr>
          <w:noProof/>
        </w:rPr>
      </w:pPr>
      <w:r>
        <w:rPr>
          <w:noProof/>
        </w:rPr>
        <w:t xml:space="preserve">For each vehicle </w:t>
      </w:r>
      <w:r>
        <w:rPr>
          <w:rFonts w:cs="Times New Roman"/>
          <w:noProof/>
          <w:szCs w:val="24"/>
        </w:rPr>
        <w:t>VECTO</w:t>
      </w:r>
      <w:r>
        <w:rPr>
          <w:noProof/>
        </w:rPr>
        <w:t xml:space="preserve"> provides a series of CO</w:t>
      </w:r>
      <w:r>
        <w:rPr>
          <w:noProof/>
          <w:vertAlign w:val="subscript"/>
        </w:rPr>
        <w:t>2</w:t>
      </w:r>
      <w:r>
        <w:rPr>
          <w:noProof/>
        </w:rPr>
        <w:t xml:space="preserve"> emission values corresponding to different "mission profiles". A mission profile is the simulation of the vehicle following a certain driving pattern, carrying a defined payload. For the vehicle categories 4, 5, 9 and 10 used for the delivery of goods, a regional delivery (RD) and long-haul (LH) driving pattern have been defined, each covering a total distance of 100 km and reflecting typical acceleration and speed profiles of the two missions (e.g. a high share of motorway driving in the long-haul driving pattern). </w:t>
      </w:r>
    </w:p>
    <w:p w:rsidR="003E180D" w:rsidRDefault="003E180D" w:rsidP="003E180D">
      <w:pPr>
        <w:spacing w:after="120" w:line="240" w:lineRule="auto"/>
        <w:jc w:val="both"/>
        <w:rPr>
          <w:noProof/>
        </w:rPr>
      </w:pPr>
      <w:r>
        <w:rPr>
          <w:noProof/>
        </w:rPr>
        <w:t xml:space="preserve">Both mission profiles are combined with low load (LL) and reference load (RL) conditions, which correspond to an (almost) empty and a fully loaded lorry, respectively. The respective payloads have been defined on the basis of stakeholder input during the </w:t>
      </w:r>
      <w:r>
        <w:rPr>
          <w:rFonts w:cs="Times New Roman"/>
          <w:noProof/>
          <w:szCs w:val="24"/>
        </w:rPr>
        <w:t>VECTO</w:t>
      </w:r>
      <w:r>
        <w:rPr>
          <w:noProof/>
        </w:rPr>
        <w:t xml:space="preserve"> development, reflecting the fact that also on "empty trips" lorries carry some equipment (e.g. empty boxes, palettes etc.) and most "full load trips" are volume rather than weight constraint. </w:t>
      </w:r>
    </w:p>
    <w:p w:rsidR="003E180D" w:rsidRDefault="003E180D" w:rsidP="003E180D">
      <w:pPr>
        <w:spacing w:after="120" w:line="240" w:lineRule="auto"/>
        <w:jc w:val="both"/>
        <w:rPr>
          <w:noProof/>
        </w:rPr>
      </w:pPr>
      <w:r>
        <w:rPr>
          <w:noProof/>
        </w:rPr>
        <w:t xml:space="preserve">The payloads </w:t>
      </w:r>
      <w:r>
        <w:rPr>
          <w:rFonts w:cs="Times New Roman"/>
          <w:noProof/>
          <w:szCs w:val="24"/>
        </w:rPr>
        <w:t xml:space="preserve">listed in </w:t>
      </w:r>
      <w:r>
        <w:rPr>
          <w:rFonts w:cs="Times New Roman"/>
          <w:noProof/>
          <w:szCs w:val="24"/>
        </w:rPr>
        <w:fldChar w:fldCharType="begin"/>
      </w:r>
      <w:r>
        <w:rPr>
          <w:rFonts w:cs="Times New Roman"/>
          <w:noProof/>
          <w:szCs w:val="24"/>
        </w:rPr>
        <w:instrText xml:space="preserve"> REF _Ref507490779 \h  \* MERGEFORMAT </w:instrText>
      </w:r>
      <w:r>
        <w:rPr>
          <w:rFonts w:cs="Times New Roman"/>
          <w:noProof/>
          <w:szCs w:val="24"/>
        </w:rPr>
      </w:r>
      <w:r>
        <w:rPr>
          <w:noProof/>
        </w:rPr>
        <w:fldChar w:fldCharType="separate"/>
      </w:r>
      <w:r>
        <w:rPr>
          <w:rFonts w:cs="Times New Roman"/>
          <w:noProof/>
          <w:szCs w:val="24"/>
        </w:rPr>
        <w:t>Table 32</w:t>
      </w:r>
      <w:r>
        <w:rPr>
          <w:rFonts w:cs="Times New Roman"/>
          <w:noProof/>
          <w:szCs w:val="24"/>
        </w:rPr>
        <w:fldChar w:fldCharType="end"/>
      </w:r>
      <w:r>
        <w:rPr>
          <w:rFonts w:cs="Times New Roman"/>
          <w:noProof/>
          <w:szCs w:val="24"/>
        </w:rPr>
        <w:t xml:space="preserve"> </w:t>
      </w:r>
      <w:r>
        <w:rPr>
          <w:noProof/>
        </w:rPr>
        <w:t xml:space="preserve">are thus attributed to the different mission profile (LL-RD, RL-RD, LL-LH, RL-LH) and vehicle groups simulated in </w:t>
      </w:r>
      <w:r>
        <w:rPr>
          <w:rFonts w:cs="Times New Roman"/>
          <w:noProof/>
          <w:szCs w:val="24"/>
        </w:rPr>
        <w:t>VECTO</w:t>
      </w:r>
      <w:r>
        <w:rPr>
          <w:noProof/>
        </w:rPr>
        <w:t>:</w:t>
      </w:r>
    </w:p>
    <w:p w:rsidR="003E180D" w:rsidRDefault="003E180D" w:rsidP="003E180D">
      <w:pPr>
        <w:spacing w:after="120" w:line="240" w:lineRule="auto"/>
        <w:rPr>
          <w:b/>
          <w:noProof/>
        </w:rPr>
      </w:pPr>
      <w:bookmarkStart w:id="974" w:name="_Ref507490779"/>
      <w:r>
        <w:rPr>
          <w:rFonts w:cs="Times New Roman"/>
          <w:b/>
          <w:noProof/>
          <w:szCs w:val="24"/>
        </w:rPr>
        <w:t xml:space="preserve">Table </w:t>
      </w:r>
      <w:r>
        <w:rPr>
          <w:rFonts w:cs="Times New Roman"/>
          <w:b/>
          <w:noProof/>
          <w:szCs w:val="24"/>
        </w:rPr>
        <w:fldChar w:fldCharType="begin"/>
      </w:r>
      <w:r>
        <w:rPr>
          <w:rFonts w:cs="Times New Roman"/>
          <w:b/>
          <w:noProof/>
          <w:szCs w:val="24"/>
        </w:rPr>
        <w:instrText xml:space="preserve"> SEQ Table \* ARABIC </w:instrText>
      </w:r>
      <w:r>
        <w:rPr>
          <w:rFonts w:cs="Times New Roman"/>
          <w:b/>
          <w:noProof/>
          <w:szCs w:val="24"/>
        </w:rPr>
        <w:fldChar w:fldCharType="separate"/>
      </w:r>
      <w:r>
        <w:rPr>
          <w:rFonts w:cs="Times New Roman"/>
          <w:b/>
          <w:noProof/>
          <w:szCs w:val="24"/>
        </w:rPr>
        <w:t>32</w:t>
      </w:r>
      <w:r>
        <w:rPr>
          <w:rFonts w:cs="Times New Roman"/>
          <w:b/>
          <w:noProof/>
          <w:szCs w:val="24"/>
        </w:rPr>
        <w:fldChar w:fldCharType="end"/>
      </w:r>
      <w:bookmarkEnd w:id="974"/>
      <w:r>
        <w:rPr>
          <w:rFonts w:cs="Times New Roman"/>
          <w:b/>
          <w:noProof/>
          <w:szCs w:val="24"/>
        </w:rPr>
        <w:t xml:space="preserve">: VECTO </w:t>
      </w:r>
      <w:r>
        <w:rPr>
          <w:rFonts w:eastAsia="Times New Roman"/>
          <w:b/>
          <w:noProof/>
          <w:lang w:eastAsia="en-GB"/>
        </w:rPr>
        <w:t>payloads of different vehicle sub-groups and mission profiles</w:t>
      </w:r>
    </w:p>
    <w:tbl>
      <w:tblPr>
        <w:tblStyle w:val="TableGrid"/>
        <w:tblW w:w="0" w:type="auto"/>
        <w:tblLook w:val="04A0" w:firstRow="1" w:lastRow="0" w:firstColumn="1" w:lastColumn="0" w:noHBand="0" w:noVBand="1"/>
      </w:tblPr>
      <w:tblGrid>
        <w:gridCol w:w="2093"/>
        <w:gridCol w:w="1462"/>
        <w:gridCol w:w="1760"/>
        <w:gridCol w:w="1758"/>
        <w:gridCol w:w="1760"/>
      </w:tblGrid>
      <w:tr w:rsidR="003E180D" w:rsidTr="0088305C">
        <w:tc>
          <w:tcPr>
            <w:tcW w:w="2093" w:type="dxa"/>
          </w:tcPr>
          <w:p w:rsidR="003E180D" w:rsidRDefault="003E180D" w:rsidP="0088305C">
            <w:pPr>
              <w:spacing w:after="120"/>
              <w:rPr>
                <w:b/>
                <w:noProof/>
              </w:rPr>
            </w:pPr>
            <w:r>
              <w:rPr>
                <w:b/>
                <w:noProof/>
              </w:rPr>
              <w:t>Payloads (t)</w:t>
            </w:r>
          </w:p>
        </w:tc>
        <w:tc>
          <w:tcPr>
            <w:tcW w:w="1462" w:type="dxa"/>
          </w:tcPr>
          <w:p w:rsidR="003E180D" w:rsidRDefault="003E180D" w:rsidP="0088305C">
            <w:pPr>
              <w:spacing w:after="120"/>
              <w:jc w:val="center"/>
              <w:rPr>
                <w:b/>
                <w:noProof/>
              </w:rPr>
            </w:pPr>
            <w:r>
              <w:rPr>
                <w:b/>
                <w:noProof/>
              </w:rPr>
              <w:t>LL-RD</w:t>
            </w:r>
          </w:p>
        </w:tc>
        <w:tc>
          <w:tcPr>
            <w:tcW w:w="1760" w:type="dxa"/>
          </w:tcPr>
          <w:p w:rsidR="003E180D" w:rsidRDefault="003E180D" w:rsidP="0088305C">
            <w:pPr>
              <w:spacing w:after="120"/>
              <w:jc w:val="center"/>
              <w:rPr>
                <w:b/>
                <w:noProof/>
              </w:rPr>
            </w:pPr>
            <w:r>
              <w:rPr>
                <w:b/>
                <w:noProof/>
              </w:rPr>
              <w:t>RL-RD</w:t>
            </w:r>
          </w:p>
        </w:tc>
        <w:tc>
          <w:tcPr>
            <w:tcW w:w="1758" w:type="dxa"/>
          </w:tcPr>
          <w:p w:rsidR="003E180D" w:rsidRDefault="003E180D" w:rsidP="0088305C">
            <w:pPr>
              <w:spacing w:after="120"/>
              <w:jc w:val="center"/>
              <w:rPr>
                <w:b/>
                <w:noProof/>
              </w:rPr>
            </w:pPr>
            <w:r>
              <w:rPr>
                <w:b/>
                <w:noProof/>
              </w:rPr>
              <w:t>LL-LH</w:t>
            </w:r>
          </w:p>
        </w:tc>
        <w:tc>
          <w:tcPr>
            <w:tcW w:w="1760" w:type="dxa"/>
          </w:tcPr>
          <w:p w:rsidR="003E180D" w:rsidRDefault="003E180D" w:rsidP="0088305C">
            <w:pPr>
              <w:spacing w:after="120"/>
              <w:jc w:val="center"/>
              <w:rPr>
                <w:b/>
                <w:noProof/>
              </w:rPr>
            </w:pPr>
            <w:r>
              <w:rPr>
                <w:b/>
                <w:noProof/>
              </w:rPr>
              <w:t>RL-LH</w:t>
            </w:r>
          </w:p>
        </w:tc>
      </w:tr>
      <w:tr w:rsidR="003E180D" w:rsidTr="0088305C">
        <w:tc>
          <w:tcPr>
            <w:tcW w:w="2093" w:type="dxa"/>
          </w:tcPr>
          <w:p w:rsidR="003E180D" w:rsidRDefault="003E180D" w:rsidP="0088305C">
            <w:pPr>
              <w:spacing w:after="120"/>
              <w:rPr>
                <w:b/>
                <w:noProof/>
              </w:rPr>
            </w:pPr>
            <w:r>
              <w:rPr>
                <w:b/>
                <w:noProof/>
              </w:rPr>
              <w:t>Group 4</w:t>
            </w:r>
          </w:p>
        </w:tc>
        <w:tc>
          <w:tcPr>
            <w:tcW w:w="1462" w:type="dxa"/>
          </w:tcPr>
          <w:p w:rsidR="003E180D" w:rsidRDefault="003E180D" w:rsidP="0088305C">
            <w:pPr>
              <w:spacing w:after="120"/>
              <w:jc w:val="center"/>
              <w:rPr>
                <w:noProof/>
              </w:rPr>
            </w:pPr>
            <w:r>
              <w:rPr>
                <w:noProof/>
              </w:rPr>
              <w:t>0.9</w:t>
            </w:r>
          </w:p>
        </w:tc>
        <w:tc>
          <w:tcPr>
            <w:tcW w:w="1760" w:type="dxa"/>
          </w:tcPr>
          <w:p w:rsidR="003E180D" w:rsidRDefault="003E180D" w:rsidP="0088305C">
            <w:pPr>
              <w:spacing w:after="120"/>
              <w:jc w:val="center"/>
              <w:rPr>
                <w:noProof/>
              </w:rPr>
            </w:pPr>
            <w:r>
              <w:rPr>
                <w:noProof/>
              </w:rPr>
              <w:t>4.4</w:t>
            </w:r>
          </w:p>
        </w:tc>
        <w:tc>
          <w:tcPr>
            <w:tcW w:w="1758" w:type="dxa"/>
          </w:tcPr>
          <w:p w:rsidR="003E180D" w:rsidRDefault="003E180D" w:rsidP="0088305C">
            <w:pPr>
              <w:spacing w:after="120"/>
              <w:jc w:val="center"/>
              <w:rPr>
                <w:noProof/>
              </w:rPr>
            </w:pPr>
            <w:r>
              <w:rPr>
                <w:noProof/>
              </w:rPr>
              <w:t>1.9</w:t>
            </w:r>
          </w:p>
        </w:tc>
        <w:tc>
          <w:tcPr>
            <w:tcW w:w="1760" w:type="dxa"/>
          </w:tcPr>
          <w:p w:rsidR="003E180D" w:rsidRDefault="003E180D" w:rsidP="0088305C">
            <w:pPr>
              <w:spacing w:after="120"/>
              <w:jc w:val="center"/>
              <w:rPr>
                <w:noProof/>
              </w:rPr>
            </w:pPr>
            <w:r>
              <w:rPr>
                <w:noProof/>
              </w:rPr>
              <w:t>14</w:t>
            </w:r>
          </w:p>
        </w:tc>
      </w:tr>
      <w:tr w:rsidR="003E180D" w:rsidTr="0088305C">
        <w:tc>
          <w:tcPr>
            <w:tcW w:w="2093" w:type="dxa"/>
          </w:tcPr>
          <w:p w:rsidR="003E180D" w:rsidRDefault="003E180D" w:rsidP="0088305C">
            <w:pPr>
              <w:spacing w:after="120"/>
              <w:rPr>
                <w:b/>
                <w:noProof/>
              </w:rPr>
            </w:pPr>
            <w:r>
              <w:rPr>
                <w:b/>
                <w:noProof/>
              </w:rPr>
              <w:t>Group 5</w:t>
            </w:r>
          </w:p>
          <w:p w:rsidR="003E180D" w:rsidRDefault="003E180D" w:rsidP="0088305C">
            <w:pPr>
              <w:spacing w:after="120"/>
              <w:rPr>
                <w:b/>
                <w:noProof/>
              </w:rPr>
            </w:pPr>
            <w:r>
              <w:rPr>
                <w:b/>
                <w:noProof/>
                <w:szCs w:val="24"/>
              </w:rPr>
              <w:t>G</w:t>
            </w:r>
            <w:r>
              <w:rPr>
                <w:b/>
                <w:noProof/>
              </w:rPr>
              <w:t>roup 10</w:t>
            </w:r>
          </w:p>
        </w:tc>
        <w:tc>
          <w:tcPr>
            <w:tcW w:w="1462" w:type="dxa"/>
          </w:tcPr>
          <w:p w:rsidR="003E180D" w:rsidRDefault="003E180D" w:rsidP="0088305C">
            <w:pPr>
              <w:spacing w:after="120"/>
              <w:jc w:val="center"/>
              <w:rPr>
                <w:noProof/>
              </w:rPr>
            </w:pPr>
            <w:r>
              <w:rPr>
                <w:noProof/>
              </w:rPr>
              <w:t>2.6</w:t>
            </w:r>
          </w:p>
        </w:tc>
        <w:tc>
          <w:tcPr>
            <w:tcW w:w="1760" w:type="dxa"/>
          </w:tcPr>
          <w:p w:rsidR="003E180D" w:rsidRDefault="003E180D" w:rsidP="0088305C">
            <w:pPr>
              <w:spacing w:after="120"/>
              <w:jc w:val="center"/>
              <w:rPr>
                <w:noProof/>
              </w:rPr>
            </w:pPr>
            <w:r>
              <w:rPr>
                <w:noProof/>
              </w:rPr>
              <w:t>12.9</w:t>
            </w:r>
          </w:p>
        </w:tc>
        <w:tc>
          <w:tcPr>
            <w:tcW w:w="1758" w:type="dxa"/>
          </w:tcPr>
          <w:p w:rsidR="003E180D" w:rsidRDefault="003E180D" w:rsidP="0088305C">
            <w:pPr>
              <w:spacing w:after="120"/>
              <w:jc w:val="center"/>
              <w:rPr>
                <w:noProof/>
              </w:rPr>
            </w:pPr>
            <w:r>
              <w:rPr>
                <w:noProof/>
              </w:rPr>
              <w:t>2.6</w:t>
            </w:r>
          </w:p>
        </w:tc>
        <w:tc>
          <w:tcPr>
            <w:tcW w:w="1760" w:type="dxa"/>
          </w:tcPr>
          <w:p w:rsidR="003E180D" w:rsidRDefault="003E180D" w:rsidP="0088305C">
            <w:pPr>
              <w:spacing w:after="120"/>
              <w:jc w:val="center"/>
              <w:rPr>
                <w:noProof/>
              </w:rPr>
            </w:pPr>
            <w:r>
              <w:rPr>
                <w:noProof/>
              </w:rPr>
              <w:t>19.3</w:t>
            </w:r>
          </w:p>
        </w:tc>
      </w:tr>
      <w:tr w:rsidR="003E180D" w:rsidTr="0088305C">
        <w:tc>
          <w:tcPr>
            <w:tcW w:w="2093" w:type="dxa"/>
          </w:tcPr>
          <w:p w:rsidR="003E180D" w:rsidRDefault="003E180D" w:rsidP="0088305C">
            <w:pPr>
              <w:spacing w:after="120"/>
              <w:rPr>
                <w:b/>
                <w:noProof/>
              </w:rPr>
            </w:pPr>
            <w:r>
              <w:rPr>
                <w:b/>
                <w:noProof/>
              </w:rPr>
              <w:t>Group 9</w:t>
            </w:r>
          </w:p>
        </w:tc>
        <w:tc>
          <w:tcPr>
            <w:tcW w:w="1462" w:type="dxa"/>
          </w:tcPr>
          <w:p w:rsidR="003E180D" w:rsidRDefault="003E180D" w:rsidP="0088305C">
            <w:pPr>
              <w:spacing w:after="120"/>
              <w:jc w:val="center"/>
              <w:rPr>
                <w:noProof/>
              </w:rPr>
            </w:pPr>
            <w:r>
              <w:rPr>
                <w:noProof/>
              </w:rPr>
              <w:t>1.4</w:t>
            </w:r>
          </w:p>
        </w:tc>
        <w:tc>
          <w:tcPr>
            <w:tcW w:w="1760" w:type="dxa"/>
          </w:tcPr>
          <w:p w:rsidR="003E180D" w:rsidRDefault="003E180D" w:rsidP="0088305C">
            <w:pPr>
              <w:spacing w:after="120"/>
              <w:jc w:val="center"/>
              <w:rPr>
                <w:noProof/>
              </w:rPr>
            </w:pPr>
            <w:r>
              <w:rPr>
                <w:noProof/>
              </w:rPr>
              <w:t>7.1</w:t>
            </w:r>
          </w:p>
        </w:tc>
        <w:tc>
          <w:tcPr>
            <w:tcW w:w="1758" w:type="dxa"/>
          </w:tcPr>
          <w:p w:rsidR="003E180D" w:rsidRDefault="003E180D" w:rsidP="0088305C">
            <w:pPr>
              <w:spacing w:after="120"/>
              <w:jc w:val="center"/>
              <w:rPr>
                <w:noProof/>
              </w:rPr>
            </w:pPr>
            <w:r>
              <w:rPr>
                <w:noProof/>
              </w:rPr>
              <w:t>2.6</w:t>
            </w:r>
          </w:p>
        </w:tc>
        <w:tc>
          <w:tcPr>
            <w:tcW w:w="1760" w:type="dxa"/>
          </w:tcPr>
          <w:p w:rsidR="003E180D" w:rsidRDefault="003E180D" w:rsidP="0088305C">
            <w:pPr>
              <w:spacing w:after="120"/>
              <w:jc w:val="center"/>
              <w:rPr>
                <w:noProof/>
              </w:rPr>
            </w:pPr>
            <w:r>
              <w:rPr>
                <w:noProof/>
              </w:rPr>
              <w:t>19.3</w:t>
            </w:r>
          </w:p>
        </w:tc>
      </w:tr>
    </w:tbl>
    <w:p w:rsidR="003E180D" w:rsidRDefault="003E180D" w:rsidP="003E180D">
      <w:pPr>
        <w:spacing w:before="120" w:after="120" w:line="240" w:lineRule="auto"/>
        <w:jc w:val="both"/>
        <w:rPr>
          <w:noProof/>
        </w:rPr>
      </w:pPr>
      <w:r>
        <w:rPr>
          <w:noProof/>
        </w:rPr>
        <w:t xml:space="preserve">It should be noted that from the </w:t>
      </w:r>
      <w:r>
        <w:rPr>
          <w:rFonts w:cs="Times New Roman"/>
          <w:noProof/>
          <w:szCs w:val="24"/>
        </w:rPr>
        <w:t xml:space="preserve">VECTO </w:t>
      </w:r>
      <w:r>
        <w:rPr>
          <w:noProof/>
        </w:rPr>
        <w:t xml:space="preserve">output alone no conclusions can be drawn on the relative shares of "empty" and "full load" trips of a lorry, but the operator can combine different </w:t>
      </w:r>
      <w:r>
        <w:rPr>
          <w:rFonts w:cs="Times New Roman"/>
          <w:noProof/>
          <w:szCs w:val="24"/>
        </w:rPr>
        <w:t xml:space="preserve">VECTO </w:t>
      </w:r>
      <w:r>
        <w:rPr>
          <w:noProof/>
        </w:rPr>
        <w:t>data according to his own use pattern for non-regulatory purposes.</w:t>
      </w:r>
    </w:p>
    <w:p w:rsidR="003E180D" w:rsidRDefault="003E180D" w:rsidP="003E180D">
      <w:pPr>
        <w:pStyle w:val="Heading2"/>
        <w:numPr>
          <w:ilvl w:val="1"/>
          <w:numId w:val="22"/>
        </w:numPr>
        <w:spacing w:before="240" w:after="240"/>
        <w:rPr>
          <w:noProof/>
        </w:rPr>
      </w:pPr>
      <w:bookmarkStart w:id="975" w:name="_Toc507493388"/>
      <w:bookmarkStart w:id="976" w:name="_Toc507496414"/>
      <w:bookmarkStart w:id="977" w:name="_Toc507517577"/>
      <w:bookmarkStart w:id="978" w:name="_Toc507512113"/>
      <w:bookmarkStart w:id="979" w:name="_Toc508124820"/>
      <w:bookmarkStart w:id="980" w:name="_Toc508126184"/>
      <w:bookmarkStart w:id="981" w:name="_Toc508127555"/>
      <w:bookmarkStart w:id="982" w:name="_Toc508127908"/>
      <w:bookmarkStart w:id="983" w:name="_Toc508129702"/>
      <w:bookmarkStart w:id="984" w:name="_Toc508181076"/>
      <w:bookmarkStart w:id="985" w:name="_Toc508186667"/>
      <w:bookmarkStart w:id="986" w:name="_Toc510708151"/>
      <w:bookmarkStart w:id="987" w:name="_Toc514328848"/>
      <w:r>
        <w:rPr>
          <w:noProof/>
        </w:rPr>
        <w:t>Weighting of VECTO mission profiles</w:t>
      </w:r>
      <w:bookmarkEnd w:id="975"/>
      <w:bookmarkEnd w:id="976"/>
      <w:bookmarkEnd w:id="977"/>
      <w:bookmarkEnd w:id="978"/>
      <w:bookmarkEnd w:id="979"/>
      <w:bookmarkEnd w:id="980"/>
      <w:bookmarkEnd w:id="981"/>
      <w:bookmarkEnd w:id="982"/>
      <w:bookmarkEnd w:id="983"/>
      <w:bookmarkEnd w:id="984"/>
      <w:bookmarkEnd w:id="985"/>
      <w:bookmarkEnd w:id="986"/>
      <w:bookmarkEnd w:id="987"/>
    </w:p>
    <w:p w:rsidR="003E180D" w:rsidRDefault="003E180D" w:rsidP="003E180D">
      <w:pPr>
        <w:spacing w:after="120" w:line="240" w:lineRule="auto"/>
        <w:jc w:val="both"/>
        <w:rPr>
          <w:noProof/>
        </w:rPr>
      </w:pPr>
      <w:r>
        <w:rPr>
          <w:noProof/>
        </w:rPr>
        <w:t>As explained in Section 5.2 of this Impact Assessment, for the purpose of assessing compliance with regulatory CO</w:t>
      </w:r>
      <w:r>
        <w:rPr>
          <w:noProof/>
          <w:vertAlign w:val="subscript"/>
        </w:rPr>
        <w:t>2</w:t>
      </w:r>
      <w:r>
        <w:rPr>
          <w:noProof/>
        </w:rPr>
        <w:t xml:space="preserve"> emission targets, the vehicle groups have been split further into "regional delivery (RD)" and "long haul (LH)" sub-groups. </w:t>
      </w:r>
    </w:p>
    <w:p w:rsidR="003E180D" w:rsidRDefault="003E180D" w:rsidP="003E180D">
      <w:pPr>
        <w:spacing w:after="120" w:line="240" w:lineRule="auto"/>
        <w:jc w:val="both"/>
        <w:rPr>
          <w:noProof/>
        </w:rPr>
      </w:pPr>
      <w:r>
        <w:rPr>
          <w:noProof/>
        </w:rPr>
        <w:t>Regulatory CO</w:t>
      </w:r>
      <w:r>
        <w:rPr>
          <w:noProof/>
          <w:vertAlign w:val="subscript"/>
        </w:rPr>
        <w:t>2</w:t>
      </w:r>
      <w:r>
        <w:rPr>
          <w:noProof/>
        </w:rPr>
        <w:t xml:space="preserve"> emissions of vehicles in each of these sub-groups are calculated as a weighted average of emissions from the different mission profiles:</w:t>
      </w:r>
    </w:p>
    <w:p w:rsidR="003E180D" w:rsidRDefault="003E180D" w:rsidP="003E180D">
      <w:pPr>
        <w:rPr>
          <w:rFonts w:cs="Times New Roman"/>
          <w:i/>
          <w:noProof/>
          <w:sz w:val="20"/>
          <w:szCs w:val="20"/>
        </w:rPr>
      </w:pPr>
      <w:r>
        <w:rPr>
          <w:rFonts w:cs="Times New Roman"/>
          <w:i/>
          <w:noProof/>
          <w:sz w:val="20"/>
          <w:szCs w:val="20"/>
        </w:rPr>
        <w:t>(CO</w:t>
      </w:r>
      <w:r>
        <w:rPr>
          <w:rFonts w:cs="Times New Roman"/>
          <w:i/>
          <w:noProof/>
          <w:sz w:val="20"/>
          <w:szCs w:val="20"/>
          <w:vertAlign w:val="subscript"/>
        </w:rPr>
        <w:t>2</w:t>
      </w:r>
      <w:r>
        <w:rPr>
          <w:rFonts w:cs="Times New Roman"/>
          <w:i/>
          <w:noProof/>
          <w:sz w:val="20"/>
          <w:szCs w:val="20"/>
        </w:rPr>
        <w:t xml:space="preserve"> emissions of a vehicle in sub-group s in gCO</w:t>
      </w:r>
      <w:r>
        <w:rPr>
          <w:i/>
          <w:noProof/>
          <w:sz w:val="20"/>
          <w:vertAlign w:val="subscript"/>
        </w:rPr>
        <w:t>2</w:t>
      </w:r>
      <w:r>
        <w:rPr>
          <w:rFonts w:cs="Times New Roman"/>
          <w:i/>
          <w:noProof/>
          <w:sz w:val="20"/>
          <w:szCs w:val="20"/>
        </w:rPr>
        <w:t xml:space="preserve">/tkm) = </w:t>
      </w:r>
    </w:p>
    <w:p w:rsidR="003E180D" w:rsidRDefault="003E180D" w:rsidP="003E180D">
      <w:pPr>
        <w:rPr>
          <w:rFonts w:cs="Times New Roman"/>
          <w:i/>
          <w:noProof/>
          <w:sz w:val="20"/>
          <w:szCs w:val="20"/>
        </w:rPr>
      </w:pPr>
      <w:r>
        <w:rPr>
          <w:rFonts w:cs="Times New Roman"/>
          <w:i/>
          <w:noProof/>
          <w:sz w:val="20"/>
          <w:szCs w:val="20"/>
        </w:rPr>
        <w:t>(∑</w:t>
      </w:r>
      <w:r>
        <w:rPr>
          <w:rFonts w:cs="Times New Roman"/>
          <w:i/>
          <w:noProof/>
          <w:sz w:val="20"/>
          <w:szCs w:val="20"/>
          <w:vertAlign w:val="subscript"/>
        </w:rPr>
        <w:t>p</w:t>
      </w:r>
      <w:r>
        <w:rPr>
          <w:rFonts w:cs="Times New Roman"/>
          <w:i/>
          <w:noProof/>
          <w:sz w:val="20"/>
          <w:szCs w:val="20"/>
        </w:rPr>
        <w:t xml:space="preserve"> (weight of mission profile p in sub-group s)</w:t>
      </w:r>
      <w:r>
        <w:rPr>
          <w:rFonts w:cs="Times New Roman"/>
          <w:i/>
          <w:noProof/>
          <w:sz w:val="20"/>
          <w:szCs w:val="20"/>
          <w:vertAlign w:val="subscript"/>
        </w:rPr>
        <w:t xml:space="preserve"> </w:t>
      </w:r>
      <w:r>
        <w:rPr>
          <w:rFonts w:cs="Times New Roman"/>
          <w:i/>
          <w:noProof/>
          <w:sz w:val="20"/>
          <w:szCs w:val="20"/>
        </w:rPr>
        <w:t xml:space="preserve"> * (CO</w:t>
      </w:r>
      <w:r>
        <w:rPr>
          <w:rFonts w:cs="Times New Roman"/>
          <w:i/>
          <w:noProof/>
          <w:sz w:val="20"/>
          <w:szCs w:val="20"/>
          <w:vertAlign w:val="subscript"/>
        </w:rPr>
        <w:t>2</w:t>
      </w:r>
      <w:r>
        <w:rPr>
          <w:rFonts w:cs="Times New Roman"/>
          <w:i/>
          <w:noProof/>
          <w:sz w:val="20"/>
          <w:szCs w:val="20"/>
        </w:rPr>
        <w:t xml:space="preserve"> emissions of the vehicle on mission profile p in gCO</w:t>
      </w:r>
      <w:r>
        <w:rPr>
          <w:i/>
          <w:noProof/>
          <w:sz w:val="20"/>
          <w:vertAlign w:val="subscript"/>
        </w:rPr>
        <w:t>2</w:t>
      </w:r>
      <w:r>
        <w:rPr>
          <w:rFonts w:cs="Times New Roman"/>
          <w:i/>
          <w:noProof/>
          <w:sz w:val="20"/>
          <w:szCs w:val="20"/>
        </w:rPr>
        <w:t>) ) /</w:t>
      </w:r>
    </w:p>
    <w:p w:rsidR="003E180D" w:rsidRDefault="003E180D" w:rsidP="003E180D">
      <w:pPr>
        <w:tabs>
          <w:tab w:val="right" w:pos="8617"/>
        </w:tabs>
        <w:rPr>
          <w:rFonts w:cs="Times New Roman"/>
          <w:i/>
          <w:noProof/>
          <w:sz w:val="20"/>
          <w:szCs w:val="20"/>
        </w:rPr>
      </w:pPr>
      <w:r>
        <w:rPr>
          <w:rFonts w:cs="Times New Roman"/>
          <w:i/>
          <w:noProof/>
          <w:sz w:val="20"/>
          <w:szCs w:val="20"/>
        </w:rPr>
        <w:t xml:space="preserve"> (∑</w:t>
      </w:r>
      <w:r>
        <w:rPr>
          <w:rFonts w:cs="Times New Roman"/>
          <w:i/>
          <w:noProof/>
          <w:sz w:val="20"/>
          <w:szCs w:val="20"/>
          <w:vertAlign w:val="subscript"/>
        </w:rPr>
        <w:t>p</w:t>
      </w:r>
      <w:r>
        <w:rPr>
          <w:rFonts w:cs="Times New Roman"/>
          <w:i/>
          <w:noProof/>
          <w:sz w:val="20"/>
          <w:szCs w:val="20"/>
        </w:rPr>
        <w:t xml:space="preserve"> (weight of mission profile p in sub-group s) * (payload of mission profile p in sub-group s)</w:t>
      </w:r>
      <w:r>
        <w:rPr>
          <w:rFonts w:cs="Times New Roman"/>
          <w:i/>
          <w:noProof/>
          <w:sz w:val="20"/>
          <w:szCs w:val="20"/>
          <w:vertAlign w:val="subscript"/>
        </w:rPr>
        <w:t xml:space="preserve"> </w:t>
      </w:r>
      <w:r>
        <w:rPr>
          <w:rFonts w:cs="Times New Roman"/>
          <w:i/>
          <w:noProof/>
          <w:sz w:val="20"/>
          <w:szCs w:val="20"/>
        </w:rPr>
        <w:t>* (mileage of mission profile p))</w:t>
      </w:r>
    </w:p>
    <w:p w:rsidR="003E180D" w:rsidRDefault="003E180D" w:rsidP="003E180D">
      <w:pPr>
        <w:tabs>
          <w:tab w:val="right" w:pos="8617"/>
        </w:tabs>
        <w:rPr>
          <w:i/>
          <w:noProof/>
          <w:sz w:val="20"/>
        </w:rPr>
      </w:pPr>
      <w:r>
        <w:rPr>
          <w:i/>
          <w:noProof/>
          <w:sz w:val="20"/>
        </w:rPr>
        <w:tab/>
      </w:r>
      <w:r>
        <w:rPr>
          <w:b/>
          <w:noProof/>
          <w:sz w:val="20"/>
        </w:rPr>
        <w:t>[equ. 12.1]</w:t>
      </w:r>
    </w:p>
    <w:p w:rsidR="003E180D" w:rsidRDefault="003E180D" w:rsidP="003E180D">
      <w:pPr>
        <w:spacing w:after="120" w:line="240" w:lineRule="auto"/>
        <w:rPr>
          <w:rFonts w:cs="Times New Roman"/>
          <w:noProof/>
        </w:rPr>
      </w:pPr>
      <w:r>
        <w:rPr>
          <w:rFonts w:cs="Times New Roman"/>
          <w:noProof/>
        </w:rPr>
        <w:t xml:space="preserve">With </w:t>
      </w:r>
    </w:p>
    <w:p w:rsidR="003E180D" w:rsidRDefault="003E180D" w:rsidP="003E180D">
      <w:pPr>
        <w:spacing w:after="120" w:line="240" w:lineRule="auto"/>
        <w:rPr>
          <w:rFonts w:cs="Times New Roman"/>
          <w:i/>
          <w:noProof/>
          <w:sz w:val="20"/>
          <w:szCs w:val="20"/>
        </w:rPr>
      </w:pPr>
      <w:r>
        <w:rPr>
          <w:rFonts w:cs="Times New Roman"/>
          <w:i/>
          <w:noProof/>
          <w:sz w:val="20"/>
          <w:szCs w:val="20"/>
        </w:rPr>
        <w:t xml:space="preserve">Sub-groups s = 4-RD, 4-LH, 5-RD, 5-LH, 9-RD, 9-LH, 10-RD, 10-LH; </w:t>
      </w:r>
    </w:p>
    <w:p w:rsidR="003E180D" w:rsidRDefault="003E180D" w:rsidP="003E180D">
      <w:pPr>
        <w:spacing w:after="120" w:line="240" w:lineRule="auto"/>
        <w:rPr>
          <w:rFonts w:cs="Times New Roman"/>
          <w:i/>
          <w:noProof/>
          <w:sz w:val="20"/>
          <w:szCs w:val="20"/>
        </w:rPr>
      </w:pPr>
      <w:r>
        <w:rPr>
          <w:rFonts w:cs="Times New Roman"/>
          <w:i/>
          <w:noProof/>
          <w:sz w:val="20"/>
          <w:szCs w:val="20"/>
        </w:rPr>
        <w:t>mission profiles p = LL-RD, RL-RD, LL-LH, RL-LH;</w:t>
      </w:r>
    </w:p>
    <w:p w:rsidR="003E180D" w:rsidRDefault="003E180D" w:rsidP="003E180D">
      <w:pPr>
        <w:spacing w:after="120" w:line="240" w:lineRule="auto"/>
        <w:rPr>
          <w:rFonts w:cs="Times New Roman"/>
          <w:i/>
          <w:noProof/>
          <w:sz w:val="20"/>
          <w:szCs w:val="20"/>
        </w:rPr>
      </w:pPr>
      <w:r>
        <w:rPr>
          <w:rFonts w:cs="Times New Roman"/>
          <w:i/>
          <w:noProof/>
          <w:sz w:val="20"/>
          <w:szCs w:val="20"/>
        </w:rPr>
        <w:t>(payloads of mission profile p in sub-group s) as given in table 1;</w:t>
      </w:r>
    </w:p>
    <w:p w:rsidR="003E180D" w:rsidRDefault="003E180D" w:rsidP="003E180D">
      <w:pPr>
        <w:spacing w:after="120" w:line="240" w:lineRule="auto"/>
        <w:rPr>
          <w:rFonts w:cs="Times New Roman"/>
          <w:i/>
          <w:noProof/>
          <w:sz w:val="20"/>
          <w:szCs w:val="20"/>
        </w:rPr>
      </w:pPr>
      <w:r>
        <w:rPr>
          <w:rFonts w:cs="Times New Roman"/>
          <w:i/>
          <w:noProof/>
          <w:sz w:val="20"/>
          <w:szCs w:val="20"/>
        </w:rPr>
        <w:t xml:space="preserve">mileage of mission profile p  =  100 km. </w:t>
      </w:r>
    </w:p>
    <w:p w:rsidR="003E180D" w:rsidRDefault="003E180D" w:rsidP="003E180D">
      <w:pPr>
        <w:spacing w:after="120" w:line="240" w:lineRule="auto"/>
        <w:jc w:val="both"/>
        <w:rPr>
          <w:noProof/>
        </w:rPr>
      </w:pPr>
      <w:r>
        <w:rPr>
          <w:noProof/>
        </w:rPr>
        <w:t>In [equ. 12.1] vehicles from a certain sub-group may have contributions from all mission profiles. For example</w:t>
      </w:r>
      <w:r>
        <w:rPr>
          <w:rFonts w:cs="Times New Roman"/>
          <w:noProof/>
        </w:rPr>
        <w:t>, vehicles in the "</w:t>
      </w:r>
      <w:r>
        <w:rPr>
          <w:noProof/>
        </w:rPr>
        <w:t xml:space="preserve">RD" sub-groups may have some contribution of the LH mission profile and vehicles in the "LH" sub-groups </w:t>
      </w:r>
      <w:r>
        <w:rPr>
          <w:rFonts w:cs="Times New Roman"/>
          <w:noProof/>
        </w:rPr>
        <w:t xml:space="preserve">may have </w:t>
      </w:r>
      <w:r>
        <w:rPr>
          <w:noProof/>
        </w:rPr>
        <w:t>some contribution of the RD mission profile.</w:t>
      </w:r>
    </w:p>
    <w:p w:rsidR="003E180D" w:rsidRDefault="003E180D" w:rsidP="003E180D">
      <w:pPr>
        <w:spacing w:after="120" w:line="240" w:lineRule="auto"/>
        <w:jc w:val="both"/>
        <w:rPr>
          <w:noProof/>
        </w:rPr>
      </w:pPr>
      <w:r>
        <w:rPr>
          <w:noProof/>
        </w:rPr>
        <w:t xml:space="preserve">The weighting of the mission profiles in this equation – which can be different for the different sub-groups - should aim at reproducing the use of an (average) lorry within a vehicle sub-group under real driving conditions. </w:t>
      </w:r>
    </w:p>
    <w:p w:rsidR="003E180D" w:rsidRDefault="003E180D" w:rsidP="003E180D">
      <w:pPr>
        <w:spacing w:after="120" w:line="240" w:lineRule="auto"/>
        <w:jc w:val="both"/>
        <w:rPr>
          <w:noProof/>
        </w:rPr>
      </w:pPr>
      <w:r>
        <w:rPr>
          <w:noProof/>
        </w:rPr>
        <w:t xml:space="preserve">On the basis of expert judgement of the Commission's contractors and the JRC, the following driving shares for regional delivery and long haul missions have been derived, taking into account the specifics of the RD and LH driving trace in </w:t>
      </w:r>
      <w:r>
        <w:rPr>
          <w:rFonts w:cs="Times New Roman"/>
          <w:noProof/>
        </w:rPr>
        <w:t>VECTO</w:t>
      </w:r>
      <w:r>
        <w:rPr>
          <w:noProof/>
        </w:rPr>
        <w:t xml:space="preserve"> (for example, also the LH driving trace has some parts driven on regional routes etc.):</w:t>
      </w:r>
    </w:p>
    <w:p w:rsidR="003E180D" w:rsidRDefault="003E180D" w:rsidP="003E180D">
      <w:pPr>
        <w:suppressAutoHyphens/>
        <w:spacing w:after="120" w:line="240" w:lineRule="auto"/>
        <w:jc w:val="both"/>
        <w:rPr>
          <w:rFonts w:eastAsia="Times New Roman"/>
          <w:b/>
          <w:noProof/>
          <w:lang w:eastAsia="en-GB"/>
        </w:rPr>
      </w:pPr>
      <w:bookmarkStart w:id="988" w:name="_Ref507491210"/>
      <w:r>
        <w:rPr>
          <w:rFonts w:cs="Times New Roman"/>
          <w:b/>
          <w:noProof/>
          <w:szCs w:val="24"/>
        </w:rPr>
        <w:t xml:space="preserve">Table </w:t>
      </w:r>
      <w:r>
        <w:rPr>
          <w:rFonts w:cs="Times New Roman"/>
          <w:b/>
          <w:noProof/>
          <w:szCs w:val="24"/>
        </w:rPr>
        <w:fldChar w:fldCharType="begin"/>
      </w:r>
      <w:r>
        <w:rPr>
          <w:rFonts w:cs="Times New Roman"/>
          <w:b/>
          <w:noProof/>
          <w:szCs w:val="24"/>
        </w:rPr>
        <w:instrText xml:space="preserve"> SEQ Table \* ARABIC </w:instrText>
      </w:r>
      <w:r>
        <w:rPr>
          <w:rFonts w:cs="Times New Roman"/>
          <w:b/>
          <w:noProof/>
          <w:szCs w:val="24"/>
        </w:rPr>
        <w:fldChar w:fldCharType="separate"/>
      </w:r>
      <w:r>
        <w:rPr>
          <w:rFonts w:cs="Times New Roman"/>
          <w:b/>
          <w:noProof/>
          <w:szCs w:val="24"/>
        </w:rPr>
        <w:t>33</w:t>
      </w:r>
      <w:r>
        <w:rPr>
          <w:rFonts w:cs="Times New Roman"/>
          <w:b/>
          <w:noProof/>
          <w:szCs w:val="24"/>
        </w:rPr>
        <w:fldChar w:fldCharType="end"/>
      </w:r>
      <w:bookmarkEnd w:id="988"/>
      <w:r>
        <w:rPr>
          <w:rFonts w:cs="Times New Roman"/>
          <w:b/>
          <w:noProof/>
          <w:szCs w:val="24"/>
        </w:rPr>
        <w:t xml:space="preserve">: </w:t>
      </w:r>
      <w:r>
        <w:rPr>
          <w:rFonts w:eastAsia="Times New Roman"/>
          <w:b/>
          <w:noProof/>
          <w:lang w:eastAsia="en-GB"/>
        </w:rPr>
        <w:t>Relative shares of mileages driven for regional delivery and long haul missions in the RD and LH vehicle sub-groups</w:t>
      </w:r>
    </w:p>
    <w:tbl>
      <w:tblPr>
        <w:tblStyle w:val="TableGrid"/>
        <w:tblW w:w="0" w:type="auto"/>
        <w:tblLook w:val="04A0" w:firstRow="1" w:lastRow="0" w:firstColumn="1" w:lastColumn="0" w:noHBand="0" w:noVBand="1"/>
      </w:tblPr>
      <w:tblGrid>
        <w:gridCol w:w="2946"/>
        <w:gridCol w:w="2957"/>
        <w:gridCol w:w="2930"/>
      </w:tblGrid>
      <w:tr w:rsidR="003E180D" w:rsidTr="0088305C">
        <w:tc>
          <w:tcPr>
            <w:tcW w:w="3096" w:type="dxa"/>
          </w:tcPr>
          <w:p w:rsidR="003E180D" w:rsidRDefault="003E180D" w:rsidP="0088305C">
            <w:pPr>
              <w:spacing w:after="120"/>
              <w:rPr>
                <w:b/>
                <w:noProof/>
              </w:rPr>
            </w:pPr>
            <w:r>
              <w:rPr>
                <w:b/>
                <w:noProof/>
              </w:rPr>
              <w:t>Vehicle sub-groups</w:t>
            </w:r>
          </w:p>
        </w:tc>
        <w:tc>
          <w:tcPr>
            <w:tcW w:w="3096" w:type="dxa"/>
          </w:tcPr>
          <w:p w:rsidR="003E180D" w:rsidRDefault="003E180D" w:rsidP="0088305C">
            <w:pPr>
              <w:spacing w:after="120"/>
              <w:jc w:val="center"/>
              <w:rPr>
                <w:b/>
                <w:noProof/>
              </w:rPr>
            </w:pPr>
            <w:r>
              <w:rPr>
                <w:b/>
                <w:noProof/>
              </w:rPr>
              <w:t>Regional delivery (RD)</w:t>
            </w:r>
          </w:p>
        </w:tc>
        <w:tc>
          <w:tcPr>
            <w:tcW w:w="3096" w:type="dxa"/>
          </w:tcPr>
          <w:p w:rsidR="003E180D" w:rsidRDefault="003E180D" w:rsidP="0088305C">
            <w:pPr>
              <w:spacing w:after="120"/>
              <w:jc w:val="center"/>
              <w:rPr>
                <w:b/>
                <w:noProof/>
              </w:rPr>
            </w:pPr>
            <w:r>
              <w:rPr>
                <w:b/>
                <w:noProof/>
              </w:rPr>
              <w:t>Long haul (LH)</w:t>
            </w:r>
          </w:p>
        </w:tc>
      </w:tr>
      <w:tr w:rsidR="003E180D" w:rsidTr="0088305C">
        <w:tc>
          <w:tcPr>
            <w:tcW w:w="3096" w:type="dxa"/>
          </w:tcPr>
          <w:p w:rsidR="003E180D" w:rsidRDefault="003E180D" w:rsidP="0088305C">
            <w:pPr>
              <w:spacing w:after="120"/>
              <w:rPr>
                <w:noProof/>
              </w:rPr>
            </w:pPr>
            <w:r>
              <w:rPr>
                <w:noProof/>
              </w:rPr>
              <w:t>4-RD, 5-RD, 9-RD, 10-RD</w:t>
            </w:r>
          </w:p>
        </w:tc>
        <w:tc>
          <w:tcPr>
            <w:tcW w:w="3096" w:type="dxa"/>
          </w:tcPr>
          <w:p w:rsidR="003E180D" w:rsidRDefault="003E180D" w:rsidP="0088305C">
            <w:pPr>
              <w:spacing w:after="120"/>
              <w:jc w:val="center"/>
              <w:rPr>
                <w:noProof/>
              </w:rPr>
            </w:pPr>
            <w:r>
              <w:rPr>
                <w:noProof/>
              </w:rPr>
              <w:t>90%</w:t>
            </w:r>
          </w:p>
        </w:tc>
        <w:tc>
          <w:tcPr>
            <w:tcW w:w="3096" w:type="dxa"/>
          </w:tcPr>
          <w:p w:rsidR="003E180D" w:rsidRDefault="003E180D" w:rsidP="0088305C">
            <w:pPr>
              <w:spacing w:after="120"/>
              <w:jc w:val="center"/>
              <w:rPr>
                <w:noProof/>
              </w:rPr>
            </w:pPr>
            <w:r>
              <w:rPr>
                <w:noProof/>
              </w:rPr>
              <w:t>10%</w:t>
            </w:r>
          </w:p>
        </w:tc>
      </w:tr>
      <w:tr w:rsidR="003E180D" w:rsidTr="0088305C">
        <w:tc>
          <w:tcPr>
            <w:tcW w:w="3096" w:type="dxa"/>
          </w:tcPr>
          <w:p w:rsidR="003E180D" w:rsidRDefault="003E180D" w:rsidP="0088305C">
            <w:pPr>
              <w:spacing w:after="120"/>
              <w:rPr>
                <w:noProof/>
              </w:rPr>
            </w:pPr>
            <w:r>
              <w:rPr>
                <w:noProof/>
              </w:rPr>
              <w:t>4-LH, 5-LH, 9-LH, 10-LH</w:t>
            </w:r>
          </w:p>
        </w:tc>
        <w:tc>
          <w:tcPr>
            <w:tcW w:w="3096" w:type="dxa"/>
          </w:tcPr>
          <w:p w:rsidR="003E180D" w:rsidRDefault="003E180D" w:rsidP="0088305C">
            <w:pPr>
              <w:spacing w:after="120"/>
              <w:jc w:val="center"/>
              <w:rPr>
                <w:noProof/>
              </w:rPr>
            </w:pPr>
            <w:r>
              <w:rPr>
                <w:noProof/>
              </w:rPr>
              <w:t>10%</w:t>
            </w:r>
          </w:p>
        </w:tc>
        <w:tc>
          <w:tcPr>
            <w:tcW w:w="3096" w:type="dxa"/>
          </w:tcPr>
          <w:p w:rsidR="003E180D" w:rsidRDefault="003E180D" w:rsidP="0088305C">
            <w:pPr>
              <w:spacing w:after="120"/>
              <w:jc w:val="center"/>
              <w:rPr>
                <w:noProof/>
              </w:rPr>
            </w:pPr>
            <w:r>
              <w:rPr>
                <w:noProof/>
              </w:rPr>
              <w:t>90%</w:t>
            </w:r>
          </w:p>
        </w:tc>
      </w:tr>
    </w:tbl>
    <w:p w:rsidR="003E180D" w:rsidRDefault="003E180D" w:rsidP="003E180D">
      <w:pPr>
        <w:spacing w:before="120" w:after="120" w:line="240" w:lineRule="auto"/>
        <w:jc w:val="both"/>
        <w:rPr>
          <w:noProof/>
        </w:rPr>
      </w:pPr>
      <w:r>
        <w:rPr>
          <w:noProof/>
        </w:rPr>
        <w:t xml:space="preserve">For separating the effects of loads (i.e. LL and RL) and driving patterns (i.e. RD and LH), the weights of the mission profiles in the sub-groups are represented as the product of the percentages in </w:t>
      </w:r>
      <w:r>
        <w:rPr>
          <w:rFonts w:cs="Times New Roman"/>
          <w:noProof/>
        </w:rPr>
        <w:fldChar w:fldCharType="begin"/>
      </w:r>
      <w:r>
        <w:rPr>
          <w:rFonts w:cs="Times New Roman"/>
          <w:noProof/>
        </w:rPr>
        <w:instrText xml:space="preserve"> REF _Ref507491210 \h  \* MERGEFORMAT </w:instrText>
      </w:r>
      <w:r>
        <w:rPr>
          <w:rFonts w:cs="Times New Roman"/>
          <w:noProof/>
        </w:rPr>
      </w:r>
      <w:r>
        <w:rPr>
          <w:noProof/>
        </w:rPr>
        <w:fldChar w:fldCharType="separate"/>
      </w:r>
      <w:r>
        <w:rPr>
          <w:rFonts w:cs="Times New Roman"/>
          <w:noProof/>
          <w:szCs w:val="24"/>
        </w:rPr>
        <w:t>Table 33</w:t>
      </w:r>
      <w:r>
        <w:rPr>
          <w:rFonts w:cs="Times New Roman"/>
          <w:noProof/>
        </w:rPr>
        <w:fldChar w:fldCharType="end"/>
      </w:r>
      <w:r>
        <w:rPr>
          <w:rFonts w:cs="Times New Roman"/>
          <w:noProof/>
        </w:rPr>
        <w:t xml:space="preserve"> </w:t>
      </w:r>
      <w:r>
        <w:rPr>
          <w:noProof/>
        </w:rPr>
        <w:t xml:space="preserve">and the weight of the "LL and RL type" mission profiles in the different groups. For this simplification, it was assumed that the relative shares of low load and reference load driving is the same for regional delivery and long haul missions: </w:t>
      </w:r>
    </w:p>
    <w:p w:rsidR="003E180D" w:rsidRDefault="003E180D" w:rsidP="003E180D">
      <w:pPr>
        <w:spacing w:after="120" w:line="240" w:lineRule="auto"/>
        <w:rPr>
          <w:rFonts w:cs="Times New Roman"/>
          <w:i/>
          <w:noProof/>
          <w:sz w:val="20"/>
          <w:szCs w:val="20"/>
        </w:rPr>
      </w:pPr>
      <w:r>
        <w:rPr>
          <w:rFonts w:cs="Times New Roman"/>
          <w:i/>
          <w:noProof/>
          <w:sz w:val="20"/>
          <w:szCs w:val="20"/>
        </w:rPr>
        <w:t>(weight of profile l-RD in sub-group g-RD) = 0,9 *(weight of profile l in group g)</w:t>
      </w:r>
    </w:p>
    <w:p w:rsidR="003E180D" w:rsidRDefault="003E180D" w:rsidP="003E180D">
      <w:pPr>
        <w:spacing w:after="120" w:line="240" w:lineRule="auto"/>
        <w:rPr>
          <w:rFonts w:cs="Times New Roman"/>
          <w:i/>
          <w:noProof/>
          <w:sz w:val="20"/>
          <w:szCs w:val="20"/>
        </w:rPr>
      </w:pPr>
      <w:r>
        <w:rPr>
          <w:rFonts w:cs="Times New Roman"/>
          <w:i/>
          <w:noProof/>
          <w:sz w:val="20"/>
          <w:szCs w:val="20"/>
        </w:rPr>
        <w:t>(weight of profile l-RD in sub-group g-LH) = 0,1 *(weight of profile l in group g)</w:t>
      </w:r>
    </w:p>
    <w:p w:rsidR="003E180D" w:rsidRDefault="003E180D" w:rsidP="003E180D">
      <w:pPr>
        <w:spacing w:after="120" w:line="240" w:lineRule="auto"/>
        <w:rPr>
          <w:rFonts w:cs="Times New Roman"/>
          <w:i/>
          <w:noProof/>
          <w:sz w:val="20"/>
          <w:szCs w:val="20"/>
        </w:rPr>
      </w:pPr>
      <w:r>
        <w:rPr>
          <w:rFonts w:cs="Times New Roman"/>
          <w:i/>
          <w:noProof/>
          <w:sz w:val="20"/>
          <w:szCs w:val="20"/>
        </w:rPr>
        <w:t>(weight of profile l-LH in sub-group g-RD) = 0,1 *(weight of profile l in group g)</w:t>
      </w:r>
    </w:p>
    <w:p w:rsidR="003E180D" w:rsidRDefault="003E180D" w:rsidP="003E180D">
      <w:pPr>
        <w:spacing w:after="120" w:line="240" w:lineRule="auto"/>
        <w:rPr>
          <w:rFonts w:cs="Times New Roman"/>
          <w:i/>
          <w:noProof/>
          <w:sz w:val="20"/>
          <w:szCs w:val="20"/>
        </w:rPr>
      </w:pPr>
      <w:r>
        <w:rPr>
          <w:rFonts w:cs="Times New Roman"/>
          <w:i/>
          <w:noProof/>
          <w:sz w:val="20"/>
          <w:szCs w:val="20"/>
        </w:rPr>
        <w:t>(weight of profile l-LH in sub-group g-LH)</w:t>
      </w:r>
      <w:r>
        <w:rPr>
          <w:rFonts w:cs="Times New Roman"/>
          <w:i/>
          <w:noProof/>
          <w:sz w:val="20"/>
          <w:szCs w:val="20"/>
          <w:vertAlign w:val="subscript"/>
        </w:rPr>
        <w:t xml:space="preserve"> </w:t>
      </w:r>
      <w:r>
        <w:rPr>
          <w:rFonts w:cs="Times New Roman"/>
          <w:i/>
          <w:noProof/>
          <w:sz w:val="20"/>
          <w:szCs w:val="20"/>
        </w:rPr>
        <w:t>= 0,9 *(weight of profile l in group g)</w:t>
      </w:r>
    </w:p>
    <w:p w:rsidR="003E180D" w:rsidRDefault="003E180D" w:rsidP="003E180D">
      <w:pPr>
        <w:spacing w:after="120" w:line="240" w:lineRule="auto"/>
        <w:rPr>
          <w:rFonts w:cs="Times New Roman"/>
          <w:i/>
          <w:noProof/>
          <w:sz w:val="20"/>
          <w:szCs w:val="20"/>
        </w:rPr>
      </w:pPr>
      <w:r>
        <w:rPr>
          <w:rFonts w:cs="Times New Roman"/>
          <w:i/>
          <w:noProof/>
          <w:sz w:val="20"/>
          <w:szCs w:val="20"/>
        </w:rPr>
        <w:t>with l = LL, RF and g = 4, 5, 9, 10</w:t>
      </w:r>
    </w:p>
    <w:p w:rsidR="003E180D" w:rsidRDefault="003E180D" w:rsidP="003E180D">
      <w:pPr>
        <w:tabs>
          <w:tab w:val="right" w:pos="8617"/>
        </w:tabs>
        <w:spacing w:after="120" w:line="240" w:lineRule="auto"/>
        <w:rPr>
          <w:b/>
          <w:noProof/>
          <w:sz w:val="20"/>
        </w:rPr>
      </w:pPr>
      <w:r>
        <w:rPr>
          <w:i/>
          <w:noProof/>
          <w:sz w:val="20"/>
        </w:rPr>
        <w:tab/>
      </w:r>
      <w:r>
        <w:rPr>
          <w:b/>
          <w:noProof/>
          <w:sz w:val="20"/>
        </w:rPr>
        <w:t>[equ. 12.2]</w:t>
      </w:r>
    </w:p>
    <w:p w:rsidR="003E180D" w:rsidRDefault="003E180D" w:rsidP="003E180D">
      <w:pPr>
        <w:spacing w:after="120" w:line="240" w:lineRule="auto"/>
        <w:jc w:val="both"/>
        <w:rPr>
          <w:noProof/>
        </w:rPr>
      </w:pPr>
      <w:r>
        <w:rPr>
          <w:noProof/>
        </w:rPr>
        <w:t xml:space="preserve">In the following the values for the parameters on the left hand side of [equ. 12.2] are determined by relating the average payloads of vehicle sub-groups, when calculated as weighted averages of emissions from the different mission profiles, to real driving emission values: </w:t>
      </w:r>
      <w:r>
        <w:rPr>
          <w:i/>
          <w:noProof/>
        </w:rPr>
        <w:t xml:space="preserve"> </w:t>
      </w:r>
      <w:r>
        <w:rPr>
          <w:noProof/>
        </w:rPr>
        <w:t xml:space="preserve"> </w:t>
      </w:r>
    </w:p>
    <w:p w:rsidR="003E180D" w:rsidRDefault="003E180D" w:rsidP="003E180D">
      <w:pPr>
        <w:spacing w:after="120" w:line="240" w:lineRule="auto"/>
        <w:rPr>
          <w:rFonts w:cs="Times New Roman"/>
          <w:i/>
          <w:noProof/>
          <w:sz w:val="20"/>
          <w:szCs w:val="20"/>
        </w:rPr>
      </w:pPr>
      <w:r>
        <w:rPr>
          <w:rFonts w:cs="Times New Roman"/>
          <w:i/>
          <w:noProof/>
          <w:sz w:val="20"/>
          <w:szCs w:val="20"/>
        </w:rPr>
        <w:t xml:space="preserve">(average payload of sub-group s) = </w:t>
      </w:r>
    </w:p>
    <w:p w:rsidR="003E180D" w:rsidRDefault="003E180D" w:rsidP="003E180D">
      <w:pPr>
        <w:spacing w:after="120" w:line="240" w:lineRule="auto"/>
        <w:rPr>
          <w:rFonts w:cs="Times New Roman"/>
          <w:i/>
          <w:noProof/>
          <w:sz w:val="20"/>
          <w:szCs w:val="20"/>
        </w:rPr>
      </w:pPr>
      <w:r>
        <w:rPr>
          <w:rFonts w:cs="Times New Roman"/>
          <w:i/>
          <w:noProof/>
          <w:sz w:val="20"/>
          <w:szCs w:val="20"/>
        </w:rPr>
        <w:t>∑</w:t>
      </w:r>
      <w:r>
        <w:rPr>
          <w:rFonts w:cs="Times New Roman"/>
          <w:i/>
          <w:noProof/>
          <w:sz w:val="20"/>
          <w:szCs w:val="20"/>
          <w:vertAlign w:val="subscript"/>
        </w:rPr>
        <w:t>p</w:t>
      </w:r>
      <w:r>
        <w:rPr>
          <w:rFonts w:cs="Times New Roman"/>
          <w:i/>
          <w:noProof/>
          <w:sz w:val="20"/>
          <w:szCs w:val="20"/>
        </w:rPr>
        <w:t xml:space="preserve"> (weight of mission profile p in sub-group s) * (payload of mission profile p in sub-group s) </w:t>
      </w:r>
    </w:p>
    <w:p w:rsidR="003E180D" w:rsidRDefault="003E180D" w:rsidP="003E180D">
      <w:pPr>
        <w:spacing w:after="120" w:line="240" w:lineRule="auto"/>
        <w:rPr>
          <w:rFonts w:cs="Times New Roman"/>
          <w:i/>
          <w:noProof/>
          <w:sz w:val="20"/>
          <w:szCs w:val="20"/>
        </w:rPr>
      </w:pPr>
      <w:r>
        <w:rPr>
          <w:rFonts w:cs="Times New Roman"/>
          <w:i/>
          <w:noProof/>
          <w:sz w:val="20"/>
          <w:szCs w:val="20"/>
        </w:rPr>
        <w:t xml:space="preserve">with p = LL-RD, RL-RD, LL-LH, RL-LH and </w:t>
      </w:r>
    </w:p>
    <w:p w:rsidR="003E180D" w:rsidRDefault="003E180D" w:rsidP="003E180D">
      <w:pPr>
        <w:spacing w:after="120" w:line="240" w:lineRule="auto"/>
        <w:rPr>
          <w:rFonts w:cs="Times New Roman"/>
          <w:noProof/>
          <w:sz w:val="20"/>
          <w:szCs w:val="20"/>
        </w:rPr>
      </w:pPr>
      <w:r>
        <w:rPr>
          <w:rFonts w:cs="Times New Roman"/>
          <w:noProof/>
          <w:sz w:val="20"/>
          <w:szCs w:val="20"/>
        </w:rPr>
        <w:t>s = 4-RD, 4-LH, 5-RD, 5-LH, 9-RD, 9-LH, 10-RD, 10-LH;</w:t>
      </w:r>
    </w:p>
    <w:p w:rsidR="003E180D" w:rsidRDefault="003E180D" w:rsidP="003E180D">
      <w:pPr>
        <w:tabs>
          <w:tab w:val="right" w:pos="8617"/>
        </w:tabs>
        <w:spacing w:after="120" w:line="240" w:lineRule="auto"/>
        <w:rPr>
          <w:noProof/>
          <w:sz w:val="20"/>
        </w:rPr>
      </w:pPr>
      <w:r>
        <w:rPr>
          <w:rFonts w:cs="Times New Roman"/>
          <w:noProof/>
          <w:sz w:val="20"/>
          <w:szCs w:val="20"/>
        </w:rPr>
        <w:t>(</w:t>
      </w:r>
      <w:r>
        <w:rPr>
          <w:rFonts w:cs="Times New Roman"/>
          <w:i/>
          <w:noProof/>
          <w:sz w:val="20"/>
          <w:szCs w:val="20"/>
        </w:rPr>
        <w:t xml:space="preserve">payload of mission profile p in sub-group s) </w:t>
      </w:r>
      <w:r>
        <w:rPr>
          <w:rFonts w:cs="Times New Roman"/>
          <w:noProof/>
          <w:sz w:val="20"/>
          <w:szCs w:val="20"/>
        </w:rPr>
        <w:t xml:space="preserve">as given in </w:t>
      </w:r>
      <w:r>
        <w:rPr>
          <w:rFonts w:cs="Times New Roman"/>
          <w:i/>
          <w:noProof/>
          <w:sz w:val="20"/>
          <w:szCs w:val="20"/>
        </w:rPr>
        <w:fldChar w:fldCharType="begin"/>
      </w:r>
      <w:r>
        <w:rPr>
          <w:rFonts w:cs="Times New Roman"/>
          <w:i/>
          <w:noProof/>
          <w:sz w:val="20"/>
          <w:szCs w:val="20"/>
        </w:rPr>
        <w:instrText xml:space="preserve"> REF _Ref507490779 \h  \* MERGEFORMAT </w:instrText>
      </w:r>
      <w:r>
        <w:rPr>
          <w:rFonts w:cs="Times New Roman"/>
          <w:i/>
          <w:noProof/>
          <w:sz w:val="20"/>
          <w:szCs w:val="20"/>
        </w:rPr>
      </w:r>
      <w:r>
        <w:rPr>
          <w:rFonts w:cs="Times New Roman"/>
          <w:i/>
          <w:noProof/>
          <w:sz w:val="20"/>
          <w:szCs w:val="20"/>
        </w:rPr>
        <w:fldChar w:fldCharType="separate"/>
      </w:r>
      <w:r>
        <w:rPr>
          <w:rFonts w:cs="Times New Roman"/>
          <w:i/>
          <w:noProof/>
          <w:sz w:val="20"/>
          <w:szCs w:val="20"/>
        </w:rPr>
        <w:t>Table 32</w:t>
      </w:r>
      <w:r>
        <w:rPr>
          <w:rFonts w:cs="Times New Roman"/>
          <w:i/>
          <w:noProof/>
          <w:sz w:val="20"/>
          <w:szCs w:val="20"/>
        </w:rPr>
        <w:fldChar w:fldCharType="end"/>
      </w:r>
      <w:r>
        <w:rPr>
          <w:i/>
          <w:noProof/>
          <w:sz w:val="20"/>
        </w:rPr>
        <w:t>.</w:t>
      </w:r>
      <w:r>
        <w:rPr>
          <w:i/>
          <w:noProof/>
          <w:sz w:val="20"/>
        </w:rPr>
        <w:tab/>
      </w:r>
      <w:r>
        <w:rPr>
          <w:b/>
          <w:noProof/>
          <w:sz w:val="20"/>
        </w:rPr>
        <w:t>[equ. 12.3]</w:t>
      </w:r>
    </w:p>
    <w:p w:rsidR="003E180D" w:rsidRDefault="003E180D" w:rsidP="003E180D">
      <w:pPr>
        <w:spacing w:after="120" w:line="240" w:lineRule="auto"/>
        <w:jc w:val="both"/>
        <w:rPr>
          <w:noProof/>
        </w:rPr>
      </w:pPr>
      <w:r>
        <w:rPr>
          <w:noProof/>
        </w:rPr>
        <w:t xml:space="preserve">The average payloads of the sub-groups have been determined by Commission contractors analysing operational data of vehicles as well as information from literature. From the empirical information available, vehicles could not be linked to a predominant regional delivery or long haul use. Therefore, for solving [equ. 12.3], it has been assumed that all vehicles in a certain group (g = 4, 5, 9, 10) belong to the statistically predominant sub-group within this group (i.e. 4-RD, 5-LH, 9-RD, 10-LH). </w:t>
      </w:r>
    </w:p>
    <w:p w:rsidR="003E180D" w:rsidRDefault="003E180D" w:rsidP="003E180D">
      <w:pPr>
        <w:spacing w:after="120" w:line="240" w:lineRule="auto"/>
        <w:jc w:val="both"/>
        <w:rPr>
          <w:noProof/>
        </w:rPr>
      </w:pPr>
      <w:r>
        <w:rPr>
          <w:noProof/>
        </w:rPr>
        <w:t xml:space="preserve">Inserting [equ. 12.2] into [equ. 12.3] results in four conditions with four free parameters, from which the </w:t>
      </w:r>
      <w:r>
        <w:rPr>
          <w:i/>
          <w:noProof/>
        </w:rPr>
        <w:t xml:space="preserve">(weights of profile l in group g) </w:t>
      </w:r>
      <w:r>
        <w:rPr>
          <w:noProof/>
        </w:rPr>
        <w:t>of [equ. 12.2] can be uniquely determined, as shown in the table below:</w:t>
      </w:r>
    </w:p>
    <w:p w:rsidR="003E180D" w:rsidRDefault="003E180D" w:rsidP="003E180D">
      <w:pPr>
        <w:suppressAutoHyphens/>
        <w:spacing w:before="240" w:line="240" w:lineRule="auto"/>
        <w:jc w:val="both"/>
        <w:rPr>
          <w:rFonts w:eastAsia="Times New Roman"/>
          <w:b/>
          <w:noProof/>
          <w:lang w:eastAsia="en-GB"/>
        </w:rPr>
      </w:pPr>
      <w:r>
        <w:rPr>
          <w:rFonts w:cs="Times New Roman"/>
          <w:b/>
          <w:noProof/>
          <w:szCs w:val="24"/>
        </w:rPr>
        <w:t xml:space="preserve">Table </w:t>
      </w:r>
      <w:r>
        <w:rPr>
          <w:rFonts w:cs="Times New Roman"/>
          <w:b/>
          <w:noProof/>
          <w:szCs w:val="24"/>
        </w:rPr>
        <w:fldChar w:fldCharType="begin"/>
      </w:r>
      <w:r>
        <w:rPr>
          <w:rFonts w:cs="Times New Roman"/>
          <w:b/>
          <w:noProof/>
          <w:szCs w:val="24"/>
        </w:rPr>
        <w:instrText xml:space="preserve"> SEQ Table \* ARABIC </w:instrText>
      </w:r>
      <w:r>
        <w:rPr>
          <w:b/>
          <w:noProof/>
        </w:rPr>
        <w:fldChar w:fldCharType="separate"/>
      </w:r>
      <w:r>
        <w:rPr>
          <w:rFonts w:cs="Times New Roman"/>
          <w:b/>
          <w:noProof/>
          <w:szCs w:val="24"/>
        </w:rPr>
        <w:t>34</w:t>
      </w:r>
      <w:r>
        <w:rPr>
          <w:rFonts w:cs="Times New Roman"/>
          <w:b/>
          <w:noProof/>
          <w:szCs w:val="24"/>
        </w:rPr>
        <w:fldChar w:fldCharType="end"/>
      </w:r>
      <w:r>
        <w:rPr>
          <w:rFonts w:cs="Times New Roman"/>
          <w:b/>
          <w:noProof/>
          <w:szCs w:val="24"/>
        </w:rPr>
        <w:t xml:space="preserve">: </w:t>
      </w:r>
      <w:r>
        <w:rPr>
          <w:rFonts w:eastAsia="Times New Roman"/>
          <w:b/>
          <w:noProof/>
          <w:lang w:eastAsia="en-GB"/>
        </w:rPr>
        <w:t xml:space="preserve">Weightings of profile types l = LL, RL in the different vehicle groups g </w:t>
      </w:r>
    </w:p>
    <w:tbl>
      <w:tblPr>
        <w:tblStyle w:val="TableGrid"/>
        <w:tblW w:w="0" w:type="auto"/>
        <w:tblLook w:val="04A0" w:firstRow="1" w:lastRow="0" w:firstColumn="1" w:lastColumn="0" w:noHBand="0" w:noVBand="1"/>
      </w:tblPr>
      <w:tblGrid>
        <w:gridCol w:w="2408"/>
        <w:gridCol w:w="3209"/>
        <w:gridCol w:w="3216"/>
      </w:tblGrid>
      <w:tr w:rsidR="003E180D" w:rsidTr="0088305C">
        <w:tc>
          <w:tcPr>
            <w:tcW w:w="2518" w:type="dxa"/>
          </w:tcPr>
          <w:p w:rsidR="003E180D" w:rsidRDefault="003E180D" w:rsidP="0088305C">
            <w:pPr>
              <w:rPr>
                <w:b/>
                <w:noProof/>
              </w:rPr>
            </w:pPr>
            <w:r>
              <w:rPr>
                <w:b/>
                <w:noProof/>
              </w:rPr>
              <w:t>Vehicle group (g)</w:t>
            </w:r>
          </w:p>
        </w:tc>
        <w:tc>
          <w:tcPr>
            <w:tcW w:w="3402" w:type="dxa"/>
          </w:tcPr>
          <w:p w:rsidR="003E180D" w:rsidRDefault="003E180D" w:rsidP="0088305C">
            <w:pPr>
              <w:jc w:val="center"/>
              <w:rPr>
                <w:b/>
                <w:noProof/>
              </w:rPr>
            </w:pPr>
            <w:r>
              <w:rPr>
                <w:b/>
                <w:noProof/>
              </w:rPr>
              <w:t>l = Low load (LL)</w:t>
            </w:r>
          </w:p>
        </w:tc>
        <w:tc>
          <w:tcPr>
            <w:tcW w:w="3368" w:type="dxa"/>
          </w:tcPr>
          <w:p w:rsidR="003E180D" w:rsidRDefault="003E180D" w:rsidP="0088305C">
            <w:pPr>
              <w:jc w:val="center"/>
              <w:rPr>
                <w:b/>
                <w:noProof/>
              </w:rPr>
            </w:pPr>
            <w:r>
              <w:rPr>
                <w:b/>
                <w:noProof/>
              </w:rPr>
              <w:t>l = Reference load (RL)</w:t>
            </w:r>
          </w:p>
        </w:tc>
      </w:tr>
      <w:tr w:rsidR="003E180D" w:rsidTr="0088305C">
        <w:tc>
          <w:tcPr>
            <w:tcW w:w="2518" w:type="dxa"/>
          </w:tcPr>
          <w:p w:rsidR="003E180D" w:rsidRDefault="003E180D" w:rsidP="0088305C">
            <w:pPr>
              <w:rPr>
                <w:b/>
                <w:noProof/>
              </w:rPr>
            </w:pPr>
            <w:r>
              <w:rPr>
                <w:b/>
                <w:noProof/>
              </w:rPr>
              <w:t>4</w:t>
            </w:r>
          </w:p>
        </w:tc>
        <w:tc>
          <w:tcPr>
            <w:tcW w:w="3402" w:type="dxa"/>
          </w:tcPr>
          <w:p w:rsidR="003E180D" w:rsidRDefault="003E180D" w:rsidP="0088305C">
            <w:pPr>
              <w:jc w:val="center"/>
              <w:rPr>
                <w:noProof/>
              </w:rPr>
            </w:pPr>
            <w:r>
              <w:rPr>
                <w:noProof/>
              </w:rPr>
              <w:t>0.5</w:t>
            </w:r>
          </w:p>
        </w:tc>
        <w:tc>
          <w:tcPr>
            <w:tcW w:w="3368" w:type="dxa"/>
          </w:tcPr>
          <w:p w:rsidR="003E180D" w:rsidRDefault="003E180D" w:rsidP="0088305C">
            <w:pPr>
              <w:jc w:val="center"/>
              <w:rPr>
                <w:noProof/>
              </w:rPr>
            </w:pPr>
            <w:r>
              <w:rPr>
                <w:noProof/>
              </w:rPr>
              <w:t>0.5</w:t>
            </w:r>
          </w:p>
        </w:tc>
      </w:tr>
      <w:tr w:rsidR="003E180D" w:rsidTr="0088305C">
        <w:tc>
          <w:tcPr>
            <w:tcW w:w="2518" w:type="dxa"/>
          </w:tcPr>
          <w:p w:rsidR="003E180D" w:rsidRDefault="003E180D" w:rsidP="0088305C">
            <w:pPr>
              <w:rPr>
                <w:b/>
                <w:noProof/>
              </w:rPr>
            </w:pPr>
            <w:r>
              <w:rPr>
                <w:b/>
                <w:noProof/>
              </w:rPr>
              <w:t>5</w:t>
            </w:r>
          </w:p>
        </w:tc>
        <w:tc>
          <w:tcPr>
            <w:tcW w:w="3402" w:type="dxa"/>
          </w:tcPr>
          <w:p w:rsidR="003E180D" w:rsidRDefault="003E180D" w:rsidP="0088305C">
            <w:pPr>
              <w:jc w:val="center"/>
              <w:rPr>
                <w:noProof/>
              </w:rPr>
            </w:pPr>
            <w:r>
              <w:rPr>
                <w:noProof/>
              </w:rPr>
              <w:t>0.3</w:t>
            </w:r>
          </w:p>
        </w:tc>
        <w:tc>
          <w:tcPr>
            <w:tcW w:w="3368" w:type="dxa"/>
          </w:tcPr>
          <w:p w:rsidR="003E180D" w:rsidRDefault="003E180D" w:rsidP="0088305C">
            <w:pPr>
              <w:jc w:val="center"/>
              <w:rPr>
                <w:noProof/>
              </w:rPr>
            </w:pPr>
            <w:r>
              <w:rPr>
                <w:noProof/>
              </w:rPr>
              <w:t>0.7</w:t>
            </w:r>
          </w:p>
        </w:tc>
      </w:tr>
      <w:tr w:rsidR="003E180D" w:rsidTr="0088305C">
        <w:tc>
          <w:tcPr>
            <w:tcW w:w="2518" w:type="dxa"/>
          </w:tcPr>
          <w:p w:rsidR="003E180D" w:rsidRDefault="003E180D" w:rsidP="0088305C">
            <w:pPr>
              <w:rPr>
                <w:b/>
                <w:noProof/>
              </w:rPr>
            </w:pPr>
            <w:r>
              <w:rPr>
                <w:b/>
                <w:noProof/>
              </w:rPr>
              <w:t xml:space="preserve">9 </w:t>
            </w:r>
          </w:p>
        </w:tc>
        <w:tc>
          <w:tcPr>
            <w:tcW w:w="3402" w:type="dxa"/>
          </w:tcPr>
          <w:p w:rsidR="003E180D" w:rsidRDefault="003E180D" w:rsidP="0088305C">
            <w:pPr>
              <w:jc w:val="center"/>
              <w:rPr>
                <w:noProof/>
              </w:rPr>
            </w:pPr>
            <w:r>
              <w:rPr>
                <w:noProof/>
              </w:rPr>
              <w:t>0.3</w:t>
            </w:r>
          </w:p>
        </w:tc>
        <w:tc>
          <w:tcPr>
            <w:tcW w:w="3368" w:type="dxa"/>
          </w:tcPr>
          <w:p w:rsidR="003E180D" w:rsidRDefault="003E180D" w:rsidP="0088305C">
            <w:pPr>
              <w:jc w:val="center"/>
              <w:rPr>
                <w:noProof/>
              </w:rPr>
            </w:pPr>
            <w:r>
              <w:rPr>
                <w:noProof/>
              </w:rPr>
              <w:t>0.7</w:t>
            </w:r>
          </w:p>
        </w:tc>
      </w:tr>
      <w:tr w:rsidR="003E180D" w:rsidTr="0088305C">
        <w:tc>
          <w:tcPr>
            <w:tcW w:w="2518" w:type="dxa"/>
          </w:tcPr>
          <w:p w:rsidR="003E180D" w:rsidRDefault="003E180D" w:rsidP="0088305C">
            <w:pPr>
              <w:rPr>
                <w:b/>
                <w:noProof/>
              </w:rPr>
            </w:pPr>
            <w:r>
              <w:rPr>
                <w:b/>
                <w:noProof/>
              </w:rPr>
              <w:t>10</w:t>
            </w:r>
          </w:p>
        </w:tc>
        <w:tc>
          <w:tcPr>
            <w:tcW w:w="3402" w:type="dxa"/>
          </w:tcPr>
          <w:p w:rsidR="003E180D" w:rsidRDefault="003E180D" w:rsidP="0088305C">
            <w:pPr>
              <w:jc w:val="center"/>
              <w:rPr>
                <w:noProof/>
              </w:rPr>
            </w:pPr>
            <w:r>
              <w:rPr>
                <w:noProof/>
              </w:rPr>
              <w:t>0.3</w:t>
            </w:r>
          </w:p>
        </w:tc>
        <w:tc>
          <w:tcPr>
            <w:tcW w:w="3368" w:type="dxa"/>
          </w:tcPr>
          <w:p w:rsidR="003E180D" w:rsidRDefault="003E180D" w:rsidP="0088305C">
            <w:pPr>
              <w:jc w:val="center"/>
              <w:rPr>
                <w:noProof/>
              </w:rPr>
            </w:pPr>
            <w:r>
              <w:rPr>
                <w:noProof/>
              </w:rPr>
              <w:t>0.7</w:t>
            </w:r>
          </w:p>
        </w:tc>
      </w:tr>
    </w:tbl>
    <w:p w:rsidR="003E180D" w:rsidRDefault="003E180D" w:rsidP="003E180D">
      <w:pPr>
        <w:spacing w:after="0"/>
        <w:rPr>
          <w:rFonts w:cs="Times New Roman"/>
          <w:noProof/>
        </w:rPr>
      </w:pPr>
    </w:p>
    <w:p w:rsidR="003E180D" w:rsidRDefault="003E180D" w:rsidP="003E180D">
      <w:pPr>
        <w:spacing w:after="120" w:line="240" w:lineRule="auto"/>
        <w:jc w:val="both"/>
        <w:rPr>
          <w:noProof/>
        </w:rPr>
      </w:pPr>
      <w:r>
        <w:rPr>
          <w:noProof/>
        </w:rPr>
        <w:t>With [equ. 12.2] one can then calculate the following weightings for mission profiles</w:t>
      </w:r>
      <w:r>
        <w:rPr>
          <w:rFonts w:cs="Times New Roman"/>
          <w:noProof/>
        </w:rPr>
        <w:t>.</w:t>
      </w:r>
    </w:p>
    <w:p w:rsidR="003E180D" w:rsidRDefault="003E180D" w:rsidP="003E180D">
      <w:pPr>
        <w:suppressAutoHyphens/>
        <w:spacing w:before="240" w:line="240" w:lineRule="auto"/>
        <w:jc w:val="both"/>
        <w:rPr>
          <w:rFonts w:eastAsia="Times New Roman"/>
          <w:b/>
          <w:noProof/>
          <w:lang w:eastAsia="en-GB"/>
        </w:rPr>
      </w:pPr>
      <w:r>
        <w:rPr>
          <w:rFonts w:cs="Times New Roman"/>
          <w:b/>
          <w:noProof/>
          <w:szCs w:val="24"/>
        </w:rPr>
        <w:t xml:space="preserve">Table </w:t>
      </w:r>
      <w:r>
        <w:rPr>
          <w:rFonts w:cs="Times New Roman"/>
          <w:b/>
          <w:noProof/>
          <w:szCs w:val="24"/>
        </w:rPr>
        <w:fldChar w:fldCharType="begin"/>
      </w:r>
      <w:r>
        <w:rPr>
          <w:rFonts w:cs="Times New Roman"/>
          <w:b/>
          <w:noProof/>
          <w:szCs w:val="24"/>
        </w:rPr>
        <w:instrText xml:space="preserve"> SEQ Table \* ARABIC </w:instrText>
      </w:r>
      <w:r>
        <w:rPr>
          <w:b/>
          <w:noProof/>
        </w:rPr>
        <w:fldChar w:fldCharType="separate"/>
      </w:r>
      <w:r>
        <w:rPr>
          <w:rFonts w:cs="Times New Roman"/>
          <w:b/>
          <w:noProof/>
          <w:szCs w:val="24"/>
        </w:rPr>
        <w:t>35</w:t>
      </w:r>
      <w:r>
        <w:rPr>
          <w:rFonts w:cs="Times New Roman"/>
          <w:b/>
          <w:noProof/>
          <w:szCs w:val="24"/>
        </w:rPr>
        <w:fldChar w:fldCharType="end"/>
      </w:r>
      <w:r>
        <w:rPr>
          <w:rFonts w:cs="Times New Roman"/>
          <w:b/>
          <w:noProof/>
          <w:szCs w:val="24"/>
        </w:rPr>
        <w:t xml:space="preserve">: </w:t>
      </w:r>
      <w:r>
        <w:rPr>
          <w:rFonts w:eastAsia="Times New Roman"/>
          <w:b/>
          <w:noProof/>
          <w:lang w:eastAsia="en-GB"/>
        </w:rPr>
        <w:t>Weighting of mission profiles in the different vehicle sub-groups</w:t>
      </w:r>
    </w:p>
    <w:tbl>
      <w:tblPr>
        <w:tblStyle w:val="TableGrid"/>
        <w:tblW w:w="0" w:type="auto"/>
        <w:tblLook w:val="04A0" w:firstRow="1" w:lastRow="0" w:firstColumn="1" w:lastColumn="0" w:noHBand="0" w:noVBand="1"/>
      </w:tblPr>
      <w:tblGrid>
        <w:gridCol w:w="1778"/>
        <w:gridCol w:w="1763"/>
        <w:gridCol w:w="1764"/>
        <w:gridCol w:w="1764"/>
        <w:gridCol w:w="1764"/>
      </w:tblGrid>
      <w:tr w:rsidR="003E180D" w:rsidTr="0088305C">
        <w:tc>
          <w:tcPr>
            <w:tcW w:w="1857" w:type="dxa"/>
          </w:tcPr>
          <w:p w:rsidR="003E180D" w:rsidRDefault="003E180D" w:rsidP="0088305C">
            <w:pPr>
              <w:rPr>
                <w:b/>
                <w:noProof/>
              </w:rPr>
            </w:pPr>
            <w:r>
              <w:rPr>
                <w:b/>
                <w:noProof/>
                <w:szCs w:val="24"/>
              </w:rPr>
              <w:t>Sub-group (s)</w:t>
            </w:r>
          </w:p>
        </w:tc>
        <w:tc>
          <w:tcPr>
            <w:tcW w:w="1857" w:type="dxa"/>
          </w:tcPr>
          <w:p w:rsidR="003E180D" w:rsidRDefault="003E180D" w:rsidP="0088305C">
            <w:pPr>
              <w:jc w:val="center"/>
              <w:rPr>
                <w:b/>
                <w:noProof/>
              </w:rPr>
            </w:pPr>
            <w:r>
              <w:rPr>
                <w:b/>
                <w:noProof/>
              </w:rPr>
              <w:t>LL-RD</w:t>
            </w:r>
          </w:p>
        </w:tc>
        <w:tc>
          <w:tcPr>
            <w:tcW w:w="1858" w:type="dxa"/>
          </w:tcPr>
          <w:p w:rsidR="003E180D" w:rsidRDefault="003E180D" w:rsidP="0088305C">
            <w:pPr>
              <w:jc w:val="center"/>
              <w:rPr>
                <w:b/>
                <w:noProof/>
              </w:rPr>
            </w:pPr>
            <w:r>
              <w:rPr>
                <w:b/>
                <w:noProof/>
              </w:rPr>
              <w:t>RL-RD</w:t>
            </w:r>
          </w:p>
        </w:tc>
        <w:tc>
          <w:tcPr>
            <w:tcW w:w="1858" w:type="dxa"/>
          </w:tcPr>
          <w:p w:rsidR="003E180D" w:rsidRDefault="003E180D" w:rsidP="0088305C">
            <w:pPr>
              <w:jc w:val="center"/>
              <w:rPr>
                <w:b/>
                <w:noProof/>
              </w:rPr>
            </w:pPr>
            <w:r>
              <w:rPr>
                <w:b/>
                <w:noProof/>
              </w:rPr>
              <w:t>LL-LH</w:t>
            </w:r>
          </w:p>
        </w:tc>
        <w:tc>
          <w:tcPr>
            <w:tcW w:w="1858" w:type="dxa"/>
          </w:tcPr>
          <w:p w:rsidR="003E180D" w:rsidRDefault="003E180D" w:rsidP="0088305C">
            <w:pPr>
              <w:jc w:val="center"/>
              <w:rPr>
                <w:b/>
                <w:noProof/>
              </w:rPr>
            </w:pPr>
            <w:r>
              <w:rPr>
                <w:b/>
                <w:noProof/>
              </w:rPr>
              <w:t>RL-LH</w:t>
            </w:r>
          </w:p>
        </w:tc>
      </w:tr>
      <w:tr w:rsidR="003E180D" w:rsidTr="0088305C">
        <w:tc>
          <w:tcPr>
            <w:tcW w:w="1857" w:type="dxa"/>
          </w:tcPr>
          <w:p w:rsidR="003E180D" w:rsidRDefault="003E180D" w:rsidP="0088305C">
            <w:pPr>
              <w:rPr>
                <w:b/>
                <w:noProof/>
              </w:rPr>
            </w:pPr>
            <w:r>
              <w:rPr>
                <w:b/>
                <w:noProof/>
              </w:rPr>
              <w:t xml:space="preserve"> 4-RD</w:t>
            </w:r>
          </w:p>
        </w:tc>
        <w:tc>
          <w:tcPr>
            <w:tcW w:w="1857" w:type="dxa"/>
          </w:tcPr>
          <w:p w:rsidR="003E180D" w:rsidRDefault="003E180D" w:rsidP="0088305C">
            <w:pPr>
              <w:jc w:val="center"/>
              <w:rPr>
                <w:noProof/>
              </w:rPr>
            </w:pPr>
            <w:r>
              <w:rPr>
                <w:noProof/>
              </w:rPr>
              <w:t>0</w:t>
            </w:r>
            <w:r>
              <w:rPr>
                <w:noProof/>
                <w:szCs w:val="24"/>
              </w:rPr>
              <w:t>.</w:t>
            </w:r>
            <w:r>
              <w:rPr>
                <w:noProof/>
              </w:rPr>
              <w:t>45</w:t>
            </w:r>
          </w:p>
        </w:tc>
        <w:tc>
          <w:tcPr>
            <w:tcW w:w="1858" w:type="dxa"/>
          </w:tcPr>
          <w:p w:rsidR="003E180D" w:rsidRDefault="003E180D" w:rsidP="0088305C">
            <w:pPr>
              <w:jc w:val="center"/>
              <w:rPr>
                <w:noProof/>
              </w:rPr>
            </w:pPr>
            <w:r>
              <w:rPr>
                <w:noProof/>
              </w:rPr>
              <w:t>0</w:t>
            </w:r>
            <w:r>
              <w:rPr>
                <w:noProof/>
                <w:szCs w:val="24"/>
              </w:rPr>
              <w:t>.</w:t>
            </w:r>
            <w:r>
              <w:rPr>
                <w:noProof/>
              </w:rPr>
              <w:t>45</w:t>
            </w:r>
          </w:p>
        </w:tc>
        <w:tc>
          <w:tcPr>
            <w:tcW w:w="1858" w:type="dxa"/>
          </w:tcPr>
          <w:p w:rsidR="003E180D" w:rsidRDefault="003E180D" w:rsidP="0088305C">
            <w:pPr>
              <w:jc w:val="center"/>
              <w:rPr>
                <w:noProof/>
              </w:rPr>
            </w:pPr>
            <w:r>
              <w:rPr>
                <w:noProof/>
              </w:rPr>
              <w:t>0</w:t>
            </w:r>
            <w:r>
              <w:rPr>
                <w:noProof/>
                <w:szCs w:val="24"/>
              </w:rPr>
              <w:t>.</w:t>
            </w:r>
            <w:r>
              <w:rPr>
                <w:noProof/>
              </w:rPr>
              <w:t>05</w:t>
            </w:r>
          </w:p>
        </w:tc>
        <w:tc>
          <w:tcPr>
            <w:tcW w:w="1858" w:type="dxa"/>
          </w:tcPr>
          <w:p w:rsidR="003E180D" w:rsidRDefault="003E180D" w:rsidP="0088305C">
            <w:pPr>
              <w:jc w:val="center"/>
              <w:rPr>
                <w:noProof/>
              </w:rPr>
            </w:pPr>
            <w:r>
              <w:rPr>
                <w:noProof/>
              </w:rPr>
              <w:t>0</w:t>
            </w:r>
            <w:r>
              <w:rPr>
                <w:noProof/>
                <w:szCs w:val="24"/>
              </w:rPr>
              <w:t>.</w:t>
            </w:r>
            <w:r>
              <w:rPr>
                <w:noProof/>
              </w:rPr>
              <w:t>05</w:t>
            </w:r>
          </w:p>
        </w:tc>
      </w:tr>
      <w:tr w:rsidR="003E180D" w:rsidTr="0088305C">
        <w:tc>
          <w:tcPr>
            <w:tcW w:w="1857" w:type="dxa"/>
          </w:tcPr>
          <w:p w:rsidR="003E180D" w:rsidRDefault="003E180D" w:rsidP="0088305C">
            <w:pPr>
              <w:rPr>
                <w:b/>
                <w:noProof/>
              </w:rPr>
            </w:pPr>
            <w:r>
              <w:rPr>
                <w:b/>
                <w:noProof/>
              </w:rPr>
              <w:t xml:space="preserve"> 4-LH</w:t>
            </w:r>
          </w:p>
        </w:tc>
        <w:tc>
          <w:tcPr>
            <w:tcW w:w="1857" w:type="dxa"/>
          </w:tcPr>
          <w:p w:rsidR="003E180D" w:rsidRDefault="003E180D" w:rsidP="0088305C">
            <w:pPr>
              <w:jc w:val="center"/>
              <w:rPr>
                <w:noProof/>
              </w:rPr>
            </w:pPr>
            <w:r>
              <w:rPr>
                <w:noProof/>
              </w:rPr>
              <w:t>0</w:t>
            </w:r>
            <w:r>
              <w:rPr>
                <w:noProof/>
                <w:szCs w:val="24"/>
              </w:rPr>
              <w:t>.</w:t>
            </w:r>
            <w:r>
              <w:rPr>
                <w:noProof/>
              </w:rPr>
              <w:t>05</w:t>
            </w:r>
          </w:p>
        </w:tc>
        <w:tc>
          <w:tcPr>
            <w:tcW w:w="1858" w:type="dxa"/>
          </w:tcPr>
          <w:p w:rsidR="003E180D" w:rsidRDefault="003E180D" w:rsidP="0088305C">
            <w:pPr>
              <w:jc w:val="center"/>
              <w:rPr>
                <w:noProof/>
              </w:rPr>
            </w:pPr>
            <w:r>
              <w:rPr>
                <w:noProof/>
              </w:rPr>
              <w:t>0</w:t>
            </w:r>
            <w:r>
              <w:rPr>
                <w:noProof/>
                <w:szCs w:val="24"/>
              </w:rPr>
              <w:t>.</w:t>
            </w:r>
            <w:r>
              <w:rPr>
                <w:noProof/>
              </w:rPr>
              <w:t>05</w:t>
            </w:r>
          </w:p>
        </w:tc>
        <w:tc>
          <w:tcPr>
            <w:tcW w:w="1858" w:type="dxa"/>
          </w:tcPr>
          <w:p w:rsidR="003E180D" w:rsidRDefault="003E180D" w:rsidP="0088305C">
            <w:pPr>
              <w:jc w:val="center"/>
              <w:rPr>
                <w:noProof/>
              </w:rPr>
            </w:pPr>
            <w:r>
              <w:rPr>
                <w:noProof/>
              </w:rPr>
              <w:t>0</w:t>
            </w:r>
            <w:r>
              <w:rPr>
                <w:noProof/>
                <w:szCs w:val="24"/>
              </w:rPr>
              <w:t>.</w:t>
            </w:r>
            <w:r>
              <w:rPr>
                <w:noProof/>
              </w:rPr>
              <w:t>45</w:t>
            </w:r>
          </w:p>
        </w:tc>
        <w:tc>
          <w:tcPr>
            <w:tcW w:w="1858" w:type="dxa"/>
          </w:tcPr>
          <w:p w:rsidR="003E180D" w:rsidRDefault="003E180D" w:rsidP="0088305C">
            <w:pPr>
              <w:jc w:val="center"/>
              <w:rPr>
                <w:noProof/>
              </w:rPr>
            </w:pPr>
            <w:r>
              <w:rPr>
                <w:noProof/>
              </w:rPr>
              <w:t>0</w:t>
            </w:r>
            <w:r>
              <w:rPr>
                <w:noProof/>
                <w:szCs w:val="24"/>
              </w:rPr>
              <w:t>.</w:t>
            </w:r>
            <w:r>
              <w:rPr>
                <w:noProof/>
              </w:rPr>
              <w:t>45</w:t>
            </w:r>
          </w:p>
        </w:tc>
      </w:tr>
      <w:tr w:rsidR="003E180D" w:rsidTr="0088305C">
        <w:tc>
          <w:tcPr>
            <w:tcW w:w="1857" w:type="dxa"/>
          </w:tcPr>
          <w:p w:rsidR="003E180D" w:rsidRDefault="003E180D" w:rsidP="0088305C">
            <w:pPr>
              <w:rPr>
                <w:b/>
                <w:noProof/>
              </w:rPr>
            </w:pPr>
            <w:r>
              <w:rPr>
                <w:b/>
                <w:noProof/>
              </w:rPr>
              <w:t xml:space="preserve"> 5-RD</w:t>
            </w:r>
          </w:p>
        </w:tc>
        <w:tc>
          <w:tcPr>
            <w:tcW w:w="1857" w:type="dxa"/>
          </w:tcPr>
          <w:p w:rsidR="003E180D" w:rsidRDefault="003E180D" w:rsidP="0088305C">
            <w:pPr>
              <w:jc w:val="center"/>
              <w:rPr>
                <w:noProof/>
              </w:rPr>
            </w:pPr>
            <w:r>
              <w:rPr>
                <w:noProof/>
              </w:rPr>
              <w:t>0</w:t>
            </w:r>
            <w:r>
              <w:rPr>
                <w:noProof/>
                <w:szCs w:val="24"/>
              </w:rPr>
              <w:t>.</w:t>
            </w:r>
            <w:r>
              <w:rPr>
                <w:noProof/>
              </w:rPr>
              <w:t>27</w:t>
            </w:r>
          </w:p>
        </w:tc>
        <w:tc>
          <w:tcPr>
            <w:tcW w:w="1858" w:type="dxa"/>
          </w:tcPr>
          <w:p w:rsidR="003E180D" w:rsidRDefault="003E180D" w:rsidP="0088305C">
            <w:pPr>
              <w:jc w:val="center"/>
              <w:rPr>
                <w:noProof/>
              </w:rPr>
            </w:pPr>
            <w:r>
              <w:rPr>
                <w:noProof/>
              </w:rPr>
              <w:t>0</w:t>
            </w:r>
            <w:r>
              <w:rPr>
                <w:noProof/>
                <w:szCs w:val="24"/>
              </w:rPr>
              <w:t>.</w:t>
            </w:r>
            <w:r>
              <w:rPr>
                <w:noProof/>
              </w:rPr>
              <w:t>63</w:t>
            </w:r>
          </w:p>
        </w:tc>
        <w:tc>
          <w:tcPr>
            <w:tcW w:w="1858" w:type="dxa"/>
          </w:tcPr>
          <w:p w:rsidR="003E180D" w:rsidRDefault="003E180D" w:rsidP="0088305C">
            <w:pPr>
              <w:jc w:val="center"/>
              <w:rPr>
                <w:noProof/>
              </w:rPr>
            </w:pPr>
            <w:r>
              <w:rPr>
                <w:noProof/>
              </w:rPr>
              <w:t>0</w:t>
            </w:r>
            <w:r>
              <w:rPr>
                <w:noProof/>
                <w:szCs w:val="24"/>
              </w:rPr>
              <w:t>.</w:t>
            </w:r>
            <w:r>
              <w:rPr>
                <w:noProof/>
              </w:rPr>
              <w:t>03</w:t>
            </w:r>
          </w:p>
        </w:tc>
        <w:tc>
          <w:tcPr>
            <w:tcW w:w="1858" w:type="dxa"/>
          </w:tcPr>
          <w:p w:rsidR="003E180D" w:rsidRDefault="003E180D" w:rsidP="0088305C">
            <w:pPr>
              <w:jc w:val="center"/>
              <w:rPr>
                <w:noProof/>
              </w:rPr>
            </w:pPr>
            <w:r>
              <w:rPr>
                <w:noProof/>
              </w:rPr>
              <w:t>0</w:t>
            </w:r>
            <w:r>
              <w:rPr>
                <w:noProof/>
                <w:szCs w:val="24"/>
              </w:rPr>
              <w:t>.</w:t>
            </w:r>
            <w:r>
              <w:rPr>
                <w:noProof/>
              </w:rPr>
              <w:t>07</w:t>
            </w:r>
          </w:p>
        </w:tc>
      </w:tr>
      <w:tr w:rsidR="003E180D" w:rsidTr="0088305C">
        <w:tc>
          <w:tcPr>
            <w:tcW w:w="1857" w:type="dxa"/>
          </w:tcPr>
          <w:p w:rsidR="003E180D" w:rsidRDefault="003E180D" w:rsidP="0088305C">
            <w:pPr>
              <w:rPr>
                <w:b/>
                <w:noProof/>
              </w:rPr>
            </w:pPr>
            <w:r>
              <w:rPr>
                <w:b/>
                <w:noProof/>
              </w:rPr>
              <w:t xml:space="preserve"> 5-LH</w:t>
            </w:r>
          </w:p>
        </w:tc>
        <w:tc>
          <w:tcPr>
            <w:tcW w:w="1857" w:type="dxa"/>
          </w:tcPr>
          <w:p w:rsidR="003E180D" w:rsidRDefault="003E180D" w:rsidP="0088305C">
            <w:pPr>
              <w:jc w:val="center"/>
              <w:rPr>
                <w:noProof/>
              </w:rPr>
            </w:pPr>
            <w:r>
              <w:rPr>
                <w:noProof/>
              </w:rPr>
              <w:t>0</w:t>
            </w:r>
            <w:r>
              <w:rPr>
                <w:noProof/>
                <w:szCs w:val="24"/>
              </w:rPr>
              <w:t>.</w:t>
            </w:r>
            <w:r>
              <w:rPr>
                <w:noProof/>
              </w:rPr>
              <w:t>03</w:t>
            </w:r>
          </w:p>
        </w:tc>
        <w:tc>
          <w:tcPr>
            <w:tcW w:w="1858" w:type="dxa"/>
          </w:tcPr>
          <w:p w:rsidR="003E180D" w:rsidRDefault="003E180D" w:rsidP="0088305C">
            <w:pPr>
              <w:jc w:val="center"/>
              <w:rPr>
                <w:noProof/>
              </w:rPr>
            </w:pPr>
            <w:r>
              <w:rPr>
                <w:noProof/>
              </w:rPr>
              <w:t>0</w:t>
            </w:r>
            <w:r>
              <w:rPr>
                <w:noProof/>
                <w:szCs w:val="24"/>
              </w:rPr>
              <w:t>.</w:t>
            </w:r>
            <w:r>
              <w:rPr>
                <w:noProof/>
              </w:rPr>
              <w:t>07</w:t>
            </w:r>
          </w:p>
        </w:tc>
        <w:tc>
          <w:tcPr>
            <w:tcW w:w="1858" w:type="dxa"/>
          </w:tcPr>
          <w:p w:rsidR="003E180D" w:rsidRDefault="003E180D" w:rsidP="0088305C">
            <w:pPr>
              <w:jc w:val="center"/>
              <w:rPr>
                <w:noProof/>
              </w:rPr>
            </w:pPr>
            <w:r>
              <w:rPr>
                <w:noProof/>
              </w:rPr>
              <w:t>0</w:t>
            </w:r>
            <w:r>
              <w:rPr>
                <w:noProof/>
                <w:szCs w:val="24"/>
              </w:rPr>
              <w:t>.</w:t>
            </w:r>
            <w:r>
              <w:rPr>
                <w:noProof/>
              </w:rPr>
              <w:t>27</w:t>
            </w:r>
          </w:p>
        </w:tc>
        <w:tc>
          <w:tcPr>
            <w:tcW w:w="1858" w:type="dxa"/>
          </w:tcPr>
          <w:p w:rsidR="003E180D" w:rsidRDefault="003E180D" w:rsidP="0088305C">
            <w:pPr>
              <w:jc w:val="center"/>
              <w:rPr>
                <w:noProof/>
              </w:rPr>
            </w:pPr>
            <w:r>
              <w:rPr>
                <w:noProof/>
              </w:rPr>
              <w:t>0</w:t>
            </w:r>
            <w:r>
              <w:rPr>
                <w:noProof/>
                <w:szCs w:val="24"/>
              </w:rPr>
              <w:t>.</w:t>
            </w:r>
            <w:r>
              <w:rPr>
                <w:noProof/>
              </w:rPr>
              <w:t>63</w:t>
            </w:r>
          </w:p>
        </w:tc>
      </w:tr>
      <w:tr w:rsidR="003E180D" w:rsidTr="0088305C">
        <w:tc>
          <w:tcPr>
            <w:tcW w:w="1857" w:type="dxa"/>
          </w:tcPr>
          <w:p w:rsidR="003E180D" w:rsidRDefault="003E180D" w:rsidP="0088305C">
            <w:pPr>
              <w:rPr>
                <w:b/>
                <w:noProof/>
              </w:rPr>
            </w:pPr>
            <w:r>
              <w:rPr>
                <w:b/>
                <w:noProof/>
              </w:rPr>
              <w:t xml:space="preserve"> 9-RD</w:t>
            </w:r>
          </w:p>
        </w:tc>
        <w:tc>
          <w:tcPr>
            <w:tcW w:w="1857" w:type="dxa"/>
          </w:tcPr>
          <w:p w:rsidR="003E180D" w:rsidRDefault="003E180D" w:rsidP="0088305C">
            <w:pPr>
              <w:jc w:val="center"/>
              <w:rPr>
                <w:noProof/>
              </w:rPr>
            </w:pPr>
            <w:r>
              <w:rPr>
                <w:noProof/>
              </w:rPr>
              <w:t>0</w:t>
            </w:r>
            <w:r>
              <w:rPr>
                <w:noProof/>
                <w:szCs w:val="24"/>
              </w:rPr>
              <w:t>.</w:t>
            </w:r>
            <w:r>
              <w:rPr>
                <w:noProof/>
              </w:rPr>
              <w:t>27</w:t>
            </w:r>
          </w:p>
        </w:tc>
        <w:tc>
          <w:tcPr>
            <w:tcW w:w="1858" w:type="dxa"/>
          </w:tcPr>
          <w:p w:rsidR="003E180D" w:rsidRDefault="003E180D" w:rsidP="0088305C">
            <w:pPr>
              <w:jc w:val="center"/>
              <w:rPr>
                <w:noProof/>
              </w:rPr>
            </w:pPr>
            <w:r>
              <w:rPr>
                <w:noProof/>
              </w:rPr>
              <w:t>0</w:t>
            </w:r>
            <w:r>
              <w:rPr>
                <w:noProof/>
                <w:szCs w:val="24"/>
              </w:rPr>
              <w:t>.</w:t>
            </w:r>
            <w:r>
              <w:rPr>
                <w:noProof/>
              </w:rPr>
              <w:t>63</w:t>
            </w:r>
          </w:p>
        </w:tc>
        <w:tc>
          <w:tcPr>
            <w:tcW w:w="1858" w:type="dxa"/>
          </w:tcPr>
          <w:p w:rsidR="003E180D" w:rsidRDefault="003E180D" w:rsidP="0088305C">
            <w:pPr>
              <w:jc w:val="center"/>
              <w:rPr>
                <w:noProof/>
              </w:rPr>
            </w:pPr>
            <w:r>
              <w:rPr>
                <w:noProof/>
              </w:rPr>
              <w:t>0</w:t>
            </w:r>
            <w:r>
              <w:rPr>
                <w:noProof/>
                <w:szCs w:val="24"/>
              </w:rPr>
              <w:t>.</w:t>
            </w:r>
            <w:r>
              <w:rPr>
                <w:noProof/>
              </w:rPr>
              <w:t>03</w:t>
            </w:r>
          </w:p>
        </w:tc>
        <w:tc>
          <w:tcPr>
            <w:tcW w:w="1858" w:type="dxa"/>
          </w:tcPr>
          <w:p w:rsidR="003E180D" w:rsidRDefault="003E180D" w:rsidP="0088305C">
            <w:pPr>
              <w:jc w:val="center"/>
              <w:rPr>
                <w:noProof/>
              </w:rPr>
            </w:pPr>
            <w:r>
              <w:rPr>
                <w:noProof/>
              </w:rPr>
              <w:t>0</w:t>
            </w:r>
            <w:r>
              <w:rPr>
                <w:noProof/>
                <w:szCs w:val="24"/>
              </w:rPr>
              <w:t>.</w:t>
            </w:r>
            <w:r>
              <w:rPr>
                <w:noProof/>
              </w:rPr>
              <w:t>07</w:t>
            </w:r>
          </w:p>
        </w:tc>
      </w:tr>
      <w:tr w:rsidR="003E180D" w:rsidTr="0088305C">
        <w:tc>
          <w:tcPr>
            <w:tcW w:w="1857" w:type="dxa"/>
          </w:tcPr>
          <w:p w:rsidR="003E180D" w:rsidRDefault="003E180D" w:rsidP="0088305C">
            <w:pPr>
              <w:rPr>
                <w:b/>
                <w:noProof/>
              </w:rPr>
            </w:pPr>
            <w:r>
              <w:rPr>
                <w:b/>
                <w:noProof/>
              </w:rPr>
              <w:t xml:space="preserve"> 9-LH</w:t>
            </w:r>
          </w:p>
        </w:tc>
        <w:tc>
          <w:tcPr>
            <w:tcW w:w="1857" w:type="dxa"/>
          </w:tcPr>
          <w:p w:rsidR="003E180D" w:rsidRDefault="003E180D" w:rsidP="0088305C">
            <w:pPr>
              <w:jc w:val="center"/>
              <w:rPr>
                <w:noProof/>
              </w:rPr>
            </w:pPr>
            <w:r>
              <w:rPr>
                <w:noProof/>
              </w:rPr>
              <w:t>0</w:t>
            </w:r>
            <w:r>
              <w:rPr>
                <w:noProof/>
                <w:szCs w:val="24"/>
              </w:rPr>
              <w:t>.</w:t>
            </w:r>
            <w:r>
              <w:rPr>
                <w:noProof/>
              </w:rPr>
              <w:t>03</w:t>
            </w:r>
          </w:p>
        </w:tc>
        <w:tc>
          <w:tcPr>
            <w:tcW w:w="1858" w:type="dxa"/>
          </w:tcPr>
          <w:p w:rsidR="003E180D" w:rsidRDefault="003E180D" w:rsidP="0088305C">
            <w:pPr>
              <w:jc w:val="center"/>
              <w:rPr>
                <w:noProof/>
              </w:rPr>
            </w:pPr>
            <w:r>
              <w:rPr>
                <w:noProof/>
              </w:rPr>
              <w:t>0</w:t>
            </w:r>
            <w:r>
              <w:rPr>
                <w:noProof/>
                <w:szCs w:val="24"/>
              </w:rPr>
              <w:t>.</w:t>
            </w:r>
            <w:r>
              <w:rPr>
                <w:noProof/>
              </w:rPr>
              <w:t>07</w:t>
            </w:r>
          </w:p>
        </w:tc>
        <w:tc>
          <w:tcPr>
            <w:tcW w:w="1858" w:type="dxa"/>
          </w:tcPr>
          <w:p w:rsidR="003E180D" w:rsidRDefault="003E180D" w:rsidP="0088305C">
            <w:pPr>
              <w:jc w:val="center"/>
              <w:rPr>
                <w:noProof/>
              </w:rPr>
            </w:pPr>
            <w:r>
              <w:rPr>
                <w:noProof/>
              </w:rPr>
              <w:t>0</w:t>
            </w:r>
            <w:r>
              <w:rPr>
                <w:noProof/>
                <w:szCs w:val="24"/>
              </w:rPr>
              <w:t>.</w:t>
            </w:r>
            <w:r>
              <w:rPr>
                <w:noProof/>
              </w:rPr>
              <w:t>27</w:t>
            </w:r>
          </w:p>
        </w:tc>
        <w:tc>
          <w:tcPr>
            <w:tcW w:w="1858" w:type="dxa"/>
          </w:tcPr>
          <w:p w:rsidR="003E180D" w:rsidRDefault="003E180D" w:rsidP="0088305C">
            <w:pPr>
              <w:jc w:val="center"/>
              <w:rPr>
                <w:noProof/>
              </w:rPr>
            </w:pPr>
            <w:r>
              <w:rPr>
                <w:noProof/>
              </w:rPr>
              <w:t>0</w:t>
            </w:r>
            <w:r>
              <w:rPr>
                <w:noProof/>
                <w:szCs w:val="24"/>
              </w:rPr>
              <w:t>.</w:t>
            </w:r>
            <w:r>
              <w:rPr>
                <w:noProof/>
              </w:rPr>
              <w:t>63</w:t>
            </w:r>
          </w:p>
        </w:tc>
      </w:tr>
      <w:tr w:rsidR="003E180D" w:rsidTr="0088305C">
        <w:tc>
          <w:tcPr>
            <w:tcW w:w="1857" w:type="dxa"/>
          </w:tcPr>
          <w:p w:rsidR="003E180D" w:rsidRDefault="003E180D" w:rsidP="0088305C">
            <w:pPr>
              <w:rPr>
                <w:b/>
                <w:noProof/>
              </w:rPr>
            </w:pPr>
            <w:r>
              <w:rPr>
                <w:b/>
                <w:noProof/>
              </w:rPr>
              <w:t xml:space="preserve"> 10-RD</w:t>
            </w:r>
          </w:p>
        </w:tc>
        <w:tc>
          <w:tcPr>
            <w:tcW w:w="1857" w:type="dxa"/>
          </w:tcPr>
          <w:p w:rsidR="003E180D" w:rsidRDefault="003E180D" w:rsidP="0088305C">
            <w:pPr>
              <w:jc w:val="center"/>
              <w:rPr>
                <w:noProof/>
              </w:rPr>
            </w:pPr>
            <w:r>
              <w:rPr>
                <w:noProof/>
              </w:rPr>
              <w:t>0</w:t>
            </w:r>
            <w:r>
              <w:rPr>
                <w:noProof/>
                <w:szCs w:val="24"/>
              </w:rPr>
              <w:t>.</w:t>
            </w:r>
            <w:r>
              <w:rPr>
                <w:noProof/>
              </w:rPr>
              <w:t>27</w:t>
            </w:r>
          </w:p>
        </w:tc>
        <w:tc>
          <w:tcPr>
            <w:tcW w:w="1858" w:type="dxa"/>
          </w:tcPr>
          <w:p w:rsidR="003E180D" w:rsidRDefault="003E180D" w:rsidP="0088305C">
            <w:pPr>
              <w:jc w:val="center"/>
              <w:rPr>
                <w:noProof/>
              </w:rPr>
            </w:pPr>
            <w:r>
              <w:rPr>
                <w:noProof/>
              </w:rPr>
              <w:t>0</w:t>
            </w:r>
            <w:r>
              <w:rPr>
                <w:noProof/>
                <w:szCs w:val="24"/>
              </w:rPr>
              <w:t>.</w:t>
            </w:r>
            <w:r>
              <w:rPr>
                <w:noProof/>
              </w:rPr>
              <w:t>63</w:t>
            </w:r>
          </w:p>
        </w:tc>
        <w:tc>
          <w:tcPr>
            <w:tcW w:w="1858" w:type="dxa"/>
          </w:tcPr>
          <w:p w:rsidR="003E180D" w:rsidRDefault="003E180D" w:rsidP="0088305C">
            <w:pPr>
              <w:jc w:val="center"/>
              <w:rPr>
                <w:noProof/>
              </w:rPr>
            </w:pPr>
            <w:r>
              <w:rPr>
                <w:noProof/>
              </w:rPr>
              <w:t>0</w:t>
            </w:r>
            <w:r>
              <w:rPr>
                <w:noProof/>
                <w:szCs w:val="24"/>
              </w:rPr>
              <w:t>.</w:t>
            </w:r>
            <w:r>
              <w:rPr>
                <w:noProof/>
              </w:rPr>
              <w:t>03</w:t>
            </w:r>
          </w:p>
        </w:tc>
        <w:tc>
          <w:tcPr>
            <w:tcW w:w="1858" w:type="dxa"/>
          </w:tcPr>
          <w:p w:rsidR="003E180D" w:rsidRDefault="003E180D" w:rsidP="0088305C">
            <w:pPr>
              <w:jc w:val="center"/>
              <w:rPr>
                <w:noProof/>
              </w:rPr>
            </w:pPr>
            <w:r>
              <w:rPr>
                <w:noProof/>
              </w:rPr>
              <w:t>0</w:t>
            </w:r>
            <w:r>
              <w:rPr>
                <w:noProof/>
                <w:szCs w:val="24"/>
              </w:rPr>
              <w:t>.</w:t>
            </w:r>
            <w:r>
              <w:rPr>
                <w:noProof/>
              </w:rPr>
              <w:t>07</w:t>
            </w:r>
          </w:p>
        </w:tc>
      </w:tr>
      <w:tr w:rsidR="003E180D" w:rsidTr="0088305C">
        <w:tc>
          <w:tcPr>
            <w:tcW w:w="1857" w:type="dxa"/>
          </w:tcPr>
          <w:p w:rsidR="003E180D" w:rsidRDefault="003E180D" w:rsidP="0088305C">
            <w:pPr>
              <w:rPr>
                <w:b/>
                <w:noProof/>
              </w:rPr>
            </w:pPr>
            <w:r>
              <w:rPr>
                <w:b/>
                <w:noProof/>
              </w:rPr>
              <w:t xml:space="preserve"> 10-LH</w:t>
            </w:r>
          </w:p>
        </w:tc>
        <w:tc>
          <w:tcPr>
            <w:tcW w:w="1857" w:type="dxa"/>
          </w:tcPr>
          <w:p w:rsidR="003E180D" w:rsidRDefault="003E180D" w:rsidP="0088305C">
            <w:pPr>
              <w:jc w:val="center"/>
              <w:rPr>
                <w:noProof/>
              </w:rPr>
            </w:pPr>
            <w:r>
              <w:rPr>
                <w:noProof/>
              </w:rPr>
              <w:t>0</w:t>
            </w:r>
            <w:r>
              <w:rPr>
                <w:noProof/>
                <w:szCs w:val="24"/>
              </w:rPr>
              <w:t>.</w:t>
            </w:r>
            <w:r>
              <w:rPr>
                <w:noProof/>
              </w:rPr>
              <w:t>03</w:t>
            </w:r>
          </w:p>
        </w:tc>
        <w:tc>
          <w:tcPr>
            <w:tcW w:w="1858" w:type="dxa"/>
          </w:tcPr>
          <w:p w:rsidR="003E180D" w:rsidRDefault="003E180D" w:rsidP="0088305C">
            <w:pPr>
              <w:jc w:val="center"/>
              <w:rPr>
                <w:noProof/>
              </w:rPr>
            </w:pPr>
            <w:r>
              <w:rPr>
                <w:noProof/>
              </w:rPr>
              <w:t>0</w:t>
            </w:r>
            <w:r>
              <w:rPr>
                <w:noProof/>
                <w:szCs w:val="24"/>
              </w:rPr>
              <w:t>.</w:t>
            </w:r>
            <w:r>
              <w:rPr>
                <w:noProof/>
              </w:rPr>
              <w:t>07</w:t>
            </w:r>
          </w:p>
        </w:tc>
        <w:tc>
          <w:tcPr>
            <w:tcW w:w="1858" w:type="dxa"/>
          </w:tcPr>
          <w:p w:rsidR="003E180D" w:rsidRDefault="003E180D" w:rsidP="0088305C">
            <w:pPr>
              <w:jc w:val="center"/>
              <w:rPr>
                <w:noProof/>
              </w:rPr>
            </w:pPr>
            <w:r>
              <w:rPr>
                <w:noProof/>
              </w:rPr>
              <w:t>0</w:t>
            </w:r>
            <w:r>
              <w:rPr>
                <w:noProof/>
                <w:szCs w:val="24"/>
              </w:rPr>
              <w:t>.</w:t>
            </w:r>
            <w:r>
              <w:rPr>
                <w:noProof/>
              </w:rPr>
              <w:t>27</w:t>
            </w:r>
          </w:p>
        </w:tc>
        <w:tc>
          <w:tcPr>
            <w:tcW w:w="1858" w:type="dxa"/>
          </w:tcPr>
          <w:p w:rsidR="003E180D" w:rsidRDefault="003E180D" w:rsidP="0088305C">
            <w:pPr>
              <w:jc w:val="center"/>
              <w:rPr>
                <w:noProof/>
              </w:rPr>
            </w:pPr>
            <w:r>
              <w:rPr>
                <w:noProof/>
              </w:rPr>
              <w:t>0</w:t>
            </w:r>
            <w:r>
              <w:rPr>
                <w:noProof/>
                <w:szCs w:val="24"/>
              </w:rPr>
              <w:t>.</w:t>
            </w:r>
            <w:r>
              <w:rPr>
                <w:noProof/>
              </w:rPr>
              <w:t>63</w:t>
            </w:r>
          </w:p>
        </w:tc>
      </w:tr>
    </w:tbl>
    <w:p w:rsidR="003E180D" w:rsidRDefault="003E180D" w:rsidP="003E180D">
      <w:pPr>
        <w:spacing w:after="0"/>
        <w:rPr>
          <w:rFonts w:cs="Times New Roman"/>
          <w:noProof/>
        </w:rPr>
      </w:pPr>
    </w:p>
    <w:p w:rsidR="003E180D" w:rsidRDefault="003E180D" w:rsidP="003E180D">
      <w:pPr>
        <w:spacing w:after="120" w:line="240" w:lineRule="auto"/>
        <w:jc w:val="both"/>
        <w:rPr>
          <w:noProof/>
        </w:rPr>
      </w:pPr>
      <w:r>
        <w:rPr>
          <w:noProof/>
        </w:rPr>
        <w:t xml:space="preserve">These weightings have been used for calculating the cost curves discussed in </w:t>
      </w:r>
      <w:r>
        <w:rPr>
          <w:rFonts w:cs="Times New Roman"/>
          <w:noProof/>
        </w:rPr>
        <w:t>Chapter</w:t>
      </w:r>
      <w:r>
        <w:rPr>
          <w:noProof/>
        </w:rPr>
        <w:t xml:space="preserve"> 6</w:t>
      </w:r>
      <w:r>
        <w:rPr>
          <w:rFonts w:cs="Times New Roman"/>
          <w:noProof/>
        </w:rPr>
        <w:t xml:space="preserve"> of the Impact Assessment</w:t>
      </w:r>
      <w:r>
        <w:rPr>
          <w:noProof/>
        </w:rPr>
        <w:t>.</w:t>
      </w:r>
    </w:p>
    <w:p w:rsidR="003E180D" w:rsidRDefault="003E180D" w:rsidP="003E180D">
      <w:pPr>
        <w:spacing w:after="120" w:line="240" w:lineRule="auto"/>
        <w:jc w:val="both"/>
        <w:rPr>
          <w:noProof/>
        </w:rPr>
      </w:pPr>
    </w:p>
    <w:p w:rsidR="003E180D" w:rsidRDefault="003E180D" w:rsidP="003E180D">
      <w:pPr>
        <w:spacing w:after="120" w:line="240" w:lineRule="auto"/>
        <w:jc w:val="both"/>
        <w:rPr>
          <w:noProof/>
        </w:rPr>
      </w:pPr>
    </w:p>
    <w:p w:rsidR="003E180D" w:rsidRDefault="003E180D" w:rsidP="003E180D">
      <w:pPr>
        <w:spacing w:after="120" w:line="240" w:lineRule="auto"/>
        <w:jc w:val="both"/>
        <w:rPr>
          <w:noProof/>
        </w:rPr>
      </w:pPr>
    </w:p>
    <w:p w:rsidR="003E180D" w:rsidRDefault="003E180D" w:rsidP="003E180D">
      <w:pPr>
        <w:rPr>
          <w:noProof/>
        </w:rPr>
      </w:pPr>
    </w:p>
    <w:p w:rsidR="00C14A81" w:rsidRDefault="00C14A81" w:rsidP="003E180D">
      <w:pPr>
        <w:spacing w:after="120" w:line="240" w:lineRule="auto"/>
        <w:jc w:val="both"/>
        <w:rPr>
          <w:rFonts w:asciiTheme="minorHAnsi" w:hAnsiTheme="minorHAnsi"/>
          <w:noProof/>
          <w:sz w:val="22"/>
        </w:rPr>
      </w:pPr>
    </w:p>
    <w:sectPr w:rsidR="00C14A81">
      <w:headerReference w:type="even" r:id="rId69"/>
      <w:headerReference w:type="default" r:id="rId70"/>
      <w:footerReference w:type="even" r:id="rId71"/>
      <w:footerReference w:type="default" r:id="rId72"/>
      <w:headerReference w:type="first" r:id="rId73"/>
      <w:footerReference w:type="first" r:id="rId74"/>
      <w:pgSz w:w="11906" w:h="16838"/>
      <w:pgMar w:top="1021" w:right="1701" w:bottom="1021" w:left="1588" w:header="601" w:footer="107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A81" w:rsidRDefault="00A55D73">
      <w:pPr>
        <w:spacing w:after="0" w:line="240" w:lineRule="auto"/>
      </w:pPr>
      <w:r>
        <w:separator/>
      </w:r>
    </w:p>
  </w:endnote>
  <w:endnote w:type="continuationSeparator" w:id="0">
    <w:p w:rsidR="00C14A81" w:rsidRDefault="00A55D73">
      <w:pPr>
        <w:spacing w:after="0" w:line="240" w:lineRule="auto"/>
      </w:pPr>
      <w:r>
        <w:continuationSeparator/>
      </w:r>
    </w:p>
  </w:endnote>
  <w:endnote w:type="continuationNotice" w:id="1">
    <w:p w:rsidR="00C14A81" w:rsidRDefault="00C14A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Roboto-Light">
    <w:altName w:val="Times New Roman"/>
    <w:charset w:val="00"/>
    <w:family w:val="auto"/>
    <w:pitch w:val="variable"/>
  </w:font>
  <w:font w:name="TimesNew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80D" w:rsidRPr="003E180D" w:rsidRDefault="003E180D" w:rsidP="003E180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0BD" w:rsidRDefault="00A55D7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0BD" w:rsidRDefault="00A55D73">
    <w:pPr>
      <w:pStyle w:val="Footer"/>
      <w:rPr>
        <w:rFonts w:ascii="Arial" w:hAnsi="Arial" w:cs="Arial"/>
        <w:b/>
        <w:sz w:val="48"/>
      </w:rPr>
    </w:pPr>
    <w:r>
      <w:rPr>
        <w:rFonts w:ascii="Arial" w:hAnsi="Arial" w:cs="Arial"/>
        <w:b/>
        <w:sz w:val="48"/>
      </w:rPr>
      <w:t>EN</w:t>
    </w:r>
    <w:r>
      <w:rPr>
        <w:rFonts w:ascii="Arial" w:hAnsi="Arial" w:cs="Arial"/>
        <w:b/>
        <w:sz w:val="48"/>
      </w:rPr>
      <w:tab/>
    </w:r>
    <w:r>
      <w:fldChar w:fldCharType="begin"/>
    </w:r>
    <w:r>
      <w:instrText xml:space="preserve"> PAGE  \* MERGEFORMAT </w:instrText>
    </w:r>
    <w:r>
      <w:fldChar w:fldCharType="separate"/>
    </w:r>
    <w:r>
      <w:rPr>
        <w:noProof/>
      </w:rPr>
      <w:t>82</w:t>
    </w:r>
    <w:r>
      <w:fldChar w:fldCharType="end"/>
    </w:r>
    <w:r>
      <w:tab/>
    </w:r>
    <w:r>
      <w:tab/>
    </w:r>
    <w:r>
      <w:rPr>
        <w:rFonts w:ascii="Arial" w:hAnsi="Arial" w:cs="Arial"/>
        <w:b/>
        <w:sz w:val="48"/>
      </w:rPr>
      <w:t>EN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0BD" w:rsidRDefault="00A55D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80D" w:rsidRPr="003E180D" w:rsidRDefault="003E180D" w:rsidP="003E180D">
    <w:pPr>
      <w:pStyle w:val="FooterCoverPage"/>
      <w:rPr>
        <w:rFonts w:ascii="Arial" w:hAnsi="Arial" w:cs="Arial"/>
        <w:b/>
        <w:sz w:val="48"/>
      </w:rPr>
    </w:pPr>
    <w:r w:rsidRPr="003E180D">
      <w:rPr>
        <w:rFonts w:ascii="Arial" w:hAnsi="Arial" w:cs="Arial"/>
        <w:b/>
        <w:sz w:val="48"/>
      </w:rPr>
      <w:t>EN</w:t>
    </w:r>
    <w:r w:rsidRPr="003E180D">
      <w:rPr>
        <w:rFonts w:ascii="Arial" w:hAnsi="Arial" w:cs="Arial"/>
        <w:b/>
        <w:sz w:val="48"/>
      </w:rPr>
      <w:tab/>
    </w:r>
    <w:r w:rsidRPr="003E180D">
      <w:rPr>
        <w:rFonts w:ascii="Arial" w:hAnsi="Arial" w:cs="Arial"/>
        <w:b/>
        <w:sz w:val="48"/>
      </w:rPr>
      <w:tab/>
    </w:r>
    <w:r w:rsidRPr="003E180D">
      <w:tab/>
    </w:r>
    <w:proofErr w:type="spellStart"/>
    <w:r w:rsidRPr="003E180D">
      <w:rPr>
        <w:rFonts w:ascii="Arial" w:hAnsi="Arial" w:cs="Arial"/>
        <w:b/>
        <w:sz w:val="48"/>
      </w:rPr>
      <w:t>EN</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80D" w:rsidRPr="003E180D" w:rsidRDefault="003E180D" w:rsidP="003E180D">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80D" w:rsidRDefault="003E180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80D" w:rsidRDefault="003E180D">
    <w:pPr>
      <w:pStyle w:val="Footer"/>
      <w:rPr>
        <w:rFonts w:ascii="Arial" w:hAnsi="Arial" w:cs="Arial"/>
        <w:b/>
        <w:sz w:val="48"/>
      </w:rPr>
    </w:pPr>
    <w:r>
      <w:rPr>
        <w:rFonts w:ascii="Arial" w:hAnsi="Arial" w:cs="Arial"/>
        <w:b/>
        <w:sz w:val="48"/>
      </w:rPr>
      <w:t>EN</w:t>
    </w:r>
    <w:r>
      <w:rPr>
        <w:rFonts w:ascii="Arial" w:hAnsi="Arial" w:cs="Arial"/>
        <w:b/>
        <w:sz w:val="48"/>
      </w:rPr>
      <w:tab/>
    </w:r>
    <w:r>
      <w:fldChar w:fldCharType="begin"/>
    </w:r>
    <w:r>
      <w:instrText xml:space="preserve"> PAGE  \* MERGEFORMAT </w:instrText>
    </w:r>
    <w:r>
      <w:fldChar w:fldCharType="separate"/>
    </w:r>
    <w:r w:rsidR="00A55D73">
      <w:rPr>
        <w:noProof/>
      </w:rPr>
      <w:t>13</w:t>
    </w:r>
    <w:r>
      <w:fldChar w:fldCharType="end"/>
    </w:r>
    <w:r>
      <w:tab/>
    </w:r>
    <w:r>
      <w:tab/>
    </w:r>
    <w:r>
      <w:rPr>
        <w:rFonts w:ascii="Arial" w:hAnsi="Arial" w:cs="Arial"/>
        <w:b/>
        <w:sz w:val="48"/>
      </w:rPr>
      <w:t>EN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80D" w:rsidRDefault="003E180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80D" w:rsidRDefault="003E180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80D" w:rsidRDefault="003E180D">
    <w:pPr>
      <w:pStyle w:val="FooterLandscape"/>
      <w:rPr>
        <w:rFonts w:ascii="Arial" w:hAnsi="Arial" w:cs="Arial"/>
        <w:b/>
        <w:sz w:val="48"/>
      </w:rPr>
    </w:pPr>
    <w:r>
      <w:rPr>
        <w:rFonts w:ascii="Arial" w:hAnsi="Arial" w:cs="Arial"/>
        <w:b/>
        <w:sz w:val="48"/>
      </w:rPr>
      <w:t>EN</w:t>
    </w:r>
    <w:r>
      <w:rPr>
        <w:rFonts w:ascii="Arial" w:hAnsi="Arial" w:cs="Arial"/>
        <w:b/>
        <w:sz w:val="48"/>
      </w:rPr>
      <w:tab/>
    </w:r>
    <w:r>
      <w:fldChar w:fldCharType="begin"/>
    </w:r>
    <w:r>
      <w:instrText xml:space="preserve"> PAGE  \* MERGEFORMAT </w:instrText>
    </w:r>
    <w:r>
      <w:fldChar w:fldCharType="separate"/>
    </w:r>
    <w:r w:rsidR="00A55D73">
      <w:rPr>
        <w:noProof/>
      </w:rPr>
      <w:t>23</w:t>
    </w:r>
    <w:r>
      <w:fldChar w:fldCharType="end"/>
    </w:r>
    <w:r>
      <w:tab/>
    </w:r>
    <w:r>
      <w:tab/>
    </w:r>
    <w:r>
      <w:rPr>
        <w:rFonts w:ascii="Arial" w:hAnsi="Arial" w:cs="Arial"/>
        <w:b/>
        <w:sz w:val="48"/>
      </w:rPr>
      <w:t>EN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80D" w:rsidRDefault="003E180D">
    <w:pPr>
      <w:pStyle w:val="FooterLandscap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A81" w:rsidRDefault="00A55D73">
      <w:pPr>
        <w:spacing w:after="0" w:line="240" w:lineRule="auto"/>
      </w:pPr>
      <w:r>
        <w:separator/>
      </w:r>
    </w:p>
  </w:footnote>
  <w:footnote w:type="continuationSeparator" w:id="0">
    <w:p w:rsidR="00C14A81" w:rsidRDefault="00A55D73">
      <w:pPr>
        <w:spacing w:after="0" w:line="240" w:lineRule="auto"/>
      </w:pPr>
      <w:r>
        <w:continuationSeparator/>
      </w:r>
    </w:p>
  </w:footnote>
  <w:footnote w:type="continuationNotice" w:id="1">
    <w:p w:rsidR="00C14A81" w:rsidRDefault="00C14A81">
      <w:pPr>
        <w:spacing w:after="0" w:line="240" w:lineRule="auto"/>
      </w:pPr>
    </w:p>
  </w:footnote>
  <w:footnote w:id="2">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In particular “Heavy Duty Vehicles - support for preparation of impact assessment for CO</w:t>
      </w:r>
      <w:r>
        <w:rPr>
          <w:sz w:val="18"/>
          <w:szCs w:val="18"/>
          <w:vertAlign w:val="subscript"/>
        </w:rPr>
        <w:t>2</w:t>
      </w:r>
      <w:r>
        <w:rPr>
          <w:sz w:val="18"/>
          <w:szCs w:val="18"/>
        </w:rPr>
        <w:t>", study by TNO, TUG, CE Delft and ICCT, report to be published</w:t>
      </w:r>
    </w:p>
  </w:footnote>
  <w:footnote w:id="3">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"Heavy Duty Vehicles CO</w:t>
      </w:r>
      <w:r>
        <w:rPr>
          <w:sz w:val="18"/>
          <w:szCs w:val="18"/>
          <w:vertAlign w:val="subscript"/>
        </w:rPr>
        <w:t>2</w:t>
      </w:r>
      <w:r>
        <w:rPr>
          <w:sz w:val="18"/>
          <w:szCs w:val="18"/>
        </w:rPr>
        <w:t xml:space="preserve"> Emission Reduction Cost Curves and Cost Assessment – enhancement of the DIONE model", to be published</w:t>
      </w:r>
    </w:p>
  </w:footnote>
  <w:footnote w:id="4">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r>
      <w:hyperlink r:id="rId1" w:history="1">
        <w:r>
          <w:rPr>
            <w:rStyle w:val="Hyperlink"/>
            <w:sz w:val="18"/>
            <w:szCs w:val="18"/>
          </w:rPr>
          <w:t>https://ec.europa.eu/clima/consultations/articles/0031_en</w:t>
        </w:r>
      </w:hyperlink>
      <w:r>
        <w:rPr>
          <w:sz w:val="18"/>
          <w:szCs w:val="18"/>
        </w:rPr>
        <w:t xml:space="preserve">. </w:t>
      </w:r>
    </w:p>
  </w:footnote>
  <w:footnote w:id="5">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In 13 cases the originally indicated “capacity” under which the reply was submitted was manifestly wrong and therefore had to be corrected. In 7 cases it had to be changed from “other” to “professional organisation”, in 1 case from “civil society organisation” to “professional organisation”, in 3 cases from “international organisation” to “professional organisation, in 2 cases from “international organisation” to “civil society organisation”.</w:t>
      </w:r>
    </w:p>
  </w:footnote>
  <w:footnote w:id="6">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hyperlink r:id="rId2" w:history="1">
        <w:r>
          <w:rPr>
            <w:rStyle w:val="Hyperlink"/>
            <w:sz w:val="18"/>
            <w:szCs w:val="18"/>
          </w:rPr>
          <w:t>https://ec.europa.eu/transport/sites/transport/files/themes/sustainable/studies/doc/2014-handbookexternal-costs-transport.pdf</w:t>
        </w:r>
      </w:hyperlink>
    </w:p>
  </w:footnote>
  <w:footnote w:id="7">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ab/>
        <w:t xml:space="preserve">Krause, J., </w:t>
      </w:r>
      <w:proofErr w:type="spellStart"/>
      <w:r>
        <w:rPr>
          <w:sz w:val="18"/>
          <w:szCs w:val="18"/>
        </w:rPr>
        <w:t>Donati</w:t>
      </w:r>
      <w:proofErr w:type="spellEnd"/>
      <w:r>
        <w:rPr>
          <w:sz w:val="18"/>
          <w:szCs w:val="18"/>
        </w:rPr>
        <w:t xml:space="preserve">, A.V., </w:t>
      </w:r>
      <w:proofErr w:type="spellStart"/>
      <w:r>
        <w:rPr>
          <w:sz w:val="18"/>
          <w:szCs w:val="18"/>
        </w:rPr>
        <w:t>Thiel</w:t>
      </w:r>
      <w:proofErr w:type="spellEnd"/>
      <w:r>
        <w:rPr>
          <w:sz w:val="18"/>
          <w:szCs w:val="18"/>
        </w:rPr>
        <w:t>, C., Light Duty Vehicle CO</w:t>
      </w:r>
      <w:r>
        <w:rPr>
          <w:sz w:val="18"/>
          <w:szCs w:val="18"/>
          <w:vertAlign w:val="subscript"/>
        </w:rPr>
        <w:t>2</w:t>
      </w:r>
      <w:r>
        <w:rPr>
          <w:sz w:val="18"/>
          <w:szCs w:val="18"/>
        </w:rPr>
        <w:t xml:space="preserve"> Emission Reduction Cost Curves and Cost Assessment - the DIONE Model, EUR 28821 EN, Publications Office of the European Union, Luxembourg, 2017, ISBN 978-92-79-74136-4, doi:10.2760/87837, JRC108725</w:t>
      </w:r>
    </w:p>
  </w:footnote>
  <w:footnote w:id="8">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r>
      <w:hyperlink r:id="rId3" w:history="1">
        <w:r>
          <w:rPr>
            <w:rStyle w:val="Hyperlink"/>
            <w:sz w:val="18"/>
            <w:szCs w:val="18"/>
          </w:rPr>
          <w:t>www.exiobase.eu</w:t>
        </w:r>
      </w:hyperlink>
    </w:p>
  </w:footnote>
  <w:footnote w:id="9">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 xml:space="preserve">For a full description and examples of applications of EXIOMOD see </w:t>
      </w:r>
      <w:r>
        <w:rPr>
          <w:sz w:val="18"/>
          <w:szCs w:val="18"/>
        </w:rPr>
        <w:fldChar w:fldCharType="begin" w:fldLock="1"/>
      </w:r>
      <w:r>
        <w:rPr>
          <w:sz w:val="18"/>
          <w:szCs w:val="18"/>
        </w:rPr>
        <w:instrText>ADDIN CSL_CITATION { "citationItems" : [ { "id" : "ITEM-1", "itemData" : { "author" : [ { "dropping-particle" : "", "family" : "Bulavskaya", "given" : "Tatyana", "non-dropping-particle" : "", "parse-names" : false, "suffix" : "" }, { "dropping-particle" : "", "family" : "Hu", "given" : "Jinxue", "non-dropping-particle" : "", "parse-names" : false, "suffix" : "" }, { "dropping-particle" : "", "family" : "Moghayer", "given" : "Saeed", "non-dropping-particle" : "", "parse-names" : false, "suffix" : "" }, { "dropping-particle" : "", "family" : "Reyn\u00e8s", "given" : "Fr\u00e9d\u00e9ric", "non-dropping-particle" : "", "parse-names" : false, "suffix" : "" } ], "id" : "ITEM-1", "issued" : { "date-parts" : [ [ "2016" ] ] }, "title" : "EXIOMOD 2.0: EXtended Input-Output MODel. A full description and applications", "type" : "report" }, "uris" : [ "http://www.mendeley.com/documents/?uuid=eccd1e07-fe17-40c3-95bf-2bdf0c6750f1" ] } ], "mendeley" : { "formattedCitation" : "(Bulavskaya, Hu, Moghayer, &amp; Reyn\u00e8s, 2016)", "manualFormatting" : "Bulavskaya, Hu, Moghayer, &amp; Reyn\u00e8s (2016)", "plainTextFormattedCitation" : "(Bulavskaya, Hu, Moghayer, &amp; Reyn\u00e8s, 2016)", "previouslyFormattedCitation" : "(Bulavskaya, Hu, Moghayer, &amp; Reyn\u00e8s, 2016)" }, "properties" : { "noteIndex" : 0 }, "schema" : "https://github.com/citation-style-language/schema/raw/master/csl-citation.json" }</w:instrText>
      </w:r>
      <w:r>
        <w:rPr>
          <w:sz w:val="18"/>
          <w:szCs w:val="18"/>
        </w:rPr>
        <w:fldChar w:fldCharType="separate"/>
      </w:r>
      <w:proofErr w:type="spellStart"/>
      <w:r>
        <w:rPr>
          <w:sz w:val="18"/>
          <w:szCs w:val="18"/>
        </w:rPr>
        <w:t>Bulavskaya</w:t>
      </w:r>
      <w:proofErr w:type="spellEnd"/>
      <w:r>
        <w:rPr>
          <w:sz w:val="18"/>
          <w:szCs w:val="18"/>
        </w:rPr>
        <w:t xml:space="preserve">, Hu, </w:t>
      </w:r>
      <w:proofErr w:type="spellStart"/>
      <w:r>
        <w:rPr>
          <w:sz w:val="18"/>
          <w:szCs w:val="18"/>
        </w:rPr>
        <w:t>Moghayer</w:t>
      </w:r>
      <w:proofErr w:type="spellEnd"/>
      <w:r>
        <w:rPr>
          <w:sz w:val="18"/>
          <w:szCs w:val="18"/>
        </w:rPr>
        <w:t xml:space="preserve">, &amp; </w:t>
      </w:r>
      <w:proofErr w:type="spellStart"/>
      <w:r>
        <w:rPr>
          <w:sz w:val="18"/>
          <w:szCs w:val="18"/>
        </w:rPr>
        <w:t>Reynès</w:t>
      </w:r>
      <w:proofErr w:type="spellEnd"/>
      <w:r>
        <w:rPr>
          <w:sz w:val="18"/>
          <w:szCs w:val="18"/>
        </w:rPr>
        <w:t xml:space="preserve"> (2016)</w:t>
      </w:r>
      <w:r>
        <w:rPr>
          <w:sz w:val="18"/>
          <w:szCs w:val="18"/>
        </w:rPr>
        <w:fldChar w:fldCharType="end"/>
      </w:r>
      <w:r>
        <w:rPr>
          <w:sz w:val="18"/>
          <w:szCs w:val="18"/>
        </w:rPr>
        <w:t>.</w:t>
      </w:r>
    </w:p>
  </w:footnote>
  <w:footnote w:id="10">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ab/>
        <w:t>In addition, amendments to two Directives only adopted in the beginning of 2015 were also considered. This concerns notably the ILUC amendment to the Renewables Directive and the Market Stability Reserve Decision amending the ETS Directive.</w:t>
      </w:r>
    </w:p>
  </w:footnote>
  <w:footnote w:id="11">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ICCS-E3MLab et al. (2016), EU Reference Scenario 2016: Energy, transport and GHG emissions - Trends to 2050</w:t>
      </w:r>
    </w:p>
  </w:footnote>
  <w:footnote w:id="12">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SWD(2016) 247</w:t>
      </w:r>
    </w:p>
  </w:footnote>
  <w:footnote w:id="13">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ab/>
        <w:t>SWD(2016) 405</w:t>
      </w:r>
    </w:p>
  </w:footnote>
  <w:footnote w:id="14">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SWD(2016) 244</w:t>
      </w:r>
    </w:p>
  </w:footnote>
  <w:footnote w:id="15">
    <w:p w:rsidR="003E180D" w:rsidRDefault="003E180D" w:rsidP="003E180D">
      <w:pPr>
        <w:pStyle w:val="FootnoteText"/>
        <w:spacing w:after="120"/>
        <w:ind w:left="284" w:hanging="284"/>
      </w:pPr>
      <w:r>
        <w:rPr>
          <w:rStyle w:val="FootnoteReference"/>
        </w:rPr>
        <w:footnoteRef/>
      </w:r>
      <w:r>
        <w:t xml:space="preserve"> </w:t>
      </w:r>
      <w:r>
        <w:tab/>
        <w:t>Regulation (EU) 2017/352</w:t>
      </w:r>
    </w:p>
  </w:footnote>
  <w:footnote w:id="16">
    <w:p w:rsidR="003E180D" w:rsidRDefault="003E180D" w:rsidP="003E180D">
      <w:pPr>
        <w:pStyle w:val="FootnoteText"/>
        <w:spacing w:after="120"/>
        <w:ind w:left="284" w:hanging="284"/>
      </w:pPr>
      <w:r>
        <w:rPr>
          <w:rStyle w:val="FootnoteReference"/>
        </w:rPr>
        <w:footnoteRef/>
      </w:r>
      <w:r>
        <w:t xml:space="preserve"> </w:t>
      </w:r>
      <w:r>
        <w:tab/>
        <w:t>Currently, 15,000 kilometres of federal trunk road and motorways are subject to tolls.</w:t>
      </w:r>
    </w:p>
  </w:footnote>
  <w:footnote w:id="17">
    <w:p w:rsidR="003E180D" w:rsidRDefault="003E180D" w:rsidP="003E180D">
      <w:pPr>
        <w:pStyle w:val="FootnoteText"/>
        <w:spacing w:after="120"/>
        <w:ind w:left="284" w:hanging="284"/>
        <w:rPr>
          <w:lang w:val="nn-NO"/>
        </w:rPr>
      </w:pPr>
      <w:r>
        <w:rPr>
          <w:rStyle w:val="FootnoteReference"/>
        </w:rPr>
        <w:footnoteRef/>
      </w:r>
      <w:r>
        <w:rPr>
          <w:lang w:val="nn-NO"/>
        </w:rPr>
        <w:t xml:space="preserve"> </w:t>
      </w:r>
      <w:r>
        <w:rPr>
          <w:lang w:val="nn-NO"/>
        </w:rPr>
        <w:tab/>
      </w:r>
      <w:proofErr w:type="spellStart"/>
      <w:r>
        <w:rPr>
          <w:lang w:val="nn-NO"/>
        </w:rPr>
        <w:t>E.g</w:t>
      </w:r>
      <w:proofErr w:type="spellEnd"/>
      <w:r>
        <w:rPr>
          <w:lang w:val="nn-NO"/>
        </w:rPr>
        <w:t xml:space="preserve">. </w:t>
      </w:r>
      <w:r>
        <w:fldChar w:fldCharType="begin"/>
      </w:r>
      <w:r w:rsidRPr="006E5169">
        <w:rPr>
          <w:lang w:val="nn-NO"/>
        </w:rPr>
        <w:instrText xml:space="preserve"> HYPERLINK "http://www.viapass.be/fileadmin/viapass/documents/download/VlaanderenE.JPG" </w:instrText>
      </w:r>
      <w:r>
        <w:fldChar w:fldCharType="separate"/>
      </w:r>
      <w:r>
        <w:rPr>
          <w:rStyle w:val="Hyperlink"/>
          <w:lang w:val="nn-NO"/>
        </w:rPr>
        <w:t>http://www.viapass.be/fileadmin/viapass/documents/download/VlaanderenE.JPG</w:t>
      </w:r>
      <w:r>
        <w:rPr>
          <w:rStyle w:val="Hyperlink"/>
          <w:lang w:val="nn-NO"/>
        </w:rPr>
        <w:fldChar w:fldCharType="end"/>
      </w:r>
      <w:r>
        <w:rPr>
          <w:lang w:val="nn-NO"/>
        </w:rPr>
        <w:t xml:space="preserve"> </w:t>
      </w:r>
    </w:p>
  </w:footnote>
  <w:footnote w:id="18">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 xml:space="preserve"> “Heavy Duty Vehicles - support for preparation of impact assessment for CO</w:t>
      </w:r>
      <w:r>
        <w:rPr>
          <w:sz w:val="18"/>
          <w:szCs w:val="18"/>
          <w:vertAlign w:val="subscript"/>
        </w:rPr>
        <w:t>2</w:t>
      </w:r>
      <w:r>
        <w:rPr>
          <w:sz w:val="18"/>
          <w:szCs w:val="18"/>
        </w:rPr>
        <w:t>", study by TNO, TUG, CE Delft and ICCT, report to be published</w:t>
      </w:r>
    </w:p>
  </w:footnote>
  <w:footnote w:id="19">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"Heavy Duty Vehicles CO</w:t>
      </w:r>
      <w:r>
        <w:rPr>
          <w:sz w:val="18"/>
          <w:szCs w:val="18"/>
          <w:vertAlign w:val="subscript"/>
        </w:rPr>
        <w:t>2</w:t>
      </w:r>
      <w:r>
        <w:rPr>
          <w:sz w:val="18"/>
          <w:szCs w:val="18"/>
        </w:rPr>
        <w:t xml:space="preserve"> Emission Reduction Cost Curves and Cost Assessment – enhancement of the DIONE model", to be published</w:t>
      </w:r>
    </w:p>
  </w:footnote>
  <w:footnote w:id="20">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ab/>
        <w:t>According to international classifications, N2 and N3 vehicles used for the carriage of goods and having a  maximum mass between 3.5 tonnes and 12 tonnes (N2) or exceeding 12 tonnes (N3).</w:t>
      </w:r>
    </w:p>
  </w:footnote>
  <w:footnote w:id="21">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ab/>
        <w:t>According to international classifications, M2 and M3 vehicles used for the carriage of passengers and comprising more than eight seats in addition to the driver's seat and having a maximum mass not exceeding 5 tonnes (M2) or exceeding 5 tonnes (M3).</w:t>
      </w:r>
    </w:p>
  </w:footnote>
  <w:footnote w:id="22">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 xml:space="preserve">European Commission (2017), EU transport in figures – statistical pocketbook 2017, </w:t>
      </w:r>
      <w:hyperlink r:id="rId4" w:history="1">
        <w:r>
          <w:rPr>
            <w:rStyle w:val="Hyperlink"/>
            <w:sz w:val="18"/>
            <w:szCs w:val="18"/>
          </w:rPr>
          <w:t>https://ec.europa.eu/transport/facts-fundings/statistics/pocketbook-2017_en</w:t>
        </w:r>
      </w:hyperlink>
      <w:r>
        <w:rPr>
          <w:rStyle w:val="Hyperlink"/>
          <w:sz w:val="18"/>
          <w:szCs w:val="18"/>
        </w:rPr>
        <w:t xml:space="preserve"> </w:t>
      </w:r>
    </w:p>
  </w:footnote>
  <w:footnote w:id="23">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ab/>
      </w:r>
      <w:hyperlink r:id="rId5" w:history="1">
        <w:r>
          <w:rPr>
            <w:rStyle w:val="Hyperlink"/>
            <w:sz w:val="18"/>
            <w:szCs w:val="18"/>
          </w:rPr>
          <w:t>http://www.acea.be/uploads/publications/factsheet_trucks.pdf</w:t>
        </w:r>
      </w:hyperlink>
      <w:r>
        <w:rPr>
          <w:sz w:val="18"/>
          <w:szCs w:val="18"/>
        </w:rPr>
        <w:t xml:space="preserve"> </w:t>
      </w:r>
    </w:p>
  </w:footnote>
  <w:footnote w:id="24">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International Road Transport Union: https://www.iru.org/who-we-are/about-mobility/trucks</w:t>
      </w:r>
    </w:p>
  </w:footnote>
  <w:footnote w:id="25">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r>
      <w:hyperlink r:id="rId6" w:history="1">
        <w:r>
          <w:rPr>
            <w:rStyle w:val="Hyperlink"/>
            <w:sz w:val="18"/>
            <w:szCs w:val="18"/>
          </w:rPr>
          <w:t>http://www.acea.be/uploads/publications/factsheet_trucks.pdf</w:t>
        </w:r>
      </w:hyperlink>
      <w:r>
        <w:rPr>
          <w:sz w:val="18"/>
          <w:szCs w:val="18"/>
        </w:rPr>
        <w:t xml:space="preserve"> </w:t>
      </w:r>
      <w:hyperlink w:history="1"/>
    </w:p>
  </w:footnote>
  <w:footnote w:id="26">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ab/>
        <w:t>Data refers to HDVs over 15 tonnes (including articulated trucks).</w:t>
      </w:r>
    </w:p>
  </w:footnote>
  <w:footnote w:id="27">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r>
      <w:hyperlink r:id="rId7" w:history="1">
        <w:r>
          <w:rPr>
            <w:rStyle w:val="Hyperlink"/>
            <w:sz w:val="18"/>
            <w:szCs w:val="18"/>
          </w:rPr>
          <w:t>http://www.acea.be/uploads/publications/factsheet_trucks.pdf</w:t>
        </w:r>
      </w:hyperlink>
    </w:p>
  </w:footnote>
  <w:footnote w:id="28">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ab/>
        <w:t>Owned by US manufacturer PACCAR</w:t>
      </w:r>
    </w:p>
  </w:footnote>
  <w:footnote w:id="29">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 xml:space="preserve">Renault trucks are part of the Volvo Group while M.A.N. and Scania are owned by Volkswagen. </w:t>
      </w:r>
    </w:p>
  </w:footnote>
  <w:footnote w:id="30">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For example, Daimler holds a 90% stake in the Japanese company Fuso, which has a 24% share of the Asia-Pacific market.</w:t>
      </w:r>
    </w:p>
  </w:footnote>
  <w:footnote w:id="31">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 xml:space="preserve">IEA (2017) </w:t>
      </w:r>
      <w:proofErr w:type="gramStart"/>
      <w:r>
        <w:rPr>
          <w:sz w:val="18"/>
          <w:szCs w:val="18"/>
        </w:rPr>
        <w:t>The</w:t>
      </w:r>
      <w:proofErr w:type="gramEnd"/>
      <w:r>
        <w:rPr>
          <w:sz w:val="18"/>
          <w:szCs w:val="18"/>
        </w:rPr>
        <w:t xml:space="preserve"> Future of Trucks – Implications for Energy and Environment.  - 690 g CO</w:t>
      </w:r>
      <w:r>
        <w:rPr>
          <w:sz w:val="18"/>
          <w:szCs w:val="18"/>
          <w:vertAlign w:val="subscript"/>
        </w:rPr>
        <w:t>2</w:t>
      </w:r>
      <w:r>
        <w:rPr>
          <w:sz w:val="18"/>
          <w:szCs w:val="18"/>
        </w:rPr>
        <w:t>/km for HDVs with gross vehicle weight from 3.5 t to 15 t and 1080 g CO</w:t>
      </w:r>
      <w:r>
        <w:rPr>
          <w:sz w:val="18"/>
          <w:szCs w:val="18"/>
          <w:vertAlign w:val="subscript"/>
        </w:rPr>
        <w:t>2</w:t>
      </w:r>
      <w:r>
        <w:rPr>
          <w:sz w:val="18"/>
          <w:szCs w:val="18"/>
        </w:rPr>
        <w:t>/km for HDVs with gross vehicle weight above 15 t</w:t>
      </w:r>
    </w:p>
  </w:footnote>
  <w:footnote w:id="32">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ab/>
        <w:t>Council Directive 80/1268/EEC of 16 December 1980 on the approximation of the laws of the Member States relating to the fuel consumption of motor vehicles, OJ L 375, 31.12.1980, p. 36–45</w:t>
      </w:r>
    </w:p>
  </w:footnote>
  <w:footnote w:id="33">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Data for 2016, www.oica.net</w:t>
      </w:r>
    </w:p>
  </w:footnote>
  <w:footnote w:id="34">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e.g. the German "</w:t>
      </w:r>
      <w:proofErr w:type="spellStart"/>
      <w:r>
        <w:rPr>
          <w:sz w:val="18"/>
          <w:szCs w:val="18"/>
        </w:rPr>
        <w:t>Lastauto</w:t>
      </w:r>
      <w:proofErr w:type="spellEnd"/>
      <w:r>
        <w:rPr>
          <w:sz w:val="18"/>
          <w:szCs w:val="18"/>
        </w:rPr>
        <w:t xml:space="preserve"> Omnibus"</w:t>
      </w:r>
    </w:p>
  </w:footnote>
  <w:footnote w:id="35">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hyperlink r:id="rId8" w:history="1">
        <w:r>
          <w:rPr>
            <w:rStyle w:val="Hyperlink"/>
            <w:sz w:val="18"/>
            <w:szCs w:val="18"/>
          </w:rPr>
          <w:t>http://www.acea.be/uploads/publications/factsheet_trucks.pdf</w:t>
        </w:r>
      </w:hyperlink>
    </w:p>
  </w:footnote>
  <w:footnote w:id="36">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COM (2016) 482 final</w:t>
      </w:r>
    </w:p>
  </w:footnote>
  <w:footnote w:id="37">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 xml:space="preserve">Proposal for a Directive of the European Parliament and of the Council amending Directive 2012/27/EU on energy efficiency, </w:t>
      </w:r>
      <w:proofErr w:type="gramStart"/>
      <w:r>
        <w:rPr>
          <w:sz w:val="18"/>
          <w:szCs w:val="18"/>
        </w:rPr>
        <w:t>COM(</w:t>
      </w:r>
      <w:proofErr w:type="gramEnd"/>
      <w:r>
        <w:rPr>
          <w:sz w:val="18"/>
          <w:szCs w:val="18"/>
        </w:rPr>
        <w:t>2016) 761 final – In this, the Commission proposed an energy efficiency target of 30% for 2030.</w:t>
      </w:r>
    </w:p>
  </w:footnote>
  <w:footnote w:id="38">
    <w:p w:rsidR="003E180D" w:rsidRDefault="003E180D" w:rsidP="003E180D">
      <w:pPr>
        <w:pStyle w:val="FootnoteText"/>
        <w:tabs>
          <w:tab w:val="left" w:pos="284"/>
        </w:tabs>
        <w:spacing w:after="60"/>
        <w:rPr>
          <w:sz w:val="18"/>
          <w:szCs w:val="18"/>
          <w:lang w:val="pt-PT"/>
        </w:rPr>
      </w:pPr>
      <w:r>
        <w:rPr>
          <w:rStyle w:val="FootnoteReference"/>
          <w:sz w:val="18"/>
          <w:szCs w:val="18"/>
        </w:rPr>
        <w:footnoteRef/>
      </w:r>
      <w:r>
        <w:rPr>
          <w:sz w:val="18"/>
          <w:szCs w:val="18"/>
          <w:lang w:val="pt-PT"/>
        </w:rPr>
        <w:t xml:space="preserve"> </w:t>
      </w:r>
      <w:r>
        <w:rPr>
          <w:sz w:val="18"/>
          <w:szCs w:val="18"/>
          <w:lang w:val="pt-PT"/>
        </w:rPr>
        <w:tab/>
      </w:r>
      <w:proofErr w:type="gramStart"/>
      <w:r>
        <w:rPr>
          <w:sz w:val="18"/>
          <w:szCs w:val="18"/>
          <w:lang w:val="pt-PT"/>
        </w:rPr>
        <w:t>COM(2016</w:t>
      </w:r>
      <w:proofErr w:type="gramEnd"/>
      <w:r>
        <w:rPr>
          <w:sz w:val="18"/>
          <w:szCs w:val="18"/>
          <w:lang w:val="pt-PT"/>
        </w:rPr>
        <w:t>) 501 final</w:t>
      </w:r>
    </w:p>
  </w:footnote>
  <w:footnote w:id="39">
    <w:p w:rsidR="003E180D" w:rsidRDefault="003E180D" w:rsidP="003E180D">
      <w:pPr>
        <w:tabs>
          <w:tab w:val="left" w:pos="284"/>
        </w:tabs>
        <w:spacing w:after="60" w:line="240" w:lineRule="auto"/>
        <w:ind w:left="357" w:hanging="357"/>
        <w:rPr>
          <w:rFonts w:eastAsia="Times New Roman" w:cs="Times New Roman"/>
          <w:sz w:val="18"/>
          <w:szCs w:val="18"/>
          <w:lang w:val="pt-PT" w:eastAsia="en-GB"/>
        </w:rPr>
      </w:pPr>
      <w:r>
        <w:rPr>
          <w:rFonts w:eastAsia="Times New Roman" w:cs="Times New Roman"/>
          <w:sz w:val="18"/>
          <w:szCs w:val="18"/>
          <w:vertAlign w:val="superscript"/>
          <w:lang w:eastAsia="en-GB"/>
        </w:rPr>
        <w:footnoteRef/>
      </w:r>
      <w:r>
        <w:rPr>
          <w:rFonts w:eastAsia="Times New Roman" w:cs="Times New Roman"/>
          <w:sz w:val="18"/>
          <w:szCs w:val="18"/>
          <w:lang w:val="pt-PT" w:eastAsia="en-GB"/>
        </w:rPr>
        <w:t xml:space="preserve"> </w:t>
      </w:r>
      <w:r>
        <w:rPr>
          <w:rFonts w:eastAsia="Times New Roman" w:cs="Times New Roman"/>
          <w:sz w:val="18"/>
          <w:szCs w:val="18"/>
          <w:lang w:val="pt-PT" w:eastAsia="en-GB"/>
        </w:rPr>
        <w:tab/>
      </w:r>
      <w:proofErr w:type="gramStart"/>
      <w:r>
        <w:rPr>
          <w:rFonts w:eastAsia="Times New Roman" w:cs="Times New Roman"/>
          <w:sz w:val="18"/>
          <w:szCs w:val="18"/>
          <w:lang w:val="pt-PT" w:eastAsia="en-GB"/>
        </w:rPr>
        <w:t>COM(2017</w:t>
      </w:r>
      <w:proofErr w:type="gramEnd"/>
      <w:r>
        <w:rPr>
          <w:rFonts w:eastAsia="Times New Roman" w:cs="Times New Roman"/>
          <w:sz w:val="18"/>
          <w:szCs w:val="18"/>
          <w:lang w:val="pt-PT" w:eastAsia="en-GB"/>
        </w:rPr>
        <w:t>) 283 final</w:t>
      </w:r>
    </w:p>
  </w:footnote>
  <w:footnote w:id="40">
    <w:p w:rsidR="003E180D" w:rsidRDefault="003E180D" w:rsidP="003E180D">
      <w:pPr>
        <w:pStyle w:val="FootnoteText"/>
        <w:tabs>
          <w:tab w:val="left" w:pos="284"/>
        </w:tabs>
        <w:spacing w:after="60"/>
        <w:rPr>
          <w:sz w:val="18"/>
          <w:szCs w:val="18"/>
          <w:lang w:val="pt-PT"/>
        </w:rPr>
      </w:pPr>
      <w:r>
        <w:rPr>
          <w:rStyle w:val="FootnoteReference"/>
          <w:sz w:val="18"/>
          <w:szCs w:val="18"/>
        </w:rPr>
        <w:footnoteRef/>
      </w:r>
      <w:r>
        <w:rPr>
          <w:sz w:val="18"/>
          <w:szCs w:val="18"/>
          <w:lang w:val="pt-PT"/>
        </w:rPr>
        <w:t xml:space="preserve"> </w:t>
      </w:r>
      <w:r>
        <w:rPr>
          <w:sz w:val="18"/>
          <w:szCs w:val="18"/>
          <w:lang w:val="pt-PT"/>
        </w:rPr>
        <w:tab/>
      </w:r>
      <w:proofErr w:type="gramStart"/>
      <w:r>
        <w:rPr>
          <w:sz w:val="18"/>
          <w:szCs w:val="18"/>
          <w:lang w:val="pt-PT"/>
        </w:rPr>
        <w:t>COM(2017</w:t>
      </w:r>
      <w:proofErr w:type="gramEnd"/>
      <w:r>
        <w:rPr>
          <w:sz w:val="18"/>
          <w:szCs w:val="18"/>
          <w:lang w:val="pt-PT"/>
        </w:rPr>
        <w:t>) 676 final</w:t>
      </w:r>
    </w:p>
  </w:footnote>
  <w:footnote w:id="41">
    <w:p w:rsidR="003E180D" w:rsidRDefault="003E180D" w:rsidP="003E180D">
      <w:pPr>
        <w:pStyle w:val="FootnoteText"/>
        <w:tabs>
          <w:tab w:val="left" w:pos="284"/>
        </w:tabs>
        <w:spacing w:after="60"/>
        <w:rPr>
          <w:sz w:val="18"/>
          <w:szCs w:val="18"/>
          <w:lang w:val="pt-PT"/>
        </w:rPr>
      </w:pPr>
      <w:r>
        <w:rPr>
          <w:sz w:val="18"/>
          <w:szCs w:val="18"/>
          <w:vertAlign w:val="superscript"/>
        </w:rPr>
        <w:footnoteRef/>
      </w:r>
      <w:r>
        <w:rPr>
          <w:sz w:val="18"/>
          <w:szCs w:val="18"/>
          <w:vertAlign w:val="superscript"/>
          <w:lang w:val="pt-PT"/>
        </w:rPr>
        <w:t xml:space="preserve"> </w:t>
      </w:r>
      <w:r>
        <w:rPr>
          <w:sz w:val="18"/>
          <w:szCs w:val="18"/>
          <w:vertAlign w:val="superscript"/>
          <w:lang w:val="pt-PT"/>
        </w:rPr>
        <w:tab/>
      </w:r>
      <w:proofErr w:type="gramStart"/>
      <w:r>
        <w:rPr>
          <w:sz w:val="18"/>
          <w:szCs w:val="18"/>
          <w:lang w:val="pt-PT"/>
        </w:rPr>
        <w:t>SWD(2017</w:t>
      </w:r>
      <w:proofErr w:type="gramEnd"/>
      <w:r>
        <w:rPr>
          <w:sz w:val="18"/>
          <w:szCs w:val="18"/>
          <w:lang w:val="pt-PT"/>
        </w:rPr>
        <w:t>) 650 final</w:t>
      </w:r>
    </w:p>
  </w:footnote>
  <w:footnote w:id="42">
    <w:p w:rsidR="003E180D" w:rsidRDefault="003E180D" w:rsidP="003E180D">
      <w:pPr>
        <w:pStyle w:val="FootnoteText"/>
        <w:tabs>
          <w:tab w:val="left" w:pos="284"/>
        </w:tabs>
        <w:spacing w:after="60"/>
        <w:rPr>
          <w:sz w:val="18"/>
          <w:szCs w:val="18"/>
          <w:lang w:val="pt-PT"/>
        </w:rPr>
      </w:pPr>
      <w:r>
        <w:rPr>
          <w:rStyle w:val="FootnoteReference"/>
          <w:sz w:val="18"/>
          <w:szCs w:val="18"/>
        </w:rPr>
        <w:footnoteRef/>
      </w:r>
      <w:r>
        <w:rPr>
          <w:sz w:val="18"/>
          <w:szCs w:val="18"/>
          <w:lang w:val="pt-PT"/>
        </w:rPr>
        <w:t xml:space="preserve"> </w:t>
      </w:r>
      <w:r>
        <w:rPr>
          <w:sz w:val="18"/>
          <w:szCs w:val="18"/>
          <w:lang w:val="pt-PT"/>
        </w:rPr>
        <w:tab/>
      </w:r>
      <w:proofErr w:type="spellStart"/>
      <w:r>
        <w:rPr>
          <w:sz w:val="18"/>
          <w:szCs w:val="18"/>
          <w:lang w:val="pt-PT"/>
        </w:rPr>
        <w:t>Directive</w:t>
      </w:r>
      <w:proofErr w:type="spellEnd"/>
      <w:r>
        <w:rPr>
          <w:sz w:val="18"/>
          <w:szCs w:val="18"/>
          <w:lang w:val="pt-PT"/>
        </w:rPr>
        <w:t xml:space="preserve"> 2011/76/EU</w:t>
      </w:r>
    </w:p>
  </w:footnote>
  <w:footnote w:id="43">
    <w:p w:rsidR="003E180D" w:rsidRDefault="003E180D" w:rsidP="003E180D">
      <w:pPr>
        <w:pStyle w:val="FootnoteText"/>
        <w:tabs>
          <w:tab w:val="left" w:pos="284"/>
        </w:tabs>
        <w:spacing w:after="60"/>
        <w:rPr>
          <w:sz w:val="18"/>
          <w:szCs w:val="18"/>
          <w:lang w:val="pt-PT"/>
        </w:rPr>
      </w:pPr>
      <w:r>
        <w:rPr>
          <w:rStyle w:val="FootnoteReference"/>
          <w:sz w:val="18"/>
          <w:szCs w:val="18"/>
        </w:rPr>
        <w:footnoteRef/>
      </w:r>
      <w:r>
        <w:rPr>
          <w:sz w:val="18"/>
          <w:szCs w:val="18"/>
          <w:lang w:val="pt-PT"/>
        </w:rPr>
        <w:t xml:space="preserve"> </w:t>
      </w:r>
      <w:r>
        <w:rPr>
          <w:sz w:val="18"/>
          <w:szCs w:val="18"/>
          <w:lang w:val="pt-PT"/>
        </w:rPr>
        <w:tab/>
        <w:t>COM (</w:t>
      </w:r>
      <w:proofErr w:type="gramStart"/>
      <w:r>
        <w:rPr>
          <w:sz w:val="18"/>
          <w:szCs w:val="18"/>
          <w:lang w:val="pt-PT"/>
        </w:rPr>
        <w:t>2017)275</w:t>
      </w:r>
      <w:proofErr w:type="gramEnd"/>
    </w:p>
  </w:footnote>
  <w:footnote w:id="44">
    <w:p w:rsidR="003E180D" w:rsidRDefault="003E180D" w:rsidP="003E180D">
      <w:pPr>
        <w:pStyle w:val="FootnoteText"/>
        <w:tabs>
          <w:tab w:val="left" w:pos="284"/>
        </w:tabs>
        <w:spacing w:after="60"/>
        <w:rPr>
          <w:sz w:val="18"/>
          <w:szCs w:val="18"/>
          <w:lang w:val="pt-PT"/>
        </w:rPr>
      </w:pPr>
      <w:r>
        <w:rPr>
          <w:rStyle w:val="FootnoteReference"/>
          <w:sz w:val="18"/>
          <w:szCs w:val="18"/>
        </w:rPr>
        <w:footnoteRef/>
      </w:r>
      <w:r>
        <w:rPr>
          <w:sz w:val="18"/>
          <w:szCs w:val="18"/>
          <w:lang w:val="pt-PT"/>
        </w:rPr>
        <w:t xml:space="preserve"> </w:t>
      </w:r>
      <w:r>
        <w:rPr>
          <w:sz w:val="18"/>
          <w:szCs w:val="18"/>
          <w:lang w:val="pt-PT"/>
        </w:rPr>
        <w:tab/>
      </w:r>
      <w:proofErr w:type="gramStart"/>
      <w:r>
        <w:rPr>
          <w:sz w:val="18"/>
          <w:szCs w:val="18"/>
          <w:lang w:val="pt-PT"/>
        </w:rPr>
        <w:t>SWD(2017</w:t>
      </w:r>
      <w:proofErr w:type="gramEnd"/>
      <w:r>
        <w:rPr>
          <w:sz w:val="18"/>
          <w:szCs w:val="18"/>
          <w:lang w:val="pt-PT"/>
        </w:rPr>
        <w:t>) 180 final</w:t>
      </w:r>
    </w:p>
  </w:footnote>
  <w:footnote w:id="45">
    <w:p w:rsidR="003E180D" w:rsidRDefault="003E180D" w:rsidP="003E180D">
      <w:pPr>
        <w:pStyle w:val="FootnoteText"/>
        <w:tabs>
          <w:tab w:val="left" w:pos="284"/>
        </w:tabs>
        <w:spacing w:after="60"/>
        <w:rPr>
          <w:sz w:val="18"/>
          <w:szCs w:val="18"/>
          <w:lang w:val="pt-PT"/>
        </w:rPr>
      </w:pPr>
      <w:r>
        <w:rPr>
          <w:rStyle w:val="FootnoteReference"/>
          <w:sz w:val="18"/>
          <w:szCs w:val="18"/>
        </w:rPr>
        <w:footnoteRef/>
      </w:r>
      <w:r>
        <w:rPr>
          <w:sz w:val="18"/>
          <w:szCs w:val="18"/>
          <w:lang w:val="pt-PT"/>
        </w:rPr>
        <w:t xml:space="preserve"> </w:t>
      </w:r>
      <w:r>
        <w:rPr>
          <w:sz w:val="18"/>
          <w:szCs w:val="18"/>
          <w:lang w:val="pt-PT"/>
        </w:rPr>
        <w:tab/>
      </w:r>
      <w:proofErr w:type="spellStart"/>
      <w:r>
        <w:rPr>
          <w:sz w:val="18"/>
          <w:szCs w:val="18"/>
          <w:lang w:val="pt-PT"/>
        </w:rPr>
        <w:t>Directive</w:t>
      </w:r>
      <w:proofErr w:type="spellEnd"/>
      <w:r>
        <w:rPr>
          <w:sz w:val="18"/>
          <w:szCs w:val="18"/>
          <w:lang w:val="pt-PT"/>
        </w:rPr>
        <w:t xml:space="preserve"> 2015/719/EU  </w:t>
      </w:r>
    </w:p>
  </w:footnote>
  <w:footnote w:id="46">
    <w:p w:rsidR="003E180D" w:rsidRDefault="003E180D" w:rsidP="003E180D">
      <w:pPr>
        <w:pStyle w:val="FootnoteText"/>
        <w:tabs>
          <w:tab w:val="left" w:pos="284"/>
        </w:tabs>
        <w:spacing w:after="60"/>
        <w:rPr>
          <w:sz w:val="18"/>
          <w:szCs w:val="18"/>
          <w:lang w:val="pt-PT"/>
        </w:rPr>
      </w:pPr>
      <w:r>
        <w:rPr>
          <w:rStyle w:val="FootnoteReference"/>
          <w:sz w:val="18"/>
          <w:szCs w:val="18"/>
        </w:rPr>
        <w:footnoteRef/>
      </w:r>
      <w:r>
        <w:rPr>
          <w:sz w:val="18"/>
          <w:szCs w:val="18"/>
          <w:lang w:val="pt-PT"/>
        </w:rPr>
        <w:t xml:space="preserve"> </w:t>
      </w:r>
      <w:r>
        <w:rPr>
          <w:sz w:val="18"/>
          <w:szCs w:val="18"/>
          <w:lang w:val="pt-PT"/>
        </w:rPr>
        <w:tab/>
      </w:r>
      <w:proofErr w:type="spellStart"/>
      <w:r>
        <w:rPr>
          <w:sz w:val="18"/>
          <w:szCs w:val="18"/>
          <w:lang w:val="pt-PT"/>
        </w:rPr>
        <w:t>Directive</w:t>
      </w:r>
      <w:proofErr w:type="spellEnd"/>
      <w:r>
        <w:rPr>
          <w:sz w:val="18"/>
          <w:szCs w:val="18"/>
          <w:lang w:val="pt-PT"/>
        </w:rPr>
        <w:t xml:space="preserve"> 2009/33/EC  </w:t>
      </w:r>
    </w:p>
  </w:footnote>
  <w:footnote w:id="47">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SWD(2017) 366 final, Part 1/4</w:t>
      </w:r>
    </w:p>
  </w:footnote>
  <w:footnote w:id="48">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 xml:space="preserve">COM/2016/0767 final </w:t>
      </w:r>
    </w:p>
  </w:footnote>
  <w:footnote w:id="49">
    <w:p w:rsidR="003E180D" w:rsidRDefault="003E180D" w:rsidP="003E180D">
      <w:pPr>
        <w:pStyle w:val="FootnoteText"/>
        <w:tabs>
          <w:tab w:val="left" w:pos="284"/>
        </w:tabs>
        <w:spacing w:after="60"/>
        <w:rPr>
          <w:sz w:val="18"/>
        </w:rPr>
      </w:pPr>
      <w:r>
        <w:rPr>
          <w:rStyle w:val="FootnoteReference"/>
          <w:sz w:val="18"/>
          <w:szCs w:val="18"/>
        </w:rPr>
        <w:footnoteRef/>
      </w:r>
      <w:r>
        <w:rPr>
          <w:sz w:val="18"/>
        </w:rPr>
        <w:t xml:space="preserve"> </w:t>
      </w:r>
      <w:r>
        <w:rPr>
          <w:sz w:val="18"/>
        </w:rPr>
        <w:tab/>
        <w:t>SWD(2016) 418 final, Part 1/4</w:t>
      </w:r>
    </w:p>
  </w:footnote>
  <w:footnote w:id="50">
    <w:p w:rsidR="003E180D" w:rsidRDefault="003E180D" w:rsidP="003E180D">
      <w:pPr>
        <w:pStyle w:val="FootnoteText"/>
        <w:tabs>
          <w:tab w:val="left" w:pos="284"/>
        </w:tabs>
        <w:spacing w:after="60"/>
        <w:rPr>
          <w:sz w:val="18"/>
        </w:rPr>
      </w:pPr>
      <w:r>
        <w:rPr>
          <w:rStyle w:val="FootnoteReference"/>
          <w:sz w:val="18"/>
          <w:szCs w:val="18"/>
        </w:rPr>
        <w:footnoteRef/>
      </w:r>
      <w:r>
        <w:rPr>
          <w:sz w:val="18"/>
        </w:rPr>
        <w:t xml:space="preserve"> </w:t>
      </w:r>
      <w:r>
        <w:rPr>
          <w:sz w:val="18"/>
        </w:rPr>
        <w:tab/>
        <w:t xml:space="preserve">Directive 2009/30/EC  </w:t>
      </w:r>
    </w:p>
  </w:footnote>
  <w:footnote w:id="51">
    <w:p w:rsidR="003E180D" w:rsidRDefault="003E180D" w:rsidP="003E180D">
      <w:pPr>
        <w:pStyle w:val="FootnoteText"/>
        <w:tabs>
          <w:tab w:val="left" w:pos="284"/>
        </w:tabs>
        <w:spacing w:after="60"/>
        <w:rPr>
          <w:sz w:val="18"/>
        </w:rPr>
      </w:pPr>
      <w:r>
        <w:rPr>
          <w:rStyle w:val="FootnoteReference"/>
          <w:sz w:val="18"/>
          <w:szCs w:val="18"/>
        </w:rPr>
        <w:footnoteRef/>
      </w:r>
      <w:r>
        <w:rPr>
          <w:sz w:val="18"/>
        </w:rPr>
        <w:t xml:space="preserve"> </w:t>
      </w:r>
      <w:r>
        <w:rPr>
          <w:sz w:val="18"/>
        </w:rPr>
        <w:tab/>
        <w:t>Directive 2012/27/EU</w:t>
      </w:r>
    </w:p>
  </w:footnote>
  <w:footnote w:id="52">
    <w:p w:rsidR="003E180D" w:rsidRDefault="003E180D" w:rsidP="003E180D">
      <w:pPr>
        <w:pStyle w:val="FootnoteText"/>
        <w:tabs>
          <w:tab w:val="left" w:pos="284"/>
        </w:tabs>
        <w:spacing w:after="60"/>
        <w:rPr>
          <w:sz w:val="18"/>
        </w:rPr>
      </w:pPr>
      <w:r>
        <w:rPr>
          <w:rStyle w:val="FootnoteReference"/>
          <w:sz w:val="18"/>
          <w:szCs w:val="18"/>
        </w:rPr>
        <w:footnoteRef/>
      </w:r>
      <w:r>
        <w:rPr>
          <w:sz w:val="18"/>
        </w:rPr>
        <w:t xml:space="preserve"> </w:t>
      </w:r>
      <w:r>
        <w:rPr>
          <w:sz w:val="18"/>
        </w:rPr>
        <w:tab/>
        <w:t>Directive 2014/94/EU</w:t>
      </w:r>
    </w:p>
  </w:footnote>
  <w:footnote w:id="53">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r>
      <w:proofErr w:type="gramStart"/>
      <w:r>
        <w:rPr>
          <w:sz w:val="18"/>
          <w:szCs w:val="18"/>
        </w:rPr>
        <w:t>Data for 2016.</w:t>
      </w:r>
      <w:proofErr w:type="gramEnd"/>
      <w:r>
        <w:rPr>
          <w:sz w:val="18"/>
          <w:szCs w:val="18"/>
        </w:rPr>
        <w:t xml:space="preserve"> </w:t>
      </w:r>
      <w:r>
        <w:rPr>
          <w:color w:val="000000" w:themeColor="text1"/>
          <w:sz w:val="18"/>
          <w:szCs w:val="18"/>
        </w:rPr>
        <w:t xml:space="preserve">Source: </w:t>
      </w:r>
      <w:hyperlink r:id="rId9" w:history="1">
        <w:r>
          <w:rPr>
            <w:rStyle w:val="Hyperlink"/>
            <w:color w:val="000000" w:themeColor="text1"/>
            <w:sz w:val="18"/>
            <w:szCs w:val="18"/>
          </w:rPr>
          <w:t>Road fuel excise duties in the EU</w:t>
        </w:r>
      </w:hyperlink>
      <w:r>
        <w:rPr>
          <w:color w:val="000000" w:themeColor="text1"/>
          <w:sz w:val="18"/>
          <w:szCs w:val="18"/>
        </w:rPr>
        <w:t xml:space="preserve"> provided </w:t>
      </w:r>
      <w:r>
        <w:rPr>
          <w:sz w:val="18"/>
          <w:szCs w:val="18"/>
        </w:rPr>
        <w:t xml:space="preserve">by  EEA, </w:t>
      </w:r>
      <w:hyperlink r:id="rId10" w:history="1">
        <w:r>
          <w:rPr>
            <w:rStyle w:val="Hyperlink"/>
            <w:sz w:val="18"/>
            <w:szCs w:val="18"/>
          </w:rPr>
          <w:t>https://www.eea.europa.eu/data-and-maps/indicators/fuel-prices-and-taxes/assessment-7</w:t>
        </w:r>
      </w:hyperlink>
    </w:p>
  </w:footnote>
  <w:footnote w:id="54">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Regulation (EC) No 1222/2009</w:t>
      </w:r>
    </w:p>
  </w:footnote>
  <w:footnote w:id="55">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COM (2016) 501 final</w:t>
      </w:r>
    </w:p>
  </w:footnote>
  <w:footnote w:id="56">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 xml:space="preserve">GHG Inventory data 2016, </w:t>
      </w:r>
      <w:hyperlink r:id="rId11" w:history="1">
        <w:r>
          <w:rPr>
            <w:rStyle w:val="Hyperlink"/>
            <w:sz w:val="18"/>
            <w:szCs w:val="18"/>
          </w:rPr>
          <w:t>http://www.eea.europa.eu/data-and-maps/data/data-viewers/greenhouse-gases-viewer</w:t>
        </w:r>
      </w:hyperlink>
    </w:p>
  </w:footnote>
  <w:footnote w:id="57">
    <w:p w:rsidR="003E180D" w:rsidRDefault="003E180D" w:rsidP="003E180D">
      <w:pPr>
        <w:pStyle w:val="FootnoteText"/>
        <w:tabs>
          <w:tab w:val="left" w:pos="284"/>
        </w:tabs>
        <w:spacing w:after="60"/>
        <w:rPr>
          <w:sz w:val="18"/>
          <w:szCs w:val="18"/>
          <w:lang w:val="pt-PT"/>
        </w:rPr>
      </w:pPr>
      <w:r>
        <w:rPr>
          <w:rStyle w:val="FootnoteReference"/>
          <w:sz w:val="18"/>
          <w:szCs w:val="18"/>
        </w:rPr>
        <w:footnoteRef/>
      </w:r>
      <w:r>
        <w:rPr>
          <w:sz w:val="18"/>
          <w:szCs w:val="18"/>
          <w:lang w:val="pt-PT"/>
        </w:rPr>
        <w:t xml:space="preserve"> </w:t>
      </w:r>
      <w:r>
        <w:rPr>
          <w:sz w:val="18"/>
          <w:szCs w:val="18"/>
          <w:lang w:val="pt-PT"/>
        </w:rPr>
        <w:tab/>
      </w:r>
      <w:proofErr w:type="gramStart"/>
      <w:r>
        <w:rPr>
          <w:sz w:val="18"/>
          <w:szCs w:val="18"/>
          <w:lang w:val="pt-PT"/>
        </w:rPr>
        <w:t>SWD(2017</w:t>
      </w:r>
      <w:proofErr w:type="gramEnd"/>
      <w:r>
        <w:rPr>
          <w:sz w:val="18"/>
          <w:szCs w:val="18"/>
          <w:lang w:val="pt-PT"/>
        </w:rPr>
        <w:t>) 180 final</w:t>
      </w:r>
    </w:p>
  </w:footnote>
  <w:footnote w:id="58">
    <w:p w:rsidR="003E180D" w:rsidRDefault="003E180D" w:rsidP="003E180D">
      <w:pPr>
        <w:pStyle w:val="FootnoteText"/>
        <w:tabs>
          <w:tab w:val="left" w:pos="284"/>
        </w:tabs>
        <w:spacing w:after="60"/>
        <w:rPr>
          <w:sz w:val="18"/>
          <w:szCs w:val="18"/>
          <w:lang w:val="pt-PT"/>
        </w:rPr>
      </w:pPr>
      <w:r>
        <w:rPr>
          <w:rStyle w:val="FootnoteReference"/>
          <w:sz w:val="18"/>
          <w:szCs w:val="18"/>
        </w:rPr>
        <w:footnoteRef/>
      </w:r>
      <w:r>
        <w:rPr>
          <w:sz w:val="18"/>
          <w:szCs w:val="18"/>
          <w:lang w:val="pt-PT"/>
        </w:rPr>
        <w:t xml:space="preserve"> </w:t>
      </w:r>
      <w:r>
        <w:rPr>
          <w:sz w:val="18"/>
          <w:szCs w:val="18"/>
          <w:lang w:val="pt-PT"/>
        </w:rPr>
        <w:tab/>
      </w:r>
      <w:proofErr w:type="gramStart"/>
      <w:r>
        <w:rPr>
          <w:sz w:val="18"/>
          <w:szCs w:val="18"/>
          <w:lang w:val="pt-PT"/>
        </w:rPr>
        <w:t>COM(2017</w:t>
      </w:r>
      <w:proofErr w:type="gramEnd"/>
      <w:r>
        <w:rPr>
          <w:sz w:val="18"/>
          <w:szCs w:val="18"/>
          <w:lang w:val="pt-PT"/>
        </w:rPr>
        <w:t>) 676 final</w:t>
      </w:r>
    </w:p>
  </w:footnote>
  <w:footnote w:id="59">
    <w:p w:rsidR="003E180D" w:rsidRDefault="003E180D" w:rsidP="003E180D">
      <w:pPr>
        <w:pStyle w:val="FootnoteText"/>
        <w:tabs>
          <w:tab w:val="left" w:pos="284"/>
        </w:tabs>
        <w:spacing w:after="60"/>
        <w:rPr>
          <w:sz w:val="18"/>
          <w:szCs w:val="18"/>
          <w:lang w:val="pt-PT"/>
        </w:rPr>
      </w:pPr>
      <w:r>
        <w:rPr>
          <w:rStyle w:val="FootnoteReference"/>
          <w:sz w:val="18"/>
          <w:szCs w:val="18"/>
        </w:rPr>
        <w:footnoteRef/>
      </w:r>
      <w:r>
        <w:rPr>
          <w:sz w:val="18"/>
          <w:szCs w:val="18"/>
          <w:lang w:val="pt-PT"/>
        </w:rPr>
        <w:t xml:space="preserve"> </w:t>
      </w:r>
      <w:r>
        <w:rPr>
          <w:sz w:val="18"/>
          <w:szCs w:val="18"/>
          <w:lang w:val="pt-PT"/>
        </w:rPr>
        <w:tab/>
        <w:t xml:space="preserve">GHG </w:t>
      </w:r>
      <w:proofErr w:type="spellStart"/>
      <w:r>
        <w:rPr>
          <w:sz w:val="18"/>
          <w:szCs w:val="18"/>
          <w:lang w:val="pt-PT"/>
        </w:rPr>
        <w:t>Inventory</w:t>
      </w:r>
      <w:proofErr w:type="spellEnd"/>
      <w:r>
        <w:rPr>
          <w:sz w:val="18"/>
          <w:szCs w:val="18"/>
          <w:lang w:val="pt-PT"/>
        </w:rPr>
        <w:t xml:space="preserve"> data 2016, </w:t>
      </w:r>
      <w:hyperlink r:id="rId12" w:history="1">
        <w:r>
          <w:rPr>
            <w:rStyle w:val="Hyperlink"/>
            <w:sz w:val="18"/>
            <w:szCs w:val="18"/>
            <w:lang w:val="pt-PT"/>
          </w:rPr>
          <w:t>http://www.eea.europa.eu/data-and-maps/data/data-viewers/greenhouse-gases-viewer</w:t>
        </w:r>
      </w:hyperlink>
    </w:p>
  </w:footnote>
  <w:footnote w:id="60">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SWD(2017) 180 final</w:t>
      </w:r>
    </w:p>
  </w:footnote>
  <w:footnote w:id="61">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Sources :</w:t>
      </w:r>
      <w:hyperlink r:id="rId13" w:history="1">
        <w:r>
          <w:rPr>
            <w:rStyle w:val="Hyperlink"/>
            <w:sz w:val="18"/>
            <w:szCs w:val="18"/>
          </w:rPr>
          <w:t>http://media.daimler.com/marsMediaSite/en/instance/ko/Daimler-Trucks-launches-E-FUSO-and-all-electric-heavy-duty-truck-Vision-One.xhtml?oid=30010405</w:t>
        </w:r>
      </w:hyperlink>
    </w:p>
    <w:p w:rsidR="003E180D" w:rsidRDefault="003E180D" w:rsidP="003E180D">
      <w:pPr>
        <w:pStyle w:val="FootnoteText"/>
        <w:tabs>
          <w:tab w:val="left" w:pos="284"/>
        </w:tabs>
        <w:spacing w:after="60"/>
        <w:rPr>
          <w:sz w:val="18"/>
          <w:szCs w:val="18"/>
        </w:rPr>
      </w:pPr>
      <w:hyperlink r:id="rId14" w:history="1">
        <w:r>
          <w:rPr>
            <w:rStyle w:val="Hyperlink"/>
            <w:sz w:val="18"/>
            <w:szCs w:val="18"/>
          </w:rPr>
          <w:t>http://corporate.renault-trucks.com/en/press-releases/2015-02-23-the-french-poste-office-and-renault-trucks-jointly-test-a-hydrogen-powered-truck-running-on-a-fuel-cell.html</w:t>
        </w:r>
      </w:hyperlink>
    </w:p>
    <w:p w:rsidR="003E180D" w:rsidRDefault="003E180D" w:rsidP="003E180D">
      <w:pPr>
        <w:pStyle w:val="FootnoteText"/>
        <w:tabs>
          <w:tab w:val="left" w:pos="284"/>
        </w:tabs>
        <w:spacing w:after="60"/>
        <w:rPr>
          <w:sz w:val="18"/>
          <w:szCs w:val="18"/>
        </w:rPr>
      </w:pPr>
      <w:hyperlink r:id="rId15" w:history="1">
        <w:r>
          <w:rPr>
            <w:rStyle w:val="Hyperlink"/>
            <w:sz w:val="18"/>
            <w:szCs w:val="18"/>
          </w:rPr>
          <w:t>https://www.iveco.com/Corporate-en/Company/Pages/Electric-vehicles.aspx</w:t>
        </w:r>
      </w:hyperlink>
    </w:p>
    <w:p w:rsidR="003E180D" w:rsidRDefault="003E180D" w:rsidP="003E180D">
      <w:pPr>
        <w:pStyle w:val="FootnoteText"/>
        <w:tabs>
          <w:tab w:val="left" w:pos="284"/>
        </w:tabs>
        <w:spacing w:after="60"/>
        <w:rPr>
          <w:sz w:val="18"/>
          <w:szCs w:val="18"/>
        </w:rPr>
      </w:pPr>
      <w:hyperlink r:id="rId16" w:history="1">
        <w:r>
          <w:rPr>
            <w:rStyle w:val="Hyperlink"/>
            <w:sz w:val="18"/>
            <w:szCs w:val="18"/>
          </w:rPr>
          <w:t>https://www.volkswagenag.com/en/news/2017/02/man_etruck.html</w:t>
        </w:r>
      </w:hyperlink>
    </w:p>
    <w:p w:rsidR="003E180D" w:rsidRDefault="003E180D" w:rsidP="003E180D">
      <w:pPr>
        <w:pStyle w:val="FootnoteText"/>
        <w:tabs>
          <w:tab w:val="left" w:pos="284"/>
        </w:tabs>
        <w:spacing w:after="60"/>
        <w:rPr>
          <w:sz w:val="18"/>
          <w:szCs w:val="18"/>
        </w:rPr>
      </w:pPr>
      <w:hyperlink r:id="rId17" w:history="1">
        <w:r>
          <w:rPr>
            <w:rStyle w:val="Hyperlink"/>
            <w:sz w:val="18"/>
            <w:szCs w:val="18"/>
          </w:rPr>
          <w:t>https://www.scania.com/group/en/electric-trucks-how-the-technology-works/</w:t>
        </w:r>
      </w:hyperlink>
    </w:p>
    <w:p w:rsidR="003E180D" w:rsidRDefault="003E180D" w:rsidP="003E180D">
      <w:pPr>
        <w:pStyle w:val="FootnoteText"/>
        <w:tabs>
          <w:tab w:val="left" w:pos="284"/>
        </w:tabs>
        <w:spacing w:after="60"/>
        <w:rPr>
          <w:sz w:val="18"/>
          <w:szCs w:val="18"/>
        </w:rPr>
      </w:pPr>
      <w:hyperlink r:id="rId18" w:history="1">
        <w:r>
          <w:rPr>
            <w:rStyle w:val="Hyperlink"/>
            <w:sz w:val="18"/>
            <w:szCs w:val="18"/>
          </w:rPr>
          <w:t>https://electrek.co/guides/tesla-semi/</w:t>
        </w:r>
      </w:hyperlink>
    </w:p>
    <w:p w:rsidR="003E180D" w:rsidRDefault="003E180D" w:rsidP="003E180D">
      <w:pPr>
        <w:pStyle w:val="FootnoteText"/>
        <w:tabs>
          <w:tab w:val="left" w:pos="284"/>
        </w:tabs>
        <w:spacing w:after="60"/>
        <w:rPr>
          <w:sz w:val="18"/>
          <w:szCs w:val="18"/>
        </w:rPr>
      </w:pPr>
      <w:hyperlink r:id="rId19" w:history="1">
        <w:r>
          <w:rPr>
            <w:rStyle w:val="Hyperlink"/>
            <w:sz w:val="18"/>
            <w:szCs w:val="18"/>
          </w:rPr>
          <w:t>http://www.byd.com/</w:t>
        </w:r>
      </w:hyperlink>
    </w:p>
    <w:p w:rsidR="003E180D" w:rsidRDefault="003E180D" w:rsidP="003E180D">
      <w:pPr>
        <w:pStyle w:val="FootnoteText"/>
        <w:tabs>
          <w:tab w:val="left" w:pos="284"/>
        </w:tabs>
        <w:spacing w:after="60"/>
        <w:rPr>
          <w:sz w:val="18"/>
          <w:szCs w:val="18"/>
        </w:rPr>
      </w:pPr>
      <w:hyperlink r:id="rId20" w:history="1">
        <w:r>
          <w:rPr>
            <w:rStyle w:val="Hyperlink"/>
            <w:sz w:val="18"/>
            <w:szCs w:val="18"/>
          </w:rPr>
          <w:t>https://www.cummins.com/news/2017/08/29/5-cool-things-about-our-electric-powertrain-concept-truck</w:t>
        </w:r>
      </w:hyperlink>
    </w:p>
    <w:p w:rsidR="003E180D" w:rsidRDefault="003E180D" w:rsidP="003E180D">
      <w:pPr>
        <w:pStyle w:val="FootnoteText"/>
        <w:tabs>
          <w:tab w:val="left" w:pos="284"/>
        </w:tabs>
        <w:spacing w:after="60"/>
        <w:rPr>
          <w:sz w:val="18"/>
          <w:szCs w:val="18"/>
          <w:lang w:val="pt-PT"/>
        </w:rPr>
      </w:pPr>
      <w:hyperlink r:id="rId21" w:history="1">
        <w:r>
          <w:rPr>
            <w:rStyle w:val="Hyperlink"/>
            <w:sz w:val="18"/>
            <w:szCs w:val="18"/>
            <w:lang w:val="pt-PT"/>
          </w:rPr>
          <w:t>https://nikolamotor.com/motor</w:t>
        </w:r>
      </w:hyperlink>
    </w:p>
  </w:footnote>
  <w:footnote w:id="62">
    <w:p w:rsidR="003E180D" w:rsidRDefault="003E180D" w:rsidP="003E180D">
      <w:pPr>
        <w:pStyle w:val="FootnoteText"/>
        <w:tabs>
          <w:tab w:val="left" w:pos="284"/>
        </w:tabs>
        <w:spacing w:after="60"/>
        <w:rPr>
          <w:sz w:val="18"/>
          <w:szCs w:val="18"/>
          <w:lang w:val="pt-PT"/>
        </w:rPr>
      </w:pPr>
      <w:r>
        <w:rPr>
          <w:rStyle w:val="FootnoteReference"/>
          <w:sz w:val="18"/>
          <w:szCs w:val="18"/>
        </w:rPr>
        <w:footnoteRef/>
      </w:r>
      <w:r>
        <w:rPr>
          <w:sz w:val="18"/>
          <w:szCs w:val="18"/>
          <w:lang w:val="pt-PT"/>
        </w:rPr>
        <w:t xml:space="preserve"> </w:t>
      </w:r>
      <w:r>
        <w:rPr>
          <w:sz w:val="18"/>
          <w:szCs w:val="18"/>
          <w:lang w:val="pt-PT"/>
        </w:rPr>
        <w:tab/>
      </w:r>
      <w:proofErr w:type="gramStart"/>
      <w:r>
        <w:rPr>
          <w:sz w:val="18"/>
          <w:szCs w:val="18"/>
          <w:lang w:val="pt-PT"/>
        </w:rPr>
        <w:t>COM(2014</w:t>
      </w:r>
      <w:proofErr w:type="gramEnd"/>
      <w:r>
        <w:rPr>
          <w:sz w:val="18"/>
          <w:szCs w:val="18"/>
          <w:lang w:val="pt-PT"/>
        </w:rPr>
        <w:t xml:space="preserve">) 285 final  </w:t>
      </w:r>
    </w:p>
  </w:footnote>
  <w:footnote w:id="63">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Commission Regulation (EU) 2017/2400</w:t>
      </w:r>
    </w:p>
  </w:footnote>
  <w:footnote w:id="64">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COM(2017) 0279 final</w:t>
      </w:r>
    </w:p>
  </w:footnote>
  <w:footnote w:id="65">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hyperlink r:id="rId22" w:history="1">
        <w:r>
          <w:rPr>
            <w:rStyle w:val="Hyperlink"/>
            <w:sz w:val="18"/>
            <w:szCs w:val="18"/>
          </w:rPr>
          <w:t>https://ec.europa.eu/clima/sites/clima/files/transport/vehicles/heavy/docs/hdv_2011_01_09_en.pdf</w:t>
        </w:r>
      </w:hyperlink>
    </w:p>
  </w:footnote>
  <w:footnote w:id="66">
    <w:p w:rsidR="003E180D" w:rsidRDefault="003E180D" w:rsidP="003E180D">
      <w:pPr>
        <w:pStyle w:val="FootnoteText"/>
      </w:pPr>
      <w:r>
        <w:rPr>
          <w:rStyle w:val="FootnoteReference"/>
        </w:rPr>
        <w:footnoteRef/>
      </w:r>
      <w:r>
        <w:t xml:space="preserve"> Report on VECTO Technology Simulation Capabilities and Future Outlook, JRC, 2016</w:t>
      </w:r>
    </w:p>
  </w:footnote>
  <w:footnote w:id="67">
    <w:p w:rsidR="003E180D" w:rsidRDefault="003E180D" w:rsidP="003E180D">
      <w:pPr>
        <w:pStyle w:val="FootnoteText"/>
        <w:rPr>
          <w:sz w:val="18"/>
        </w:rPr>
      </w:pPr>
      <w:r>
        <w:rPr>
          <w:rStyle w:val="FootnoteReference"/>
          <w:sz w:val="18"/>
        </w:rPr>
        <w:footnoteRef/>
      </w:r>
      <w:r>
        <w:rPr>
          <w:sz w:val="18"/>
        </w:rPr>
        <w:t xml:space="preserve"> Report on VECTO Technology Simulation Capabilities and Future Outlook, JRC, 2016</w:t>
      </w:r>
    </w:p>
  </w:footnote>
  <w:footnote w:id="68">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r>
      <w:hyperlink r:id="rId23" w:history="1">
        <w:r>
          <w:rPr>
            <w:rStyle w:val="Hyperlink"/>
            <w:sz w:val="18"/>
            <w:szCs w:val="18"/>
          </w:rPr>
          <w:t>Commission Regulation (EU) 2017/2400</w:t>
        </w:r>
      </w:hyperlink>
      <w:r>
        <w:rPr>
          <w:sz w:val="18"/>
          <w:szCs w:val="18"/>
        </w:rPr>
        <w:t xml:space="preserve"> </w:t>
      </w:r>
    </w:p>
  </w:footnote>
  <w:footnote w:id="69">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Directive 2007/46/EC</w:t>
      </w:r>
    </w:p>
  </w:footnote>
  <w:footnote w:id="70">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 xml:space="preserve">See Annex I to </w:t>
      </w:r>
      <w:hyperlink r:id="rId24" w:history="1">
        <w:r>
          <w:rPr>
            <w:rStyle w:val="Hyperlink"/>
            <w:sz w:val="18"/>
            <w:szCs w:val="18"/>
          </w:rPr>
          <w:t>Commission Regulation (EU) 2017/2400</w:t>
        </w:r>
      </w:hyperlink>
      <w:r>
        <w:rPr>
          <w:sz w:val="18"/>
          <w:szCs w:val="18"/>
        </w:rPr>
        <w:t xml:space="preserve"> </w:t>
      </w:r>
    </w:p>
  </w:footnote>
  <w:footnote w:id="71">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A "4x2" axle configuration means that the HDV has a two-drive axles with four wheels (similarly for the other configurations).</w:t>
      </w:r>
    </w:p>
  </w:footnote>
  <w:footnote w:id="72">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GVW is the weight of the fully loaded vehicle and / or trailer, including all cargo, fluids, passengers, and optional equipment.</w:t>
      </w:r>
    </w:p>
  </w:footnote>
  <w:footnote w:id="73">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TU Graz, TNO, TUV Nord, VVT, AVL, LAT and Heinz Steven (2012), </w:t>
      </w:r>
      <w:r>
        <w:rPr>
          <w:i/>
          <w:sz w:val="18"/>
          <w:szCs w:val="18"/>
        </w:rPr>
        <w:t>Reduction and Testing of Greenhouse Gas Emissions from Heavy Duty Vehicles - LOT 2: Development and testing of a certification procedure for CO</w:t>
      </w:r>
      <w:r>
        <w:rPr>
          <w:i/>
          <w:sz w:val="18"/>
          <w:szCs w:val="18"/>
          <w:vertAlign w:val="subscript"/>
        </w:rPr>
        <w:t>2</w:t>
      </w:r>
      <w:r>
        <w:rPr>
          <w:i/>
          <w:sz w:val="18"/>
          <w:szCs w:val="18"/>
        </w:rPr>
        <w:t xml:space="preserve"> emissions and fuel consumption of HDV</w:t>
      </w:r>
      <w:r>
        <w:rPr>
          <w:sz w:val="18"/>
          <w:szCs w:val="18"/>
        </w:rPr>
        <w:t xml:space="preserve">, </w:t>
      </w:r>
      <w:hyperlink r:id="rId25" w:history="1">
        <w:r>
          <w:rPr>
            <w:rStyle w:val="Hyperlink"/>
            <w:sz w:val="18"/>
            <w:szCs w:val="18"/>
          </w:rPr>
          <w:t>https://ec.europa.eu/clima/sites/clima/files/transport/vehicles/heavy/docs/hdv_2011_01_09_en.pdf</w:t>
        </w:r>
      </w:hyperlink>
    </w:p>
  </w:footnote>
  <w:footnote w:id="74">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ab/>
      </w:r>
      <w:r>
        <w:rPr>
          <w:rStyle w:val="Hyperlink"/>
          <w:sz w:val="18"/>
          <w:szCs w:val="18"/>
        </w:rPr>
        <w:t>https://ec.europa.eu/transparency/regdoc/rep/1/2016/EN/1-2016-501-EN-F1-1.PDF</w:t>
      </w:r>
    </w:p>
  </w:footnote>
  <w:footnote w:id="75">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ab/>
        <w:t>IEA (2017) The Future of Trucks – Implications for Energy and Environment</w:t>
      </w:r>
    </w:p>
  </w:footnote>
  <w:footnote w:id="76">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ab/>
        <w:t>Siemens (2017), “</w:t>
      </w:r>
      <w:proofErr w:type="spellStart"/>
      <w:r>
        <w:rPr>
          <w:sz w:val="18"/>
          <w:szCs w:val="18"/>
        </w:rPr>
        <w:t>eHighway</w:t>
      </w:r>
      <w:proofErr w:type="spellEnd"/>
      <w:r>
        <w:rPr>
          <w:sz w:val="18"/>
          <w:szCs w:val="18"/>
        </w:rPr>
        <w:t>: Electrified heavy duty road transport” (</w:t>
      </w:r>
      <w:hyperlink r:id="rId26" w:history="1">
        <w:r>
          <w:rPr>
            <w:rStyle w:val="Hyperlink"/>
            <w:sz w:val="18"/>
            <w:szCs w:val="18"/>
          </w:rPr>
          <w:t>https://www.siemens.com/content/dam/webassetpool/mam/tag-siemens-com/smdb/mobility/road/electromobility/ehighway/documents/ehighway-2017.pdf</w:t>
        </w:r>
      </w:hyperlink>
      <w:r>
        <w:rPr>
          <w:sz w:val="18"/>
          <w:szCs w:val="18"/>
        </w:rPr>
        <w:t xml:space="preserve">) and  </w:t>
      </w:r>
      <w:proofErr w:type="spellStart"/>
      <w:r>
        <w:rPr>
          <w:sz w:val="18"/>
          <w:szCs w:val="18"/>
        </w:rPr>
        <w:t>Akerman</w:t>
      </w:r>
      <w:proofErr w:type="spellEnd"/>
      <w:r>
        <w:rPr>
          <w:sz w:val="18"/>
          <w:szCs w:val="18"/>
        </w:rPr>
        <w:t xml:space="preserve">, P. presentation at joint IEA and JRC workshop, “The future role of trucks for energy and environment”, 8 November 2016, </w:t>
      </w:r>
      <w:hyperlink r:id="rId27" w:history="1">
        <w:r>
          <w:rPr>
            <w:rStyle w:val="Hyperlink"/>
            <w:sz w:val="18"/>
            <w:szCs w:val="18"/>
          </w:rPr>
          <w:t>http://www.iea.org/media/workshops/2016/thefutureroleoftrucks/7_Akerman_PA_eHighway_IEA_JRC_workshop.pdf</w:t>
        </w:r>
      </w:hyperlink>
    </w:p>
  </w:footnote>
  <w:footnote w:id="77">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ab/>
        <w:t>IEA (2017) The Future of Trucks – Implications for Energy and Environment</w:t>
      </w:r>
    </w:p>
  </w:footnote>
  <w:footnote w:id="78">
    <w:p w:rsidR="003E180D" w:rsidRDefault="003E180D" w:rsidP="003E180D">
      <w:pPr>
        <w:pStyle w:val="FootnoteText"/>
        <w:tabs>
          <w:tab w:val="left" w:pos="284"/>
        </w:tabs>
        <w:spacing w:after="60"/>
        <w:rPr>
          <w:sz w:val="18"/>
          <w:szCs w:val="18"/>
          <w:lang w:val="pt-PT"/>
        </w:rPr>
      </w:pPr>
      <w:r>
        <w:rPr>
          <w:rStyle w:val="FootnoteReference"/>
          <w:sz w:val="18"/>
          <w:szCs w:val="18"/>
        </w:rPr>
        <w:footnoteRef/>
      </w:r>
      <w:r>
        <w:rPr>
          <w:sz w:val="18"/>
          <w:szCs w:val="18"/>
          <w:lang w:val="pt-PT"/>
        </w:rPr>
        <w:tab/>
      </w:r>
      <w:proofErr w:type="gramStart"/>
      <w:r>
        <w:rPr>
          <w:sz w:val="18"/>
          <w:szCs w:val="18"/>
          <w:lang w:val="pt-PT"/>
        </w:rPr>
        <w:t>COM(2017</w:t>
      </w:r>
      <w:proofErr w:type="gramEnd"/>
      <w:r>
        <w:rPr>
          <w:sz w:val="18"/>
          <w:szCs w:val="18"/>
          <w:lang w:val="pt-PT"/>
        </w:rPr>
        <w:t>)652 final</w:t>
      </w:r>
    </w:p>
  </w:footnote>
  <w:footnote w:id="79">
    <w:p w:rsidR="003E180D" w:rsidRDefault="003E180D" w:rsidP="003E180D">
      <w:pPr>
        <w:pStyle w:val="FootnoteText"/>
        <w:spacing w:after="120"/>
        <w:rPr>
          <w:sz w:val="18"/>
          <w:lang w:val="pt-PT"/>
        </w:rPr>
      </w:pPr>
      <w:r>
        <w:rPr>
          <w:rStyle w:val="FootnoteReference"/>
        </w:rPr>
        <w:footnoteRef/>
      </w:r>
      <w:r>
        <w:rPr>
          <w:lang w:val="pt-PT"/>
        </w:rPr>
        <w:t xml:space="preserve"> </w:t>
      </w:r>
      <w:r>
        <w:rPr>
          <w:lang w:val="pt-PT"/>
        </w:rPr>
        <w:tab/>
      </w:r>
      <w:hyperlink r:id="rId28" w:history="1">
        <w:r>
          <w:rPr>
            <w:rStyle w:val="Hyperlink"/>
            <w:sz w:val="18"/>
            <w:lang w:val="pt-PT"/>
          </w:rPr>
          <w:t>https://ec.europa.eu/energy/sites/ener/files/documents/20160713%20draft_publication_REF2016_v13.pdf</w:t>
        </w:r>
      </w:hyperlink>
    </w:p>
  </w:footnote>
  <w:footnote w:id="80">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Including freight and passenger transport</w:t>
      </w:r>
    </w:p>
  </w:footnote>
  <w:footnote w:id="81">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Including transport via railways; pipelines; sea; inland water; air</w:t>
      </w:r>
    </w:p>
  </w:footnote>
  <w:footnote w:id="82">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Including freight and passenger transport</w:t>
      </w:r>
    </w:p>
  </w:footnote>
  <w:footnote w:id="83">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Including transport via railways; pipelines; sea; inland water; air</w:t>
      </w:r>
    </w:p>
  </w:footnote>
  <w:footnote w:id="84">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Including freight and passenger transport</w:t>
      </w:r>
    </w:p>
  </w:footnote>
  <w:footnote w:id="85">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Including transport via railways; pipelines; sea; inland water; air</w:t>
      </w:r>
    </w:p>
  </w:footnote>
  <w:footnote w:id="86">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Including freight and passenger transport</w:t>
      </w:r>
    </w:p>
  </w:footnote>
  <w:footnote w:id="87">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Including transport via railways; pipelines; sea; inland water; air</w:t>
      </w:r>
    </w:p>
  </w:footnote>
  <w:footnote w:id="88">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Including freight and passenger transport</w:t>
      </w:r>
    </w:p>
  </w:footnote>
  <w:footnote w:id="89">
    <w:p w:rsidR="003E180D" w:rsidRDefault="003E180D" w:rsidP="003E180D">
      <w:pPr>
        <w:pStyle w:val="FootnoteText"/>
        <w:tabs>
          <w:tab w:val="left" w:pos="284"/>
        </w:tabs>
        <w:spacing w:after="60"/>
        <w:rPr>
          <w:sz w:val="18"/>
          <w:szCs w:val="18"/>
        </w:rPr>
      </w:pPr>
      <w:r>
        <w:rPr>
          <w:rStyle w:val="FootnoteReference"/>
          <w:sz w:val="18"/>
          <w:szCs w:val="18"/>
        </w:rPr>
        <w:footnoteRef/>
      </w:r>
      <w:r>
        <w:rPr>
          <w:sz w:val="18"/>
          <w:szCs w:val="18"/>
        </w:rPr>
        <w:t xml:space="preserve"> </w:t>
      </w:r>
      <w:r>
        <w:rPr>
          <w:sz w:val="18"/>
          <w:szCs w:val="18"/>
        </w:rPr>
        <w:tab/>
        <w:t>Taking into account the average payloads as simulated in VECTO and the relative share of the different vehicle groups in the fleet, this translates into a penalty of around €50 per gCO</w:t>
      </w:r>
      <w:r>
        <w:rPr>
          <w:sz w:val="18"/>
          <w:vertAlign w:val="subscript"/>
        </w:rPr>
        <w:t>2</w:t>
      </w:r>
      <w:r>
        <w:rPr>
          <w:sz w:val="18"/>
          <w:szCs w:val="18"/>
        </w:rPr>
        <w:t>/</w:t>
      </w:r>
      <w:proofErr w:type="spellStart"/>
      <w:r>
        <w:rPr>
          <w:sz w:val="18"/>
          <w:szCs w:val="18"/>
        </w:rPr>
        <w:t>tkm</w:t>
      </w:r>
      <w:proofErr w:type="spellEnd"/>
      <w:r>
        <w:rPr>
          <w:sz w:val="18"/>
          <w:szCs w:val="18"/>
        </w:rPr>
        <w:t xml:space="preserve"> exceedance of the target.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80D" w:rsidRPr="003E180D" w:rsidRDefault="003E180D" w:rsidP="003E180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0BD" w:rsidRDefault="00A55D7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0BD" w:rsidRDefault="00A55D7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0BD" w:rsidRDefault="00A55D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80D" w:rsidRPr="003E180D" w:rsidRDefault="003E180D" w:rsidP="003E180D">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80D" w:rsidRPr="003E180D" w:rsidRDefault="003E180D" w:rsidP="003E180D">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80D" w:rsidRDefault="003E180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80D" w:rsidRDefault="003E180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80D" w:rsidRDefault="003E180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80D" w:rsidRDefault="003E180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80D" w:rsidRDefault="003E180D">
    <w:pPr>
      <w:pStyle w:val="HeaderLandscap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80D" w:rsidRDefault="003E180D">
    <w:pPr>
      <w:pStyle w:val="HeaderLandscap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92AA674"/>
    <w:lvl w:ilvl="0">
      <w:start w:val="1"/>
      <w:numFmt w:val="decimal"/>
      <w:pStyle w:val="ListNumber"/>
      <w:lvlText w:val="%1."/>
      <w:lvlJc w:val="left"/>
      <w:pPr>
        <w:tabs>
          <w:tab w:val="num" w:pos="360"/>
        </w:tabs>
        <w:ind w:left="360" w:hanging="360"/>
      </w:pPr>
    </w:lvl>
  </w:abstractNum>
  <w:abstractNum w:abstractNumId="1">
    <w:nsid w:val="0230252E"/>
    <w:multiLevelType w:val="multilevel"/>
    <w:tmpl w:val="F998DB4C"/>
    <w:lvl w:ilvl="0">
      <w:start w:val="1"/>
      <w:numFmt w:val="decimal"/>
      <w:pStyle w:val="Heading1"/>
      <w:lvlText w:val="%1"/>
      <w:lvlJc w:val="left"/>
      <w:pPr>
        <w:ind w:left="432" w:hanging="432"/>
      </w:pPr>
    </w:lvl>
    <w:lvl w:ilvl="1">
      <w:start w:val="1"/>
      <w:numFmt w:val="decimal"/>
      <w:pStyle w:val="Heading2"/>
      <w:lvlText w:val="%1.%2"/>
      <w:lvlJc w:val="left"/>
      <w:pPr>
        <w:ind w:left="9082" w:hanging="576"/>
      </w:pPr>
    </w:lvl>
    <w:lvl w:ilvl="2">
      <w:start w:val="1"/>
      <w:numFmt w:val="decimal"/>
      <w:pStyle w:val="Heading3"/>
      <w:lvlText w:val="%1.%2.%3"/>
      <w:lvlJc w:val="left"/>
      <w:pPr>
        <w:ind w:left="720" w:hanging="720"/>
      </w:pPr>
      <w:rPr>
        <w:rFonts w:ascii="Times New Roman" w:hAnsi="Times New Roman"/>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ascii="Times New Roman" w:hAnsi="Times New Roman" w:cs="Times New Roman" w:hint="default"/>
        <w:sz w:val="24"/>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3">
    <w:nsid w:val="3355703C"/>
    <w:multiLevelType w:val="multilevel"/>
    <w:tmpl w:val="F6A235B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3CF00E18"/>
    <w:multiLevelType w:val="singleLevel"/>
    <w:tmpl w:val="4E1A982C"/>
    <w:lvl w:ilvl="0">
      <w:start w:val="1"/>
      <w:numFmt w:val="bullet"/>
      <w:lvlText w:val=""/>
      <w:lvlJc w:val="left"/>
      <w:pPr>
        <w:tabs>
          <w:tab w:val="num" w:pos="283"/>
        </w:tabs>
        <w:ind w:left="283" w:hanging="283"/>
      </w:pPr>
      <w:rPr>
        <w:rFonts w:ascii="Symbol" w:hAnsi="Symbol"/>
      </w:rPr>
    </w:lvl>
  </w:abstractNum>
  <w:abstractNum w:abstractNumId="5">
    <w:nsid w:val="3E9B7902"/>
    <w:multiLevelType w:val="hybridMultilevel"/>
    <w:tmpl w:val="14704D72"/>
    <w:lvl w:ilvl="0" w:tplc="0809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6">
    <w:nsid w:val="3FB53791"/>
    <w:multiLevelType w:val="hybridMultilevel"/>
    <w:tmpl w:val="C7443412"/>
    <w:lvl w:ilvl="0" w:tplc="080C0001">
      <w:start w:val="1"/>
      <w:numFmt w:val="bullet"/>
      <w:lvlText w:val=""/>
      <w:lvlJc w:val="left"/>
      <w:pPr>
        <w:ind w:left="720" w:hanging="360"/>
      </w:pPr>
      <w:rPr>
        <w:rFonts w:ascii="Symbol" w:hAnsi="Symbol" w:hint="default"/>
      </w:rPr>
    </w:lvl>
    <w:lvl w:ilvl="1" w:tplc="0C070019">
      <w:start w:val="1"/>
      <w:numFmt w:val="lowerLetter"/>
      <w:lvlText w:val="%2."/>
      <w:lvlJc w:val="left"/>
      <w:pPr>
        <w:ind w:left="1440" w:hanging="360"/>
      </w:pPr>
      <w:rPr>
        <w:rFonts w:cs="Times New Roman"/>
      </w:rPr>
    </w:lvl>
    <w:lvl w:ilvl="2" w:tplc="0C07001B">
      <w:start w:val="1"/>
      <w:numFmt w:val="lowerRoman"/>
      <w:lvlText w:val="%3."/>
      <w:lvlJc w:val="right"/>
      <w:pPr>
        <w:ind w:left="2160" w:hanging="180"/>
      </w:pPr>
      <w:rPr>
        <w:rFonts w:cs="Times New Roman"/>
      </w:rPr>
    </w:lvl>
    <w:lvl w:ilvl="3" w:tplc="0C07000F">
      <w:start w:val="1"/>
      <w:numFmt w:val="decimal"/>
      <w:lvlText w:val="%4."/>
      <w:lvlJc w:val="left"/>
      <w:pPr>
        <w:ind w:left="2880" w:hanging="360"/>
      </w:pPr>
      <w:rPr>
        <w:rFonts w:cs="Times New Roman"/>
      </w:rPr>
    </w:lvl>
    <w:lvl w:ilvl="4" w:tplc="0C070019">
      <w:start w:val="1"/>
      <w:numFmt w:val="lowerLetter"/>
      <w:lvlText w:val="%5."/>
      <w:lvlJc w:val="left"/>
      <w:pPr>
        <w:ind w:left="3600" w:hanging="360"/>
      </w:pPr>
      <w:rPr>
        <w:rFonts w:cs="Times New Roman"/>
      </w:rPr>
    </w:lvl>
    <w:lvl w:ilvl="5" w:tplc="0C07001B">
      <w:start w:val="1"/>
      <w:numFmt w:val="lowerRoman"/>
      <w:lvlText w:val="%6."/>
      <w:lvlJc w:val="right"/>
      <w:pPr>
        <w:ind w:left="4320" w:hanging="180"/>
      </w:pPr>
      <w:rPr>
        <w:rFonts w:cs="Times New Roman"/>
      </w:rPr>
    </w:lvl>
    <w:lvl w:ilvl="6" w:tplc="0C07000F">
      <w:start w:val="1"/>
      <w:numFmt w:val="decimal"/>
      <w:lvlText w:val="%7."/>
      <w:lvlJc w:val="left"/>
      <w:pPr>
        <w:ind w:left="5040" w:hanging="360"/>
      </w:pPr>
      <w:rPr>
        <w:rFonts w:cs="Times New Roman"/>
      </w:rPr>
    </w:lvl>
    <w:lvl w:ilvl="7" w:tplc="0C070019">
      <w:start w:val="1"/>
      <w:numFmt w:val="lowerLetter"/>
      <w:lvlText w:val="%8."/>
      <w:lvlJc w:val="left"/>
      <w:pPr>
        <w:ind w:left="5760" w:hanging="360"/>
      </w:pPr>
      <w:rPr>
        <w:rFonts w:cs="Times New Roman"/>
      </w:rPr>
    </w:lvl>
    <w:lvl w:ilvl="8" w:tplc="0C07001B">
      <w:start w:val="1"/>
      <w:numFmt w:val="lowerRoman"/>
      <w:lvlText w:val="%9."/>
      <w:lvlJc w:val="right"/>
      <w:pPr>
        <w:ind w:left="6480" w:hanging="180"/>
      </w:pPr>
      <w:rPr>
        <w:rFonts w:cs="Times New Roman"/>
      </w:rPr>
    </w:lvl>
  </w:abstractNum>
  <w:abstractNum w:abstractNumId="7">
    <w:nsid w:val="4392094B"/>
    <w:multiLevelType w:val="hybridMultilevel"/>
    <w:tmpl w:val="B0E4C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46C355F"/>
    <w:multiLevelType w:val="hybridMultilevel"/>
    <w:tmpl w:val="79263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970168F"/>
    <w:multiLevelType w:val="hybridMultilevel"/>
    <w:tmpl w:val="6518CA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CCA140A"/>
    <w:multiLevelType w:val="hybridMultilevel"/>
    <w:tmpl w:val="7F52E15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4D6614A4"/>
    <w:multiLevelType w:val="hybridMultilevel"/>
    <w:tmpl w:val="3A3EC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3301981"/>
    <w:multiLevelType w:val="hybridMultilevel"/>
    <w:tmpl w:val="32FC7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48C56BC"/>
    <w:multiLevelType w:val="hybridMultilevel"/>
    <w:tmpl w:val="4A8689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57201F01"/>
    <w:multiLevelType w:val="hybridMultilevel"/>
    <w:tmpl w:val="46D0E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E193BB0"/>
    <w:multiLevelType w:val="hybridMultilevel"/>
    <w:tmpl w:val="254E91A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7">
    <w:nsid w:val="64B66DE7"/>
    <w:multiLevelType w:val="hybridMultilevel"/>
    <w:tmpl w:val="E5C2E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72658DD"/>
    <w:multiLevelType w:val="hybridMultilevel"/>
    <w:tmpl w:val="D3529D48"/>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9">
    <w:nsid w:val="6D441ACF"/>
    <w:multiLevelType w:val="hybridMultilevel"/>
    <w:tmpl w:val="7F8823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6F514A18"/>
    <w:multiLevelType w:val="hybridMultilevel"/>
    <w:tmpl w:val="802EC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0A52773"/>
    <w:multiLevelType w:val="hybridMultilevel"/>
    <w:tmpl w:val="6B00804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2">
    <w:nsid w:val="71D84386"/>
    <w:multiLevelType w:val="hybridMultilevel"/>
    <w:tmpl w:val="584E1C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7C701CE7"/>
    <w:multiLevelType w:val="multilevel"/>
    <w:tmpl w:val="109EC32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nsid w:val="7EE74893"/>
    <w:multiLevelType w:val="hybridMultilevel"/>
    <w:tmpl w:val="E3A48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21"/>
  </w:num>
  <w:num w:numId="4">
    <w:abstractNumId w:val="14"/>
  </w:num>
  <w:num w:numId="5">
    <w:abstractNumId w:val="17"/>
  </w:num>
  <w:num w:numId="6">
    <w:abstractNumId w:val="9"/>
  </w:num>
  <w:num w:numId="7">
    <w:abstractNumId w:val="1"/>
  </w:num>
  <w:num w:numId="8">
    <w:abstractNumId w:val="4"/>
  </w:num>
  <w:num w:numId="9">
    <w:abstractNumId w:val="0"/>
  </w:num>
  <w:num w:numId="10">
    <w:abstractNumId w:val="19"/>
  </w:num>
  <w:num w:numId="11">
    <w:abstractNumId w:val="5"/>
  </w:num>
  <w:num w:numId="12">
    <w:abstractNumId w:val="8"/>
  </w:num>
  <w:num w:numId="13">
    <w:abstractNumId w:val="12"/>
  </w:num>
  <w:num w:numId="14">
    <w:abstractNumId w:val="24"/>
  </w:num>
  <w:num w:numId="15">
    <w:abstractNumId w:val="13"/>
  </w:num>
  <w:num w:numId="16">
    <w:abstractNumId w:val="15"/>
  </w:num>
  <w:num w:numId="17">
    <w:abstractNumId w:val="22"/>
  </w:num>
  <w:num w:numId="18">
    <w:abstractNumId w:val="10"/>
  </w:num>
  <w:num w:numId="19">
    <w:abstractNumId w:val="3"/>
  </w:num>
  <w:num w:numId="20">
    <w:abstractNumId w:val="6"/>
  </w:num>
  <w:num w:numId="21">
    <w:abstractNumId w:val="11"/>
  </w:num>
  <w:num w:numId="22">
    <w:abstractNumId w:val="23"/>
  </w:num>
  <w:num w:numId="23">
    <w:abstractNumId w:val="20"/>
  </w:num>
  <w:num w:numId="24">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20"/>
  <w:hyphenationZone w:val="425"/>
  <w:characterSpacingControl w:val="doNotCompress"/>
  <w:hdrShapeDefaults>
    <o:shapedefaults v:ext="edit" spidmax="9830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B383791A-2FD0-4BE5-B922-753F9F438033"/>
    <w:docVar w:name="LW_COVERPAGE_TYPE" w:val="1"/>
    <w:docVar w:name="LW_CROSSREFERENCE" w:val="{COM(2018) 284 final}_x000d__x000a_{SEC(2018) 233 final}_x000d__x000a_{SWD(2018) 186 final}"/>
    <w:docVar w:name="LW_DocType" w:val="NORMAL"/>
    <w:docVar w:name="LW_EMISSION" w:val="17.5.2018"/>
    <w:docVar w:name="LW_EMISSION_ISODATE" w:val="2018-05-17"/>
    <w:docVar w:name="LW_EMISSION_LOCATION" w:val="BRX"/>
    <w:docVar w:name="LW_EMISSION_PREFIX" w:val="Brussels,"/>
    <w:docVar w:name="LW_EMISSION_SUFFIX" w:val="&lt;EMPTY&gt;"/>
    <w:docVar w:name="LW_ID_DOCTYPE_NONLW" w:val="CP-026"/>
    <w:docVar w:name="LW_LANGUE" w:val="EN"/>
    <w:docVar w:name="LW_LEVEL_OF_SENSITIVITY" w:val="Standard treatment"/>
    <w:docVar w:name="LW_NOM.INST" w:val="EUROPEAN COMMISSION"/>
    <w:docVar w:name="LW_NOM.INST_JOINTDOC" w:val="&lt;EMPTY&gt;"/>
    <w:docVar w:name="LW_OBJETACTEPRINCIPAL.CP" w:val="setting CO2 emission performance standards for new heavy duty vehicles"/>
    <w:docVar w:name="LW_PART_NBR" w:val="2"/>
    <w:docVar w:name="LW_PART_NBR_TOTAL" w:val="2"/>
    <w:docVar w:name="LW_REF.INST.NEW" w:val="SWD"/>
    <w:docVar w:name="LW_REF.INST.NEW_ADOPTED" w:val="final"/>
    <w:docVar w:name="LW_REF.INST.NEW_TEXT" w:val="(2018) 18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w:docVars>
  <w:rsids>
    <w:rsidRoot w:val="00C14A81"/>
    <w:rsid w:val="00174315"/>
    <w:rsid w:val="003E180D"/>
    <w:rsid w:val="00A55D73"/>
    <w:rsid w:val="00C14A8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page number" w:uiPriority="0"/>
    <w:lsdException w:name="List Bullet" w:uiPriority="0"/>
    <w:lsdException w:name="Lis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Pr>
      <w:rFonts w:ascii="Times New Roman" w:hAnsi="Times New Roman"/>
      <w:sz w:val="24"/>
    </w:rPr>
  </w:style>
  <w:style w:type="paragraph" w:styleId="Heading1">
    <w:name w:val="heading 1"/>
    <w:basedOn w:val="Normal"/>
    <w:next w:val="Text1"/>
    <w:link w:val="Heading1Char"/>
    <w:qFormat/>
    <w:pPr>
      <w:keepNext/>
      <w:numPr>
        <w:numId w:val="7"/>
      </w:numPr>
      <w:spacing w:before="240" w:after="240" w:line="240" w:lineRule="auto"/>
      <w:jc w:val="both"/>
      <w:outlineLvl w:val="0"/>
    </w:pPr>
    <w:rPr>
      <w:rFonts w:cs="Times New Roman"/>
      <w:b/>
      <w:smallCaps/>
      <w:szCs w:val="24"/>
    </w:rPr>
  </w:style>
  <w:style w:type="paragraph" w:styleId="Heading2">
    <w:name w:val="heading 2"/>
    <w:basedOn w:val="Normal"/>
    <w:next w:val="Text2"/>
    <w:link w:val="Heading2Char"/>
    <w:qFormat/>
    <w:pPr>
      <w:keepNext/>
      <w:numPr>
        <w:ilvl w:val="1"/>
        <w:numId w:val="7"/>
      </w:numPr>
      <w:spacing w:before="180" w:after="180" w:line="240" w:lineRule="auto"/>
      <w:ind w:left="578" w:hanging="578"/>
      <w:jc w:val="both"/>
      <w:outlineLvl w:val="1"/>
    </w:pPr>
    <w:rPr>
      <w:rFonts w:eastAsia="Times New Roman" w:cs="Times New Roman"/>
      <w:b/>
      <w:szCs w:val="20"/>
    </w:rPr>
  </w:style>
  <w:style w:type="paragraph" w:styleId="Heading3">
    <w:name w:val="heading 3"/>
    <w:basedOn w:val="Normal"/>
    <w:next w:val="Normal"/>
    <w:link w:val="Heading3Char"/>
    <w:qFormat/>
    <w:pPr>
      <w:keepNext/>
      <w:numPr>
        <w:ilvl w:val="2"/>
        <w:numId w:val="7"/>
      </w:numPr>
      <w:spacing w:before="180" w:after="180" w:line="240" w:lineRule="auto"/>
      <w:jc w:val="both"/>
      <w:outlineLvl w:val="2"/>
    </w:pPr>
    <w:rPr>
      <w:rFonts w:eastAsia="Times New Roman" w:cs="Times New Roman"/>
      <w:i/>
      <w:color w:val="000000" w:themeColor="text1"/>
      <w:szCs w:val="24"/>
    </w:rPr>
  </w:style>
  <w:style w:type="paragraph" w:styleId="Heading4">
    <w:name w:val="heading 4"/>
    <w:basedOn w:val="Normal"/>
    <w:next w:val="Normal"/>
    <w:link w:val="Heading4Char"/>
    <w:qFormat/>
    <w:pPr>
      <w:keepNext/>
      <w:numPr>
        <w:ilvl w:val="3"/>
        <w:numId w:val="7"/>
      </w:numPr>
      <w:spacing w:before="120" w:after="180" w:line="240" w:lineRule="auto"/>
      <w:ind w:left="862" w:hanging="862"/>
      <w:jc w:val="both"/>
      <w:outlineLvl w:val="3"/>
    </w:pPr>
    <w:rPr>
      <w:rFonts w:eastAsiaTheme="majorEastAsia" w:cs="Times New Roman"/>
      <w:i/>
      <w:szCs w:val="20"/>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link w:val="Heading5Char"/>
    <w:uiPriority w:val="9"/>
    <w:unhideWhenUsed/>
    <w:qFormat/>
    <w:pPr>
      <w:keepNext/>
      <w:keepLines/>
      <w:numPr>
        <w:ilvl w:val="4"/>
        <w:numId w:val="7"/>
      </w:numPr>
      <w:spacing w:before="120" w:after="120" w:line="240" w:lineRule="auto"/>
      <w:ind w:left="1009" w:hanging="1009"/>
      <w:jc w:val="both"/>
      <w:outlineLvl w:val="4"/>
    </w:pPr>
    <w:rPr>
      <w:rFonts w:eastAsiaTheme="majorEastAsia" w:cs="Times New Roman"/>
      <w:i/>
      <w:color w:val="000000" w:themeColor="text1"/>
      <w:szCs w:val="24"/>
    </w:rPr>
  </w:style>
  <w:style w:type="paragraph" w:styleId="Heading6">
    <w:name w:val="heading 6"/>
    <w:basedOn w:val="Normal"/>
    <w:next w:val="Normal"/>
    <w:link w:val="Heading6Char"/>
    <w:uiPriority w:val="9"/>
    <w:unhideWhenUsed/>
    <w:qFormat/>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sub3,Heading 7 (do not use),aoua-titre annexes"/>
    <w:basedOn w:val="Normal"/>
    <w:next w:val="Normal"/>
    <w:link w:val="Heading7Char"/>
    <w:uiPriority w:val="9"/>
    <w:unhideWhenUsed/>
    <w:qFormat/>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sub4,Heading 8 (do not use)"/>
    <w:basedOn w:val="Normal"/>
    <w:next w:val="Normal"/>
    <w:link w:val="Heading8Char"/>
    <w:uiPriority w:val="9"/>
    <w:unhideWhenUsed/>
    <w:qFormat/>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hAnsi="Times New Roman" w:cs="Times New Roman"/>
      <w:b/>
      <w:smallCaps/>
      <w:sz w:val="24"/>
      <w:szCs w:val="24"/>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color w:val="000000" w:themeColor="text1"/>
      <w:sz w:val="24"/>
      <w:szCs w:val="24"/>
    </w:rPr>
  </w:style>
  <w:style w:type="character" w:customStyle="1" w:styleId="Heading4Char">
    <w:name w:val="Heading 4 Char"/>
    <w:basedOn w:val="DefaultParagraphFont"/>
    <w:link w:val="Heading4"/>
    <w:rPr>
      <w:rFonts w:ascii="Times New Roman" w:eastAsiaTheme="majorEastAsia" w:hAnsi="Times New Roman" w:cs="Times New Roman"/>
      <w:i/>
      <w:sz w:val="24"/>
      <w:szCs w:val="20"/>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uiPriority w:val="9"/>
    <w:rPr>
      <w:rFonts w:ascii="Times New Roman" w:eastAsiaTheme="majorEastAsia" w:hAnsi="Times New Roman" w:cs="Times New Roman"/>
      <w:i/>
      <w:color w:val="000000" w:themeColor="text1"/>
      <w:sz w:val="24"/>
      <w:szCs w:val="24"/>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4"/>
    </w:rPr>
  </w:style>
  <w:style w:type="character" w:customStyle="1" w:styleId="Heading7Char">
    <w:name w:val="Heading 7 Char"/>
    <w:aliases w:val="sub3 Char,Heading 7 (do not use) Char,aoua-titre annexes Char"/>
    <w:basedOn w:val="DefaultParagraphFont"/>
    <w:link w:val="Heading7"/>
    <w:uiPriority w:val="9"/>
    <w:rPr>
      <w:rFonts w:asciiTheme="majorHAnsi" w:eastAsiaTheme="majorEastAsia" w:hAnsiTheme="majorHAnsi" w:cstheme="majorBidi"/>
      <w:i/>
      <w:iCs/>
      <w:color w:val="404040" w:themeColor="text1" w:themeTint="BF"/>
      <w:sz w:val="24"/>
    </w:rPr>
  </w:style>
  <w:style w:type="character" w:customStyle="1" w:styleId="Heading8Char">
    <w:name w:val="Heading 8 Char"/>
    <w:aliases w:val="sub4 Char,Heading 8 (do not use)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cs="Times New Roman"/>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cs="Times New Roman"/>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style>
  <w:style w:type="character" w:customStyle="1" w:styleId="HeaderCoverPageChar">
    <w:name w:val="Header Cover Page Char"/>
    <w:basedOn w:val="DefaultParagraphFont"/>
    <w:link w:val="HeaderCoverPage"/>
    <w:rPr>
      <w:rFonts w:ascii="Times New Roman" w:hAnsi="Times New Roman"/>
      <w:sz w:val="24"/>
    </w:rPr>
  </w:style>
  <w:style w:type="paragraph" w:customStyle="1" w:styleId="Text1">
    <w:name w:val="Text 1"/>
    <w:basedOn w:val="Normal"/>
    <w:pPr>
      <w:spacing w:after="240" w:line="240" w:lineRule="auto"/>
      <w:ind w:left="482"/>
      <w:jc w:val="both"/>
    </w:pPr>
    <w:rPr>
      <w:rFonts w:eastAsia="Times New Roman" w:cs="Times New Roman"/>
      <w:szCs w:val="20"/>
    </w:rPr>
  </w:style>
  <w:style w:type="paragraph" w:customStyle="1" w:styleId="Text2">
    <w:name w:val="Text 2"/>
    <w:basedOn w:val="Normal"/>
    <w:pPr>
      <w:tabs>
        <w:tab w:val="left" w:pos="2302"/>
      </w:tabs>
      <w:spacing w:after="240" w:line="240" w:lineRule="auto"/>
      <w:ind w:left="1202"/>
      <w:jc w:val="both"/>
    </w:pPr>
    <w:rPr>
      <w:rFonts w:eastAsia="Times New Roman" w:cs="Times New Roman"/>
      <w:szCs w:val="20"/>
    </w:rPr>
  </w:style>
  <w:style w:type="paragraph" w:styleId="ListBullet">
    <w:name w:val="List Bullet"/>
    <w:basedOn w:val="Normal"/>
    <w:pPr>
      <w:tabs>
        <w:tab w:val="num" w:pos="283"/>
      </w:tabs>
      <w:spacing w:after="240" w:line="240" w:lineRule="auto"/>
      <w:ind w:left="283" w:hanging="283"/>
      <w:jc w:val="both"/>
    </w:pPr>
    <w:rPr>
      <w:rFonts w:eastAsia="Times New Roman" w:cs="Times New Roman"/>
      <w:szCs w:val="20"/>
    </w:rPr>
  </w:style>
  <w:style w:type="paragraph" w:customStyle="1" w:styleId="ListDash1">
    <w:name w:val="List Dash 1"/>
    <w:basedOn w:val="Text1"/>
    <w:pPr>
      <w:numPr>
        <w:numId w:val="1"/>
      </w:numPr>
    </w:pPr>
  </w:style>
  <w:style w:type="table" w:styleId="TableGrid">
    <w:name w:val="Table Grid"/>
    <w:aliases w:val="Document Table,CV1,Gena,Tabellengitternetz,Table Format 1,Table_FPB"/>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eastAsia="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uiPriority w:val="39"/>
    <w:pPr>
      <w:tabs>
        <w:tab w:val="right" w:leader="dot" w:pos="8640"/>
      </w:tabs>
      <w:spacing w:before="120" w:after="120" w:line="240" w:lineRule="auto"/>
      <w:ind w:left="482" w:right="720" w:hanging="482"/>
      <w:jc w:val="both"/>
    </w:pPr>
    <w:rPr>
      <w:rFonts w:eastAsia="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eastAsia="Times New Roman" w:cs="Times New Roman"/>
      <w:szCs w:val="20"/>
    </w:rPr>
  </w:style>
  <w:style w:type="paragraph" w:styleId="TOCHeading">
    <w:name w:val="TOC Heading"/>
    <w:basedOn w:val="Normal"/>
    <w:next w:val="Normal"/>
    <w:qFormat/>
    <w:pPr>
      <w:keepNext/>
      <w:spacing w:before="240" w:after="240" w:line="240" w:lineRule="auto"/>
      <w:jc w:val="center"/>
    </w:pPr>
    <w:rPr>
      <w:rFonts w:eastAsia="Times New Roman" w:cs="Times New Roman"/>
      <w:b/>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240" w:line="240" w:lineRule="auto"/>
      <w:ind w:left="357" w:hanging="357"/>
      <w:jc w:val="both"/>
    </w:pPr>
    <w:rPr>
      <w:rFonts w:eastAsia="Times New Roman" w:cs="Times New Roman"/>
      <w:sz w:val="20"/>
      <w:szCs w:val="20"/>
      <w:lang w:eastAsia="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rFonts w:ascii="Times New Roman" w:eastAsia="Times New Roman" w:hAnsi="Times New Roman" w:cs="Times New Roman"/>
      <w:sz w:val="20"/>
      <w:szCs w:val="20"/>
      <w:lang w:eastAsia="en-GB"/>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E,f"/>
    <w:link w:val="FootnotesymbolCarZchn"/>
    <w:uiPriority w:val="99"/>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Paragraph">
    <w:name w:val="List Paragraph"/>
    <w:aliases w:val="heading ONTENT,List Paragraph12,F5 List Paragraph,Heading 2_sj,1st level - Bullet List Paragraph,Lettre d'introduction,Numbered Para 1,Dot pt,No Spacing1,List Paragraph Char Char Char,Indicator Text,Bullet 1,List Paragraph1,Bullet Points"/>
    <w:basedOn w:val="Normal"/>
    <w:link w:val="ListParagraphChar"/>
    <w:uiPriority w:val="34"/>
    <w:qFormat/>
    <w:pPr>
      <w:ind w:left="720"/>
      <w:contextualSpacing/>
    </w:p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Pr>
      <w:color w:val="800080" w:themeColor="followedHyperlink"/>
      <w:u w:val="single"/>
    </w:rPr>
  </w:style>
  <w:style w:type="character" w:styleId="PageNumber">
    <w:name w:val="page number"/>
    <w:basedOn w:val="DefaultParagraphFont"/>
  </w:style>
  <w:style w:type="paragraph" w:styleId="NormalWeb">
    <w:name w:val="Normal (Web)"/>
    <w:basedOn w:val="Normal"/>
    <w:uiPriority w:val="99"/>
    <w:semiHidden/>
    <w:unhideWhenUsed/>
    <w:pPr>
      <w:spacing w:before="100" w:beforeAutospacing="1" w:after="100" w:afterAutospacing="1" w:line="240" w:lineRule="auto"/>
    </w:pPr>
    <w:rPr>
      <w:rFonts w:eastAsiaTheme="minorEastAsia" w:cs="Times New Roman"/>
      <w:szCs w:val="24"/>
      <w:lang w:eastAsia="en-GB"/>
    </w:rPr>
  </w:style>
  <w:style w:type="paragraph" w:styleId="Revision">
    <w:name w:val="Revision"/>
    <w:hidden/>
    <w:uiPriority w:val="99"/>
    <w:semiHidden/>
    <w:pPr>
      <w:spacing w:after="0" w:line="240" w:lineRule="auto"/>
    </w:pPr>
  </w:style>
  <w:style w:type="table" w:customStyle="1" w:styleId="CV14">
    <w:name w:val="CV14"/>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eading ONTENT Char,List Paragraph12 Char,F5 List Paragraph Char,Heading 2_sj Char,1st level - Bullet List Paragraph Char,Lettre d'introduction Char,Numbered Para 1 Char,Dot pt Char,No Spacing1 Char,List Paragraph Char Char Char Char"/>
    <w:basedOn w:val="DefaultParagraphFont"/>
    <w:link w:val="ListParagraph"/>
    <w:uiPriority w:val="34"/>
    <w:qFormat/>
  </w:style>
  <w:style w:type="table" w:customStyle="1" w:styleId="TableFPB1">
    <w:name w:val="Table_FPB1"/>
    <w:basedOn w:val="TableNormal"/>
    <w:next w:val="TableGrid"/>
    <w:uiPriority w:val="59"/>
    <w:pPr>
      <w:spacing w:after="0" w:line="240" w:lineRule="auto"/>
    </w:pPr>
    <w:rPr>
      <w:rFonts w:ascii="Calibri" w:eastAsia="Calibri"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FPB2">
    <w:name w:val="Table_FPB2"/>
    <w:basedOn w:val="TableNormal"/>
    <w:next w:val="TableGrid"/>
    <w:uiPriority w:val="59"/>
    <w:pPr>
      <w:spacing w:after="0" w:line="240" w:lineRule="auto"/>
    </w:pPr>
    <w:rPr>
      <w:rFonts w:ascii="Calibri" w:eastAsia="Calibri"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6">
    <w:name w:val="a__t6"/>
    <w:basedOn w:val="DefaultParagraphFont"/>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classification">
    <w:name w:val="Declassification"/>
    <w:basedOn w:val="Normal"/>
    <w:next w:val="Normal"/>
    <w:pPr>
      <w:spacing w:after="0" w:line="240" w:lineRule="auto"/>
      <w:jc w:val="both"/>
    </w:pPr>
    <w:rPr>
      <w:rFonts w:cs="Times New Roman"/>
    </w:rPr>
  </w:style>
  <w:style w:type="paragraph" w:customStyle="1" w:styleId="HeaderLandscape">
    <w:name w:val="HeaderLandscape"/>
    <w:basedOn w:val="Normal"/>
    <w:pPr>
      <w:tabs>
        <w:tab w:val="center" w:pos="7285"/>
        <w:tab w:val="right" w:pos="14003"/>
      </w:tabs>
      <w:spacing w:after="120" w:line="240" w:lineRule="auto"/>
      <w:jc w:val="both"/>
    </w:pPr>
    <w:rPr>
      <w:rFonts w:cs="Times New Roman"/>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cs="Times New Roman"/>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customStyle="1" w:styleId="NormalCentered">
    <w:name w:val="Normal Centered"/>
    <w:basedOn w:val="Normal"/>
    <w:pPr>
      <w:spacing w:before="120" w:after="120" w:line="240" w:lineRule="auto"/>
      <w:jc w:val="center"/>
    </w:pPr>
    <w:rPr>
      <w:rFonts w:cs="Times New Roman"/>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tabfaption Char,Caption1"/>
    <w:basedOn w:val="Normal"/>
    <w:next w:val="Normal"/>
    <w:link w:val="CaptionChar"/>
    <w:unhideWhenUsed/>
    <w:qFormat/>
    <w:pPr>
      <w:spacing w:line="240" w:lineRule="auto"/>
    </w:pPr>
    <w:rPr>
      <w:rFonts w:cs="Times New Roman"/>
      <w:b/>
      <w:bCs/>
      <w:color w:val="000000" w:themeColor="text1"/>
      <w:szCs w:val="24"/>
    </w:rPr>
  </w:style>
  <w:style w:type="paragraph" w:customStyle="1" w:styleId="Point0number">
    <w:name w:val="Point 0 (number)"/>
    <w:basedOn w:val="Normal"/>
    <w:pPr>
      <w:tabs>
        <w:tab w:val="num" w:pos="850"/>
      </w:tabs>
      <w:spacing w:before="120" w:after="120" w:line="240" w:lineRule="auto"/>
      <w:ind w:left="850" w:hanging="850"/>
      <w:jc w:val="both"/>
    </w:pPr>
    <w:rPr>
      <w:rFonts w:cs="Times New Roman"/>
      <w:lang w:eastAsia="en-GB"/>
    </w:rPr>
  </w:style>
  <w:style w:type="paragraph" w:customStyle="1" w:styleId="Point1number">
    <w:name w:val="Point 1 (number)"/>
    <w:basedOn w:val="Normal"/>
    <w:pPr>
      <w:tabs>
        <w:tab w:val="num" w:pos="1417"/>
      </w:tabs>
      <w:spacing w:before="120" w:after="120" w:line="240" w:lineRule="auto"/>
      <w:ind w:left="1417" w:hanging="567"/>
      <w:jc w:val="both"/>
    </w:pPr>
    <w:rPr>
      <w:rFonts w:cs="Times New Roman"/>
      <w:lang w:eastAsia="en-GB"/>
    </w:rPr>
  </w:style>
  <w:style w:type="paragraph" w:customStyle="1" w:styleId="Point2number">
    <w:name w:val="Point 2 (number)"/>
    <w:basedOn w:val="Normal"/>
    <w:pPr>
      <w:tabs>
        <w:tab w:val="num" w:pos="1984"/>
      </w:tabs>
      <w:spacing w:before="120" w:after="120" w:line="240" w:lineRule="auto"/>
      <w:ind w:left="1984" w:hanging="567"/>
      <w:jc w:val="both"/>
    </w:pPr>
    <w:rPr>
      <w:rFonts w:cs="Times New Roman"/>
      <w:lang w:eastAsia="en-GB"/>
    </w:rPr>
  </w:style>
  <w:style w:type="paragraph" w:customStyle="1" w:styleId="Point3number">
    <w:name w:val="Point 3 (number)"/>
    <w:basedOn w:val="Normal"/>
    <w:pPr>
      <w:tabs>
        <w:tab w:val="num" w:pos="2551"/>
      </w:tabs>
      <w:spacing w:before="120" w:after="120" w:line="240" w:lineRule="auto"/>
      <w:ind w:left="2551" w:hanging="567"/>
      <w:jc w:val="both"/>
    </w:pPr>
    <w:rPr>
      <w:rFonts w:cs="Times New Roman"/>
      <w:lang w:eastAsia="en-GB"/>
    </w:rPr>
  </w:style>
  <w:style w:type="paragraph" w:customStyle="1" w:styleId="Point0letter">
    <w:name w:val="Point 0 (letter)"/>
    <w:basedOn w:val="Normal"/>
    <w:pPr>
      <w:tabs>
        <w:tab w:val="num" w:pos="850"/>
      </w:tabs>
      <w:spacing w:before="120" w:after="120" w:line="240" w:lineRule="auto"/>
      <w:ind w:left="850" w:hanging="850"/>
      <w:jc w:val="both"/>
    </w:pPr>
    <w:rPr>
      <w:rFonts w:cs="Times New Roman"/>
      <w:lang w:eastAsia="en-GB"/>
    </w:rPr>
  </w:style>
  <w:style w:type="paragraph" w:customStyle="1" w:styleId="Point1letter">
    <w:name w:val="Point 1 (letter)"/>
    <w:basedOn w:val="Normal"/>
    <w:pPr>
      <w:tabs>
        <w:tab w:val="num" w:pos="1417"/>
      </w:tabs>
      <w:spacing w:before="120" w:after="120" w:line="240" w:lineRule="auto"/>
      <w:ind w:left="1417" w:hanging="567"/>
      <w:jc w:val="both"/>
    </w:pPr>
    <w:rPr>
      <w:rFonts w:cs="Times New Roman"/>
      <w:lang w:eastAsia="en-GB"/>
    </w:rPr>
  </w:style>
  <w:style w:type="paragraph" w:customStyle="1" w:styleId="Point2letter">
    <w:name w:val="Point 2 (letter)"/>
    <w:basedOn w:val="Normal"/>
    <w:pPr>
      <w:tabs>
        <w:tab w:val="num" w:pos="1984"/>
      </w:tabs>
      <w:spacing w:before="120" w:after="120" w:line="240" w:lineRule="auto"/>
      <w:ind w:left="1984" w:hanging="567"/>
      <w:jc w:val="both"/>
    </w:pPr>
    <w:rPr>
      <w:rFonts w:cs="Times New Roman"/>
      <w:lang w:eastAsia="en-GB"/>
    </w:rPr>
  </w:style>
  <w:style w:type="paragraph" w:customStyle="1" w:styleId="Point3letter">
    <w:name w:val="Point 3 (letter)"/>
    <w:basedOn w:val="Normal"/>
    <w:pPr>
      <w:tabs>
        <w:tab w:val="num" w:pos="2551"/>
      </w:tabs>
      <w:spacing w:before="120" w:after="120" w:line="240" w:lineRule="auto"/>
      <w:ind w:left="2551" w:hanging="567"/>
      <w:jc w:val="both"/>
    </w:pPr>
    <w:rPr>
      <w:rFonts w:cs="Times New Roman"/>
      <w:lang w:eastAsia="en-GB"/>
    </w:rPr>
  </w:style>
  <w:style w:type="paragraph" w:customStyle="1" w:styleId="Point4letter">
    <w:name w:val="Point 4 (letter)"/>
    <w:basedOn w:val="Normal"/>
    <w:pPr>
      <w:tabs>
        <w:tab w:val="num" w:pos="3118"/>
      </w:tabs>
      <w:spacing w:before="120" w:after="120" w:line="240" w:lineRule="auto"/>
      <w:ind w:left="3118" w:hanging="567"/>
      <w:jc w:val="both"/>
    </w:pPr>
    <w:rPr>
      <w:rFonts w:cs="Times New Roman"/>
      <w:lang w:eastAsia="en-GB"/>
    </w:rPr>
  </w:style>
  <w:style w:type="character" w:styleId="PlaceholderText">
    <w:name w:val="Placeholder Text"/>
    <w:basedOn w:val="DefaultParagraphFont"/>
    <w:uiPriority w:val="99"/>
    <w:semiHidden/>
    <w:rPr>
      <w:color w:val="808080"/>
    </w:rPr>
  </w:style>
  <w:style w:type="character" w:customStyle="1" w:styleId="CaptionChar">
    <w:name w:val="Caption Char"/>
    <w:aliases w:val="Tasks Char,Beschriftung Char2 Char,Beschriftung Char1 Char1 Char,Beschriftung Char Char Char1 Char,Beschriftung Char1 Char Char Char,Beschriftung Char Char Char Char Char,Beschriftung Char Char1 Char Char,Beschriftung Char Char2 Char"/>
    <w:link w:val="Caption"/>
    <w:locked/>
    <w:rPr>
      <w:rFonts w:ascii="Times New Roman" w:hAnsi="Times New Roman" w:cs="Times New Roman"/>
      <w:b/>
      <w:bCs/>
      <w:color w:val="000000" w:themeColor="text1"/>
      <w:sz w:val="24"/>
      <w:szCs w:val="24"/>
    </w:rPr>
  </w:style>
  <w:style w:type="paragraph" w:styleId="TOC3">
    <w:name w:val="toc 3"/>
    <w:basedOn w:val="Normal"/>
    <w:next w:val="Normal"/>
    <w:autoRedefine/>
    <w:uiPriority w:val="39"/>
    <w:unhideWhenUsed/>
    <w:pPr>
      <w:tabs>
        <w:tab w:val="left" w:pos="1077"/>
        <w:tab w:val="right" w:leader="dot" w:pos="8608"/>
      </w:tabs>
      <w:spacing w:after="100"/>
      <w:ind w:left="446"/>
    </w:pPr>
    <w:rPr>
      <w:rFonts w:eastAsia="Times New Roman" w:cs="Times New Roman"/>
      <w:noProof/>
      <w:lang w:val="fr-BE"/>
    </w:rPr>
  </w:style>
  <w:style w:type="character" w:styleId="Strong">
    <w:name w:val="Strong"/>
    <w:basedOn w:val="DefaultParagraphFont"/>
    <w:uiPriority w:val="22"/>
    <w:qFormat/>
    <w:rPr>
      <w:b/>
      <w:bCs/>
    </w:rPr>
  </w:style>
  <w:style w:type="table" w:customStyle="1" w:styleId="TableFPB3">
    <w:name w:val="Table_FPB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1">
    <w:name w:val="Table Grid1"/>
    <w:basedOn w:val="TableNormal"/>
    <w:next w:val="TableGrid"/>
    <w:uiPriority w:val="59"/>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pPr>
      <w:spacing w:after="100"/>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pPr>
      <w:spacing w:after="100"/>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pPr>
      <w:spacing w:after="100"/>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pPr>
      <w:spacing w:after="100"/>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pPr>
      <w:spacing w:after="100"/>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pPr>
      <w:spacing w:after="100"/>
      <w:ind w:left="1760"/>
    </w:pPr>
    <w:rPr>
      <w:rFonts w:asciiTheme="minorHAnsi" w:eastAsiaTheme="minorEastAsia" w:hAnsiTheme="minorHAnsi"/>
      <w:sz w:val="22"/>
      <w:lang w:eastAsia="en-GB"/>
    </w:rPr>
  </w:style>
  <w:style w:type="paragraph" w:styleId="List3">
    <w:name w:val="List 3"/>
    <w:basedOn w:val="Normal"/>
    <w:pPr>
      <w:spacing w:after="240" w:line="240" w:lineRule="auto"/>
      <w:ind w:left="849" w:hanging="283"/>
      <w:jc w:val="both"/>
    </w:pPr>
    <w:rPr>
      <w:rFonts w:eastAsia="Times New Roman" w:cs="Times New Roman"/>
      <w:szCs w:val="20"/>
    </w:rPr>
  </w:style>
  <w:style w:type="paragraph" w:styleId="BodyText">
    <w:name w:val="Body Text"/>
    <w:basedOn w:val="Normal"/>
    <w:link w:val="BodyTextChar"/>
    <w:uiPriority w:val="99"/>
    <w:pPr>
      <w:spacing w:after="120" w:line="240" w:lineRule="auto"/>
      <w:jc w:val="both"/>
    </w:pPr>
    <w:rPr>
      <w:rFonts w:eastAsia="Times New Roman" w:cs="Times New Roman"/>
      <w:szCs w:val="20"/>
    </w:rPr>
  </w:style>
  <w:style w:type="character" w:customStyle="1" w:styleId="BodyTextChar">
    <w:name w:val="Body Text Char"/>
    <w:basedOn w:val="DefaultParagraphFont"/>
    <w:link w:val="BodyText"/>
    <w:uiPriority w:val="99"/>
    <w:rPr>
      <w:rFonts w:ascii="Times New Roman" w:eastAsia="Times New Roman" w:hAnsi="Times New Roman" w:cs="Times New Roman"/>
      <w:sz w:val="24"/>
      <w:szCs w:val="20"/>
    </w:rPr>
  </w:style>
  <w:style w:type="paragraph" w:styleId="ListNumber">
    <w:name w:val="List Number"/>
    <w:basedOn w:val="Normal"/>
    <w:uiPriority w:val="99"/>
    <w:semiHidden/>
    <w:unhideWhenUsed/>
    <w:pPr>
      <w:numPr>
        <w:numId w:val="9"/>
      </w:numPr>
      <w:contextualSpacing/>
    </w:pPr>
  </w:style>
  <w:style w:type="paragraph" w:customStyle="1" w:styleId="xmsonormal">
    <w:name w:val="x_msonormal"/>
    <w:basedOn w:val="Normal"/>
    <w:uiPriority w:val="99"/>
    <w:pPr>
      <w:spacing w:after="0" w:line="240" w:lineRule="auto"/>
    </w:pPr>
    <w:rPr>
      <w:rFonts w:cs="Times New Roman"/>
      <w:szCs w:val="24"/>
      <w:lang w:val="fr-BE" w:eastAsia="fr-BE"/>
    </w:rPr>
  </w:style>
  <w:style w:type="paragraph" w:customStyle="1" w:styleId="TOCHeading1">
    <w:name w:val="TOC Heading 1"/>
    <w:basedOn w:val="TOC1"/>
    <w:link w:val="TOCHeading1Char"/>
    <w:qFormat/>
    <w:rsid w:val="003E180D"/>
    <w:rPr>
      <w:noProof/>
    </w:rPr>
  </w:style>
  <w:style w:type="character" w:customStyle="1" w:styleId="TOC1Char">
    <w:name w:val="TOC 1 Char"/>
    <w:basedOn w:val="DefaultParagraphFont"/>
    <w:link w:val="TOC1"/>
    <w:uiPriority w:val="39"/>
    <w:rsid w:val="003E180D"/>
    <w:rPr>
      <w:rFonts w:ascii="Times New Roman" w:eastAsia="Times New Roman" w:hAnsi="Times New Roman" w:cs="Times New Roman"/>
      <w:caps/>
      <w:sz w:val="20"/>
      <w:szCs w:val="20"/>
    </w:rPr>
  </w:style>
  <w:style w:type="character" w:customStyle="1" w:styleId="TOCHeading1Char">
    <w:name w:val="TOC Heading 1 Char"/>
    <w:basedOn w:val="TOC1Char"/>
    <w:link w:val="TOCHeading1"/>
    <w:rsid w:val="003E180D"/>
    <w:rPr>
      <w:rFonts w:ascii="Times New Roman" w:eastAsia="Times New Roman" w:hAnsi="Times New Roman" w:cs="Times New Roman"/>
      <w:caps/>
      <w:noProof/>
      <w:sz w:val="20"/>
      <w:szCs w:val="20"/>
    </w:rPr>
  </w:style>
  <w:style w:type="character" w:customStyle="1" w:styleId="message">
    <w:name w:val="message"/>
    <w:basedOn w:val="DefaultParagraphFont"/>
    <w:rsid w:val="003E180D"/>
  </w:style>
  <w:style w:type="paragraph" w:styleId="BodyTextIndent3">
    <w:name w:val="Body Text Indent 3"/>
    <w:basedOn w:val="Normal"/>
    <w:link w:val="BodyTextIndent3Char"/>
    <w:uiPriority w:val="99"/>
    <w:semiHidden/>
    <w:unhideWhenUsed/>
    <w:rsid w:val="003E180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E180D"/>
    <w:rPr>
      <w:rFonts w:ascii="Times New Roman" w:hAnsi="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page number" w:uiPriority="0"/>
    <w:lsdException w:name="List Bullet" w:uiPriority="0"/>
    <w:lsdException w:name="Lis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Pr>
      <w:rFonts w:ascii="Times New Roman" w:hAnsi="Times New Roman"/>
      <w:sz w:val="24"/>
    </w:rPr>
  </w:style>
  <w:style w:type="paragraph" w:styleId="Heading1">
    <w:name w:val="heading 1"/>
    <w:basedOn w:val="Normal"/>
    <w:next w:val="Text1"/>
    <w:link w:val="Heading1Char"/>
    <w:qFormat/>
    <w:pPr>
      <w:keepNext/>
      <w:numPr>
        <w:numId w:val="7"/>
      </w:numPr>
      <w:spacing w:before="240" w:after="240" w:line="240" w:lineRule="auto"/>
      <w:jc w:val="both"/>
      <w:outlineLvl w:val="0"/>
    </w:pPr>
    <w:rPr>
      <w:rFonts w:cs="Times New Roman"/>
      <w:b/>
      <w:smallCaps/>
      <w:szCs w:val="24"/>
    </w:rPr>
  </w:style>
  <w:style w:type="paragraph" w:styleId="Heading2">
    <w:name w:val="heading 2"/>
    <w:basedOn w:val="Normal"/>
    <w:next w:val="Text2"/>
    <w:link w:val="Heading2Char"/>
    <w:qFormat/>
    <w:pPr>
      <w:keepNext/>
      <w:numPr>
        <w:ilvl w:val="1"/>
        <w:numId w:val="7"/>
      </w:numPr>
      <w:spacing w:before="180" w:after="180" w:line="240" w:lineRule="auto"/>
      <w:ind w:left="578" w:hanging="578"/>
      <w:jc w:val="both"/>
      <w:outlineLvl w:val="1"/>
    </w:pPr>
    <w:rPr>
      <w:rFonts w:eastAsia="Times New Roman" w:cs="Times New Roman"/>
      <w:b/>
      <w:szCs w:val="20"/>
    </w:rPr>
  </w:style>
  <w:style w:type="paragraph" w:styleId="Heading3">
    <w:name w:val="heading 3"/>
    <w:basedOn w:val="Normal"/>
    <w:next w:val="Normal"/>
    <w:link w:val="Heading3Char"/>
    <w:qFormat/>
    <w:pPr>
      <w:keepNext/>
      <w:numPr>
        <w:ilvl w:val="2"/>
        <w:numId w:val="7"/>
      </w:numPr>
      <w:spacing w:before="180" w:after="180" w:line="240" w:lineRule="auto"/>
      <w:jc w:val="both"/>
      <w:outlineLvl w:val="2"/>
    </w:pPr>
    <w:rPr>
      <w:rFonts w:eastAsia="Times New Roman" w:cs="Times New Roman"/>
      <w:i/>
      <w:color w:val="000000" w:themeColor="text1"/>
      <w:szCs w:val="24"/>
    </w:rPr>
  </w:style>
  <w:style w:type="paragraph" w:styleId="Heading4">
    <w:name w:val="heading 4"/>
    <w:basedOn w:val="Normal"/>
    <w:next w:val="Normal"/>
    <w:link w:val="Heading4Char"/>
    <w:qFormat/>
    <w:pPr>
      <w:keepNext/>
      <w:numPr>
        <w:ilvl w:val="3"/>
        <w:numId w:val="7"/>
      </w:numPr>
      <w:spacing w:before="120" w:after="180" w:line="240" w:lineRule="auto"/>
      <w:ind w:left="862" w:hanging="862"/>
      <w:jc w:val="both"/>
      <w:outlineLvl w:val="3"/>
    </w:pPr>
    <w:rPr>
      <w:rFonts w:eastAsiaTheme="majorEastAsia" w:cs="Times New Roman"/>
      <w:i/>
      <w:szCs w:val="20"/>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link w:val="Heading5Char"/>
    <w:uiPriority w:val="9"/>
    <w:unhideWhenUsed/>
    <w:qFormat/>
    <w:pPr>
      <w:keepNext/>
      <w:keepLines/>
      <w:numPr>
        <w:ilvl w:val="4"/>
        <w:numId w:val="7"/>
      </w:numPr>
      <w:spacing w:before="120" w:after="120" w:line="240" w:lineRule="auto"/>
      <w:ind w:left="1009" w:hanging="1009"/>
      <w:jc w:val="both"/>
      <w:outlineLvl w:val="4"/>
    </w:pPr>
    <w:rPr>
      <w:rFonts w:eastAsiaTheme="majorEastAsia" w:cs="Times New Roman"/>
      <w:i/>
      <w:color w:val="000000" w:themeColor="text1"/>
      <w:szCs w:val="24"/>
    </w:rPr>
  </w:style>
  <w:style w:type="paragraph" w:styleId="Heading6">
    <w:name w:val="heading 6"/>
    <w:basedOn w:val="Normal"/>
    <w:next w:val="Normal"/>
    <w:link w:val="Heading6Char"/>
    <w:uiPriority w:val="9"/>
    <w:unhideWhenUsed/>
    <w:qFormat/>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sub3,Heading 7 (do not use),aoua-titre annexes"/>
    <w:basedOn w:val="Normal"/>
    <w:next w:val="Normal"/>
    <w:link w:val="Heading7Char"/>
    <w:uiPriority w:val="9"/>
    <w:unhideWhenUsed/>
    <w:qFormat/>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sub4,Heading 8 (do not use)"/>
    <w:basedOn w:val="Normal"/>
    <w:next w:val="Normal"/>
    <w:link w:val="Heading8Char"/>
    <w:uiPriority w:val="9"/>
    <w:unhideWhenUsed/>
    <w:qFormat/>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hAnsi="Times New Roman" w:cs="Times New Roman"/>
      <w:b/>
      <w:smallCaps/>
      <w:sz w:val="24"/>
      <w:szCs w:val="24"/>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color w:val="000000" w:themeColor="text1"/>
      <w:sz w:val="24"/>
      <w:szCs w:val="24"/>
    </w:rPr>
  </w:style>
  <w:style w:type="character" w:customStyle="1" w:styleId="Heading4Char">
    <w:name w:val="Heading 4 Char"/>
    <w:basedOn w:val="DefaultParagraphFont"/>
    <w:link w:val="Heading4"/>
    <w:rPr>
      <w:rFonts w:ascii="Times New Roman" w:eastAsiaTheme="majorEastAsia" w:hAnsi="Times New Roman" w:cs="Times New Roman"/>
      <w:i/>
      <w:sz w:val="24"/>
      <w:szCs w:val="20"/>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uiPriority w:val="9"/>
    <w:rPr>
      <w:rFonts w:ascii="Times New Roman" w:eastAsiaTheme="majorEastAsia" w:hAnsi="Times New Roman" w:cs="Times New Roman"/>
      <w:i/>
      <w:color w:val="000000" w:themeColor="text1"/>
      <w:sz w:val="24"/>
      <w:szCs w:val="24"/>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4"/>
    </w:rPr>
  </w:style>
  <w:style w:type="character" w:customStyle="1" w:styleId="Heading7Char">
    <w:name w:val="Heading 7 Char"/>
    <w:aliases w:val="sub3 Char,Heading 7 (do not use) Char,aoua-titre annexes Char"/>
    <w:basedOn w:val="DefaultParagraphFont"/>
    <w:link w:val="Heading7"/>
    <w:uiPriority w:val="9"/>
    <w:rPr>
      <w:rFonts w:asciiTheme="majorHAnsi" w:eastAsiaTheme="majorEastAsia" w:hAnsiTheme="majorHAnsi" w:cstheme="majorBidi"/>
      <w:i/>
      <w:iCs/>
      <w:color w:val="404040" w:themeColor="text1" w:themeTint="BF"/>
      <w:sz w:val="24"/>
    </w:rPr>
  </w:style>
  <w:style w:type="character" w:customStyle="1" w:styleId="Heading8Char">
    <w:name w:val="Heading 8 Char"/>
    <w:aliases w:val="sub4 Char,Heading 8 (do not use)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cs="Times New Roman"/>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cs="Times New Roman"/>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style>
  <w:style w:type="character" w:customStyle="1" w:styleId="HeaderCoverPageChar">
    <w:name w:val="Header Cover Page Char"/>
    <w:basedOn w:val="DefaultParagraphFont"/>
    <w:link w:val="HeaderCoverPage"/>
    <w:rPr>
      <w:rFonts w:ascii="Times New Roman" w:hAnsi="Times New Roman"/>
      <w:sz w:val="24"/>
    </w:rPr>
  </w:style>
  <w:style w:type="paragraph" w:customStyle="1" w:styleId="Text1">
    <w:name w:val="Text 1"/>
    <w:basedOn w:val="Normal"/>
    <w:pPr>
      <w:spacing w:after="240" w:line="240" w:lineRule="auto"/>
      <w:ind w:left="482"/>
      <w:jc w:val="both"/>
    </w:pPr>
    <w:rPr>
      <w:rFonts w:eastAsia="Times New Roman" w:cs="Times New Roman"/>
      <w:szCs w:val="20"/>
    </w:rPr>
  </w:style>
  <w:style w:type="paragraph" w:customStyle="1" w:styleId="Text2">
    <w:name w:val="Text 2"/>
    <w:basedOn w:val="Normal"/>
    <w:pPr>
      <w:tabs>
        <w:tab w:val="left" w:pos="2302"/>
      </w:tabs>
      <w:spacing w:after="240" w:line="240" w:lineRule="auto"/>
      <w:ind w:left="1202"/>
      <w:jc w:val="both"/>
    </w:pPr>
    <w:rPr>
      <w:rFonts w:eastAsia="Times New Roman" w:cs="Times New Roman"/>
      <w:szCs w:val="20"/>
    </w:rPr>
  </w:style>
  <w:style w:type="paragraph" w:styleId="ListBullet">
    <w:name w:val="List Bullet"/>
    <w:basedOn w:val="Normal"/>
    <w:pPr>
      <w:tabs>
        <w:tab w:val="num" w:pos="283"/>
      </w:tabs>
      <w:spacing w:after="240" w:line="240" w:lineRule="auto"/>
      <w:ind w:left="283" w:hanging="283"/>
      <w:jc w:val="both"/>
    </w:pPr>
    <w:rPr>
      <w:rFonts w:eastAsia="Times New Roman" w:cs="Times New Roman"/>
      <w:szCs w:val="20"/>
    </w:rPr>
  </w:style>
  <w:style w:type="paragraph" w:customStyle="1" w:styleId="ListDash1">
    <w:name w:val="List Dash 1"/>
    <w:basedOn w:val="Text1"/>
    <w:pPr>
      <w:numPr>
        <w:numId w:val="1"/>
      </w:numPr>
    </w:pPr>
  </w:style>
  <w:style w:type="table" w:styleId="TableGrid">
    <w:name w:val="Table Grid"/>
    <w:aliases w:val="Document Table,CV1,Gena,Tabellengitternetz,Table Format 1,Table_FPB"/>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eastAsia="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uiPriority w:val="39"/>
    <w:pPr>
      <w:tabs>
        <w:tab w:val="right" w:leader="dot" w:pos="8640"/>
      </w:tabs>
      <w:spacing w:before="120" w:after="120" w:line="240" w:lineRule="auto"/>
      <w:ind w:left="482" w:right="720" w:hanging="482"/>
      <w:jc w:val="both"/>
    </w:pPr>
    <w:rPr>
      <w:rFonts w:eastAsia="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eastAsia="Times New Roman" w:cs="Times New Roman"/>
      <w:szCs w:val="20"/>
    </w:rPr>
  </w:style>
  <w:style w:type="paragraph" w:styleId="TOCHeading">
    <w:name w:val="TOC Heading"/>
    <w:basedOn w:val="Normal"/>
    <w:next w:val="Normal"/>
    <w:qFormat/>
    <w:pPr>
      <w:keepNext/>
      <w:spacing w:before="240" w:after="240" w:line="240" w:lineRule="auto"/>
      <w:jc w:val="center"/>
    </w:pPr>
    <w:rPr>
      <w:rFonts w:eastAsia="Times New Roman" w:cs="Times New Roman"/>
      <w:b/>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240" w:line="240" w:lineRule="auto"/>
      <w:ind w:left="357" w:hanging="357"/>
      <w:jc w:val="both"/>
    </w:pPr>
    <w:rPr>
      <w:rFonts w:eastAsia="Times New Roman" w:cs="Times New Roman"/>
      <w:sz w:val="20"/>
      <w:szCs w:val="20"/>
      <w:lang w:eastAsia="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rFonts w:ascii="Times New Roman" w:eastAsia="Times New Roman" w:hAnsi="Times New Roman" w:cs="Times New Roman"/>
      <w:sz w:val="20"/>
      <w:szCs w:val="20"/>
      <w:lang w:eastAsia="en-GB"/>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E,f"/>
    <w:link w:val="FootnotesymbolCarZchn"/>
    <w:uiPriority w:val="99"/>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Paragraph">
    <w:name w:val="List Paragraph"/>
    <w:aliases w:val="heading ONTENT,List Paragraph12,F5 List Paragraph,Heading 2_sj,1st level - Bullet List Paragraph,Lettre d'introduction,Numbered Para 1,Dot pt,No Spacing1,List Paragraph Char Char Char,Indicator Text,Bullet 1,List Paragraph1,Bullet Points"/>
    <w:basedOn w:val="Normal"/>
    <w:link w:val="ListParagraphChar"/>
    <w:uiPriority w:val="34"/>
    <w:qFormat/>
    <w:pPr>
      <w:ind w:left="720"/>
      <w:contextualSpacing/>
    </w:p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Pr>
      <w:color w:val="800080" w:themeColor="followedHyperlink"/>
      <w:u w:val="single"/>
    </w:rPr>
  </w:style>
  <w:style w:type="character" w:styleId="PageNumber">
    <w:name w:val="page number"/>
    <w:basedOn w:val="DefaultParagraphFont"/>
  </w:style>
  <w:style w:type="paragraph" w:styleId="NormalWeb">
    <w:name w:val="Normal (Web)"/>
    <w:basedOn w:val="Normal"/>
    <w:uiPriority w:val="99"/>
    <w:semiHidden/>
    <w:unhideWhenUsed/>
    <w:pPr>
      <w:spacing w:before="100" w:beforeAutospacing="1" w:after="100" w:afterAutospacing="1" w:line="240" w:lineRule="auto"/>
    </w:pPr>
    <w:rPr>
      <w:rFonts w:eastAsiaTheme="minorEastAsia" w:cs="Times New Roman"/>
      <w:szCs w:val="24"/>
      <w:lang w:eastAsia="en-GB"/>
    </w:rPr>
  </w:style>
  <w:style w:type="paragraph" w:styleId="Revision">
    <w:name w:val="Revision"/>
    <w:hidden/>
    <w:uiPriority w:val="99"/>
    <w:semiHidden/>
    <w:pPr>
      <w:spacing w:after="0" w:line="240" w:lineRule="auto"/>
    </w:pPr>
  </w:style>
  <w:style w:type="table" w:customStyle="1" w:styleId="CV14">
    <w:name w:val="CV14"/>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eading ONTENT Char,List Paragraph12 Char,F5 List Paragraph Char,Heading 2_sj Char,1st level - Bullet List Paragraph Char,Lettre d'introduction Char,Numbered Para 1 Char,Dot pt Char,No Spacing1 Char,List Paragraph Char Char Char Char"/>
    <w:basedOn w:val="DefaultParagraphFont"/>
    <w:link w:val="ListParagraph"/>
    <w:uiPriority w:val="34"/>
    <w:qFormat/>
  </w:style>
  <w:style w:type="table" w:customStyle="1" w:styleId="TableFPB1">
    <w:name w:val="Table_FPB1"/>
    <w:basedOn w:val="TableNormal"/>
    <w:next w:val="TableGrid"/>
    <w:uiPriority w:val="59"/>
    <w:pPr>
      <w:spacing w:after="0" w:line="240" w:lineRule="auto"/>
    </w:pPr>
    <w:rPr>
      <w:rFonts w:ascii="Calibri" w:eastAsia="Calibri"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FPB2">
    <w:name w:val="Table_FPB2"/>
    <w:basedOn w:val="TableNormal"/>
    <w:next w:val="TableGrid"/>
    <w:uiPriority w:val="59"/>
    <w:pPr>
      <w:spacing w:after="0" w:line="240" w:lineRule="auto"/>
    </w:pPr>
    <w:rPr>
      <w:rFonts w:ascii="Calibri" w:eastAsia="Calibri"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6">
    <w:name w:val="a__t6"/>
    <w:basedOn w:val="DefaultParagraphFont"/>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classification">
    <w:name w:val="Declassification"/>
    <w:basedOn w:val="Normal"/>
    <w:next w:val="Normal"/>
    <w:pPr>
      <w:spacing w:after="0" w:line="240" w:lineRule="auto"/>
      <w:jc w:val="both"/>
    </w:pPr>
    <w:rPr>
      <w:rFonts w:cs="Times New Roman"/>
    </w:rPr>
  </w:style>
  <w:style w:type="paragraph" w:customStyle="1" w:styleId="HeaderLandscape">
    <w:name w:val="HeaderLandscape"/>
    <w:basedOn w:val="Normal"/>
    <w:pPr>
      <w:tabs>
        <w:tab w:val="center" w:pos="7285"/>
        <w:tab w:val="right" w:pos="14003"/>
      </w:tabs>
      <w:spacing w:after="120" w:line="240" w:lineRule="auto"/>
      <w:jc w:val="both"/>
    </w:pPr>
    <w:rPr>
      <w:rFonts w:cs="Times New Roman"/>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cs="Times New Roman"/>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customStyle="1" w:styleId="NormalCentered">
    <w:name w:val="Normal Centered"/>
    <w:basedOn w:val="Normal"/>
    <w:pPr>
      <w:spacing w:before="120" w:after="120" w:line="240" w:lineRule="auto"/>
      <w:jc w:val="center"/>
    </w:pPr>
    <w:rPr>
      <w:rFonts w:cs="Times New Roman"/>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tabfaption Char,Caption1"/>
    <w:basedOn w:val="Normal"/>
    <w:next w:val="Normal"/>
    <w:link w:val="CaptionChar"/>
    <w:unhideWhenUsed/>
    <w:qFormat/>
    <w:pPr>
      <w:spacing w:line="240" w:lineRule="auto"/>
    </w:pPr>
    <w:rPr>
      <w:rFonts w:cs="Times New Roman"/>
      <w:b/>
      <w:bCs/>
      <w:color w:val="000000" w:themeColor="text1"/>
      <w:szCs w:val="24"/>
    </w:rPr>
  </w:style>
  <w:style w:type="paragraph" w:customStyle="1" w:styleId="Point0number">
    <w:name w:val="Point 0 (number)"/>
    <w:basedOn w:val="Normal"/>
    <w:pPr>
      <w:tabs>
        <w:tab w:val="num" w:pos="850"/>
      </w:tabs>
      <w:spacing w:before="120" w:after="120" w:line="240" w:lineRule="auto"/>
      <w:ind w:left="850" w:hanging="850"/>
      <w:jc w:val="both"/>
    </w:pPr>
    <w:rPr>
      <w:rFonts w:cs="Times New Roman"/>
      <w:lang w:eastAsia="en-GB"/>
    </w:rPr>
  </w:style>
  <w:style w:type="paragraph" w:customStyle="1" w:styleId="Point1number">
    <w:name w:val="Point 1 (number)"/>
    <w:basedOn w:val="Normal"/>
    <w:pPr>
      <w:tabs>
        <w:tab w:val="num" w:pos="1417"/>
      </w:tabs>
      <w:spacing w:before="120" w:after="120" w:line="240" w:lineRule="auto"/>
      <w:ind w:left="1417" w:hanging="567"/>
      <w:jc w:val="both"/>
    </w:pPr>
    <w:rPr>
      <w:rFonts w:cs="Times New Roman"/>
      <w:lang w:eastAsia="en-GB"/>
    </w:rPr>
  </w:style>
  <w:style w:type="paragraph" w:customStyle="1" w:styleId="Point2number">
    <w:name w:val="Point 2 (number)"/>
    <w:basedOn w:val="Normal"/>
    <w:pPr>
      <w:tabs>
        <w:tab w:val="num" w:pos="1984"/>
      </w:tabs>
      <w:spacing w:before="120" w:after="120" w:line="240" w:lineRule="auto"/>
      <w:ind w:left="1984" w:hanging="567"/>
      <w:jc w:val="both"/>
    </w:pPr>
    <w:rPr>
      <w:rFonts w:cs="Times New Roman"/>
      <w:lang w:eastAsia="en-GB"/>
    </w:rPr>
  </w:style>
  <w:style w:type="paragraph" w:customStyle="1" w:styleId="Point3number">
    <w:name w:val="Point 3 (number)"/>
    <w:basedOn w:val="Normal"/>
    <w:pPr>
      <w:tabs>
        <w:tab w:val="num" w:pos="2551"/>
      </w:tabs>
      <w:spacing w:before="120" w:after="120" w:line="240" w:lineRule="auto"/>
      <w:ind w:left="2551" w:hanging="567"/>
      <w:jc w:val="both"/>
    </w:pPr>
    <w:rPr>
      <w:rFonts w:cs="Times New Roman"/>
      <w:lang w:eastAsia="en-GB"/>
    </w:rPr>
  </w:style>
  <w:style w:type="paragraph" w:customStyle="1" w:styleId="Point0letter">
    <w:name w:val="Point 0 (letter)"/>
    <w:basedOn w:val="Normal"/>
    <w:pPr>
      <w:tabs>
        <w:tab w:val="num" w:pos="850"/>
      </w:tabs>
      <w:spacing w:before="120" w:after="120" w:line="240" w:lineRule="auto"/>
      <w:ind w:left="850" w:hanging="850"/>
      <w:jc w:val="both"/>
    </w:pPr>
    <w:rPr>
      <w:rFonts w:cs="Times New Roman"/>
      <w:lang w:eastAsia="en-GB"/>
    </w:rPr>
  </w:style>
  <w:style w:type="paragraph" w:customStyle="1" w:styleId="Point1letter">
    <w:name w:val="Point 1 (letter)"/>
    <w:basedOn w:val="Normal"/>
    <w:pPr>
      <w:tabs>
        <w:tab w:val="num" w:pos="1417"/>
      </w:tabs>
      <w:spacing w:before="120" w:after="120" w:line="240" w:lineRule="auto"/>
      <w:ind w:left="1417" w:hanging="567"/>
      <w:jc w:val="both"/>
    </w:pPr>
    <w:rPr>
      <w:rFonts w:cs="Times New Roman"/>
      <w:lang w:eastAsia="en-GB"/>
    </w:rPr>
  </w:style>
  <w:style w:type="paragraph" w:customStyle="1" w:styleId="Point2letter">
    <w:name w:val="Point 2 (letter)"/>
    <w:basedOn w:val="Normal"/>
    <w:pPr>
      <w:tabs>
        <w:tab w:val="num" w:pos="1984"/>
      </w:tabs>
      <w:spacing w:before="120" w:after="120" w:line="240" w:lineRule="auto"/>
      <w:ind w:left="1984" w:hanging="567"/>
      <w:jc w:val="both"/>
    </w:pPr>
    <w:rPr>
      <w:rFonts w:cs="Times New Roman"/>
      <w:lang w:eastAsia="en-GB"/>
    </w:rPr>
  </w:style>
  <w:style w:type="paragraph" w:customStyle="1" w:styleId="Point3letter">
    <w:name w:val="Point 3 (letter)"/>
    <w:basedOn w:val="Normal"/>
    <w:pPr>
      <w:tabs>
        <w:tab w:val="num" w:pos="2551"/>
      </w:tabs>
      <w:spacing w:before="120" w:after="120" w:line="240" w:lineRule="auto"/>
      <w:ind w:left="2551" w:hanging="567"/>
      <w:jc w:val="both"/>
    </w:pPr>
    <w:rPr>
      <w:rFonts w:cs="Times New Roman"/>
      <w:lang w:eastAsia="en-GB"/>
    </w:rPr>
  </w:style>
  <w:style w:type="paragraph" w:customStyle="1" w:styleId="Point4letter">
    <w:name w:val="Point 4 (letter)"/>
    <w:basedOn w:val="Normal"/>
    <w:pPr>
      <w:tabs>
        <w:tab w:val="num" w:pos="3118"/>
      </w:tabs>
      <w:spacing w:before="120" w:after="120" w:line="240" w:lineRule="auto"/>
      <w:ind w:left="3118" w:hanging="567"/>
      <w:jc w:val="both"/>
    </w:pPr>
    <w:rPr>
      <w:rFonts w:cs="Times New Roman"/>
      <w:lang w:eastAsia="en-GB"/>
    </w:rPr>
  </w:style>
  <w:style w:type="character" w:styleId="PlaceholderText">
    <w:name w:val="Placeholder Text"/>
    <w:basedOn w:val="DefaultParagraphFont"/>
    <w:uiPriority w:val="99"/>
    <w:semiHidden/>
    <w:rPr>
      <w:color w:val="808080"/>
    </w:rPr>
  </w:style>
  <w:style w:type="character" w:customStyle="1" w:styleId="CaptionChar">
    <w:name w:val="Caption Char"/>
    <w:aliases w:val="Tasks Char,Beschriftung Char2 Char,Beschriftung Char1 Char1 Char,Beschriftung Char Char Char1 Char,Beschriftung Char1 Char Char Char,Beschriftung Char Char Char Char Char,Beschriftung Char Char1 Char Char,Beschriftung Char Char2 Char"/>
    <w:link w:val="Caption"/>
    <w:locked/>
    <w:rPr>
      <w:rFonts w:ascii="Times New Roman" w:hAnsi="Times New Roman" w:cs="Times New Roman"/>
      <w:b/>
      <w:bCs/>
      <w:color w:val="000000" w:themeColor="text1"/>
      <w:sz w:val="24"/>
      <w:szCs w:val="24"/>
    </w:rPr>
  </w:style>
  <w:style w:type="paragraph" w:styleId="TOC3">
    <w:name w:val="toc 3"/>
    <w:basedOn w:val="Normal"/>
    <w:next w:val="Normal"/>
    <w:autoRedefine/>
    <w:uiPriority w:val="39"/>
    <w:unhideWhenUsed/>
    <w:pPr>
      <w:tabs>
        <w:tab w:val="left" w:pos="1077"/>
        <w:tab w:val="right" w:leader="dot" w:pos="8608"/>
      </w:tabs>
      <w:spacing w:after="100"/>
      <w:ind w:left="446"/>
    </w:pPr>
    <w:rPr>
      <w:rFonts w:eastAsia="Times New Roman" w:cs="Times New Roman"/>
      <w:noProof/>
      <w:lang w:val="fr-BE"/>
    </w:rPr>
  </w:style>
  <w:style w:type="character" w:styleId="Strong">
    <w:name w:val="Strong"/>
    <w:basedOn w:val="DefaultParagraphFont"/>
    <w:uiPriority w:val="22"/>
    <w:qFormat/>
    <w:rPr>
      <w:b/>
      <w:bCs/>
    </w:rPr>
  </w:style>
  <w:style w:type="table" w:customStyle="1" w:styleId="TableFPB3">
    <w:name w:val="Table_FPB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1">
    <w:name w:val="Table Grid1"/>
    <w:basedOn w:val="TableNormal"/>
    <w:next w:val="TableGrid"/>
    <w:uiPriority w:val="59"/>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pPr>
      <w:spacing w:after="100"/>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pPr>
      <w:spacing w:after="100"/>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pPr>
      <w:spacing w:after="100"/>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pPr>
      <w:spacing w:after="100"/>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pPr>
      <w:spacing w:after="100"/>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pPr>
      <w:spacing w:after="100"/>
      <w:ind w:left="1760"/>
    </w:pPr>
    <w:rPr>
      <w:rFonts w:asciiTheme="minorHAnsi" w:eastAsiaTheme="minorEastAsia" w:hAnsiTheme="minorHAnsi"/>
      <w:sz w:val="22"/>
      <w:lang w:eastAsia="en-GB"/>
    </w:rPr>
  </w:style>
  <w:style w:type="paragraph" w:styleId="List3">
    <w:name w:val="List 3"/>
    <w:basedOn w:val="Normal"/>
    <w:pPr>
      <w:spacing w:after="240" w:line="240" w:lineRule="auto"/>
      <w:ind w:left="849" w:hanging="283"/>
      <w:jc w:val="both"/>
    </w:pPr>
    <w:rPr>
      <w:rFonts w:eastAsia="Times New Roman" w:cs="Times New Roman"/>
      <w:szCs w:val="20"/>
    </w:rPr>
  </w:style>
  <w:style w:type="paragraph" w:styleId="BodyText">
    <w:name w:val="Body Text"/>
    <w:basedOn w:val="Normal"/>
    <w:link w:val="BodyTextChar"/>
    <w:uiPriority w:val="99"/>
    <w:pPr>
      <w:spacing w:after="120" w:line="240" w:lineRule="auto"/>
      <w:jc w:val="both"/>
    </w:pPr>
    <w:rPr>
      <w:rFonts w:eastAsia="Times New Roman" w:cs="Times New Roman"/>
      <w:szCs w:val="20"/>
    </w:rPr>
  </w:style>
  <w:style w:type="character" w:customStyle="1" w:styleId="BodyTextChar">
    <w:name w:val="Body Text Char"/>
    <w:basedOn w:val="DefaultParagraphFont"/>
    <w:link w:val="BodyText"/>
    <w:uiPriority w:val="99"/>
    <w:rPr>
      <w:rFonts w:ascii="Times New Roman" w:eastAsia="Times New Roman" w:hAnsi="Times New Roman" w:cs="Times New Roman"/>
      <w:sz w:val="24"/>
      <w:szCs w:val="20"/>
    </w:rPr>
  </w:style>
  <w:style w:type="paragraph" w:styleId="ListNumber">
    <w:name w:val="List Number"/>
    <w:basedOn w:val="Normal"/>
    <w:uiPriority w:val="99"/>
    <w:semiHidden/>
    <w:unhideWhenUsed/>
    <w:pPr>
      <w:numPr>
        <w:numId w:val="9"/>
      </w:numPr>
      <w:contextualSpacing/>
    </w:pPr>
  </w:style>
  <w:style w:type="paragraph" w:customStyle="1" w:styleId="xmsonormal">
    <w:name w:val="x_msonormal"/>
    <w:basedOn w:val="Normal"/>
    <w:uiPriority w:val="99"/>
    <w:pPr>
      <w:spacing w:after="0" w:line="240" w:lineRule="auto"/>
    </w:pPr>
    <w:rPr>
      <w:rFonts w:cs="Times New Roman"/>
      <w:szCs w:val="24"/>
      <w:lang w:val="fr-BE" w:eastAsia="fr-BE"/>
    </w:rPr>
  </w:style>
  <w:style w:type="paragraph" w:customStyle="1" w:styleId="TOCHeading1">
    <w:name w:val="TOC Heading 1"/>
    <w:basedOn w:val="TOC1"/>
    <w:link w:val="TOCHeading1Char"/>
    <w:qFormat/>
    <w:rsid w:val="003E180D"/>
    <w:rPr>
      <w:noProof/>
    </w:rPr>
  </w:style>
  <w:style w:type="character" w:customStyle="1" w:styleId="TOC1Char">
    <w:name w:val="TOC 1 Char"/>
    <w:basedOn w:val="DefaultParagraphFont"/>
    <w:link w:val="TOC1"/>
    <w:uiPriority w:val="39"/>
    <w:rsid w:val="003E180D"/>
    <w:rPr>
      <w:rFonts w:ascii="Times New Roman" w:eastAsia="Times New Roman" w:hAnsi="Times New Roman" w:cs="Times New Roman"/>
      <w:caps/>
      <w:sz w:val="20"/>
      <w:szCs w:val="20"/>
    </w:rPr>
  </w:style>
  <w:style w:type="character" w:customStyle="1" w:styleId="TOCHeading1Char">
    <w:name w:val="TOC Heading 1 Char"/>
    <w:basedOn w:val="TOC1Char"/>
    <w:link w:val="TOCHeading1"/>
    <w:rsid w:val="003E180D"/>
    <w:rPr>
      <w:rFonts w:ascii="Times New Roman" w:eastAsia="Times New Roman" w:hAnsi="Times New Roman" w:cs="Times New Roman"/>
      <w:caps/>
      <w:noProof/>
      <w:sz w:val="20"/>
      <w:szCs w:val="20"/>
    </w:rPr>
  </w:style>
  <w:style w:type="character" w:customStyle="1" w:styleId="message">
    <w:name w:val="message"/>
    <w:basedOn w:val="DefaultParagraphFont"/>
    <w:rsid w:val="003E180D"/>
  </w:style>
  <w:style w:type="paragraph" w:styleId="BodyTextIndent3">
    <w:name w:val="Body Text Indent 3"/>
    <w:basedOn w:val="Normal"/>
    <w:link w:val="BodyTextIndent3Char"/>
    <w:uiPriority w:val="99"/>
    <w:semiHidden/>
    <w:unhideWhenUsed/>
    <w:rsid w:val="003E180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E180D"/>
    <w:rPr>
      <w:rFonts w:ascii="Times New Roman" w:hAnsi="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60441">
      <w:bodyDiv w:val="1"/>
      <w:marLeft w:val="0"/>
      <w:marRight w:val="0"/>
      <w:marTop w:val="0"/>
      <w:marBottom w:val="0"/>
      <w:divBdr>
        <w:top w:val="none" w:sz="0" w:space="0" w:color="auto"/>
        <w:left w:val="none" w:sz="0" w:space="0" w:color="auto"/>
        <w:bottom w:val="none" w:sz="0" w:space="0" w:color="auto"/>
        <w:right w:val="none" w:sz="0" w:space="0" w:color="auto"/>
      </w:divBdr>
    </w:div>
    <w:div w:id="171989942">
      <w:bodyDiv w:val="1"/>
      <w:marLeft w:val="0"/>
      <w:marRight w:val="0"/>
      <w:marTop w:val="0"/>
      <w:marBottom w:val="0"/>
      <w:divBdr>
        <w:top w:val="none" w:sz="0" w:space="0" w:color="auto"/>
        <w:left w:val="none" w:sz="0" w:space="0" w:color="auto"/>
        <w:bottom w:val="none" w:sz="0" w:space="0" w:color="auto"/>
        <w:right w:val="none" w:sz="0" w:space="0" w:color="auto"/>
      </w:divBdr>
    </w:div>
    <w:div w:id="176585461">
      <w:bodyDiv w:val="1"/>
      <w:marLeft w:val="0"/>
      <w:marRight w:val="0"/>
      <w:marTop w:val="0"/>
      <w:marBottom w:val="0"/>
      <w:divBdr>
        <w:top w:val="none" w:sz="0" w:space="0" w:color="auto"/>
        <w:left w:val="none" w:sz="0" w:space="0" w:color="auto"/>
        <w:bottom w:val="none" w:sz="0" w:space="0" w:color="auto"/>
        <w:right w:val="none" w:sz="0" w:space="0" w:color="auto"/>
      </w:divBdr>
    </w:div>
    <w:div w:id="224685497">
      <w:bodyDiv w:val="1"/>
      <w:marLeft w:val="0"/>
      <w:marRight w:val="0"/>
      <w:marTop w:val="0"/>
      <w:marBottom w:val="0"/>
      <w:divBdr>
        <w:top w:val="none" w:sz="0" w:space="0" w:color="auto"/>
        <w:left w:val="none" w:sz="0" w:space="0" w:color="auto"/>
        <w:bottom w:val="none" w:sz="0" w:space="0" w:color="auto"/>
        <w:right w:val="none" w:sz="0" w:space="0" w:color="auto"/>
      </w:divBdr>
    </w:div>
    <w:div w:id="248775289">
      <w:bodyDiv w:val="1"/>
      <w:marLeft w:val="0"/>
      <w:marRight w:val="0"/>
      <w:marTop w:val="0"/>
      <w:marBottom w:val="0"/>
      <w:divBdr>
        <w:top w:val="none" w:sz="0" w:space="0" w:color="auto"/>
        <w:left w:val="none" w:sz="0" w:space="0" w:color="auto"/>
        <w:bottom w:val="none" w:sz="0" w:space="0" w:color="auto"/>
        <w:right w:val="none" w:sz="0" w:space="0" w:color="auto"/>
      </w:divBdr>
    </w:div>
    <w:div w:id="315645096">
      <w:bodyDiv w:val="1"/>
      <w:marLeft w:val="0"/>
      <w:marRight w:val="0"/>
      <w:marTop w:val="0"/>
      <w:marBottom w:val="0"/>
      <w:divBdr>
        <w:top w:val="none" w:sz="0" w:space="0" w:color="auto"/>
        <w:left w:val="none" w:sz="0" w:space="0" w:color="auto"/>
        <w:bottom w:val="none" w:sz="0" w:space="0" w:color="auto"/>
        <w:right w:val="none" w:sz="0" w:space="0" w:color="auto"/>
      </w:divBdr>
    </w:div>
    <w:div w:id="351150929">
      <w:bodyDiv w:val="1"/>
      <w:marLeft w:val="0"/>
      <w:marRight w:val="0"/>
      <w:marTop w:val="0"/>
      <w:marBottom w:val="0"/>
      <w:divBdr>
        <w:top w:val="none" w:sz="0" w:space="0" w:color="auto"/>
        <w:left w:val="none" w:sz="0" w:space="0" w:color="auto"/>
        <w:bottom w:val="none" w:sz="0" w:space="0" w:color="auto"/>
        <w:right w:val="none" w:sz="0" w:space="0" w:color="auto"/>
      </w:divBdr>
    </w:div>
    <w:div w:id="421726390">
      <w:bodyDiv w:val="1"/>
      <w:marLeft w:val="0"/>
      <w:marRight w:val="0"/>
      <w:marTop w:val="0"/>
      <w:marBottom w:val="0"/>
      <w:divBdr>
        <w:top w:val="none" w:sz="0" w:space="0" w:color="auto"/>
        <w:left w:val="none" w:sz="0" w:space="0" w:color="auto"/>
        <w:bottom w:val="none" w:sz="0" w:space="0" w:color="auto"/>
        <w:right w:val="none" w:sz="0" w:space="0" w:color="auto"/>
      </w:divBdr>
    </w:div>
    <w:div w:id="467402993">
      <w:bodyDiv w:val="1"/>
      <w:marLeft w:val="0"/>
      <w:marRight w:val="0"/>
      <w:marTop w:val="0"/>
      <w:marBottom w:val="0"/>
      <w:divBdr>
        <w:top w:val="none" w:sz="0" w:space="0" w:color="auto"/>
        <w:left w:val="none" w:sz="0" w:space="0" w:color="auto"/>
        <w:bottom w:val="none" w:sz="0" w:space="0" w:color="auto"/>
        <w:right w:val="none" w:sz="0" w:space="0" w:color="auto"/>
      </w:divBdr>
    </w:div>
    <w:div w:id="486632475">
      <w:bodyDiv w:val="1"/>
      <w:marLeft w:val="0"/>
      <w:marRight w:val="0"/>
      <w:marTop w:val="0"/>
      <w:marBottom w:val="0"/>
      <w:divBdr>
        <w:top w:val="none" w:sz="0" w:space="0" w:color="auto"/>
        <w:left w:val="none" w:sz="0" w:space="0" w:color="auto"/>
        <w:bottom w:val="none" w:sz="0" w:space="0" w:color="auto"/>
        <w:right w:val="none" w:sz="0" w:space="0" w:color="auto"/>
      </w:divBdr>
    </w:div>
    <w:div w:id="583228381">
      <w:bodyDiv w:val="1"/>
      <w:marLeft w:val="0"/>
      <w:marRight w:val="0"/>
      <w:marTop w:val="0"/>
      <w:marBottom w:val="0"/>
      <w:divBdr>
        <w:top w:val="none" w:sz="0" w:space="0" w:color="auto"/>
        <w:left w:val="none" w:sz="0" w:space="0" w:color="auto"/>
        <w:bottom w:val="none" w:sz="0" w:space="0" w:color="auto"/>
        <w:right w:val="none" w:sz="0" w:space="0" w:color="auto"/>
      </w:divBdr>
    </w:div>
    <w:div w:id="594363403">
      <w:bodyDiv w:val="1"/>
      <w:marLeft w:val="0"/>
      <w:marRight w:val="0"/>
      <w:marTop w:val="0"/>
      <w:marBottom w:val="0"/>
      <w:divBdr>
        <w:top w:val="none" w:sz="0" w:space="0" w:color="auto"/>
        <w:left w:val="none" w:sz="0" w:space="0" w:color="auto"/>
        <w:bottom w:val="none" w:sz="0" w:space="0" w:color="auto"/>
        <w:right w:val="none" w:sz="0" w:space="0" w:color="auto"/>
      </w:divBdr>
    </w:div>
    <w:div w:id="665592956">
      <w:bodyDiv w:val="1"/>
      <w:marLeft w:val="0"/>
      <w:marRight w:val="0"/>
      <w:marTop w:val="0"/>
      <w:marBottom w:val="0"/>
      <w:divBdr>
        <w:top w:val="none" w:sz="0" w:space="0" w:color="auto"/>
        <w:left w:val="none" w:sz="0" w:space="0" w:color="auto"/>
        <w:bottom w:val="none" w:sz="0" w:space="0" w:color="auto"/>
        <w:right w:val="none" w:sz="0" w:space="0" w:color="auto"/>
      </w:divBdr>
    </w:div>
    <w:div w:id="675575636">
      <w:bodyDiv w:val="1"/>
      <w:marLeft w:val="0"/>
      <w:marRight w:val="0"/>
      <w:marTop w:val="0"/>
      <w:marBottom w:val="0"/>
      <w:divBdr>
        <w:top w:val="none" w:sz="0" w:space="0" w:color="auto"/>
        <w:left w:val="none" w:sz="0" w:space="0" w:color="auto"/>
        <w:bottom w:val="none" w:sz="0" w:space="0" w:color="auto"/>
        <w:right w:val="none" w:sz="0" w:space="0" w:color="auto"/>
      </w:divBdr>
    </w:div>
    <w:div w:id="677461486">
      <w:bodyDiv w:val="1"/>
      <w:marLeft w:val="0"/>
      <w:marRight w:val="0"/>
      <w:marTop w:val="0"/>
      <w:marBottom w:val="0"/>
      <w:divBdr>
        <w:top w:val="none" w:sz="0" w:space="0" w:color="auto"/>
        <w:left w:val="none" w:sz="0" w:space="0" w:color="auto"/>
        <w:bottom w:val="none" w:sz="0" w:space="0" w:color="auto"/>
        <w:right w:val="none" w:sz="0" w:space="0" w:color="auto"/>
      </w:divBdr>
    </w:div>
    <w:div w:id="702485729">
      <w:bodyDiv w:val="1"/>
      <w:marLeft w:val="0"/>
      <w:marRight w:val="0"/>
      <w:marTop w:val="0"/>
      <w:marBottom w:val="0"/>
      <w:divBdr>
        <w:top w:val="none" w:sz="0" w:space="0" w:color="auto"/>
        <w:left w:val="none" w:sz="0" w:space="0" w:color="auto"/>
        <w:bottom w:val="none" w:sz="0" w:space="0" w:color="auto"/>
        <w:right w:val="none" w:sz="0" w:space="0" w:color="auto"/>
      </w:divBdr>
    </w:div>
    <w:div w:id="766192452">
      <w:bodyDiv w:val="1"/>
      <w:marLeft w:val="0"/>
      <w:marRight w:val="0"/>
      <w:marTop w:val="0"/>
      <w:marBottom w:val="0"/>
      <w:divBdr>
        <w:top w:val="none" w:sz="0" w:space="0" w:color="auto"/>
        <w:left w:val="none" w:sz="0" w:space="0" w:color="auto"/>
        <w:bottom w:val="none" w:sz="0" w:space="0" w:color="auto"/>
        <w:right w:val="none" w:sz="0" w:space="0" w:color="auto"/>
      </w:divBdr>
    </w:div>
    <w:div w:id="781414272">
      <w:bodyDiv w:val="1"/>
      <w:marLeft w:val="0"/>
      <w:marRight w:val="0"/>
      <w:marTop w:val="0"/>
      <w:marBottom w:val="0"/>
      <w:divBdr>
        <w:top w:val="none" w:sz="0" w:space="0" w:color="auto"/>
        <w:left w:val="none" w:sz="0" w:space="0" w:color="auto"/>
        <w:bottom w:val="none" w:sz="0" w:space="0" w:color="auto"/>
        <w:right w:val="none" w:sz="0" w:space="0" w:color="auto"/>
      </w:divBdr>
    </w:div>
    <w:div w:id="819082480">
      <w:bodyDiv w:val="1"/>
      <w:marLeft w:val="0"/>
      <w:marRight w:val="0"/>
      <w:marTop w:val="0"/>
      <w:marBottom w:val="0"/>
      <w:divBdr>
        <w:top w:val="none" w:sz="0" w:space="0" w:color="auto"/>
        <w:left w:val="none" w:sz="0" w:space="0" w:color="auto"/>
        <w:bottom w:val="none" w:sz="0" w:space="0" w:color="auto"/>
        <w:right w:val="none" w:sz="0" w:space="0" w:color="auto"/>
      </w:divBdr>
    </w:div>
    <w:div w:id="846022616">
      <w:bodyDiv w:val="1"/>
      <w:marLeft w:val="0"/>
      <w:marRight w:val="0"/>
      <w:marTop w:val="0"/>
      <w:marBottom w:val="0"/>
      <w:divBdr>
        <w:top w:val="none" w:sz="0" w:space="0" w:color="auto"/>
        <w:left w:val="none" w:sz="0" w:space="0" w:color="auto"/>
        <w:bottom w:val="none" w:sz="0" w:space="0" w:color="auto"/>
        <w:right w:val="none" w:sz="0" w:space="0" w:color="auto"/>
      </w:divBdr>
    </w:div>
    <w:div w:id="924266848">
      <w:bodyDiv w:val="1"/>
      <w:marLeft w:val="0"/>
      <w:marRight w:val="0"/>
      <w:marTop w:val="0"/>
      <w:marBottom w:val="0"/>
      <w:divBdr>
        <w:top w:val="none" w:sz="0" w:space="0" w:color="auto"/>
        <w:left w:val="none" w:sz="0" w:space="0" w:color="auto"/>
        <w:bottom w:val="none" w:sz="0" w:space="0" w:color="auto"/>
        <w:right w:val="none" w:sz="0" w:space="0" w:color="auto"/>
      </w:divBdr>
    </w:div>
    <w:div w:id="932278015">
      <w:bodyDiv w:val="1"/>
      <w:marLeft w:val="0"/>
      <w:marRight w:val="0"/>
      <w:marTop w:val="0"/>
      <w:marBottom w:val="0"/>
      <w:divBdr>
        <w:top w:val="none" w:sz="0" w:space="0" w:color="auto"/>
        <w:left w:val="none" w:sz="0" w:space="0" w:color="auto"/>
        <w:bottom w:val="none" w:sz="0" w:space="0" w:color="auto"/>
        <w:right w:val="none" w:sz="0" w:space="0" w:color="auto"/>
      </w:divBdr>
    </w:div>
    <w:div w:id="1009793299">
      <w:bodyDiv w:val="1"/>
      <w:marLeft w:val="0"/>
      <w:marRight w:val="0"/>
      <w:marTop w:val="0"/>
      <w:marBottom w:val="0"/>
      <w:divBdr>
        <w:top w:val="none" w:sz="0" w:space="0" w:color="auto"/>
        <w:left w:val="none" w:sz="0" w:space="0" w:color="auto"/>
        <w:bottom w:val="none" w:sz="0" w:space="0" w:color="auto"/>
        <w:right w:val="none" w:sz="0" w:space="0" w:color="auto"/>
      </w:divBdr>
    </w:div>
    <w:div w:id="1098284930">
      <w:bodyDiv w:val="1"/>
      <w:marLeft w:val="0"/>
      <w:marRight w:val="0"/>
      <w:marTop w:val="0"/>
      <w:marBottom w:val="0"/>
      <w:divBdr>
        <w:top w:val="none" w:sz="0" w:space="0" w:color="auto"/>
        <w:left w:val="none" w:sz="0" w:space="0" w:color="auto"/>
        <w:bottom w:val="none" w:sz="0" w:space="0" w:color="auto"/>
        <w:right w:val="none" w:sz="0" w:space="0" w:color="auto"/>
      </w:divBdr>
    </w:div>
    <w:div w:id="1195998919">
      <w:bodyDiv w:val="1"/>
      <w:marLeft w:val="0"/>
      <w:marRight w:val="0"/>
      <w:marTop w:val="0"/>
      <w:marBottom w:val="0"/>
      <w:divBdr>
        <w:top w:val="none" w:sz="0" w:space="0" w:color="auto"/>
        <w:left w:val="none" w:sz="0" w:space="0" w:color="auto"/>
        <w:bottom w:val="none" w:sz="0" w:space="0" w:color="auto"/>
        <w:right w:val="none" w:sz="0" w:space="0" w:color="auto"/>
      </w:divBdr>
    </w:div>
    <w:div w:id="1222786894">
      <w:bodyDiv w:val="1"/>
      <w:marLeft w:val="0"/>
      <w:marRight w:val="0"/>
      <w:marTop w:val="0"/>
      <w:marBottom w:val="0"/>
      <w:divBdr>
        <w:top w:val="none" w:sz="0" w:space="0" w:color="auto"/>
        <w:left w:val="none" w:sz="0" w:space="0" w:color="auto"/>
        <w:bottom w:val="none" w:sz="0" w:space="0" w:color="auto"/>
        <w:right w:val="none" w:sz="0" w:space="0" w:color="auto"/>
      </w:divBdr>
    </w:div>
    <w:div w:id="1226598624">
      <w:bodyDiv w:val="1"/>
      <w:marLeft w:val="0"/>
      <w:marRight w:val="0"/>
      <w:marTop w:val="0"/>
      <w:marBottom w:val="0"/>
      <w:divBdr>
        <w:top w:val="none" w:sz="0" w:space="0" w:color="auto"/>
        <w:left w:val="none" w:sz="0" w:space="0" w:color="auto"/>
        <w:bottom w:val="none" w:sz="0" w:space="0" w:color="auto"/>
        <w:right w:val="none" w:sz="0" w:space="0" w:color="auto"/>
      </w:divBdr>
    </w:div>
    <w:div w:id="1367297270">
      <w:bodyDiv w:val="1"/>
      <w:marLeft w:val="0"/>
      <w:marRight w:val="0"/>
      <w:marTop w:val="0"/>
      <w:marBottom w:val="0"/>
      <w:divBdr>
        <w:top w:val="none" w:sz="0" w:space="0" w:color="auto"/>
        <w:left w:val="none" w:sz="0" w:space="0" w:color="auto"/>
        <w:bottom w:val="none" w:sz="0" w:space="0" w:color="auto"/>
        <w:right w:val="none" w:sz="0" w:space="0" w:color="auto"/>
      </w:divBdr>
    </w:div>
    <w:div w:id="1411465167">
      <w:bodyDiv w:val="1"/>
      <w:marLeft w:val="0"/>
      <w:marRight w:val="0"/>
      <w:marTop w:val="0"/>
      <w:marBottom w:val="0"/>
      <w:divBdr>
        <w:top w:val="none" w:sz="0" w:space="0" w:color="auto"/>
        <w:left w:val="none" w:sz="0" w:space="0" w:color="auto"/>
        <w:bottom w:val="none" w:sz="0" w:space="0" w:color="auto"/>
        <w:right w:val="none" w:sz="0" w:space="0" w:color="auto"/>
      </w:divBdr>
    </w:div>
    <w:div w:id="1462380184">
      <w:bodyDiv w:val="1"/>
      <w:marLeft w:val="0"/>
      <w:marRight w:val="0"/>
      <w:marTop w:val="0"/>
      <w:marBottom w:val="0"/>
      <w:divBdr>
        <w:top w:val="none" w:sz="0" w:space="0" w:color="auto"/>
        <w:left w:val="none" w:sz="0" w:space="0" w:color="auto"/>
        <w:bottom w:val="none" w:sz="0" w:space="0" w:color="auto"/>
        <w:right w:val="none" w:sz="0" w:space="0" w:color="auto"/>
      </w:divBdr>
    </w:div>
    <w:div w:id="1466970187">
      <w:bodyDiv w:val="1"/>
      <w:marLeft w:val="0"/>
      <w:marRight w:val="0"/>
      <w:marTop w:val="0"/>
      <w:marBottom w:val="0"/>
      <w:divBdr>
        <w:top w:val="none" w:sz="0" w:space="0" w:color="auto"/>
        <w:left w:val="none" w:sz="0" w:space="0" w:color="auto"/>
        <w:bottom w:val="none" w:sz="0" w:space="0" w:color="auto"/>
        <w:right w:val="none" w:sz="0" w:space="0" w:color="auto"/>
      </w:divBdr>
    </w:div>
    <w:div w:id="1493109085">
      <w:bodyDiv w:val="1"/>
      <w:marLeft w:val="0"/>
      <w:marRight w:val="0"/>
      <w:marTop w:val="0"/>
      <w:marBottom w:val="0"/>
      <w:divBdr>
        <w:top w:val="none" w:sz="0" w:space="0" w:color="auto"/>
        <w:left w:val="none" w:sz="0" w:space="0" w:color="auto"/>
        <w:bottom w:val="none" w:sz="0" w:space="0" w:color="auto"/>
        <w:right w:val="none" w:sz="0" w:space="0" w:color="auto"/>
      </w:divBdr>
    </w:div>
    <w:div w:id="1607929500">
      <w:bodyDiv w:val="1"/>
      <w:marLeft w:val="0"/>
      <w:marRight w:val="0"/>
      <w:marTop w:val="0"/>
      <w:marBottom w:val="0"/>
      <w:divBdr>
        <w:top w:val="none" w:sz="0" w:space="0" w:color="auto"/>
        <w:left w:val="none" w:sz="0" w:space="0" w:color="auto"/>
        <w:bottom w:val="none" w:sz="0" w:space="0" w:color="auto"/>
        <w:right w:val="none" w:sz="0" w:space="0" w:color="auto"/>
      </w:divBdr>
    </w:div>
    <w:div w:id="1691487159">
      <w:bodyDiv w:val="1"/>
      <w:marLeft w:val="0"/>
      <w:marRight w:val="0"/>
      <w:marTop w:val="0"/>
      <w:marBottom w:val="0"/>
      <w:divBdr>
        <w:top w:val="none" w:sz="0" w:space="0" w:color="auto"/>
        <w:left w:val="none" w:sz="0" w:space="0" w:color="auto"/>
        <w:bottom w:val="none" w:sz="0" w:space="0" w:color="auto"/>
        <w:right w:val="none" w:sz="0" w:space="0" w:color="auto"/>
      </w:divBdr>
    </w:div>
    <w:div w:id="1748763197">
      <w:bodyDiv w:val="1"/>
      <w:marLeft w:val="0"/>
      <w:marRight w:val="0"/>
      <w:marTop w:val="0"/>
      <w:marBottom w:val="0"/>
      <w:divBdr>
        <w:top w:val="none" w:sz="0" w:space="0" w:color="auto"/>
        <w:left w:val="none" w:sz="0" w:space="0" w:color="auto"/>
        <w:bottom w:val="none" w:sz="0" w:space="0" w:color="auto"/>
        <w:right w:val="none" w:sz="0" w:space="0" w:color="auto"/>
      </w:divBdr>
    </w:div>
    <w:div w:id="1814564993">
      <w:bodyDiv w:val="1"/>
      <w:marLeft w:val="0"/>
      <w:marRight w:val="0"/>
      <w:marTop w:val="0"/>
      <w:marBottom w:val="0"/>
      <w:divBdr>
        <w:top w:val="none" w:sz="0" w:space="0" w:color="auto"/>
        <w:left w:val="none" w:sz="0" w:space="0" w:color="auto"/>
        <w:bottom w:val="none" w:sz="0" w:space="0" w:color="auto"/>
        <w:right w:val="none" w:sz="0" w:space="0" w:color="auto"/>
      </w:divBdr>
    </w:div>
    <w:div w:id="1836995159">
      <w:bodyDiv w:val="1"/>
      <w:marLeft w:val="0"/>
      <w:marRight w:val="0"/>
      <w:marTop w:val="0"/>
      <w:marBottom w:val="0"/>
      <w:divBdr>
        <w:top w:val="none" w:sz="0" w:space="0" w:color="auto"/>
        <w:left w:val="none" w:sz="0" w:space="0" w:color="auto"/>
        <w:bottom w:val="none" w:sz="0" w:space="0" w:color="auto"/>
        <w:right w:val="none" w:sz="0" w:space="0" w:color="auto"/>
      </w:divBdr>
    </w:div>
    <w:div w:id="1837071515">
      <w:bodyDiv w:val="1"/>
      <w:marLeft w:val="0"/>
      <w:marRight w:val="0"/>
      <w:marTop w:val="0"/>
      <w:marBottom w:val="0"/>
      <w:divBdr>
        <w:top w:val="none" w:sz="0" w:space="0" w:color="auto"/>
        <w:left w:val="none" w:sz="0" w:space="0" w:color="auto"/>
        <w:bottom w:val="none" w:sz="0" w:space="0" w:color="auto"/>
        <w:right w:val="none" w:sz="0" w:space="0" w:color="auto"/>
      </w:divBdr>
    </w:div>
    <w:div w:id="1857961449">
      <w:bodyDiv w:val="1"/>
      <w:marLeft w:val="0"/>
      <w:marRight w:val="0"/>
      <w:marTop w:val="0"/>
      <w:marBottom w:val="0"/>
      <w:divBdr>
        <w:top w:val="none" w:sz="0" w:space="0" w:color="auto"/>
        <w:left w:val="none" w:sz="0" w:space="0" w:color="auto"/>
        <w:bottom w:val="none" w:sz="0" w:space="0" w:color="auto"/>
        <w:right w:val="none" w:sz="0" w:space="0" w:color="auto"/>
      </w:divBdr>
    </w:div>
    <w:div w:id="199645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image" Target="media/image7.png"/><Relationship Id="rId21" Type="http://schemas.openxmlformats.org/officeDocument/2006/relationships/footer" Target="footer4.xml"/><Relationship Id="rId34" Type="http://schemas.openxmlformats.org/officeDocument/2006/relationships/image" Target="media/image3.png"/><Relationship Id="rId42" Type="http://schemas.openxmlformats.org/officeDocument/2006/relationships/image" Target="media/image10.emf"/><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jpeg"/><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9.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yperlink" Target="http://eur-lex.europa.eu/LexUriServ/LexUriServ.do?uri=OJ:L:2009:140:0088:0113:EN:PDF"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emf"/><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hyperlink" Target="http://eur-lex.europa.eu/legal-content/EN/TXT/?qid=1509014203218&amp;uri=CELEX:52016DC0501" TargetMode="External"/><Relationship Id="rId49" Type="http://schemas.openxmlformats.org/officeDocument/2006/relationships/image" Target="media/image17.png"/><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yperlink" Target="http://eur-lex.europa.eu/LexUriServ/LexUriServ.do?uri=CELEX:32009R0443:EN:NOT" TargetMode="External"/><Relationship Id="rId44" Type="http://schemas.openxmlformats.org/officeDocument/2006/relationships/image" Target="media/image12.png"/><Relationship Id="rId52" Type="http://schemas.openxmlformats.org/officeDocument/2006/relationships/image" Target="media/image20.emf"/><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image" Target="media/image4.pn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emf"/><Relationship Id="rId64" Type="http://schemas.openxmlformats.org/officeDocument/2006/relationships/image" Target="media/image32.png"/><Relationship Id="rId69" Type="http://schemas.openxmlformats.org/officeDocument/2006/relationships/header" Target="header10.xml"/><Relationship Id="rId8" Type="http://schemas.openxmlformats.org/officeDocument/2006/relationships/settings" Target="settings.xml"/><Relationship Id="rId51" Type="http://schemas.openxmlformats.org/officeDocument/2006/relationships/image" Target="media/image19.emf"/><Relationship Id="rId72" Type="http://schemas.openxmlformats.org/officeDocument/2006/relationships/footer" Target="footer11.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2.png"/><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header" Target="header5.xml"/><Relationship Id="rId41" Type="http://schemas.openxmlformats.org/officeDocument/2006/relationships/image" Target="media/image9.png"/><Relationship Id="rId54" Type="http://schemas.openxmlformats.org/officeDocument/2006/relationships/image" Target="media/image22.emf"/><Relationship Id="rId62" Type="http://schemas.openxmlformats.org/officeDocument/2006/relationships/image" Target="media/image30.png"/><Relationship Id="rId70" Type="http://schemas.openxmlformats.org/officeDocument/2006/relationships/header" Target="header1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acea.be/uploads/publications/factsheet_trucks.pdf" TargetMode="External"/><Relationship Id="rId13" Type="http://schemas.openxmlformats.org/officeDocument/2006/relationships/hyperlink" Target="http://media.daimler.com/marsMediaSite/en/instance/ko/Daimler-Trucks-launches-E-FUSO-and-all-electric-heavy-duty-truck-Vision-One.xhtml?oid=30010405" TargetMode="External"/><Relationship Id="rId18" Type="http://schemas.openxmlformats.org/officeDocument/2006/relationships/hyperlink" Target="https://electrek.co/guides/tesla-semi/" TargetMode="External"/><Relationship Id="rId26" Type="http://schemas.openxmlformats.org/officeDocument/2006/relationships/hyperlink" Target="https://www.siemens.com/content/dam/webassetpool/mam/tag-siemens-com/smdb/mobility/road/electromobility/ehighway/documents/ehighway-2017.pdf" TargetMode="External"/><Relationship Id="rId3" Type="http://schemas.openxmlformats.org/officeDocument/2006/relationships/hyperlink" Target="http://www.exiobase.eu" TargetMode="External"/><Relationship Id="rId21" Type="http://schemas.openxmlformats.org/officeDocument/2006/relationships/hyperlink" Target="https://nikolamotor.com/motor" TargetMode="External"/><Relationship Id="rId7" Type="http://schemas.openxmlformats.org/officeDocument/2006/relationships/hyperlink" Target="http://www.acea.be/uploads/publications/factsheet_trucks.pdf" TargetMode="External"/><Relationship Id="rId12" Type="http://schemas.openxmlformats.org/officeDocument/2006/relationships/hyperlink" Target="http://www.eea.europa.eu/data-and-maps/data/data-viewers/greenhouse-gases-viewer" TargetMode="External"/><Relationship Id="rId17" Type="http://schemas.openxmlformats.org/officeDocument/2006/relationships/hyperlink" Target="https://www.scania.com/group/en/electric-trucks-how-the-technology-works/" TargetMode="External"/><Relationship Id="rId25" Type="http://schemas.openxmlformats.org/officeDocument/2006/relationships/hyperlink" Target="https://ec.europa.eu/clima/sites/clima/files/transport/vehicles/heavy/docs/hdv_2011_01_09_en.pdf" TargetMode="External"/><Relationship Id="rId2" Type="http://schemas.openxmlformats.org/officeDocument/2006/relationships/hyperlink" Target="https://ec.europa.eu/transport/sites/transport/files/themes/sustainable/studies/doc/2014-handbookexternal-costs-transport.pdf" TargetMode="External"/><Relationship Id="rId16" Type="http://schemas.openxmlformats.org/officeDocument/2006/relationships/hyperlink" Target="https://www.volkswagenag.com/en/news/2017/02/man_etruck.html" TargetMode="External"/><Relationship Id="rId20" Type="http://schemas.openxmlformats.org/officeDocument/2006/relationships/hyperlink" Target="https://www.cummins.com/news/2017/08/29/5-cool-things-about-our-electric-powertrain-concept-truck" TargetMode="External"/><Relationship Id="rId1" Type="http://schemas.openxmlformats.org/officeDocument/2006/relationships/hyperlink" Target="https://ec.europa.eu/clima/consultations/articles/0031_en" TargetMode="External"/><Relationship Id="rId6" Type="http://schemas.openxmlformats.org/officeDocument/2006/relationships/hyperlink" Target="http://www.acea.be/uploads/publications/factsheet_trucks.pdf" TargetMode="External"/><Relationship Id="rId11" Type="http://schemas.openxmlformats.org/officeDocument/2006/relationships/hyperlink" Target="http://www.eea.europa.eu/data-and-maps/data/data-viewers/greenhouse-gases-viewer" TargetMode="External"/><Relationship Id="rId24" Type="http://schemas.openxmlformats.org/officeDocument/2006/relationships/hyperlink" Target="http://eur-lex.europa.eu/eli/reg/2017/2400/oj" TargetMode="External"/><Relationship Id="rId5" Type="http://schemas.openxmlformats.org/officeDocument/2006/relationships/hyperlink" Target="http://www.acea.be/uploads/publications/factsheet_trucks.pdf" TargetMode="External"/><Relationship Id="rId15" Type="http://schemas.openxmlformats.org/officeDocument/2006/relationships/hyperlink" Target="https://www.iveco.com/Corporate-en/Company/Pages/Electric-vehicles.aspx" TargetMode="External"/><Relationship Id="rId23" Type="http://schemas.openxmlformats.org/officeDocument/2006/relationships/hyperlink" Target="http://eur-lex.europa.eu/eli/reg/2017/2400/oj" TargetMode="External"/><Relationship Id="rId28" Type="http://schemas.openxmlformats.org/officeDocument/2006/relationships/hyperlink" Target="https://ec.europa.eu/energy/sites/ener/files/documents/20160713%20draft_publication_REF2016_v13.pdf" TargetMode="External"/><Relationship Id="rId10" Type="http://schemas.openxmlformats.org/officeDocument/2006/relationships/hyperlink" Target="https://www.eea.europa.eu/data-and-maps/indicators/fuel-prices-and-taxes/assessment-7" TargetMode="External"/><Relationship Id="rId19" Type="http://schemas.openxmlformats.org/officeDocument/2006/relationships/hyperlink" Target="http://www.byd.com/" TargetMode="External"/><Relationship Id="rId4" Type="http://schemas.openxmlformats.org/officeDocument/2006/relationships/hyperlink" Target="https://ec.europa.eu/transport/facts-fundings/statistics/pocketbook-2017_en" TargetMode="External"/><Relationship Id="rId9" Type="http://schemas.openxmlformats.org/officeDocument/2006/relationships/hyperlink" Target="http://ec.europa.eu/taxation_customs/resources/documents/taxation/excise_duties/energy_products/rates/excise_duties-part_ii_energy_products_en.pdf" TargetMode="External"/><Relationship Id="rId14" Type="http://schemas.openxmlformats.org/officeDocument/2006/relationships/hyperlink" Target="http://corporate.renault-trucks.com/en/press-releases/2015-02-23-the-french-poste-office-and-renault-trucks-jointly-test-a-hydrogen-powered-truck-running-on-a-fuel-cell.html" TargetMode="External"/><Relationship Id="rId22" Type="http://schemas.openxmlformats.org/officeDocument/2006/relationships/hyperlink" Target="https://ec.europa.eu/clima/sites/clima/files/transport/vehicles/heavy/docs/hdv_2011_01_09_en.pdf" TargetMode="External"/><Relationship Id="rId27" Type="http://schemas.openxmlformats.org/officeDocument/2006/relationships/hyperlink" Target="http://fwww.iea.org/media/workshops/2016/thefutureroleoftrucks/7_Akerman_PA_eHighway_IEA_JRC_worksho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0c99dad5-3d56-4f91-9bac-111fe816f21c">EN</EC_Collab_DocumentLanguage>
    <EC_Collab_Reference xmlns="0c99dad5-3d56-4f91-9bac-111fe816f21c" xsi:nil="true"/>
    <_Status xmlns="http://schemas.microsoft.com/sharepoint/v3/fields">Not Started</_Status>
    <EC_Collab_Status xmlns="0c99dad5-3d56-4f91-9bac-111fe816f21c">Not Started</EC_Collab_Status>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AFAF196B82F19C41941DD3F00E8B295E" ma:contentTypeVersion="0" ma:contentTypeDescription="Create a new document in this library." ma:contentTypeScope="" ma:versionID="71b9631eac96cc512eed3bd950822da2">
  <xsd:schema xmlns:xsd="http://www.w3.org/2001/XMLSchema" xmlns:xs="http://www.w3.org/2001/XMLSchema" xmlns:p="http://schemas.microsoft.com/office/2006/metadata/properties" xmlns:ns2="http://schemas.microsoft.com/sharepoint/v3/fields" xmlns:ns3="0c99dad5-3d56-4f91-9bac-111fe816f21c" targetNamespace="http://schemas.microsoft.com/office/2006/metadata/properties" ma:root="true" ma:fieldsID="6db4ffdaaa999dd994579037f7bb8dae" ns2:_="" ns3:_="">
    <xsd:import namespace="http://schemas.microsoft.com/sharepoint/v3/fields"/>
    <xsd:import namespace="0c99dad5-3d56-4f91-9bac-111fe816f21c"/>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c99dad5-3d56-4f91-9bac-111fe816f21c"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1B54A-B7B2-4E22-8BE3-E4C2E7991BCD}">
  <ds:schemaRefs>
    <ds:schemaRef ds:uri="http://schemas.microsoft.com/sharepoint/v3/contenttype/forms"/>
  </ds:schemaRefs>
</ds:datastoreItem>
</file>

<file path=customXml/itemProps2.xml><?xml version="1.0" encoding="utf-8"?>
<ds:datastoreItem xmlns:ds="http://schemas.openxmlformats.org/officeDocument/2006/customXml" ds:itemID="{B6588506-08E3-484C-9694-B477B6D1810E}">
  <ds:schemaRefs>
    <ds:schemaRef ds:uri="http://purl.org/dc/terms/"/>
    <ds:schemaRef ds:uri="http://schemas.microsoft.com/office/2006/metadata/properties"/>
    <ds:schemaRef ds:uri="http://schemas.microsoft.com/office/2006/documentManagement/types"/>
    <ds:schemaRef ds:uri="http://www.w3.org/XML/1998/namespace"/>
    <ds:schemaRef ds:uri="http://purl.org/dc/elements/1.1/"/>
    <ds:schemaRef ds:uri="http://purl.org/dc/dcmitype/"/>
    <ds:schemaRef ds:uri="http://schemas.microsoft.com/sharepoint/v3/fields"/>
    <ds:schemaRef ds:uri="http://schemas.microsoft.com/office/infopath/2007/PartnerControls"/>
    <ds:schemaRef ds:uri="http://schemas.openxmlformats.org/package/2006/metadata/core-properties"/>
    <ds:schemaRef ds:uri="0c99dad5-3d56-4f91-9bac-111fe816f21c"/>
  </ds:schemaRefs>
</ds:datastoreItem>
</file>

<file path=customXml/itemProps3.xml><?xml version="1.0" encoding="utf-8"?>
<ds:datastoreItem xmlns:ds="http://schemas.openxmlformats.org/officeDocument/2006/customXml" ds:itemID="{A7A5635E-F456-4D6A-B7D3-786DAC7420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c99dad5-3d56-4f91-9bac-111fe816f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695488-E06D-4996-AFD0-A8B341722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84</Pages>
  <Words>24230</Words>
  <Characters>132782</Characters>
  <Application>Microsoft Office Word</Application>
  <DocSecurity>0</DocSecurity>
  <Lines>4283</Lines>
  <Paragraphs>2854</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154158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KUDRYK Katarzyna (SG)</dc:creator>
  <cp:lastModifiedBy>KUDRYK Katarzyna (SG)</cp:lastModifiedBy>
  <cp:revision>4</cp:revision>
  <cp:lastPrinted>2018-05-02T09:17:00Z</cp:lastPrinted>
  <dcterms:created xsi:type="dcterms:W3CDTF">2018-05-17T11:50:00Z</dcterms:created>
  <dcterms:modified xsi:type="dcterms:W3CDTF">2018-05-17T11:58:00Z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0x010100258AA79CEB83498886A3A0868112325000AFAF196B82F19C41941DD3F00E8B295E</vt:lpwstr>
  </property>
  <property fmtid="{D5CDD505-2E9C-101B-9397-08002B2CF9AE}" pid="3" name="Level of sensitivity">
    <vt:lpwstr>Standard treatment</vt:lpwstr>
  </property>
  <property fmtid="{D5CDD505-2E9C-101B-9397-08002B2CF9AE}" pid="4" name="Part">
    <vt:lpwstr>2</vt:lpwstr>
  </property>
  <property fmtid="{D5CDD505-2E9C-101B-9397-08002B2CF9AE}" pid="5" name="Total parts">
    <vt:lpwstr>2</vt:lpwstr>
  </property>
  <property fmtid="{D5CDD505-2E9C-101B-9397-08002B2CF9AE}" pid="6" name="DocStatus">
    <vt:lpwstr>Green</vt:lpwstr>
  </property>
</Properties>
</file>