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53D41F4-0A38-4833-A0EF-E70795AE7CD9" style="width:450.6pt;height:383.6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 Proposal for a Regulation of the European Parliament and of the Council setting CO</w:t>
            </w:r>
            <w:r>
              <w:rPr>
                <w:rFonts w:ascii="Tahoma" w:hAnsi="Tahoma" w:cs="Tahoma"/>
                <w:noProof/>
                <w:color w:val="FFFFFF" w:themeColor="background1"/>
                <w:sz w:val="20"/>
                <w:szCs w:val="20"/>
                <w:vertAlign w:val="subscript"/>
              </w:rPr>
              <w:t>2</w:t>
            </w:r>
            <w:r>
              <w:rPr>
                <w:rFonts w:ascii="Tahoma" w:hAnsi="Tahoma" w:cs="Tahoma"/>
                <w:noProof/>
                <w:color w:val="FFFFFF" w:themeColor="background1"/>
                <w:sz w:val="20"/>
                <w:szCs w:val="20"/>
              </w:rPr>
              <w:t xml:space="preserve"> emission performance standards for new heavy-duty vehicles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lang w:val="en"/>
              </w:rPr>
              <w:t>Between 1990 and 2015, CO</w:t>
            </w:r>
            <w:r>
              <w:rPr>
                <w:rFonts w:ascii="Arial" w:hAnsi="Arial" w:cs="Arial"/>
                <w:noProof/>
                <w:sz w:val="20"/>
                <w:szCs w:val="20"/>
                <w:vertAlign w:val="subscript"/>
                <w:lang w:val="en"/>
              </w:rPr>
              <w:t>2</w:t>
            </w:r>
            <w:r>
              <w:rPr>
                <w:rFonts w:ascii="Arial" w:hAnsi="Arial" w:cs="Arial"/>
                <w:noProof/>
                <w:sz w:val="20"/>
                <w:szCs w:val="20"/>
                <w:lang w:val="en"/>
              </w:rPr>
              <w:t xml:space="preserve"> emissions of heavy-duty vehicles (HDV) rose by some 19%. HDV CO</w:t>
            </w:r>
            <w:r>
              <w:rPr>
                <w:rFonts w:ascii="Arial" w:hAnsi="Arial" w:cs="Arial"/>
                <w:noProof/>
                <w:sz w:val="20"/>
                <w:szCs w:val="20"/>
                <w:vertAlign w:val="subscript"/>
                <w:lang w:val="en"/>
              </w:rPr>
              <w:t>2</w:t>
            </w:r>
            <w:r>
              <w:rPr>
                <w:rFonts w:ascii="Arial" w:hAnsi="Arial" w:cs="Arial"/>
                <w:noProof/>
                <w:sz w:val="20"/>
                <w:szCs w:val="20"/>
                <w:lang w:val="en"/>
              </w:rPr>
              <w:t xml:space="preserve"> emissions are currently not regulated within the EU, contrary to car and van emissions.</w:t>
            </w:r>
            <w:r>
              <w:rPr>
                <w:rFonts w:ascii="Arial" w:hAnsi="Arial" w:cs="Arial"/>
                <w:noProof/>
                <w:sz w:val="20"/>
                <w:szCs w:val="20"/>
              </w:rPr>
              <w:t xml:space="preserve"> </w:t>
            </w:r>
          </w:p>
          <w:p>
            <w:pPr>
              <w:jc w:val="both"/>
              <w:rPr>
                <w:rFonts w:ascii="Arial" w:hAnsi="Arial" w:cs="Arial"/>
                <w:noProof/>
                <w:sz w:val="20"/>
                <w:szCs w:val="20"/>
              </w:rPr>
            </w:pPr>
          </w:p>
          <w:p>
            <w:pPr>
              <w:jc w:val="both"/>
              <w:rPr>
                <w:rFonts w:ascii="Arial" w:hAnsi="Arial" w:cs="Arial"/>
                <w:noProof/>
                <w:sz w:val="20"/>
                <w:szCs w:val="20"/>
                <w:lang w:val="en"/>
              </w:rPr>
            </w:pPr>
            <w:r>
              <w:rPr>
                <w:rFonts w:ascii="Arial" w:hAnsi="Arial" w:cs="Arial"/>
                <w:noProof/>
                <w:sz w:val="20"/>
                <w:szCs w:val="20"/>
                <w:lang w:val="en"/>
              </w:rPr>
              <w:t xml:space="preserve">A large number of readily available cost-effective technologies to improve fuel efficiency are not widely deployed in the market even though </w:t>
            </w:r>
            <w:r>
              <w:rPr>
                <w:rFonts w:ascii="Arial" w:hAnsi="Arial" w:cs="Arial"/>
                <w:noProof/>
                <w:sz w:val="20"/>
                <w:szCs w:val="20"/>
              </w:rPr>
              <w:t xml:space="preserve">their costs are low and </w:t>
            </w:r>
            <w:r>
              <w:rPr>
                <w:rFonts w:ascii="Arial" w:hAnsi="Arial" w:cs="Arial"/>
                <w:noProof/>
                <w:sz w:val="20"/>
                <w:szCs w:val="20"/>
                <w:lang w:val="en"/>
              </w:rPr>
              <w:t xml:space="preserve">they could bring high net savings. This is mainly due to imperfect and asymmetric information in the new vehicle market as it is complex for transport operators, which are mainly SMEs, to access and make full use of the technical information on such technologies. </w:t>
            </w:r>
          </w:p>
          <w:p>
            <w:pPr>
              <w:jc w:val="both"/>
              <w:rPr>
                <w:rFonts w:ascii="Arial" w:hAnsi="Arial" w:cs="Arial"/>
                <w:noProof/>
                <w:sz w:val="20"/>
                <w:szCs w:val="20"/>
                <w:lang w:val="en"/>
              </w:rPr>
            </w:pPr>
          </w:p>
          <w:p>
            <w:pPr>
              <w:jc w:val="both"/>
              <w:rPr>
                <w:rFonts w:ascii="Arial" w:hAnsi="Arial" w:cs="Arial"/>
                <w:noProof/>
                <w:sz w:val="20"/>
                <w:szCs w:val="20"/>
                <w:lang w:val="en"/>
              </w:rPr>
            </w:pPr>
            <w:r>
              <w:rPr>
                <w:rFonts w:ascii="Arial" w:hAnsi="Arial" w:cs="Arial"/>
                <w:noProof/>
                <w:sz w:val="20"/>
                <w:szCs w:val="20"/>
                <w:lang w:val="en"/>
              </w:rPr>
              <w:t>As a result, the problems identified are:</w:t>
            </w:r>
          </w:p>
          <w:p>
            <w:pPr>
              <w:pStyle w:val="ListParagraph"/>
              <w:numPr>
                <w:ilvl w:val="0"/>
                <w:numId w:val="2"/>
              </w:numPr>
              <w:jc w:val="both"/>
              <w:rPr>
                <w:rFonts w:ascii="Arial" w:hAnsi="Arial" w:cs="Arial"/>
                <w:noProof/>
                <w:sz w:val="20"/>
                <w:szCs w:val="20"/>
                <w:lang w:val="en"/>
              </w:rPr>
            </w:pPr>
            <w:r>
              <w:rPr>
                <w:rFonts w:ascii="Arial" w:hAnsi="Arial" w:cs="Arial"/>
                <w:noProof/>
                <w:sz w:val="20"/>
                <w:szCs w:val="20"/>
                <w:lang w:val="en"/>
              </w:rPr>
              <w:t>The CO</w:t>
            </w:r>
            <w:r>
              <w:rPr>
                <w:rFonts w:ascii="Arial" w:hAnsi="Arial" w:cs="Arial"/>
                <w:noProof/>
                <w:sz w:val="20"/>
                <w:szCs w:val="20"/>
                <w:vertAlign w:val="subscript"/>
                <w:lang w:val="en"/>
              </w:rPr>
              <w:t>2</w:t>
            </w:r>
            <w:r>
              <w:rPr>
                <w:rFonts w:ascii="Arial" w:hAnsi="Arial" w:cs="Arial"/>
                <w:noProof/>
                <w:sz w:val="20"/>
                <w:szCs w:val="20"/>
                <w:lang w:val="en"/>
              </w:rPr>
              <w:t xml:space="preserve"> emissions from HDVs are set to increase, without further action, by up to 6% between 2015 and 2030. </w:t>
            </w:r>
          </w:p>
          <w:p>
            <w:pPr>
              <w:pStyle w:val="ListParagraph"/>
              <w:numPr>
                <w:ilvl w:val="0"/>
                <w:numId w:val="2"/>
              </w:numPr>
              <w:spacing w:after="0"/>
              <w:jc w:val="both"/>
              <w:rPr>
                <w:rFonts w:ascii="Arial" w:hAnsi="Arial" w:cs="Arial"/>
                <w:noProof/>
                <w:sz w:val="20"/>
                <w:szCs w:val="20"/>
                <w:lang w:val="en"/>
              </w:rPr>
            </w:pPr>
            <w:r>
              <w:rPr>
                <w:rFonts w:ascii="Arial" w:hAnsi="Arial" w:cs="Arial"/>
                <w:noProof/>
                <w:sz w:val="20"/>
                <w:szCs w:val="20"/>
                <w:lang w:val="en"/>
              </w:rPr>
              <w:t>T</w:t>
            </w:r>
            <w:r>
              <w:rPr>
                <w:rFonts w:ascii="Arial" w:hAnsi="Arial" w:cs="Arial"/>
                <w:noProof/>
                <w:sz w:val="20"/>
                <w:szCs w:val="20"/>
              </w:rPr>
              <w:t xml:space="preserve">ransport operators and their customers miss out on fuel savings. </w:t>
            </w:r>
          </w:p>
          <w:p>
            <w:pPr>
              <w:pStyle w:val="ListParagraph"/>
              <w:numPr>
                <w:ilvl w:val="0"/>
                <w:numId w:val="2"/>
              </w:numPr>
              <w:jc w:val="both"/>
              <w:rPr>
                <w:noProof/>
              </w:rPr>
            </w:pPr>
            <w:r>
              <w:rPr>
                <w:rFonts w:ascii="Arial" w:hAnsi="Arial" w:cs="Arial"/>
                <w:noProof/>
                <w:sz w:val="20"/>
                <w:szCs w:val="20"/>
              </w:rPr>
              <w:t>European HDV manufacturers and component suppliers are at risk of losing their technological innovative leadership as significant markets such as the US, Canada, Japan and China have in recent years implemented emission standards to stimulate innovation and rapidly improve vehicle efficiency.</w:t>
            </w:r>
          </w:p>
          <w:p>
            <w:pPr>
              <w:jc w:val="both"/>
              <w:rPr>
                <w:noProof/>
              </w:rPr>
            </w:pPr>
            <w:r>
              <w:rPr>
                <w:rFonts w:ascii="Arial" w:hAnsi="Arial" w:cs="Arial"/>
                <w:noProof/>
                <w:sz w:val="20"/>
                <w:szCs w:val="20"/>
              </w:rPr>
              <w:t>Parties affected include the general population, freight transport operators and HDV manufacturers.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rPr>
                <w:rFonts w:ascii="Arial" w:hAnsi="Arial" w:cs="Arial"/>
                <w:noProof/>
                <w:sz w:val="20"/>
                <w:szCs w:val="20"/>
              </w:rPr>
            </w:pPr>
            <w:r>
              <w:rPr>
                <w:rFonts w:ascii="Arial" w:hAnsi="Arial" w:cs="Arial"/>
                <w:noProof/>
                <w:sz w:val="20"/>
                <w:szCs w:val="20"/>
              </w:rPr>
              <w:t>The initiative should: 1) contribute to the achievement of the EU's commitments under the Paris Agreement by reducing CO</w:t>
            </w:r>
            <w:r>
              <w:rPr>
                <w:rFonts w:ascii="Arial" w:hAnsi="Arial" w:cs="Arial"/>
                <w:noProof/>
                <w:sz w:val="20"/>
                <w:szCs w:val="20"/>
                <w:vertAlign w:val="subscript"/>
              </w:rPr>
              <w:t>2</w:t>
            </w:r>
            <w:r>
              <w:rPr>
                <w:rFonts w:ascii="Arial" w:hAnsi="Arial" w:cs="Arial"/>
                <w:noProof/>
                <w:sz w:val="20"/>
                <w:szCs w:val="20"/>
              </w:rPr>
              <w:t xml:space="preserve"> emissions from HDVs, 2) reduce operating costs for transport operators and transportation costs for consumers 3) maintain the technological and innovative leadership position of EU HDV manufacturers and component suppliers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EU action is cost-effective and will ensure coordinated measures across Member States in addressing climate change. It is unlikely that Member States acting individually would be sufficient.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Following an analysis of transport-related EU policy measures, the need to introduce CO</w:t>
            </w:r>
            <w:r>
              <w:rPr>
                <w:rFonts w:ascii="Arial" w:hAnsi="Arial" w:cs="Arial"/>
                <w:noProof/>
                <w:sz w:val="20"/>
                <w:szCs w:val="20"/>
                <w:vertAlign w:val="subscript"/>
              </w:rPr>
              <w:t>2</w:t>
            </w:r>
            <w:r>
              <w:rPr>
                <w:rFonts w:ascii="Arial" w:hAnsi="Arial" w:cs="Arial"/>
                <w:noProof/>
                <w:sz w:val="20"/>
                <w:szCs w:val="20"/>
              </w:rPr>
              <w:t xml:space="preserve"> emission standards was identified. This would set out a complementary supply side measure at EU level with the view of ensuring an effective decarbonisation of the HDVs transport sector.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For the design of the CO</w:t>
            </w:r>
            <w:r>
              <w:rPr>
                <w:rFonts w:ascii="Arial" w:hAnsi="Arial" w:cs="Arial"/>
                <w:noProof/>
                <w:sz w:val="20"/>
                <w:szCs w:val="20"/>
                <w:vertAlign w:val="subscript"/>
              </w:rPr>
              <w:t>2</w:t>
            </w:r>
            <w:r>
              <w:rPr>
                <w:rFonts w:ascii="Arial" w:hAnsi="Arial" w:cs="Arial"/>
                <w:noProof/>
                <w:sz w:val="20"/>
                <w:szCs w:val="20"/>
              </w:rPr>
              <w:t xml:space="preserve"> standards, various policy options were considered with respect to:</w:t>
            </w:r>
          </w:p>
          <w:p>
            <w:pPr>
              <w:numPr>
                <w:ilvl w:val="0"/>
                <w:numId w:val="1"/>
              </w:numPr>
              <w:jc w:val="both"/>
              <w:rPr>
                <w:rFonts w:ascii="Arial" w:hAnsi="Arial" w:cs="Arial"/>
                <w:noProof/>
                <w:sz w:val="20"/>
                <w:szCs w:val="20"/>
              </w:rPr>
            </w:pPr>
            <w:r>
              <w:rPr>
                <w:rFonts w:ascii="Arial" w:hAnsi="Arial" w:cs="Arial"/>
                <w:noProof/>
                <w:sz w:val="20"/>
                <w:szCs w:val="20"/>
              </w:rPr>
              <w:t>CO</w:t>
            </w:r>
            <w:r>
              <w:rPr>
                <w:rFonts w:ascii="Arial" w:hAnsi="Arial" w:cs="Arial"/>
                <w:noProof/>
                <w:sz w:val="20"/>
                <w:szCs w:val="20"/>
                <w:vertAlign w:val="subscript"/>
              </w:rPr>
              <w:t>2</w:t>
            </w:r>
            <w:r>
              <w:rPr>
                <w:rFonts w:ascii="Arial" w:hAnsi="Arial" w:cs="Arial"/>
                <w:noProof/>
                <w:sz w:val="20"/>
                <w:szCs w:val="20"/>
              </w:rPr>
              <w:t xml:space="preserve"> emission targets</w:t>
            </w:r>
          </w:p>
          <w:p>
            <w:pPr>
              <w:numPr>
                <w:ilvl w:val="0"/>
                <w:numId w:val="1"/>
              </w:numPr>
              <w:jc w:val="both"/>
              <w:rPr>
                <w:rFonts w:ascii="Arial" w:hAnsi="Arial" w:cs="Arial"/>
                <w:noProof/>
                <w:sz w:val="20"/>
                <w:szCs w:val="20"/>
              </w:rPr>
            </w:pPr>
            <w:r>
              <w:rPr>
                <w:rFonts w:ascii="Arial" w:hAnsi="Arial" w:cs="Arial"/>
                <w:noProof/>
                <w:sz w:val="20"/>
                <w:szCs w:val="20"/>
              </w:rPr>
              <w:t>Distribution of EU fleet-wide CO</w:t>
            </w:r>
            <w:r>
              <w:rPr>
                <w:rFonts w:ascii="Arial" w:hAnsi="Arial" w:cs="Arial"/>
                <w:noProof/>
                <w:sz w:val="20"/>
                <w:szCs w:val="20"/>
                <w:vertAlign w:val="subscript"/>
              </w:rPr>
              <w:t>2</w:t>
            </w:r>
            <w:r>
              <w:rPr>
                <w:rFonts w:ascii="Arial" w:hAnsi="Arial" w:cs="Arial"/>
                <w:noProof/>
                <w:sz w:val="20"/>
                <w:szCs w:val="20"/>
              </w:rPr>
              <w:t xml:space="preserve"> emission targets across vehicle groups and manufacturers</w:t>
            </w:r>
          </w:p>
          <w:p>
            <w:pPr>
              <w:numPr>
                <w:ilvl w:val="0"/>
                <w:numId w:val="1"/>
              </w:numPr>
              <w:jc w:val="both"/>
              <w:rPr>
                <w:rFonts w:ascii="Arial" w:hAnsi="Arial" w:cs="Arial"/>
                <w:noProof/>
                <w:sz w:val="20"/>
                <w:szCs w:val="20"/>
              </w:rPr>
            </w:pPr>
            <w:r>
              <w:rPr>
                <w:rFonts w:ascii="Arial" w:hAnsi="Arial" w:cs="Arial"/>
                <w:noProof/>
                <w:sz w:val="20"/>
                <w:szCs w:val="20"/>
              </w:rPr>
              <w:t>Incentives for low- and zero-emission vehicles (LEV/ZEV)</w:t>
            </w:r>
          </w:p>
          <w:p>
            <w:pPr>
              <w:numPr>
                <w:ilvl w:val="0"/>
                <w:numId w:val="1"/>
              </w:numPr>
              <w:jc w:val="both"/>
              <w:rPr>
                <w:rFonts w:ascii="Arial" w:hAnsi="Arial" w:cs="Arial"/>
                <w:noProof/>
                <w:sz w:val="20"/>
                <w:szCs w:val="20"/>
              </w:rPr>
            </w:pPr>
            <w:r>
              <w:rPr>
                <w:rFonts w:ascii="Arial" w:hAnsi="Arial" w:cs="Arial"/>
                <w:noProof/>
                <w:sz w:val="20"/>
                <w:szCs w:val="20"/>
              </w:rPr>
              <w:t>Elements for cost-effective implementation</w:t>
            </w:r>
          </w:p>
          <w:p>
            <w:pPr>
              <w:numPr>
                <w:ilvl w:val="0"/>
                <w:numId w:val="1"/>
              </w:numPr>
              <w:jc w:val="both"/>
              <w:rPr>
                <w:rFonts w:ascii="Arial" w:hAnsi="Arial" w:cs="Arial"/>
                <w:noProof/>
                <w:sz w:val="20"/>
                <w:szCs w:val="20"/>
              </w:rPr>
            </w:pPr>
            <w:r>
              <w:rPr>
                <w:rFonts w:ascii="Arial" w:hAnsi="Arial" w:cs="Arial"/>
                <w:noProof/>
                <w:sz w:val="20"/>
                <w:szCs w:val="20"/>
              </w:rPr>
              <w:t xml:space="preserve">Strengthening of the governance </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majority of stakeholders support the introduction of HDV CO</w:t>
            </w:r>
            <w:r>
              <w:rPr>
                <w:rFonts w:ascii="Arial" w:hAnsi="Arial" w:cs="Arial"/>
                <w:noProof/>
                <w:sz w:val="20"/>
                <w:szCs w:val="20"/>
                <w:vertAlign w:val="subscript"/>
              </w:rPr>
              <w:t>2</w:t>
            </w:r>
            <w:r>
              <w:rPr>
                <w:rFonts w:ascii="Arial" w:hAnsi="Arial" w:cs="Arial"/>
                <w:noProof/>
                <w:sz w:val="20"/>
                <w:szCs w:val="20"/>
              </w:rPr>
              <w:t xml:space="preserve"> targets at EU level. HDV manufacturers advocate for less ambitious targets compared to NGOs and support a single CO</w:t>
            </w:r>
            <w:r>
              <w:rPr>
                <w:rFonts w:ascii="Arial" w:hAnsi="Arial" w:cs="Arial"/>
                <w:noProof/>
                <w:sz w:val="20"/>
                <w:szCs w:val="20"/>
                <w:vertAlign w:val="subscript"/>
              </w:rPr>
              <w:t>2</w:t>
            </w:r>
            <w:r>
              <w:rPr>
                <w:rFonts w:ascii="Arial" w:hAnsi="Arial" w:cs="Arial"/>
                <w:noProof/>
                <w:sz w:val="20"/>
                <w:szCs w:val="20"/>
              </w:rPr>
              <w:t xml:space="preserve"> target per manufacturer. Regarding LEV/ZEV, manufacturers support super credits, while NGOs are in favour of a mandate. Cost-effective implementation is supported by all stakeholders with manufacturers in favour of banking and borrowing and</w:t>
            </w:r>
            <w:r>
              <w:rPr>
                <w:rFonts w:eastAsiaTheme="minorHAnsi"/>
                <w:b/>
                <w:noProof/>
                <w:lang w:eastAsia="en-US"/>
              </w:rPr>
              <w:t xml:space="preserve"> </w:t>
            </w:r>
            <w:r>
              <w:rPr>
                <w:rFonts w:ascii="Arial" w:hAnsi="Arial" w:cs="Arial"/>
                <w:noProof/>
                <w:sz w:val="20"/>
                <w:szCs w:val="20"/>
              </w:rPr>
              <w:t>civil society organisations of trading. Most stakeholders support monitoring the certified CO</w:t>
            </w:r>
            <w:r>
              <w:rPr>
                <w:rFonts w:ascii="Arial" w:hAnsi="Arial" w:cs="Arial"/>
                <w:noProof/>
                <w:sz w:val="20"/>
                <w:szCs w:val="20"/>
                <w:vertAlign w:val="subscript"/>
              </w:rPr>
              <w:t>2</w:t>
            </w:r>
            <w:r>
              <w:rPr>
                <w:rFonts w:ascii="Arial" w:hAnsi="Arial" w:cs="Arial"/>
                <w:noProof/>
                <w:sz w:val="20"/>
                <w:szCs w:val="20"/>
              </w:rPr>
              <w:t xml:space="preserve"> values against real world emissions.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rPr>
          <w:trHeight w:val="983"/>
        </w:trP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The options considered cover a range of CO</w:t>
            </w:r>
            <w:r>
              <w:rPr>
                <w:rFonts w:ascii="Arial" w:hAnsi="Arial" w:cs="Arial"/>
                <w:noProof/>
                <w:sz w:val="20"/>
                <w:szCs w:val="20"/>
                <w:vertAlign w:val="subscript"/>
              </w:rPr>
              <w:t>2</w:t>
            </w:r>
            <w:r>
              <w:rPr>
                <w:rFonts w:ascii="Arial" w:hAnsi="Arial" w:cs="Arial"/>
                <w:noProof/>
                <w:sz w:val="20"/>
                <w:szCs w:val="20"/>
              </w:rPr>
              <w:t xml:space="preserve"> reduction target trajectories up to 2030.</w:t>
            </w:r>
          </w:p>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Across the different options considered for the target levels, the CO</w:t>
            </w:r>
            <w:r>
              <w:rPr>
                <w:rFonts w:ascii="Arial" w:hAnsi="Arial" w:cs="Arial"/>
                <w:noProof/>
                <w:sz w:val="20"/>
                <w:szCs w:val="20"/>
                <w:vertAlign w:val="subscript"/>
              </w:rPr>
              <w:t>2</w:t>
            </w:r>
            <w:r>
              <w:rPr>
                <w:rFonts w:ascii="Arial" w:hAnsi="Arial" w:cs="Arial"/>
                <w:noProof/>
                <w:sz w:val="20"/>
                <w:szCs w:val="20"/>
              </w:rPr>
              <w:t xml:space="preserve"> emission reductions for HDVs in 2030, with respect to the baseline, range from 3% to 8%. By 2030, NO</w:t>
            </w:r>
            <w:r>
              <w:rPr>
                <w:rFonts w:ascii="Arial" w:hAnsi="Arial" w:cs="Arial"/>
                <w:noProof/>
                <w:sz w:val="20"/>
                <w:szCs w:val="20"/>
                <w:vertAlign w:val="subscript"/>
              </w:rPr>
              <w:t>x</w:t>
            </w:r>
            <w:r>
              <w:rPr>
                <w:rFonts w:ascii="Arial" w:hAnsi="Arial" w:cs="Arial"/>
                <w:noProof/>
                <w:sz w:val="20"/>
                <w:szCs w:val="20"/>
              </w:rPr>
              <w:t xml:space="preserve"> emissions decrease by 1.3% to 4.7% and PM</w:t>
            </w:r>
            <w:r>
              <w:rPr>
                <w:rFonts w:ascii="Arial" w:hAnsi="Arial" w:cs="Arial"/>
                <w:noProof/>
                <w:sz w:val="20"/>
                <w:szCs w:val="20"/>
                <w:vertAlign w:val="subscript"/>
              </w:rPr>
              <w:t>2.5</w:t>
            </w:r>
            <w:r>
              <w:rPr>
                <w:rFonts w:ascii="Arial" w:hAnsi="Arial" w:cs="Arial"/>
                <w:noProof/>
                <w:sz w:val="20"/>
                <w:szCs w:val="20"/>
              </w:rPr>
              <w:t xml:space="preserve"> emissions by up to 0.6 %.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Significant net benefits are expected for society as a whole as well as for transport operators and consumers. They increase as CO</w:t>
            </w:r>
            <w:r>
              <w:rPr>
                <w:rFonts w:ascii="Arial" w:hAnsi="Arial" w:cs="Arial"/>
                <w:noProof/>
                <w:sz w:val="20"/>
                <w:szCs w:val="20"/>
                <w:vertAlign w:val="subscript"/>
              </w:rPr>
              <w:t>2</w:t>
            </w:r>
            <w:r>
              <w:rPr>
                <w:rFonts w:ascii="Arial" w:hAnsi="Arial" w:cs="Arial"/>
                <w:noProof/>
                <w:sz w:val="20"/>
                <w:szCs w:val="20"/>
              </w:rPr>
              <w:t xml:space="preserve"> target levels get stricter. Net economic benefits from a societal perspective, including avoided CO</w:t>
            </w:r>
            <w:r>
              <w:rPr>
                <w:rFonts w:ascii="Arial" w:hAnsi="Arial" w:cs="Arial"/>
                <w:noProof/>
                <w:sz w:val="20"/>
                <w:szCs w:val="20"/>
                <w:vertAlign w:val="subscript"/>
              </w:rPr>
              <w:t>2</w:t>
            </w:r>
            <w:r>
              <w:rPr>
                <w:rFonts w:ascii="Arial" w:hAnsi="Arial" w:cs="Arial"/>
                <w:noProof/>
                <w:sz w:val="20"/>
                <w:szCs w:val="20"/>
              </w:rPr>
              <w:t xml:space="preserve"> costs, range from 9,377 - 52,369 EUR per lorry registered in 2025 and from 41,567 –87,278 EUR per lorry registered in 2030.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From the first and second use perspective, cumulative net savings, i.e. the difference between fuel savings and manufacturing costs, range from EUR 5,413 - EUR 37,589 per lorry in 2025 and from EUR 22,032 to EUR 82,429 per lorry in 2030. This is equivalent to saving 1-4 % of its operating costs in 2025 and 3-12 % in 2030.</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An analysis of the cost-effective technologies already at hand or becoming readily available in the short term shows that their full deployment would allow achieving emission reductions between 15% to 20% in 2025 compared to the baseline.</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Higher uncertainties over the performance and costs of more advanced technologies and, in particular, alternative powertrains relying on the existence of an alternative fuels infrastructure could affect the feasibility of higher target level options in 2030.</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Total costs of HDV freight transport per activity are slightly reduced, by less than 1% in 2025 and in the order of 1 to 3% in 2030.</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Manufacturing costs will increase and thus operators purchasing a new lorry will face higher upfront costs. For an average new lorry registered in 2025, they range from EUR 858 to EUR 27,797 and in 2030, they range from EUR 4,657 to EUR 58,760 across the options considered. In relative terms, this represents between 0.8% and 25.3%, of the purchase price of the vehicle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Transport operators, mainly SMEs, are expected to benefit from reduced fuel consumption. Resulting savings are estimated to significantly outweigh the additional costs of a new lorry equipped with CO</w:t>
            </w:r>
            <w:r>
              <w:rPr>
                <w:rFonts w:ascii="Arial" w:hAnsi="Arial" w:cs="Arial"/>
                <w:noProof/>
                <w:sz w:val="20"/>
                <w:szCs w:val="20"/>
                <w:vertAlign w:val="subscript"/>
              </w:rPr>
              <w:t>2</w:t>
            </w:r>
            <w:r>
              <w:rPr>
                <w:rFonts w:ascii="Arial" w:hAnsi="Arial" w:cs="Arial"/>
                <w:noProof/>
                <w:sz w:val="20"/>
                <w:szCs w:val="20"/>
              </w:rPr>
              <w:t xml:space="preserve"> reduction technologies. SMEs supplying such technologies to HDV manufacturers will benefit from the additional demand.</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Tax revenues in the EU28 are expected to decrease slightly due to decreased diesel sales.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A regulatory framework for CO</w:t>
            </w:r>
            <w:r>
              <w:rPr>
                <w:rFonts w:ascii="Arial" w:hAnsi="Arial" w:cs="Arial"/>
                <w:noProof/>
                <w:sz w:val="20"/>
                <w:szCs w:val="20"/>
                <w:vertAlign w:val="subscript"/>
              </w:rPr>
              <w:t>2</w:t>
            </w:r>
            <w:r>
              <w:rPr>
                <w:rFonts w:ascii="Arial" w:hAnsi="Arial" w:cs="Arial"/>
                <w:noProof/>
                <w:sz w:val="20"/>
                <w:szCs w:val="20"/>
              </w:rPr>
              <w:t xml:space="preserve"> emissions from HDVs will help the EU automotive industry to retain its global technological and innovative leadership and access to markets. Due to reduced fossil fuel needs, the EU's energy security situation will improve.</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An early review is foreseen in 2022 on the effectiveness of the legislation. The review would (1) establish or confirm the target for 2030, (2) extend the scope to other groups of HDVs, i.e. buses and smaller lorries, (3) review the effectiveness of the modalities for implementation, for instance the incentive scheme for zero and low emission vehicles.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3F9F"/>
    <w:multiLevelType w:val="hybridMultilevel"/>
    <w:tmpl w:val="02920EC2"/>
    <w:lvl w:ilvl="0" w:tplc="912E2B80">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5A43AF"/>
    <w:multiLevelType w:val="hybridMultilevel"/>
    <w:tmpl w:val="8EEC8CBE"/>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53D41F4-0A38-4833-A0EF-E70795AE7CD9"/>
    <w:docVar w:name="LW_COVERPAGE_TYPE" w:val="1"/>
    <w:docVar w:name="LW_CROSSREFERENCE" w:val="{COM(2018) 284 final}_x000b_{SEC(2018) 233 final}_x000b_{SWD(2018) 185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Regulation of the European Parliament and of the Council setting CO2 emission performance standards for new heavy duty vehicles_x000b_"/>
    <w:docVar w:name="LW_PART_NBR" w:val="1"/>
    <w:docVar w:name="LW_PART_NBR_TOTAL" w:val="1"/>
    <w:docVar w:name="LW_REF.INST.NEW" w:val="SWD"/>
    <w:docVar w:name="LW_REF.INST.NEW_ADOPTED" w:val="final"/>
    <w:docVar w:name="LW_REF.INST.NEW_TEXT" w:val="(2018)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uiPriority w:val="99"/>
    <w:qFormat/>
    <w:rPr>
      <w:vertAlign w:val="superscript"/>
    </w:rPr>
  </w:style>
  <w:style w:type="paragraph" w:styleId="ListParagraph">
    <w:name w:val="List Paragraph"/>
    <w:basedOn w:val="Normal"/>
    <w:uiPriority w:val="34"/>
    <w:qFormat/>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uiPriority w:val="99"/>
    <w:qFormat/>
    <w:rPr>
      <w:vertAlign w:val="superscript"/>
    </w:rPr>
  </w:style>
  <w:style w:type="paragraph" w:styleId="ListParagraph">
    <w:name w:val="List Paragraph"/>
    <w:basedOn w:val="Normal"/>
    <w:uiPriority w:val="34"/>
    <w:qFormat/>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AF196B82F19C41941DD3F00E8B295E" ma:contentTypeVersion="0" ma:contentTypeDescription="Create a new document in this library." ma:contentTypeScope="" ma:versionID="71b9631eac96cc512eed3bd950822da2">
  <xsd:schema xmlns:xsd="http://www.w3.org/2001/XMLSchema" xmlns:xs="http://www.w3.org/2001/XMLSchema" xmlns:p="http://schemas.microsoft.com/office/2006/metadata/properties" xmlns:ns2="http://schemas.microsoft.com/sharepoint/v3/fields" xmlns:ns3="0c99dad5-3d56-4f91-9bac-111fe816f21c" targetNamespace="http://schemas.microsoft.com/office/2006/metadata/properties" ma:root="true" ma:fieldsID="6db4ffdaaa999dd994579037f7bb8dae" ns2:_="" ns3:_="">
    <xsd:import namespace="http://schemas.microsoft.com/sharepoint/v3/fields"/>
    <xsd:import namespace="0c99dad5-3d56-4f91-9bac-111fe816f21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99dad5-3d56-4f91-9bac-111fe816f21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c99dad5-3d56-4f91-9bac-111fe816f21c">EN</EC_Collab_DocumentLanguage>
    <EC_Collab_Reference xmlns="0c99dad5-3d56-4f91-9bac-111fe816f21c" xsi:nil="true"/>
    <_Status xmlns="http://schemas.microsoft.com/sharepoint/v3/fields">Not Started</_Status>
    <EC_Collab_Status xmlns="0c99dad5-3d56-4f91-9bac-111fe816f21c">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FDBB9AF-5389-4D91-87FF-B7D5D9B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99dad5-3d56-4f91-9bac-111fe816f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microsoft.com/sharepoint/v3/fields"/>
    <ds:schemaRef ds:uri="http://purl.org/dc/terms/"/>
    <ds:schemaRef ds:uri="http://schemas.openxmlformats.org/package/2006/metadata/core-properties"/>
    <ds:schemaRef ds:uri="0c99dad5-3d56-4f91-9bac-111fe816f21c"/>
    <ds:schemaRef ds:uri="http://purl.org/dc/dcmitype/"/>
  </ds:schemaRefs>
</ds:datastoreItem>
</file>

<file path=customXml/itemProps4.xml><?xml version="1.0" encoding="utf-8"?>
<ds:datastoreItem xmlns:ds="http://schemas.openxmlformats.org/officeDocument/2006/customXml" ds:itemID="{CB5307A2-820C-4E00-AD77-AF51F783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5864</Characters>
  <Application>Microsoft Office Word</Application>
  <DocSecurity>0</DocSecurity>
  <Lines>104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2018-05-02T09:12:00Z</cp:lastPrinted>
  <dcterms:created xsi:type="dcterms:W3CDTF">2018-05-02T12:13:00Z</dcterms:created>
  <dcterms:modified xsi:type="dcterms:W3CDTF">2018-05-17T07:41:00Z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0x010100258AA79CEB83498886A3A0868112325000AFAF196B82F19C41941DD3F00E8B295E</vt:lpwstr>
  </property>
  <property fmtid="{D5CDD505-2E9C-101B-9397-08002B2CF9AE}" pid="10" name="TemplateUrl">
    <vt:lpwstr/>
  </property>
  <property fmtid="{D5CDD505-2E9C-101B-9397-08002B2CF9AE}" pid="11" name="Level of sensitivity">
    <vt:lpwstr>Standard treatment</vt:lpwstr>
  </property>
</Properties>
</file>