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3606A985-8E81-4F7B-A040-AF434A192642" style="width:450.75pt;height:397.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 xml:space="preserve">ANNEXE I </w:t>
      </w:r>
      <w:r>
        <w:rPr>
          <w:noProof/>
        </w:rPr>
        <w:br/>
        <w:t>Calcul des émissions spécifiques moyennes, de l’objectif d’émission spécifique moyen et des émissions excédentaires</w:t>
      </w:r>
    </w:p>
    <w:p>
      <w:pPr>
        <w:pStyle w:val="Heading1"/>
        <w:numPr>
          <w:ilvl w:val="0"/>
          <w:numId w:val="9"/>
        </w:numPr>
        <w:rPr>
          <w:noProof/>
        </w:rPr>
      </w:pPr>
      <w:r>
        <w:rPr>
          <w:noProof/>
        </w:rPr>
        <w:t>Sous-groupes de véhicules</w:t>
      </w:r>
    </w:p>
    <w:p>
      <w:pPr>
        <w:ind w:left="850"/>
        <w:rPr>
          <w:noProof/>
        </w:rPr>
      </w:pPr>
      <w:r>
        <w:rPr>
          <w:noProof/>
        </w:rPr>
        <w:t xml:space="preserve">Chaque nouveau véhicule lourd est attribué à un des sous-groupes définis dans le tableau 1 conformément aux conditions qui y sont énoncées. </w:t>
      </w:r>
    </w:p>
    <w:p>
      <w:pPr>
        <w:ind w:left="850"/>
        <w:rPr>
          <w:b/>
          <w:noProof/>
        </w:rPr>
      </w:pPr>
      <w:r>
        <w:rPr>
          <w:b/>
          <w:noProof/>
        </w:rPr>
        <w:t>Tableau 1 – Sous-groupes de véhicules (sg)</w:t>
      </w:r>
    </w:p>
    <w:tbl>
      <w:tblPr>
        <w:tblStyle w:val="TableGrid"/>
        <w:tblW w:w="6913" w:type="dxa"/>
        <w:tblInd w:w="850" w:type="dxa"/>
        <w:tblLayout w:type="fixed"/>
        <w:tblLook w:val="04A0" w:firstRow="1" w:lastRow="0" w:firstColumn="1" w:lastColumn="0" w:noHBand="0" w:noVBand="1"/>
      </w:tblPr>
      <w:tblGrid>
        <w:gridCol w:w="2377"/>
        <w:gridCol w:w="1559"/>
        <w:gridCol w:w="1559"/>
        <w:gridCol w:w="1418"/>
      </w:tblGrid>
      <w:tr>
        <w:tc>
          <w:tcPr>
            <w:tcW w:w="2377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Véhicules lourds </w:t>
            </w:r>
          </w:p>
        </w:tc>
        <w:tc>
          <w:tcPr>
            <w:tcW w:w="1559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Type de cabine</w:t>
            </w:r>
          </w:p>
        </w:tc>
        <w:tc>
          <w:tcPr>
            <w:tcW w:w="1559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Puissance du moteur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Sous-groupe de véhicules (sg)</w:t>
            </w:r>
          </w:p>
        </w:tc>
      </w:tr>
      <w:tr>
        <w:tc>
          <w:tcPr>
            <w:tcW w:w="2377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Porteurs avec configuration d’essieux 4x2 et masse maximale en charge techniquement admissible &gt; 16 tonnes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Tous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&lt;170 kW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4-UD</w:t>
            </w:r>
          </w:p>
          <w:p>
            <w:pPr>
              <w:rPr>
                <w:b/>
                <w:noProof/>
              </w:rPr>
            </w:pP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  <w:vertAlign w:val="superscript"/>
              </w:rPr>
            </w:pPr>
            <w:r>
              <w:rPr>
                <w:noProof/>
              </w:rPr>
              <w:t>Cabine sans couchette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≥170 kW</w:t>
            </w:r>
          </w:p>
        </w:tc>
        <w:tc>
          <w:tcPr>
            <w:tcW w:w="1418" w:type="dxa"/>
            <w:vMerge w:val="restart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4-RD</w:t>
            </w: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  <w:vertAlign w:val="superscript"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≥170 kW et &lt;265 kW</w:t>
            </w:r>
          </w:p>
        </w:tc>
        <w:tc>
          <w:tcPr>
            <w:tcW w:w="1418" w:type="dxa"/>
            <w:vMerge/>
          </w:tcPr>
          <w:p>
            <w:pPr>
              <w:rPr>
                <w:b/>
                <w:noProof/>
              </w:rPr>
            </w:pP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≥265 kW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4-LH</w:t>
            </w:r>
          </w:p>
        </w:tc>
      </w:tr>
      <w:tr>
        <w:tc>
          <w:tcPr>
            <w:tcW w:w="2377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Porteurs avec configuration d’essieux 6x2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Cabine sans couchette</w:t>
            </w:r>
          </w:p>
        </w:tc>
        <w:tc>
          <w:tcPr>
            <w:tcW w:w="1559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Tous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9-RD</w:t>
            </w: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9-LH</w:t>
            </w:r>
          </w:p>
        </w:tc>
      </w:tr>
      <w:tr>
        <w:tc>
          <w:tcPr>
            <w:tcW w:w="2377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Tracteurs avec configuration d’essieux 4x2 et masse maximale en charge techniquement admissible &gt; 16 tonnes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Cabine sans couchette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Tous</w:t>
            </w:r>
          </w:p>
        </w:tc>
        <w:tc>
          <w:tcPr>
            <w:tcW w:w="1418" w:type="dxa"/>
            <w:vMerge w:val="restart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5-RD</w:t>
            </w: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&lt; 265 kW</w:t>
            </w:r>
          </w:p>
        </w:tc>
        <w:tc>
          <w:tcPr>
            <w:tcW w:w="1418" w:type="dxa"/>
            <w:vMerge/>
          </w:tcPr>
          <w:p>
            <w:pPr>
              <w:rPr>
                <w:b/>
                <w:noProof/>
              </w:rPr>
            </w:pP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≥ 265 kW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5-LH</w:t>
            </w:r>
          </w:p>
        </w:tc>
      </w:tr>
      <w:tr>
        <w:tc>
          <w:tcPr>
            <w:tcW w:w="2377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Tracteurs avec configuration d’essieux 6x2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Cabine sans couchette</w:t>
            </w:r>
          </w:p>
        </w:tc>
        <w:tc>
          <w:tcPr>
            <w:tcW w:w="1559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Tous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10-RD</w:t>
            </w: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10-LH</w:t>
            </w:r>
          </w:p>
        </w:tc>
      </w:tr>
    </w:tbl>
    <w:p>
      <w:pPr>
        <w:spacing w:before="0" w:after="0"/>
        <w:ind w:left="720"/>
        <w:jc w:val="left"/>
        <w:rPr>
          <w:rFonts w:ascii="Calibri" w:eastAsia="Times New Roman" w:hAnsi="Calibri"/>
          <w:noProof/>
          <w:sz w:val="22"/>
          <w:shd w:val="clear" w:color="auto" w:fill="FFFF00"/>
        </w:rPr>
      </w:pPr>
    </w:p>
    <w:p>
      <w:pPr>
        <w:ind w:left="850"/>
        <w:rPr>
          <w:noProof/>
          <w:sz w:val="22"/>
        </w:rPr>
      </w:pPr>
      <w:r>
        <w:rPr>
          <w:noProof/>
          <w:sz w:val="22"/>
        </w:rPr>
        <w:t xml:space="preserve">Par «cabine avec couchette», on entend un type de cabine qui possède, derrière le siège du conducteur, un compartiment destiné à être utilisé pour dormir, tel que communiqué </w:t>
      </w:r>
      <w:r>
        <w:rPr>
          <w:noProof/>
          <w:sz w:val="22"/>
        </w:rPr>
        <w:lastRenderedPageBreak/>
        <w:t xml:space="preserve">conformément au règlement (UE) nº .../2018 [surveillance et communication relatives aux véhicules lourds]. </w:t>
      </w:r>
    </w:p>
    <w:p>
      <w:pPr>
        <w:ind w:left="850"/>
        <w:rPr>
          <w:noProof/>
          <w:sz w:val="22"/>
        </w:rPr>
      </w:pPr>
      <w:r>
        <w:rPr>
          <w:noProof/>
          <w:sz w:val="22"/>
        </w:rPr>
        <w:t>Par «cabine sans couchette», on entend un type de cabine qui n’est pas une cabine avec couchette.</w:t>
      </w:r>
    </w:p>
    <w:p>
      <w:pPr>
        <w:ind w:left="850"/>
        <w:rPr>
          <w:noProof/>
          <w:sz w:val="22"/>
        </w:rPr>
      </w:pPr>
      <w:r>
        <w:rPr>
          <w:noProof/>
          <w:sz w:val="22"/>
        </w:rPr>
        <w:t>Si un nouveau véhicule lourd ne peut pas être attribué à un sous-groupe de véhicules parce que les informations sur le type de cabine ou la puissance du moteur ne sont pas disponibles, il est attribué au sous-groupe LH (longue distance) correspondant à son type de châssis (porteur ou tracteur) et à sa configuration d’essieux (4x2 ou 6x2).</w:t>
      </w:r>
    </w:p>
    <w:p>
      <w:pPr>
        <w:ind w:left="851"/>
        <w:rPr>
          <w:noProof/>
          <w:sz w:val="22"/>
        </w:rPr>
      </w:pPr>
      <w:r>
        <w:rPr>
          <w:noProof/>
          <w:sz w:val="22"/>
        </w:rPr>
        <w:t>Lorsqu’un nouveau véhicule lourd est attribué au sous-groupe 4-UD mais que les données sur ses émissions de CO</w:t>
      </w:r>
      <w:r>
        <w:rPr>
          <w:noProof/>
          <w:sz w:val="22"/>
          <w:vertAlign w:val="subscript"/>
        </w:rPr>
        <w:t>2</w:t>
      </w:r>
      <w:r>
        <w:rPr>
          <w:noProof/>
          <w:sz w:val="22"/>
        </w:rPr>
        <w:t xml:space="preserve"> en g/km ne sont pas disponibles pour les profils de missions UDL ou UDR tels que définis dans le tableau 2 de la section 2, ce nouveau véhicule lourd est attribué au sous-groupe 4-RD.</w:t>
      </w:r>
    </w:p>
    <w:p>
      <w:pPr>
        <w:pStyle w:val="Heading1"/>
        <w:rPr>
          <w:noProof/>
        </w:rPr>
      </w:pPr>
      <w:r>
        <w:rPr>
          <w:noProof/>
        </w:rPr>
        <w:t>Calcul des émissions spécifiques moyennes d’un constructeur</w:t>
      </w:r>
    </w:p>
    <w:p>
      <w:pPr>
        <w:pStyle w:val="Heading2"/>
        <w:rPr>
          <w:noProof/>
        </w:rPr>
      </w:pPr>
      <w:r>
        <w:rPr>
          <w:noProof/>
        </w:rPr>
        <w:t>Calcul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d’un nouveau véhicule lourd</w:t>
      </w:r>
    </w:p>
    <w:p>
      <w:pPr>
        <w:ind w:left="850"/>
        <w:rPr>
          <w:noProof/>
        </w:rPr>
      </w:pPr>
      <w:r>
        <w:rPr>
          <w:noProof/>
        </w:rPr>
        <w:t>Les émissions spécifiques en g/km (</w:t>
      </w:r>
      <w:r>
        <w:rPr>
          <w:rFonts w:eastAsiaTheme="minorEastAsia"/>
          <w:i/>
          <w:noProof/>
        </w:rPr>
        <w:t>CO2</w:t>
      </w:r>
      <w:r>
        <w:rPr>
          <w:rFonts w:eastAsiaTheme="minorEastAsia"/>
          <w:i/>
          <w:noProof/>
          <w:vertAlign w:val="subscript"/>
        </w:rPr>
        <w:t>v</w:t>
      </w:r>
      <w:r>
        <w:rPr>
          <w:noProof/>
        </w:rPr>
        <w:t xml:space="preserve">) d’un nouveau véhicule lourd </w:t>
      </w:r>
      <w:r>
        <w:rPr>
          <w:i/>
          <w:noProof/>
        </w:rPr>
        <w:t>v</w:t>
      </w:r>
      <w:r>
        <w:rPr>
          <w:noProof/>
        </w:rPr>
        <w:t xml:space="preserve">, attribué à un sous-groupe </w:t>
      </w:r>
      <w:r>
        <w:rPr>
          <w:i/>
          <w:noProof/>
        </w:rPr>
        <w:t>sg</w:t>
      </w:r>
      <w:r>
        <w:rPr>
          <w:noProof/>
        </w:rPr>
        <w:t>, sont calculées au moyen de la formule suivante:</w:t>
      </w:r>
    </w:p>
    <w:p>
      <w:pPr>
        <w:ind w:left="850"/>
        <w:rPr>
          <w:noProof/>
        </w:rPr>
      </w:pPr>
    </w:p>
    <w:p>
      <w:pPr>
        <w:pStyle w:val="Text4"/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CO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noProof/>
                </w:rPr>
              </m:ctrlPr>
            </m:naryPr>
            <m:sub>
              <m:r>
                <w:rPr>
                  <w:rFonts w:ascii="Cambria Math" w:hAnsi="Cambria Math"/>
                  <w:noProof/>
                </w:rPr>
                <m:t>mp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r>
                    <w:rPr>
                      <w:rFonts w:ascii="Cambria Math" w:hAnsi="Cambria Math"/>
                      <w:noProof/>
                    </w:rPr>
                    <m:t>mp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noProof/>
            </w:rPr>
            <m:t>×</m:t>
          </m:r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CO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mp</m:t>
              </m:r>
            </m:sub>
          </m:sSub>
        </m:oMath>
      </m:oMathPara>
    </w:p>
    <w:p>
      <w:pPr>
        <w:ind w:left="850"/>
        <w:rPr>
          <w:noProof/>
          <w:szCs w:val="24"/>
        </w:rPr>
      </w:pPr>
      <w:r>
        <w:rPr>
          <w:noProof/>
        </w:rPr>
        <w:t>où</w:t>
      </w:r>
    </w:p>
    <w:p>
      <w:pPr>
        <w:ind w:left="2160" w:hanging="1310"/>
        <w:rPr>
          <w:noProof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noProof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</w:rPr>
              <m:t>mp</m:t>
            </m:r>
          </m:e>
        </m:nary>
      </m:oMath>
      <w:r>
        <w:rPr>
          <w:noProof/>
        </w:rPr>
        <w:tab/>
        <w:t xml:space="preserve">est la sommation sur l’ensemble des profils de missions </w:t>
      </w:r>
      <w:r>
        <w:rPr>
          <w:i/>
          <w:noProof/>
        </w:rPr>
        <w:t>mp</w:t>
      </w:r>
      <w:r>
        <w:rPr>
          <w:noProof/>
        </w:rPr>
        <w:t xml:space="preserve"> énumérés dans le tableau 2;</w:t>
      </w:r>
    </w:p>
    <w:p>
      <w:pPr>
        <w:ind w:left="2155" w:hanging="1305"/>
        <w:rPr>
          <w:noProof/>
          <w:szCs w:val="24"/>
        </w:rPr>
      </w:pPr>
      <w:r>
        <w:rPr>
          <w:i/>
          <w:noProof/>
        </w:rPr>
        <w:t>sg</w:t>
      </w:r>
      <w:r>
        <w:rPr>
          <w:noProof/>
        </w:rPr>
        <w:tab/>
        <w:t xml:space="preserve">est le sous-groupe auquel le nouveau véhicule lourd </w:t>
      </w:r>
      <w:r>
        <w:rPr>
          <w:i/>
          <w:noProof/>
        </w:rPr>
        <w:t>v</w:t>
      </w:r>
      <w:r>
        <w:rPr>
          <w:noProof/>
        </w:rPr>
        <w:t xml:space="preserve"> a été attribué conformément à la section 1 de la présente annexe;</w:t>
      </w:r>
    </w:p>
    <w:p>
      <w:pPr>
        <w:ind w:left="2155" w:hanging="1305"/>
        <w:rPr>
          <w:noProof/>
          <w:szCs w:val="24"/>
        </w:rPr>
      </w:pPr>
      <w:r>
        <w:rPr>
          <w:noProof/>
        </w:rPr>
        <w:t>W</w:t>
      </w:r>
      <w:r>
        <w:rPr>
          <w:noProof/>
          <w:vertAlign w:val="subscript"/>
        </w:rPr>
        <w:t>sg,mp,</w:t>
      </w:r>
      <w:r>
        <w:rPr>
          <w:noProof/>
        </w:rPr>
        <w:t xml:space="preserve"> </w:t>
      </w:r>
      <w:r>
        <w:rPr>
          <w:noProof/>
        </w:rPr>
        <w:tab/>
        <w:t>est la pondération des profils de missions spécifiée dans le tableau 2;</w:t>
      </w:r>
    </w:p>
    <w:p>
      <w:pPr>
        <w:ind w:left="2155" w:hanging="1305"/>
        <w:rPr>
          <w:noProof/>
          <w:szCs w:val="24"/>
        </w:rPr>
      </w:pPr>
      <w:r>
        <w:rPr>
          <w:noProof/>
        </w:rPr>
        <w:t>CO2</w:t>
      </w:r>
      <w:r>
        <w:rPr>
          <w:noProof/>
          <w:vertAlign w:val="subscript"/>
        </w:rPr>
        <w:t>v,mp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en g/km d’un nouveau véhicule lourd </w:t>
      </w:r>
      <w:r>
        <w:rPr>
          <w:i/>
          <w:noProof/>
        </w:rPr>
        <w:t>v</w:t>
      </w:r>
      <w:r>
        <w:rPr>
          <w:noProof/>
        </w:rPr>
        <w:t xml:space="preserve"> déterminées pour un profil de missions </w:t>
      </w:r>
      <w:r>
        <w:rPr>
          <w:i/>
          <w:noProof/>
        </w:rPr>
        <w:t>mp</w:t>
      </w:r>
      <w:r>
        <w:rPr>
          <w:noProof/>
        </w:rPr>
        <w:t xml:space="preserve"> et communiquées conformément au règlement (UE) nº …/2018 [surveillance et communication relatives aux véhicules lourds. </w:t>
      </w:r>
    </w:p>
    <w:p>
      <w:pPr>
        <w:ind w:left="851"/>
        <w:rPr>
          <w:noProof/>
        </w:rPr>
      </w:pPr>
      <w:r>
        <w:rPr>
          <w:noProof/>
        </w:rPr>
        <w:t>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d’un véhicule lourd à émission nulle sont fixées à 0 g CO</w:t>
      </w:r>
      <w:r>
        <w:rPr>
          <w:noProof/>
          <w:vertAlign w:val="subscript"/>
        </w:rPr>
        <w:t>2</w:t>
      </w:r>
      <w:r>
        <w:rPr>
          <w:noProof/>
        </w:rPr>
        <w:t>/km.</w:t>
      </w:r>
    </w:p>
    <w:p>
      <w:pPr>
        <w:ind w:left="851"/>
        <w:rPr>
          <w:noProof/>
        </w:rPr>
      </w:pPr>
      <w:r>
        <w:rPr>
          <w:noProof/>
        </w:rPr>
        <w:t>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d’un véhicule professionnel sont la moyenne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in g/km communiquées conformément au règlement (UE) nº …/2018 [surveillance et communication relatives aux véhicules lourds].</w:t>
      </w:r>
    </w:p>
    <w:p>
      <w:pPr>
        <w:ind w:left="850"/>
        <w:rPr>
          <w:b/>
          <w:noProof/>
        </w:rPr>
      </w:pPr>
      <w:r>
        <w:rPr>
          <w:b/>
          <w:noProof/>
        </w:rPr>
        <w:t xml:space="preserve">Tableau 2 - Pondérations des profils de missions </w:t>
      </w:r>
      <w:r>
        <w:rPr>
          <w:noProof/>
        </w:rPr>
        <w:t xml:space="preserve"> (</w:t>
      </w:r>
      <w:r>
        <w:rPr>
          <w:b/>
          <w:noProof/>
        </w:rPr>
        <w:t>W</w:t>
      </w:r>
      <w:r>
        <w:rPr>
          <w:b/>
          <w:noProof/>
          <w:vertAlign w:val="subscript"/>
        </w:rPr>
        <w:t>sg,mp</w:t>
      </w:r>
      <w:r>
        <w:rPr>
          <w:b/>
          <w:noProof/>
        </w:rPr>
        <w:t>)</w:t>
      </w: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1150"/>
        <w:gridCol w:w="834"/>
        <w:gridCol w:w="850"/>
        <w:gridCol w:w="851"/>
        <w:gridCol w:w="992"/>
        <w:gridCol w:w="723"/>
        <w:gridCol w:w="978"/>
        <w:gridCol w:w="1701"/>
      </w:tblGrid>
      <w:tr>
        <w:tc>
          <w:tcPr>
            <w:tcW w:w="976" w:type="dxa"/>
            <w:vMerge w:val="restart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Sous-groupe de véhicules</w:t>
            </w:r>
          </w:p>
          <w:p>
            <w:pPr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(sg)</w:t>
            </w:r>
          </w:p>
        </w:tc>
        <w:tc>
          <w:tcPr>
            <w:tcW w:w="6929" w:type="dxa"/>
            <w:gridSpan w:val="7"/>
          </w:tcPr>
          <w:p>
            <w:pPr>
              <w:jc w:val="center"/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 xml:space="preserve">Profil de missions </w:t>
            </w:r>
            <w:r>
              <w:rPr>
                <w:b/>
                <w:i/>
                <w:noProof/>
                <w:vertAlign w:val="superscript"/>
              </w:rPr>
              <w:t>1</w:t>
            </w:r>
            <w:r>
              <w:rPr>
                <w:b/>
                <w:noProof/>
              </w:rPr>
              <w:t xml:space="preserve"> (</w:t>
            </w:r>
            <w:r>
              <w:rPr>
                <w:b/>
                <w:i/>
                <w:noProof/>
              </w:rPr>
              <w:t>mp)</w:t>
            </w:r>
            <w:r>
              <w:rPr>
                <w:b/>
                <w:noProof/>
                <w:vertAlign w:val="superscript"/>
              </w:rPr>
              <w:t xml:space="preserve"> </w:t>
            </w:r>
          </w:p>
          <w:p>
            <w:pPr>
              <w:jc w:val="center"/>
              <w:rPr>
                <w:b/>
                <w:noProof/>
                <w:highlight w:val="yellow"/>
              </w:rPr>
            </w:pPr>
          </w:p>
        </w:tc>
      </w:tr>
      <w:tr>
        <w:tc>
          <w:tcPr>
            <w:tcW w:w="976" w:type="dxa"/>
            <w:vMerge/>
          </w:tcPr>
          <w:p>
            <w:pPr>
              <w:rPr>
                <w:b/>
                <w:noProof/>
              </w:rPr>
            </w:pPr>
          </w:p>
        </w:tc>
        <w:tc>
          <w:tcPr>
            <w:tcW w:w="834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RDL</w:t>
            </w:r>
          </w:p>
        </w:tc>
        <w:tc>
          <w:tcPr>
            <w:tcW w:w="850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RDR</w:t>
            </w:r>
          </w:p>
        </w:tc>
        <w:tc>
          <w:tcPr>
            <w:tcW w:w="851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LHL</w:t>
            </w:r>
          </w:p>
        </w:tc>
        <w:tc>
          <w:tcPr>
            <w:tcW w:w="992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LHR</w:t>
            </w:r>
          </w:p>
        </w:tc>
        <w:tc>
          <w:tcPr>
            <w:tcW w:w="723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UDL</w:t>
            </w:r>
          </w:p>
        </w:tc>
        <w:tc>
          <w:tcPr>
            <w:tcW w:w="978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UDR</w:t>
            </w:r>
          </w:p>
        </w:tc>
        <w:tc>
          <w:tcPr>
            <w:tcW w:w="1701" w:type="dxa"/>
          </w:tcPr>
          <w:p>
            <w:pPr>
              <w:jc w:val="left"/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REL, RER,  LEL, LER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4-RD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jc w:val="left"/>
              <w:rPr>
                <w:b/>
                <w:noProof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</w:tbl>
    <w:p>
      <w:pPr>
        <w:ind w:left="850"/>
        <w:rPr>
          <w:b/>
          <w:noProof/>
          <w:vertAlign w:val="superscript"/>
        </w:rPr>
      </w:pPr>
    </w:p>
    <w:p>
      <w:pPr>
        <w:ind w:left="850"/>
        <w:rPr>
          <w:noProof/>
        </w:rPr>
      </w:pPr>
      <w:r>
        <w:rPr>
          <w:b/>
          <w:noProof/>
          <w:vertAlign w:val="superscript"/>
        </w:rPr>
        <w:t>1</w:t>
      </w:r>
      <w:r>
        <w:rPr>
          <w:b/>
          <w:noProof/>
        </w:rPr>
        <w:t xml:space="preserve">Définitions des profils de missions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"/>
        <w:gridCol w:w="5568"/>
      </w:tblGrid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RDL 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Trajets régionaux, charge utile faible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RDR 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Trajets régionaux, charge utile représentative 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LHL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Longue distance, charge utile faible 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LHR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Longue distance, charge utile représentative 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UDL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Trajets urbains, charge utile faible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UDR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Trajets urbains, charge utile représentative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REL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Trajets régionaux (EMS), charge utile faible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RER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Trajets régionaux (EMS), charge utile représentative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LEL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Longue distance (EMS), charge utile faible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LER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Longue distance (EMS), charge utile représentative</w:t>
            </w:r>
          </w:p>
        </w:tc>
      </w:tr>
    </w:tbl>
    <w:p>
      <w:pPr>
        <w:ind w:left="850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moyennes de tous les nouveaux véhicules lourds d’un sous-groupe pour un constructeur</w:t>
      </w:r>
    </w:p>
    <w:p>
      <w:pPr>
        <w:ind w:left="850"/>
        <w:rPr>
          <w:noProof/>
        </w:rPr>
      </w:pPr>
      <w:r>
        <w:rPr>
          <w:noProof/>
        </w:rPr>
        <w:t>Pour chaque constructeur et chaque année civile, 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moyennes en g/tkm (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 xml:space="preserve"> avgCO2</m:t>
            </m:r>
          </m:e>
          <m:sub>
            <m:r>
              <w:rPr>
                <w:rFonts w:ascii="Cambria Math" w:hAnsi="Cambria Math"/>
                <w:noProof/>
              </w:rPr>
              <m:t>sg</m:t>
            </m:r>
          </m:sub>
        </m:sSub>
      </m:oMath>
      <w:r>
        <w:rPr>
          <w:noProof/>
        </w:rPr>
        <w:t xml:space="preserve">) de tous les nouveaux véhicules lourds d’un sous-groupe </w:t>
      </w:r>
      <w:r>
        <w:rPr>
          <w:i/>
          <w:noProof/>
        </w:rPr>
        <w:t>sg</w:t>
      </w:r>
      <w:r>
        <w:rPr>
          <w:noProof/>
        </w:rPr>
        <w:t xml:space="preserve"> sont calculées comme suit:</w:t>
      </w:r>
    </w:p>
    <w:p>
      <w:pPr>
        <w:pStyle w:val="Text3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avgCO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noProof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noProof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</w:rPr>
                    <m:t>v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CO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v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 xml:space="preserve"> × 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</w:rPr>
                    <m:t>PL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</w:rPr>
                    <m:t>sg</m:t>
                  </m:r>
                </m:sub>
              </m:sSub>
            </m:den>
          </m:f>
        </m:oMath>
      </m:oMathPara>
    </w:p>
    <w:p>
      <w:pPr>
        <w:ind w:left="850"/>
        <w:rPr>
          <w:noProof/>
        </w:rPr>
      </w:pPr>
      <w:r>
        <w:rPr>
          <w:noProof/>
        </w:rPr>
        <w:t>où</w:t>
      </w:r>
    </w:p>
    <w:p>
      <w:pPr>
        <w:ind w:left="2155" w:hanging="1304"/>
        <w:rPr>
          <w:noProof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noProof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</w:rPr>
              <m:t>v</m:t>
            </m:r>
          </m:e>
        </m:nary>
      </m:oMath>
      <w:r>
        <w:rPr>
          <w:noProof/>
        </w:rPr>
        <w:tab/>
        <w:t xml:space="preserve">est la sommation sur l’ensemble des nouveaux véhicules lourds du constructeur dans le sous-groupe </w:t>
      </w:r>
      <w:r>
        <w:rPr>
          <w:i/>
          <w:noProof/>
        </w:rPr>
        <w:t>sg</w:t>
      </w:r>
      <w:r>
        <w:rPr>
          <w:noProof/>
        </w:rPr>
        <w:t xml:space="preserve">, à l’exclusion de tous les véhicules professionnels conformément à l’article 4, point a). </w:t>
      </w:r>
    </w:p>
    <w:p>
      <w:pPr>
        <w:ind w:left="2155" w:hanging="1305"/>
        <w:rPr>
          <w:noProof/>
          <w:vertAlign w:val="subscript"/>
        </w:rPr>
      </w:pPr>
      <w:r>
        <w:rPr>
          <w:noProof/>
        </w:rPr>
        <w:t>CO2</w:t>
      </w:r>
      <w:r>
        <w:rPr>
          <w:noProof/>
          <w:vertAlign w:val="subscript"/>
        </w:rPr>
        <w:t>v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d’un nouveau véhicule lourd </w:t>
      </w:r>
      <w:r>
        <w:rPr>
          <w:i/>
          <w:noProof/>
        </w:rPr>
        <w:t>v</w:t>
      </w:r>
      <w:r>
        <w:rPr>
          <w:noProof/>
        </w:rPr>
        <w:t xml:space="preserve"> déterminées conformément au point 2.1;</w:t>
      </w:r>
    </w:p>
    <w:p>
      <w:pPr>
        <w:ind w:left="2155" w:hanging="1304"/>
        <w:rPr>
          <w:noProof/>
        </w:rPr>
      </w:pPr>
      <w:r>
        <w:rPr>
          <w:noProof/>
        </w:rPr>
        <w:t>V</w:t>
      </w:r>
      <w:r>
        <w:rPr>
          <w:noProof/>
          <w:vertAlign w:val="subscript"/>
        </w:rPr>
        <w:t>sg</w:t>
      </w:r>
      <w:r>
        <w:rPr>
          <w:noProof/>
        </w:rPr>
        <w:tab/>
        <w:t xml:space="preserve">est le nombre de nouveaux véhicules lourds du constructeur dans le sous-groupe </w:t>
      </w:r>
      <w:r>
        <w:rPr>
          <w:i/>
          <w:noProof/>
        </w:rPr>
        <w:t>sg</w:t>
      </w:r>
      <w:r>
        <w:rPr>
          <w:noProof/>
        </w:rPr>
        <w:t xml:space="preserve">, à l’exclusion de tous les véhicules professionnels conformément à l’article 4, point a);  </w:t>
      </w:r>
    </w:p>
    <w:p>
      <w:pPr>
        <w:spacing w:before="0" w:after="0"/>
        <w:ind w:left="2155" w:hanging="1305"/>
        <w:rPr>
          <w:noProof/>
          <w:szCs w:val="24"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 xml:space="preserve">est la charge utile moyenne des véhicules du sous-groupe </w:t>
      </w:r>
      <w:r>
        <w:rPr>
          <w:i/>
          <w:noProof/>
        </w:rPr>
        <w:t xml:space="preserve">sg </w:t>
      </w:r>
      <w:r>
        <w:rPr>
          <w:noProof/>
        </w:rPr>
        <w:t>, telle que déterminée au point 2.5.</w:t>
      </w:r>
    </w:p>
    <w:p>
      <w:pPr>
        <w:ind w:left="2155" w:hanging="1304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Calcul du facteur d’émission nulle et de faibles émissions visé à l’article 5</w:t>
      </w:r>
    </w:p>
    <w:p>
      <w:pPr>
        <w:ind w:left="850"/>
        <w:rPr>
          <w:noProof/>
        </w:rPr>
      </w:pPr>
      <w:r>
        <w:rPr>
          <w:noProof/>
        </w:rPr>
        <w:t>Pour chaque constructeur et chaque année civile, le facteur d’émission nulle et de faibles émissions (ZLEV) visé à l’article 5 est calculé de la manière suivante:</w:t>
      </w:r>
    </w:p>
    <w:p>
      <w:pPr>
        <w:spacing w:before="0" w:after="200" w:line="276" w:lineRule="auto"/>
        <w:ind w:left="130" w:firstLine="720"/>
        <w:jc w:val="left"/>
        <w:rPr>
          <w:i/>
          <w:noProof/>
          <w:sz w:val="22"/>
        </w:rPr>
      </w:pPr>
      <w:r>
        <w:rPr>
          <w:i/>
          <w:noProof/>
          <w:sz w:val="22"/>
        </w:rPr>
        <w:t xml:space="preserve">ZLEV = </w:t>
      </w:r>
      <w:r>
        <w:rPr>
          <w:i/>
          <w:noProof/>
        </w:rPr>
        <w:t>V</w:t>
      </w:r>
      <w:r>
        <w:rPr>
          <w:i/>
          <w:noProof/>
          <w:sz w:val="22"/>
        </w:rPr>
        <w:t xml:space="preserve"> / </w:t>
      </w:r>
      <w:r>
        <w:rPr>
          <w:i/>
          <w:noProof/>
        </w:rPr>
        <w:t xml:space="preserve">(Vconv + Vzlev)  </w:t>
      </w:r>
      <w:r>
        <w:rPr>
          <w:noProof/>
        </w:rPr>
        <w:tab/>
      </w:r>
      <w:r>
        <w:rPr>
          <w:i/>
          <w:noProof/>
        </w:rPr>
        <w:t xml:space="preserve"> avec un minimum de 0,97</w:t>
      </w:r>
    </w:p>
    <w:p>
      <w:pPr>
        <w:spacing w:before="0" w:after="200" w:line="276" w:lineRule="auto"/>
        <w:ind w:left="130" w:firstLine="720"/>
        <w:jc w:val="left"/>
        <w:rPr>
          <w:noProof/>
          <w:sz w:val="22"/>
        </w:rPr>
      </w:pPr>
      <w:r>
        <w:rPr>
          <w:noProof/>
          <w:sz w:val="22"/>
        </w:rPr>
        <w:t>où:</w:t>
      </w:r>
    </w:p>
    <w:p>
      <w:pPr>
        <w:ind w:left="2155" w:hanging="1305"/>
        <w:rPr>
          <w:i/>
          <w:noProof/>
        </w:rPr>
      </w:pPr>
      <w:r>
        <w:rPr>
          <w:noProof/>
        </w:rPr>
        <w:t>V</w:t>
      </w:r>
      <w:r>
        <w:rPr>
          <w:noProof/>
        </w:rPr>
        <w:tab/>
        <w:t xml:space="preserve">est le nombre de nouveaux véhicules lourds du constructeur, à l’exclusion de tous les véhicules professionnels conformément à l’article 4, point a). </w:t>
      </w:r>
    </w:p>
    <w:p>
      <w:pPr>
        <w:ind w:left="2155" w:hanging="1305"/>
        <w:rPr>
          <w:noProof/>
        </w:rPr>
      </w:pPr>
      <w:r>
        <w:rPr>
          <w:i/>
          <w:noProof/>
        </w:rPr>
        <w:t>Vconv</w:t>
      </w:r>
      <w:r>
        <w:rPr>
          <w:noProof/>
        </w:rPr>
        <w:tab/>
        <w:t xml:space="preserve">est le nombre de nouveaux véhicules lourds du constructeur, à l’exclusion de tous les véhicules professionnels conformément à l’article 4, point a) et à l’exclusion des véhicules à émission nulle et à faibles émissions;   </w:t>
      </w:r>
    </w:p>
    <w:p>
      <w:pPr>
        <w:ind w:left="850"/>
        <w:rPr>
          <w:i/>
          <w:noProof/>
          <w:sz w:val="22"/>
          <w:vertAlign w:val="subscript"/>
        </w:rPr>
      </w:pPr>
      <w:r>
        <w:rPr>
          <w:i/>
          <w:noProof/>
          <w:sz w:val="22"/>
        </w:rPr>
        <w:t>Vzlev</w:t>
      </w:r>
      <w:r>
        <w:rPr>
          <w:noProof/>
        </w:rPr>
        <w:tab/>
      </w:r>
      <w:r>
        <w:rPr>
          <w:noProof/>
        </w:rPr>
        <w:tab/>
        <w:t xml:space="preserve">est la somme de </w:t>
      </w:r>
      <w:r>
        <w:rPr>
          <w:i/>
          <w:noProof/>
          <w:sz w:val="22"/>
        </w:rPr>
        <w:t>Vin</w:t>
      </w:r>
      <w:r>
        <w:rPr>
          <w:noProof/>
        </w:rPr>
        <w:t xml:space="preserve"> et de </w:t>
      </w:r>
      <w:r>
        <w:rPr>
          <w:i/>
          <w:noProof/>
          <w:sz w:val="22"/>
        </w:rPr>
        <w:t>Vout,</w:t>
      </w:r>
    </w:p>
    <w:p>
      <w:pPr>
        <w:ind w:left="850"/>
        <w:rPr>
          <w:noProof/>
          <w:szCs w:val="24"/>
        </w:rPr>
      </w:pPr>
      <w:r>
        <w:rPr>
          <w:noProof/>
        </w:rPr>
        <w:tab/>
      </w:r>
      <w:r>
        <w:rPr>
          <w:noProof/>
          <w:sz w:val="22"/>
        </w:rPr>
        <w:t>où</w:t>
      </w:r>
      <w:r>
        <w:rPr>
          <w:noProof/>
        </w:rPr>
        <w:t xml:space="preserve">  </w:t>
      </w:r>
    </w:p>
    <w:p>
      <w:pPr>
        <w:spacing w:before="0" w:after="200" w:line="276" w:lineRule="auto"/>
        <w:ind w:left="720" w:firstLine="720"/>
        <w:contextualSpacing/>
        <w:rPr>
          <w:noProof/>
          <w:szCs w:val="24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676525" cy="230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80769" cy="23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 w:line="276" w:lineRule="auto"/>
        <w:ind w:left="2880"/>
        <w:contextualSpacing/>
        <w:rPr>
          <w:noProof/>
          <w:szCs w:val="24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11150" cy="158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556" cy="1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étant la sommation sur l’ensemble des nouveaux véhicules lourds à émission nulle et à faibles émissions présentant les caractéristiques indiquées à l’article 2, paragraphe 1, points a) à d); </w:t>
      </w:r>
    </w:p>
    <w:p>
      <w:pPr>
        <w:spacing w:before="0" w:after="200" w:line="276" w:lineRule="auto"/>
        <w:ind w:left="2880" w:hanging="1440"/>
        <w:contextualSpacing/>
        <w:rPr>
          <w:noProof/>
          <w:szCs w:val="24"/>
        </w:rPr>
      </w:pPr>
      <w:r>
        <w:rPr>
          <w:i/>
          <w:noProof/>
        </w:rPr>
        <w:t>CO2</w:t>
      </w:r>
      <w:r>
        <w:rPr>
          <w:i/>
          <w:noProof/>
          <w:vertAlign w:val="subscript"/>
        </w:rPr>
        <w:t>v</w:t>
      </w:r>
      <w:r>
        <w:rPr>
          <w:i/>
          <w:noProof/>
        </w:rPr>
        <w:t xml:space="preserve">  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en g/km d’un véhicule lourd à émission nulle et à faibles émissions </w:t>
      </w:r>
      <w:r>
        <w:rPr>
          <w:i/>
          <w:noProof/>
        </w:rPr>
        <w:t>v</w:t>
      </w:r>
      <w:r>
        <w:rPr>
          <w:noProof/>
        </w:rPr>
        <w:t xml:space="preserve"> déterminées conformément au point 2.1.</w:t>
      </w:r>
    </w:p>
    <w:p>
      <w:pPr>
        <w:ind w:left="2880" w:hanging="1440"/>
        <w:rPr>
          <w:noProof/>
          <w:szCs w:val="24"/>
        </w:rPr>
      </w:pPr>
      <w:r>
        <w:rPr>
          <w:i/>
          <w:noProof/>
          <w:sz w:val="22"/>
        </w:rPr>
        <w:t>Vout</w:t>
      </w:r>
      <w:r>
        <w:rPr>
          <w:noProof/>
        </w:rPr>
        <w:t xml:space="preserve"> </w:t>
      </w:r>
      <w:r>
        <w:rPr>
          <w:noProof/>
        </w:rPr>
        <w:tab/>
        <w:t xml:space="preserve">est le nombre total des véhicules lourds à émission nulle des catégories visées au deuxième alinéa de l’article 2, paragraphe 1, multiplié par 2, et avec un maximum de 1,5 % de </w:t>
      </w:r>
      <w:r>
        <w:rPr>
          <w:i/>
          <w:noProof/>
        </w:rPr>
        <w:t>Vconv.</w:t>
      </w:r>
      <w:r>
        <w:rPr>
          <w:noProof/>
        </w:rPr>
        <w:t xml:space="preserve"> </w:t>
      </w:r>
    </w:p>
    <w:p>
      <w:pPr>
        <w:pStyle w:val="Heading2"/>
        <w:rPr>
          <w:noProof/>
        </w:rPr>
      </w:pPr>
      <w:r>
        <w:rPr>
          <w:noProof/>
        </w:rPr>
        <w:t>Calcul de la part de véhicules d’un sous-groupe d’un constructeur</w:t>
      </w:r>
    </w:p>
    <w:p>
      <w:pPr>
        <w:ind w:left="850"/>
        <w:rPr>
          <w:noProof/>
        </w:rPr>
      </w:pPr>
      <w:r>
        <w:rPr>
          <w:noProof/>
        </w:rPr>
        <w:t xml:space="preserve">Pour chaque constructeur et chaque année civil, la part de nouveaux véhicules lourds d’un sous-groupe </w:t>
      </w:r>
      <w:r>
        <w:rPr>
          <w:i/>
          <w:noProof/>
        </w:rPr>
        <w:t>share</w:t>
      </w:r>
      <w:r>
        <w:rPr>
          <w:i/>
          <w:noProof/>
          <w:vertAlign w:val="subscript"/>
        </w:rPr>
        <w:t>sg</w:t>
      </w:r>
      <w:r>
        <w:rPr>
          <w:noProof/>
        </w:rPr>
        <w:t xml:space="preserve"> est calculée de la manière suivante:</w:t>
      </w:r>
    </w:p>
    <w:p>
      <w:pPr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share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/>
              </m:sSub>
            </m:den>
          </m:f>
        </m:oMath>
      </m:oMathPara>
    </w:p>
    <w:p>
      <w:pPr>
        <w:ind w:left="850"/>
        <w:rPr>
          <w:noProof/>
        </w:rPr>
      </w:pPr>
      <w:r>
        <w:rPr>
          <w:noProof/>
        </w:rPr>
        <w:t xml:space="preserve">où </w:t>
      </w:r>
    </w:p>
    <w:p>
      <w:pPr>
        <w:ind w:left="2155" w:hanging="1304"/>
        <w:rPr>
          <w:noProof/>
        </w:rPr>
      </w:pPr>
      <w:r>
        <w:rPr>
          <w:noProof/>
        </w:rPr>
        <w:t>V</w:t>
      </w:r>
      <w:r>
        <w:rPr>
          <w:noProof/>
          <w:vertAlign w:val="subscript"/>
        </w:rPr>
        <w:t>sg</w:t>
      </w:r>
      <w:r>
        <w:rPr>
          <w:noProof/>
        </w:rPr>
        <w:tab/>
        <w:t xml:space="preserve">est le nombre de nouveaux véhicules lourds du constructeur dans un sous-groupe </w:t>
      </w:r>
      <w:r>
        <w:rPr>
          <w:i/>
          <w:noProof/>
        </w:rPr>
        <w:t>sg</w:t>
      </w:r>
      <w:r>
        <w:rPr>
          <w:noProof/>
        </w:rPr>
        <w:t xml:space="preserve">, à l’exclusion de tous les véhicules professionnels conformément à l’article 4, point a);  </w:t>
      </w:r>
    </w:p>
    <w:p>
      <w:pPr>
        <w:ind w:left="2155" w:hanging="1305"/>
        <w:rPr>
          <w:i/>
          <w:noProof/>
        </w:rPr>
      </w:pPr>
      <w:r>
        <w:rPr>
          <w:noProof/>
        </w:rPr>
        <w:t>V</w:t>
      </w:r>
      <w:r>
        <w:rPr>
          <w:noProof/>
        </w:rPr>
        <w:tab/>
        <w:t xml:space="preserve">est le nombre de nouveaux véhicules lourds du constructeur à l’exclusion de tous les véhicules professionnels conformément à l’article 4, point a). </w:t>
      </w:r>
    </w:p>
    <w:p>
      <w:pPr>
        <w:pStyle w:val="Heading2"/>
        <w:rPr>
          <w:noProof/>
        </w:rPr>
      </w:pPr>
      <w:r>
        <w:rPr>
          <w:noProof/>
        </w:rPr>
        <w:t xml:space="preserve">Calcul des valeurs de charge utile moyenne de tous les véhicules d’un sous-groupe </w:t>
      </w:r>
    </w:p>
    <w:p>
      <w:pPr>
        <w:keepNext/>
        <w:ind w:left="850"/>
        <w:outlineLvl w:val="1"/>
        <w:rPr>
          <w:rFonts w:eastAsiaTheme="majorEastAsia"/>
          <w:bCs/>
          <w:noProof/>
          <w:szCs w:val="26"/>
        </w:rPr>
      </w:pPr>
      <w:r>
        <w:rPr>
          <w:noProof/>
        </w:rPr>
        <w:t xml:space="preserve">La valeur de charge utile moyenne </w:t>
      </w:r>
      <w:r>
        <w:rPr>
          <w:rFonts w:eastAsiaTheme="majorEastAsia"/>
          <w:i/>
          <w:noProof/>
        </w:rPr>
        <w:t>PL</w:t>
      </w:r>
      <w:r>
        <w:rPr>
          <w:rFonts w:eastAsiaTheme="majorEastAsia"/>
          <w:i/>
          <w:noProof/>
          <w:vertAlign w:val="subscript"/>
        </w:rPr>
        <w:t>sg</w:t>
      </w:r>
      <w:r>
        <w:rPr>
          <w:noProof/>
        </w:rPr>
        <w:t xml:space="preserve"> d’un véhicule dans un sous-groupe </w:t>
      </w:r>
      <w:r>
        <w:rPr>
          <w:rFonts w:eastAsiaTheme="majorEastAsia"/>
          <w:i/>
          <w:noProof/>
        </w:rPr>
        <w:t>sg</w:t>
      </w:r>
      <w:r>
        <w:rPr>
          <w:noProof/>
        </w:rPr>
        <w:t xml:space="preserve"> est calculée de la manière suivante:</w:t>
      </w:r>
    </w:p>
    <w:p>
      <w:pPr>
        <w:ind w:left="850"/>
        <w:rPr>
          <w:noProof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0"/>
                  <w:szCs w:val="20"/>
                </w:rPr>
                <m:t>PL</m:t>
              </m:r>
            </m:e>
            <m:sub>
              <m:r>
                <w:rPr>
                  <w:rFonts w:ascii="Cambria Math" w:hAnsi="Cambria Math"/>
                  <w:noProof/>
                  <w:sz w:val="20"/>
                  <w:szCs w:val="20"/>
                </w:rPr>
                <m:t>sg</m:t>
              </m:r>
            </m:sub>
          </m:sSub>
          <m:r>
            <w:rPr>
              <w:rFonts w:ascii="Cambria Math" w:hAnsi="Cambria Math"/>
              <w:noProof/>
              <w:sz w:val="20"/>
              <w:szCs w:val="20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20"/>
                  <w:szCs w:val="20"/>
                </w:rPr>
                <m:t>mp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sg,mp</m:t>
                  </m:r>
                </m:sub>
              </m:sSub>
            </m:e>
          </m:nary>
          <m:r>
            <w:rPr>
              <w:rFonts w:ascii="Cambria Math" w:hAnsi="Cambria Math"/>
              <w:noProof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0"/>
                  <w:szCs w:val="20"/>
                </w:rPr>
                <m:t>PL</m:t>
              </m:r>
            </m:e>
            <m:sub>
              <m:r>
                <w:rPr>
                  <w:rFonts w:ascii="Cambria Math" w:hAnsi="Cambria Math"/>
                  <w:noProof/>
                  <w:sz w:val="20"/>
                  <w:szCs w:val="20"/>
                </w:rPr>
                <m:t>sg,mp</m:t>
              </m:r>
            </m:sub>
          </m:sSub>
        </m:oMath>
      </m:oMathPara>
    </w:p>
    <w:p>
      <w:pPr>
        <w:contextualSpacing/>
        <w:rPr>
          <w:i/>
          <w:noProof/>
        </w:rPr>
      </w:pPr>
    </w:p>
    <w:p>
      <w:pPr>
        <w:ind w:left="1440"/>
        <w:contextualSpacing/>
        <w:rPr>
          <w:noProof/>
        </w:rPr>
      </w:pPr>
      <w:r>
        <w:rPr>
          <w:noProof/>
        </w:rPr>
        <w:t>où</w:t>
      </w:r>
    </w:p>
    <w:p>
      <w:pPr>
        <w:spacing w:before="20" w:after="20"/>
        <w:ind w:left="1440"/>
        <w:contextualSpacing/>
        <w:rPr>
          <w:i/>
          <w:noProof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noProof/>
                <w:sz w:val="20"/>
                <w:szCs w:val="20"/>
              </w:rPr>
              <m:t>mp</m:t>
            </m:r>
          </m:sub>
          <m:sup/>
          <m:e/>
        </m:nary>
      </m:oMath>
      <w:r>
        <w:rPr>
          <w:noProof/>
        </w:rPr>
        <w:tab/>
      </w:r>
      <w:r>
        <w:rPr>
          <w:rFonts w:eastAsiaTheme="minorEastAsia"/>
          <w:noProof/>
          <w:sz w:val="20"/>
        </w:rPr>
        <w:t xml:space="preserve">est </w:t>
      </w:r>
      <w:r>
        <w:rPr>
          <w:noProof/>
        </w:rPr>
        <w:t xml:space="preserve">la sommation sur l’ensemble des profils de missions </w:t>
      </w:r>
      <w:r>
        <w:rPr>
          <w:i/>
          <w:noProof/>
        </w:rPr>
        <w:t>mp</w:t>
      </w:r>
    </w:p>
    <w:p>
      <w:pPr>
        <w:spacing w:before="20" w:after="20"/>
        <w:ind w:left="2160" w:hanging="720"/>
        <w:contextualSpacing/>
        <w:rPr>
          <w:i/>
          <w:noProof/>
        </w:rPr>
      </w:pPr>
      <w:r>
        <w:rPr>
          <w:noProof/>
        </w:rPr>
        <w:t>W</w:t>
      </w:r>
      <w:r>
        <w:rPr>
          <w:noProof/>
          <w:vertAlign w:val="subscript"/>
        </w:rPr>
        <w:t>sg,mp</w:t>
      </w:r>
      <w:r>
        <w:rPr>
          <w:noProof/>
        </w:rPr>
        <w:t xml:space="preserve"> est la pondération des profils de missions spécifiée dans le tableau 2, sous le point 2.1</w:t>
      </w:r>
    </w:p>
    <w:p>
      <w:pPr>
        <w:spacing w:before="20" w:after="20"/>
        <w:ind w:left="2155" w:hanging="715"/>
        <w:rPr>
          <w:noProof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sg,mp</w:t>
      </w:r>
      <w:r>
        <w:rPr>
          <w:noProof/>
        </w:rPr>
        <w:tab/>
        <w:t xml:space="preserve">est la valeur de charge utile attribuée aux véhicules du sous-groupe </w:t>
      </w:r>
      <w:r>
        <w:rPr>
          <w:i/>
          <w:noProof/>
        </w:rPr>
        <w:t>sg</w:t>
      </w:r>
      <w:r>
        <w:rPr>
          <w:noProof/>
        </w:rPr>
        <w:t xml:space="preserve"> pour le profil de missions </w:t>
      </w:r>
      <w:r>
        <w:rPr>
          <w:i/>
          <w:noProof/>
        </w:rPr>
        <w:t>mp</w:t>
      </w:r>
      <w:r>
        <w:rPr>
          <w:noProof/>
        </w:rPr>
        <w:t>, comme spécifié dans le tableau 3.</w:t>
      </w:r>
    </w:p>
    <w:p>
      <w:pPr>
        <w:ind w:left="720" w:firstLine="720"/>
        <w:contextualSpacing/>
        <w:rPr>
          <w:noProof/>
        </w:rPr>
      </w:pPr>
    </w:p>
    <w:p>
      <w:pPr>
        <w:ind w:left="2155" w:hanging="1305"/>
        <w:rPr>
          <w:b/>
          <w:noProof/>
        </w:rPr>
      </w:pPr>
      <w:r>
        <w:rPr>
          <w:b/>
          <w:noProof/>
        </w:rPr>
        <w:t xml:space="preserve">Tableau 3 - Valeurs de charge utile </w:t>
      </w:r>
      <w:r>
        <w:rPr>
          <w:b/>
          <w:noProof/>
          <w:sz w:val="22"/>
        </w:rPr>
        <w:t xml:space="preserve"> PL</w:t>
      </w:r>
      <w:r>
        <w:rPr>
          <w:b/>
          <w:noProof/>
          <w:sz w:val="22"/>
          <w:vertAlign w:val="subscript"/>
        </w:rPr>
        <w:t xml:space="preserve"> sg, mp</w:t>
      </w:r>
      <w:r>
        <w:rPr>
          <w:b/>
          <w:noProof/>
          <w:sz w:val="22"/>
        </w:rPr>
        <w:t xml:space="preserve"> (en tonnes)</w:t>
      </w:r>
    </w:p>
    <w:tbl>
      <w:tblPr>
        <w:tblStyle w:val="TableGrid2"/>
        <w:tblW w:w="8365" w:type="dxa"/>
        <w:tblInd w:w="-34" w:type="dxa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>
        <w:tc>
          <w:tcPr>
            <w:tcW w:w="1276" w:type="dxa"/>
            <w:vMerge w:val="restart"/>
          </w:tcPr>
          <w:p>
            <w:pPr>
              <w:spacing w:before="0" w:after="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Sous-groupe de véhicules </w:t>
            </w:r>
            <w:r>
              <w:rPr>
                <w:b/>
                <w:i/>
                <w:noProof/>
                <w:sz w:val="22"/>
              </w:rPr>
              <w:t xml:space="preserve"> sg</w:t>
            </w:r>
          </w:p>
        </w:tc>
        <w:tc>
          <w:tcPr>
            <w:tcW w:w="7089" w:type="dxa"/>
            <w:gridSpan w:val="1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Profil de missions </w:t>
            </w:r>
            <w:r>
              <w:rPr>
                <w:b/>
                <w:i/>
                <w:noProof/>
                <w:vertAlign w:val="superscript"/>
              </w:rPr>
              <w:t>1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i/>
                <w:noProof/>
              </w:rPr>
              <w:t>mp</w:t>
            </w:r>
            <w:r>
              <w:rPr>
                <w:b/>
                <w:noProof/>
              </w:rPr>
              <w:t xml:space="preserve"> </w:t>
            </w:r>
          </w:p>
        </w:tc>
      </w:tr>
      <w:tr>
        <w:tc>
          <w:tcPr>
            <w:tcW w:w="1276" w:type="dxa"/>
            <w:vMerge/>
          </w:tcPr>
          <w:p>
            <w:pPr>
              <w:spacing w:before="0" w:after="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RDL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RDR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LHL</w:t>
            </w:r>
          </w:p>
        </w:tc>
        <w:tc>
          <w:tcPr>
            <w:tcW w:w="708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LHR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UDL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UDR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REL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RER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LEL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LER</w:t>
            </w: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0,9</w:t>
            </w: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4,4</w:t>
            </w: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  <w:r>
              <w:rPr>
                <w:noProof/>
                <w:color w:val="000000"/>
                <w:sz w:val="22"/>
              </w:rPr>
              <w:t>1,9</w:t>
            </w:r>
          </w:p>
        </w:tc>
        <w:tc>
          <w:tcPr>
            <w:tcW w:w="708" w:type="dxa"/>
            <w:vMerge w:val="restart"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  <w:r>
              <w:rPr>
                <w:noProof/>
                <w:color w:val="000000"/>
                <w:sz w:val="22"/>
              </w:rPr>
              <w:t>14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0,9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4,4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12,9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</w:tc>
        <w:tc>
          <w:tcPr>
            <w:tcW w:w="708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19,3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2,6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12,9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8" w:type="dxa"/>
            <w:vMerge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>
        <w:trPr>
          <w:trHeight w:val="224"/>
        </w:trP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1,4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7,1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</w:tc>
        <w:tc>
          <w:tcPr>
            <w:tcW w:w="708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19,3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1,4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7,1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12,9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</w:tc>
        <w:tc>
          <w:tcPr>
            <w:tcW w:w="708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19,3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2,6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12,9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</w:tbl>
    <w:p>
      <w:pPr>
        <w:spacing w:before="0" w:after="200" w:line="276" w:lineRule="auto"/>
        <w:ind w:left="720" w:firstLine="130"/>
        <w:contextualSpacing/>
        <w:jc w:val="left"/>
        <w:rPr>
          <w:noProof/>
          <w:sz w:val="22"/>
        </w:rPr>
      </w:pPr>
      <w:r>
        <w:rPr>
          <w:noProof/>
          <w:sz w:val="22"/>
          <w:vertAlign w:val="superscript"/>
        </w:rPr>
        <w:t>1</w:t>
      </w:r>
      <w:r>
        <w:rPr>
          <w:noProof/>
          <w:sz w:val="22"/>
        </w:rPr>
        <w:t xml:space="preserve"> Voir les définitions des profils de missions sous le tableau 2 du point 1.</w:t>
      </w:r>
    </w:p>
    <w:p>
      <w:pPr>
        <w:pStyle w:val="Heading2"/>
        <w:rPr>
          <w:noProof/>
        </w:rPr>
      </w:pPr>
      <w:r>
        <w:rPr>
          <w:noProof/>
        </w:rPr>
        <w:t>Calcul du facteur de pondération du kilométrage et de la charge utile</w:t>
      </w:r>
    </w:p>
    <w:p>
      <w:pPr>
        <w:ind w:left="720"/>
        <w:rPr>
          <w:noProof/>
        </w:rPr>
      </w:pPr>
      <w:r>
        <w:rPr>
          <w:noProof/>
        </w:rPr>
        <w:t>Le facteur de pondération du kilométrage et de la charge utile (MPW</w:t>
      </w:r>
      <w:r>
        <w:rPr>
          <w:noProof/>
          <w:vertAlign w:val="subscript"/>
        </w:rPr>
        <w:t>sg</w:t>
      </w:r>
      <w:r>
        <w:rPr>
          <w:noProof/>
        </w:rPr>
        <w:t xml:space="preserve">) d’un sous-groupe </w:t>
      </w:r>
      <w:r>
        <w:rPr>
          <w:i/>
          <w:noProof/>
        </w:rPr>
        <w:t>sg</w:t>
      </w:r>
      <w:r>
        <w:rPr>
          <w:noProof/>
        </w:rPr>
        <w:t xml:space="preserve"> est défini comme le produit du kilométrage annuel spécifié dans le tableau 4 et de la valeur de charge utile par sous-groupe spécifiée dans le tableau 3 du point 2.5, normalisé à la valeur correspondante pour le sous-groupe 5-LH; il est calculé de la manière suivante:</w:t>
      </w:r>
    </w:p>
    <w:p>
      <w:pPr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MPW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AM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 xml:space="preserve">sg </m:t>
                  </m:r>
                </m:sub>
              </m:sSub>
              <m:r>
                <w:rPr>
                  <w:rFonts w:ascii="Cambria Math" w:hAnsi="Cambria Math"/>
                  <w:noProof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</m:sub>
              </m:sSub>
              <m:r>
                <w:rPr>
                  <w:rFonts w:ascii="Cambria Math" w:hAnsi="Cambria Math"/>
                  <w:noProof/>
                </w:rPr>
                <m:t>)</m:t>
              </m:r>
            </m:num>
            <m:den>
              <m:r>
                <w:rPr>
                  <w:rFonts w:ascii="Cambria Math" w:hAnsi="Cambria Math"/>
                  <w:noProof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AM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 xml:space="preserve">5-LH 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×PL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5-LH</m:t>
                  </m:r>
                </m:sub>
              </m:sSub>
              <m:r>
                <w:rPr>
                  <w:rFonts w:ascii="Cambria Math" w:hAnsi="Cambria Math"/>
                  <w:noProof/>
                </w:rPr>
                <m:t>)</m:t>
              </m:r>
            </m:den>
          </m:f>
        </m:oMath>
      </m:oMathPara>
    </w:p>
    <w:p>
      <w:pPr>
        <w:ind w:left="850"/>
        <w:rPr>
          <w:noProof/>
        </w:rPr>
      </w:pPr>
      <w:r>
        <w:rPr>
          <w:noProof/>
        </w:rPr>
        <w:t>où</w:t>
      </w:r>
    </w:p>
    <w:p>
      <w:pPr>
        <w:ind w:left="2155" w:hanging="1305"/>
        <w:rPr>
          <w:noProof/>
        </w:rPr>
      </w:pPr>
      <w:r>
        <w:rPr>
          <w:i/>
          <w:noProof/>
        </w:rPr>
        <w:t>AM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>est le kilométrage annuel spécifié dans le tableau 4 pour les véhicules faisant partie du sous-groupe concerné</w:t>
      </w:r>
    </w:p>
    <w:p>
      <w:pPr>
        <w:ind w:left="2155" w:hanging="1305"/>
        <w:rPr>
          <w:noProof/>
        </w:rPr>
      </w:pPr>
      <w:r>
        <w:rPr>
          <w:i/>
          <w:noProof/>
        </w:rPr>
        <w:t>AM</w:t>
      </w:r>
      <w:r>
        <w:rPr>
          <w:i/>
          <w:noProof/>
          <w:vertAlign w:val="subscript"/>
        </w:rPr>
        <w:t>5-LH</w:t>
      </w:r>
      <w:r>
        <w:rPr>
          <w:noProof/>
        </w:rPr>
        <w:tab/>
        <w:t>est le kilométrage annuel spécifié pour le sous-groupe 5-LH dans le tableau 4</w:t>
      </w:r>
    </w:p>
    <w:p>
      <w:pPr>
        <w:ind w:left="2155" w:hanging="1305"/>
        <w:rPr>
          <w:noProof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>est la valeur déterminée au point 2.5</w:t>
      </w:r>
    </w:p>
    <w:p>
      <w:pPr>
        <w:ind w:left="2155" w:hanging="1305"/>
        <w:rPr>
          <w:noProof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5-LH</w:t>
      </w:r>
      <w:r>
        <w:rPr>
          <w:noProof/>
        </w:rPr>
        <w:tab/>
        <w:t>est la valeur de charge utile spécifiée pour le sous-groupe 5-LH dans le tableau 3 du point 2.5</w:t>
      </w:r>
    </w:p>
    <w:p>
      <w:pPr>
        <w:ind w:left="2155" w:hanging="1305"/>
        <w:rPr>
          <w:b/>
          <w:noProof/>
        </w:rPr>
      </w:pPr>
      <w:r>
        <w:rPr>
          <w:b/>
          <w:noProof/>
        </w:rPr>
        <w:t>Tableau 4 - Kilométrages annuels</w:t>
      </w:r>
    </w:p>
    <w:tbl>
      <w:tblPr>
        <w:tblStyle w:val="TableGrid1"/>
        <w:tblW w:w="3783" w:type="dxa"/>
        <w:tblInd w:w="720" w:type="dxa"/>
        <w:tblLook w:val="04A0" w:firstRow="1" w:lastRow="0" w:firstColumn="1" w:lastColumn="0" w:noHBand="0" w:noVBand="1"/>
      </w:tblPr>
      <w:tblGrid>
        <w:gridCol w:w="1150"/>
        <w:gridCol w:w="2633"/>
      </w:tblGrid>
      <w:tr>
        <w:trPr>
          <w:trHeight w:val="816"/>
        </w:trPr>
        <w:tc>
          <w:tcPr>
            <w:tcW w:w="1089" w:type="dxa"/>
          </w:tcPr>
          <w:p>
            <w:pPr>
              <w:spacing w:before="0" w:after="0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 xml:space="preserve">Sous-groupe de véhicules </w:t>
            </w:r>
            <w:r>
              <w:rPr>
                <w:b/>
                <w:i/>
                <w:noProof/>
              </w:rPr>
              <w:t>sg</w:t>
            </w:r>
          </w:p>
        </w:tc>
        <w:tc>
          <w:tcPr>
            <w:tcW w:w="2694" w:type="dxa"/>
          </w:tcPr>
          <w:p>
            <w:pPr>
              <w:spacing w:before="0" w:after="0"/>
              <w:contextualSpacing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Kilométrage annuel AM</w:t>
            </w:r>
            <w:r>
              <w:rPr>
                <w:b/>
                <w:noProof/>
                <w:vertAlign w:val="subscript"/>
              </w:rPr>
              <w:t>sg</w:t>
            </w:r>
            <w:r>
              <w:rPr>
                <w:b/>
                <w:noProof/>
              </w:rPr>
              <w:t xml:space="preserve"> 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2694" w:type="dxa"/>
          </w:tcPr>
          <w:p>
            <w:pPr>
              <w:spacing w:before="0" w:after="0"/>
              <w:contextualSpacing/>
              <w:jc w:val="right"/>
              <w:rPr>
                <w:noProof/>
                <w:szCs w:val="24"/>
                <w:highlight w:val="yellow"/>
              </w:rPr>
            </w:pPr>
            <w:r>
              <w:rPr>
                <w:noProof/>
              </w:rPr>
              <w:t>60 000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78 000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98 000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78 000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szCs w:val="24"/>
              </w:rPr>
            </w:pPr>
            <w:r>
              <w:rPr>
                <w:noProof/>
              </w:rPr>
              <w:t>116 000</w:t>
            </w:r>
          </w:p>
        </w:tc>
      </w:tr>
      <w:tr>
        <w:trPr>
          <w:trHeight w:val="224"/>
        </w:trP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73 000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108 000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68 000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107 000</w:t>
            </w:r>
          </w:p>
        </w:tc>
      </w:tr>
    </w:tbl>
    <w:p>
      <w:pPr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Calcul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moyennes en g/tkm d’un constructeur visées à l’article 4</w:t>
      </w:r>
    </w:p>
    <w:p>
      <w:pPr>
        <w:ind w:left="850"/>
        <w:rPr>
          <w:noProof/>
        </w:rPr>
      </w:pPr>
      <w:r>
        <w:rPr>
          <w:noProof/>
        </w:rPr>
        <w:t>Pour chaque constructeur et chaque année civile, 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moyennes en g/tkm (</w:t>
      </w:r>
      <w:r>
        <w:rPr>
          <w:i/>
          <w:noProof/>
          <w:sz w:val="22"/>
        </w:rPr>
        <w:t>CO2</w:t>
      </w:r>
      <w:r>
        <w:rPr>
          <w:noProof/>
        </w:rPr>
        <w:t xml:space="preserve">) sont calculées de la manière suivante:  </w:t>
      </w:r>
    </w:p>
    <w:p>
      <w:pPr>
        <w:spacing w:before="0" w:after="200" w:line="276" w:lineRule="auto"/>
        <w:ind w:left="720" w:firstLine="720"/>
        <w:contextualSpacing/>
        <w:jc w:val="left"/>
        <w:rPr>
          <w:i/>
          <w:noProof/>
          <w:sz w:val="22"/>
        </w:rPr>
      </w:pP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 xml:space="preserve"> </w:t>
      </w:r>
      <w:r>
        <w:rPr>
          <w:i/>
          <w:noProof/>
          <w:sz w:val="22"/>
        </w:rPr>
        <w:t xml:space="preserve">= ZLEV </w:t>
      </w:r>
      <w:r>
        <w:rPr>
          <w:i/>
          <w:noProof/>
        </w:rPr>
        <w:t>×</w:t>
      </w:r>
      <w:r>
        <w:rPr>
          <w:i/>
          <w:noProof/>
          <w:sz w:val="22"/>
        </w:rPr>
        <w:t xml:space="preserve"> ∑ 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 w:val="22"/>
        </w:rPr>
        <w:t xml:space="preserve">  share</w:t>
      </w:r>
      <w:r>
        <w:rPr>
          <w:i/>
          <w:noProof/>
          <w:sz w:val="22"/>
          <w:vertAlign w:val="subscript"/>
        </w:rPr>
        <w:t>,sg</w:t>
      </w:r>
      <w:r>
        <w:rPr>
          <w:i/>
          <w:noProof/>
          <w:sz w:val="22"/>
        </w:rPr>
        <w:t xml:space="preserve"> </w:t>
      </w:r>
      <w:r>
        <w:rPr>
          <w:i/>
          <w:noProof/>
        </w:rPr>
        <w:t>×</w:t>
      </w:r>
      <w:r>
        <w:rPr>
          <w:i/>
          <w:noProof/>
          <w:sz w:val="22"/>
        </w:rPr>
        <w:t xml:space="preserve">  </w:t>
      </w: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i/>
          <w:noProof/>
          <w:sz w:val="22"/>
        </w:rPr>
        <w:t xml:space="preserve"> </w:t>
      </w:r>
      <w:r>
        <w:rPr>
          <w:i/>
          <w:noProof/>
        </w:rPr>
        <w:t>×</w:t>
      </w:r>
      <w:r>
        <w:rPr>
          <w:i/>
          <w:noProof/>
          <w:sz w:val="22"/>
        </w:rPr>
        <w:t xml:space="preserve"> avgCO2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 w:val="22"/>
        </w:rPr>
        <w:t xml:space="preserve"> </w:t>
      </w:r>
    </w:p>
    <w:p>
      <w:pPr>
        <w:spacing w:before="0" w:after="200" w:line="276" w:lineRule="auto"/>
        <w:ind w:left="720" w:firstLine="720"/>
        <w:contextualSpacing/>
        <w:jc w:val="left"/>
        <w:rPr>
          <w:i/>
          <w:noProof/>
          <w:sz w:val="22"/>
        </w:rPr>
      </w:pP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  <w:sz w:val="22"/>
        </w:rPr>
        <w:t>où</w:t>
      </w:r>
    </w:p>
    <w:p>
      <w:pPr>
        <w:ind w:left="720" w:firstLine="720"/>
        <w:jc w:val="left"/>
        <w:rPr>
          <w:noProof/>
          <w:szCs w:val="24"/>
        </w:rPr>
      </w:pPr>
      <w:r>
        <w:rPr>
          <w:i/>
          <w:noProof/>
          <w:sz w:val="22"/>
        </w:rPr>
        <w:t xml:space="preserve">∑ 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rFonts w:eastAsiaTheme="minorEastAsia"/>
          <w:noProof/>
          <w:sz w:val="20"/>
        </w:rPr>
        <w:t xml:space="preserve">est </w:t>
      </w:r>
      <w:r>
        <w:rPr>
          <w:noProof/>
        </w:rPr>
        <w:t>la sommation sur l’ensemble des sous-groupes;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i/>
          <w:noProof/>
          <w:sz w:val="22"/>
        </w:rPr>
        <w:t>ZLEV</w:t>
      </w:r>
      <w:r>
        <w:rPr>
          <w:noProof/>
        </w:rPr>
        <w:tab/>
      </w:r>
      <w:r>
        <w:rPr>
          <w:noProof/>
        </w:rPr>
        <w:tab/>
      </w:r>
      <w:r>
        <w:rPr>
          <w:noProof/>
          <w:sz w:val="22"/>
        </w:rPr>
        <w:t>est la valeur déterminée au point 2.3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,sg</w:t>
      </w:r>
      <w:r>
        <w:rPr>
          <w:noProof/>
        </w:rPr>
        <w:tab/>
      </w:r>
      <w:r>
        <w:rPr>
          <w:noProof/>
        </w:rPr>
        <w:tab/>
      </w:r>
      <w:r>
        <w:rPr>
          <w:noProof/>
          <w:sz w:val="22"/>
        </w:rPr>
        <w:t>est la valeur déterminée au point 2.4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noProof/>
          <w:sz w:val="22"/>
        </w:rPr>
        <w:t>est la valeur déterminée au point 2.6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i/>
          <w:noProof/>
          <w:sz w:val="22"/>
        </w:rPr>
        <w:t>avgCO2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</w:r>
      <w:r>
        <w:rPr>
          <w:noProof/>
          <w:sz w:val="22"/>
        </w:rPr>
        <w:t>est la valeur déterminée au point 2.2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>
      <w:pPr>
        <w:pStyle w:val="Heading1"/>
        <w:rPr>
          <w:noProof/>
        </w:rPr>
      </w:pPr>
      <w:r>
        <w:rPr>
          <w:noProof/>
        </w:rPr>
        <w:lastRenderedPageBreak/>
        <w:t>Calcul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de référence visées à l’article 1</w:t>
      </w:r>
      <w:r>
        <w:rPr>
          <w:noProof/>
          <w:vertAlign w:val="superscript"/>
        </w:rPr>
        <w:t>er</w:t>
      </w:r>
    </w:p>
    <w:p>
      <w:pPr>
        <w:spacing w:before="0" w:after="200" w:line="276" w:lineRule="auto"/>
        <w:ind w:left="720"/>
        <w:contextualSpacing/>
        <w:jc w:val="left"/>
        <w:rPr>
          <w:noProof/>
        </w:rPr>
      </w:pPr>
      <w:r>
        <w:rPr>
          <w:noProof/>
        </w:rPr>
        <w:t>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de référence (</w:t>
      </w:r>
      <w:r>
        <w:rPr>
          <w:i/>
          <w:noProof/>
        </w:rPr>
        <w:t>rCO2</w:t>
      </w:r>
      <w:r>
        <w:rPr>
          <w:i/>
          <w:noProof/>
          <w:vertAlign w:val="subscript"/>
        </w:rPr>
        <w:t>sg</w:t>
      </w:r>
      <w:r>
        <w:rPr>
          <w:noProof/>
        </w:rPr>
        <w:t xml:space="preserve">) sont calculées pour chaque sous-groupe </w:t>
      </w:r>
      <w:r>
        <w:rPr>
          <w:i/>
          <w:noProof/>
        </w:rPr>
        <w:t>sg</w:t>
      </w:r>
      <w:r>
        <w:rPr>
          <w:noProof/>
        </w:rPr>
        <w:t xml:space="preserve"> sur la base de l’ensemble des nouveaux véhicules lourds de l’ensemble des constructeurs pour l’année 2019, de la manière suivante: </w:t>
      </w:r>
    </w:p>
    <w:p>
      <w:pPr>
        <w:spacing w:before="0" w:after="200" w:line="276" w:lineRule="auto"/>
        <w:ind w:left="720"/>
        <w:contextualSpacing/>
        <w:jc w:val="left"/>
        <w:rPr>
          <w:noProof/>
        </w:rPr>
      </w:pPr>
    </w:p>
    <w:p>
      <w:pPr>
        <w:ind w:left="85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rCO2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w:rPr>
              <w:rFonts w:ascii="Cambria Math" w:eastAsiaTheme="minorEastAsia" w:hAnsi="Cambria Math"/>
              <w:noProof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noProof/>
                    </w:rPr>
                    <m:t>v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</w:rPr>
                        <m:t>CO2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</w:rPr>
                        <m:t>v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</w:rPr>
                    <m:t>rV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</w:rPr>
                    <m:t>sg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</w:rPr>
                <m:t xml:space="preserve"> x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</w:rPr>
                    <m:t>PL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</w:rPr>
                    <m:t>sg</m:t>
                  </m:r>
                </m:sub>
              </m:sSub>
            </m:den>
          </m:f>
        </m:oMath>
      </m:oMathPara>
    </w:p>
    <w:p>
      <w:pPr>
        <w:ind w:left="850"/>
        <w:jc w:val="left"/>
        <w:rPr>
          <w:noProof/>
          <w:sz w:val="22"/>
        </w:rPr>
      </w:pPr>
      <w:r>
        <w:rPr>
          <w:noProof/>
          <w:sz w:val="22"/>
        </w:rPr>
        <w:t>où</w:t>
      </w:r>
    </w:p>
    <w:p>
      <w:pPr>
        <w:ind w:left="2155" w:hanging="1305"/>
        <w:jc w:val="left"/>
        <w:rPr>
          <w:noProof/>
          <w:szCs w:val="24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sub>
          <m:sup/>
          <m:e/>
        </m:nary>
      </m:oMath>
      <w:r>
        <w:rPr>
          <w:noProof/>
        </w:rPr>
        <w:tab/>
        <w:t xml:space="preserve">est la sommation sur l’ensemble des nouveaux véhicules lourds immatriculés au cours de l’année 2019 dans le sous-groupe </w:t>
      </w:r>
      <w:r>
        <w:rPr>
          <w:i/>
          <w:noProof/>
        </w:rPr>
        <w:t>sg</w:t>
      </w:r>
      <w:r>
        <w:rPr>
          <w:noProof/>
        </w:rPr>
        <w:t>, à l’exclusion de tous les véhicules professionnels conformément au deuxième alinéa de l’article 1</w:t>
      </w:r>
      <w:r>
        <w:rPr>
          <w:noProof/>
          <w:vertAlign w:val="superscript"/>
        </w:rPr>
        <w:t>er</w:t>
      </w:r>
      <w:r>
        <w:rPr>
          <w:noProof/>
        </w:rPr>
        <w:t xml:space="preserve">;  </w:t>
      </w:r>
      <w:r>
        <w:rPr>
          <w:noProof/>
        </w:rPr>
        <w:tab/>
      </w:r>
    </w:p>
    <w:p>
      <w:pPr>
        <w:ind w:left="2155" w:hanging="1305"/>
        <w:jc w:val="left"/>
        <w:rPr>
          <w:rFonts w:eastAsiaTheme="minorEastAsia"/>
          <w:noProof/>
          <w:szCs w:val="24"/>
          <w:vertAlign w:val="subscript"/>
        </w:rPr>
      </w:pPr>
      <w:r>
        <w:rPr>
          <w:rFonts w:eastAsiaTheme="minorEastAsia"/>
          <w:i/>
          <w:noProof/>
        </w:rPr>
        <w:t>CO2</w:t>
      </w:r>
      <w:r>
        <w:rPr>
          <w:rFonts w:eastAsiaTheme="minorEastAsia"/>
          <w:i/>
          <w:noProof/>
          <w:vertAlign w:val="subscript"/>
        </w:rPr>
        <w:t>v</w:t>
      </w:r>
      <w:r>
        <w:rPr>
          <w:noProof/>
        </w:rPr>
        <w:tab/>
        <w:t>correspond aux émissions de CO</w:t>
      </w:r>
      <w:r>
        <w:rPr>
          <w:rFonts w:eastAsiaTheme="minorEastAsia"/>
          <w:noProof/>
          <w:vertAlign w:val="subscript"/>
        </w:rPr>
        <w:t>2</w:t>
      </w:r>
      <w:r>
        <w:rPr>
          <w:noProof/>
        </w:rPr>
        <w:t xml:space="preserve"> spécifiques du véhicule </w:t>
      </w:r>
      <w:r>
        <w:rPr>
          <w:rFonts w:eastAsiaTheme="minorEastAsia"/>
          <w:i/>
          <w:noProof/>
        </w:rPr>
        <w:t>v</w:t>
      </w:r>
      <w:r>
        <w:rPr>
          <w:noProof/>
        </w:rPr>
        <w:t xml:space="preserve"> telles que déterminées conformément au point 2.1, ajustées le cas échéant conformément à l’annexe II;</w:t>
      </w:r>
    </w:p>
    <w:p>
      <w:pPr>
        <w:ind w:left="2155" w:hanging="1305"/>
        <w:jc w:val="left"/>
        <w:rPr>
          <w:noProof/>
        </w:rPr>
      </w:pPr>
      <w:r>
        <w:rPr>
          <w:i/>
          <w:noProof/>
        </w:rPr>
        <w:t>rV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 xml:space="preserve">est le nombre total des nouveaux véhicules lourds immatriculés au cours de l’année 2019 dans le sous-groupe </w:t>
      </w:r>
      <w:r>
        <w:rPr>
          <w:i/>
          <w:noProof/>
        </w:rPr>
        <w:t>sg</w:t>
      </w:r>
      <w:r>
        <w:rPr>
          <w:noProof/>
        </w:rPr>
        <w:t>, à l’exclusion de tous les véhicules professionnels conformément au deuxième alinéa de l’article 1</w:t>
      </w:r>
      <w:r>
        <w:rPr>
          <w:noProof/>
          <w:vertAlign w:val="superscript"/>
        </w:rPr>
        <w:t>er</w:t>
      </w:r>
      <w:r>
        <w:rPr>
          <w:noProof/>
        </w:rPr>
        <w:t>;</w:t>
      </w:r>
    </w:p>
    <w:p>
      <w:pPr>
        <w:spacing w:before="0" w:after="0"/>
        <w:ind w:left="2155" w:hanging="1305"/>
        <w:rPr>
          <w:noProof/>
          <w:szCs w:val="24"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 xml:space="preserve">est la charge utile moyenne des véhicules du sous-groupe </w:t>
      </w:r>
      <w:r>
        <w:rPr>
          <w:i/>
          <w:noProof/>
        </w:rPr>
        <w:t>sg</w:t>
      </w:r>
      <w:r>
        <w:rPr>
          <w:noProof/>
        </w:rPr>
        <w:t>, telle que déterminée au point 2.5.</w:t>
      </w:r>
    </w:p>
    <w:p>
      <w:pPr>
        <w:ind w:left="2155" w:hanging="1305"/>
        <w:jc w:val="left"/>
        <w:rPr>
          <w:noProof/>
          <w:sz w:val="22"/>
        </w:rPr>
      </w:pPr>
      <w:r>
        <w:rPr>
          <w:noProof/>
        </w:rPr>
        <w:t xml:space="preserve">  </w:t>
      </w:r>
    </w:p>
    <w:p>
      <w:pPr>
        <w:pStyle w:val="Heading1"/>
        <w:rPr>
          <w:noProof/>
        </w:rPr>
      </w:pPr>
      <w:r>
        <w:rPr>
          <w:noProof/>
        </w:rPr>
        <w:t>Calcul de l’objectif d’émissions spécifiques d’un constructeur visé à l’article 6</w:t>
      </w:r>
    </w:p>
    <w:p>
      <w:pPr>
        <w:ind w:left="850"/>
        <w:rPr>
          <w:noProof/>
        </w:rPr>
      </w:pPr>
      <w:r>
        <w:rPr>
          <w:noProof/>
        </w:rPr>
        <w:t xml:space="preserve">Pour chaque constructeur et chaque année civile, à partir de 2025, l’objectif d’émissions spécifiques </w:t>
      </w:r>
      <w:r>
        <w:rPr>
          <w:i/>
          <w:noProof/>
        </w:rPr>
        <w:t>T</w:t>
      </w:r>
      <w:r>
        <w:rPr>
          <w:noProof/>
        </w:rPr>
        <w:t xml:space="preserve"> est calculé de la manière suivante:</w:t>
      </w:r>
    </w:p>
    <w:p>
      <w:pPr>
        <w:spacing w:before="0" w:after="200" w:line="276" w:lineRule="auto"/>
        <w:ind w:left="720" w:firstLine="720"/>
        <w:jc w:val="left"/>
        <w:rPr>
          <w:i/>
          <w:noProof/>
          <w:szCs w:val="24"/>
          <w:vertAlign w:val="subscript"/>
        </w:rPr>
      </w:pPr>
      <w:r>
        <w:rPr>
          <w:i/>
          <w:noProof/>
        </w:rPr>
        <w:t xml:space="preserve">T = ∑ </w:t>
      </w:r>
      <w:r>
        <w:rPr>
          <w:i/>
          <w:noProof/>
          <w:vertAlign w:val="subscript"/>
        </w:rPr>
        <w:t>sg</w:t>
      </w:r>
      <w:r>
        <w:rPr>
          <w:i/>
          <w:noProof/>
        </w:rPr>
        <w:t xml:space="preserve">  </w:t>
      </w: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</w:rPr>
        <w:t xml:space="preserve"> × MPW</w:t>
      </w:r>
      <w:r>
        <w:rPr>
          <w:i/>
          <w:noProof/>
          <w:vertAlign w:val="subscript"/>
        </w:rPr>
        <w:t>sg</w:t>
      </w:r>
      <w:r>
        <w:rPr>
          <w:i/>
          <w:noProof/>
        </w:rPr>
        <w:t xml:space="preserve"> × (1 - rf)</w:t>
      </w:r>
      <w:r>
        <w:rPr>
          <w:i/>
          <w:noProof/>
          <w:vertAlign w:val="subscript"/>
        </w:rPr>
        <w:t xml:space="preserve"> </w:t>
      </w:r>
      <w:r>
        <w:rPr>
          <w:i/>
          <w:noProof/>
        </w:rPr>
        <w:t>× r</w:t>
      </w: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</w:rPr>
        <w:t xml:space="preserve"> </w:t>
      </w:r>
    </w:p>
    <w:p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</w:rPr>
        <w:tab/>
      </w:r>
      <w:r>
        <w:rPr>
          <w:noProof/>
        </w:rPr>
        <w:tab/>
        <w:t>où</w:t>
      </w:r>
    </w:p>
    <w:p>
      <w:pPr>
        <w:spacing w:before="0" w:after="0"/>
        <w:jc w:val="left"/>
        <w:rPr>
          <w:noProof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i/>
          <w:noProof/>
        </w:rPr>
        <w:t xml:space="preserve">∑ </w:t>
      </w:r>
      <w:r>
        <w:rPr>
          <w:i/>
          <w:noProof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rFonts w:eastAsiaTheme="minorEastAsia"/>
          <w:noProof/>
          <w:sz w:val="20"/>
        </w:rPr>
        <w:t xml:space="preserve">est </w:t>
      </w:r>
      <w:r>
        <w:rPr>
          <w:noProof/>
          <w:sz w:val="22"/>
        </w:rPr>
        <w:t>la sommation sur l’ensemble des sous-groupes;</w:t>
      </w:r>
    </w:p>
    <w:p>
      <w:pPr>
        <w:spacing w:before="0" w:after="0"/>
        <w:ind w:left="720" w:firstLine="720"/>
        <w:contextualSpacing/>
        <w:jc w:val="left"/>
        <w:rPr>
          <w:noProof/>
          <w:sz w:val="22"/>
        </w:rPr>
      </w:pPr>
      <w:r>
        <w:rPr>
          <w:i/>
          <w:noProof/>
        </w:rPr>
        <w:t>share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noProof/>
          <w:sz w:val="22"/>
        </w:rPr>
        <w:t>est la valeur déterminée au point 4 de la section 2;</w:t>
      </w:r>
    </w:p>
    <w:p>
      <w:pPr>
        <w:spacing w:before="0" w:after="0"/>
        <w:ind w:left="720" w:firstLine="720"/>
        <w:rPr>
          <w:noProof/>
          <w:szCs w:val="24"/>
        </w:rPr>
      </w:pP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  <w:t>est la valeur déterminée au point 6 de la section 2;</w:t>
      </w:r>
    </w:p>
    <w:p>
      <w:pPr>
        <w:spacing w:before="0" w:after="0"/>
        <w:ind w:left="2880" w:hanging="1440"/>
        <w:rPr>
          <w:noProof/>
          <w:szCs w:val="24"/>
        </w:rPr>
      </w:pPr>
      <w:r>
        <w:rPr>
          <w:i/>
          <w:noProof/>
        </w:rPr>
        <w:t xml:space="preserve">rf </w:t>
      </w:r>
      <w:r>
        <w:rPr>
          <w:noProof/>
        </w:rPr>
        <w:tab/>
        <w:t>est l’objectif de réduction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(en %) tel que spécifié à l’article 1</w:t>
      </w:r>
      <w:r>
        <w:rPr>
          <w:noProof/>
          <w:vertAlign w:val="superscript"/>
        </w:rPr>
        <w:t>er</w:t>
      </w:r>
      <w:r>
        <w:rPr>
          <w:noProof/>
        </w:rPr>
        <w:t>, points a) et b), pour l’année civile spécifique;</w:t>
      </w:r>
    </w:p>
    <w:p>
      <w:pPr>
        <w:spacing w:before="0" w:after="0"/>
        <w:ind w:left="720" w:firstLine="720"/>
        <w:rPr>
          <w:noProof/>
        </w:rPr>
      </w:pPr>
      <w:r>
        <w:rPr>
          <w:i/>
          <w:noProof/>
        </w:rPr>
        <w:t>rCO2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  <w:t>est la valeur déterminée dans la section 3.</w:t>
      </w:r>
    </w:p>
    <w:p>
      <w:pPr>
        <w:pStyle w:val="Heading1"/>
        <w:rPr>
          <w:noProof/>
        </w:rPr>
      </w:pPr>
      <w:r>
        <w:rPr>
          <w:noProof/>
        </w:rPr>
        <w:t>Crédits et dettes d’émission visés à l’article 7</w:t>
      </w:r>
    </w:p>
    <w:p>
      <w:pPr>
        <w:pStyle w:val="Heading2"/>
        <w:rPr>
          <w:noProof/>
        </w:rPr>
      </w:pPr>
      <w:r>
        <w:rPr>
          <w:noProof/>
        </w:rPr>
        <w:t>Calcul de la trajectoire de réduction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pour les crédits d’émission</w:t>
      </w:r>
    </w:p>
    <w:p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</w:rPr>
        <w:t>Pour chaque constructeur et chaque année civile Y de la période 2019 à 2029, une trajectoire de réduction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(</w:t>
      </w:r>
      <w:r>
        <w:rPr>
          <w:i/>
          <w:noProof/>
        </w:rPr>
        <w:t>ET</w:t>
      </w:r>
      <w:r>
        <w:rPr>
          <w:i/>
          <w:noProof/>
          <w:vertAlign w:val="subscript"/>
        </w:rPr>
        <w:t>Y</w:t>
      </w:r>
      <w:r>
        <w:rPr>
          <w:noProof/>
        </w:rPr>
        <w:t>) est définie de la manière suivante:</w:t>
      </w:r>
    </w:p>
    <w:p>
      <w:pPr>
        <w:spacing w:before="0" w:after="200" w:line="276" w:lineRule="auto"/>
        <w:ind w:left="720" w:firstLine="130"/>
        <w:contextualSpacing/>
        <w:jc w:val="left"/>
        <w:rPr>
          <w:i/>
          <w:noProof/>
          <w:szCs w:val="24"/>
          <w:vertAlign w:val="subscript"/>
        </w:rPr>
      </w:pPr>
      <w:r>
        <w:rPr>
          <w:i/>
          <w:noProof/>
          <w:sz w:val="22"/>
        </w:rPr>
        <w:lastRenderedPageBreak/>
        <w:t>ET</w:t>
      </w:r>
      <w:r>
        <w:rPr>
          <w:i/>
          <w:noProof/>
          <w:sz w:val="22"/>
          <w:vertAlign w:val="subscript"/>
        </w:rPr>
        <w:t>,Y</w:t>
      </w:r>
      <w:r>
        <w:rPr>
          <w:noProof/>
          <w:sz w:val="22"/>
        </w:rPr>
        <w:t xml:space="preserve"> = </w:t>
      </w:r>
      <w:r>
        <w:rPr>
          <w:i/>
          <w:noProof/>
        </w:rPr>
        <w:t xml:space="preserve">∑ </w:t>
      </w:r>
      <w:r>
        <w:rPr>
          <w:i/>
          <w:noProof/>
          <w:vertAlign w:val="subscript"/>
        </w:rPr>
        <w:t>sg</w:t>
      </w:r>
      <w:r>
        <w:rPr>
          <w:i/>
          <w:noProof/>
        </w:rPr>
        <w:t xml:space="preserve">  </w:t>
      </w: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</w:rPr>
        <w:t xml:space="preserve"> × MPW</w:t>
      </w:r>
      <w:r>
        <w:rPr>
          <w:i/>
          <w:noProof/>
          <w:vertAlign w:val="subscript"/>
        </w:rPr>
        <w:t>sg</w:t>
      </w:r>
      <w:r>
        <w:rPr>
          <w:i/>
          <w:noProof/>
        </w:rPr>
        <w:t xml:space="preserve"> × </w:t>
      </w:r>
      <w:r>
        <w:rPr>
          <w:i/>
          <w:noProof/>
          <w:sz w:val="22"/>
        </w:rPr>
        <w:t>R-ET</w:t>
      </w:r>
      <w:r>
        <w:rPr>
          <w:i/>
          <w:noProof/>
          <w:sz w:val="22"/>
          <w:vertAlign w:val="subscript"/>
        </w:rPr>
        <w:t>Y</w:t>
      </w:r>
      <w:r>
        <w:rPr>
          <w:i/>
          <w:noProof/>
        </w:rPr>
        <w:t xml:space="preserve"> × r</w:t>
      </w: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</w:rPr>
        <w:t xml:space="preserve"> </w:t>
      </w:r>
    </w:p>
    <w:p>
      <w:pPr>
        <w:spacing w:before="0" w:after="200" w:line="276" w:lineRule="auto"/>
        <w:ind w:firstLine="130"/>
        <w:jc w:val="left"/>
        <w:rPr>
          <w:noProof/>
          <w:szCs w:val="24"/>
        </w:rPr>
      </w:pPr>
      <w:r>
        <w:rPr>
          <w:noProof/>
        </w:rPr>
        <w:t>où</w:t>
      </w:r>
    </w:p>
    <w:p>
      <w:pPr>
        <w:ind w:firstLine="130"/>
        <w:rPr>
          <w:noProof/>
        </w:rPr>
      </w:pPr>
      <w:r>
        <w:rPr>
          <w:i/>
          <w:noProof/>
        </w:rPr>
        <w:t xml:space="preserve">∑ </w:t>
      </w:r>
      <w:r>
        <w:rPr>
          <w:i/>
          <w:noProof/>
          <w:vertAlign w:val="subscript"/>
        </w:rPr>
        <w:t>sg</w:t>
      </w:r>
      <w:r>
        <w:rPr>
          <w:rFonts w:eastAsiaTheme="minorEastAsia"/>
          <w:noProof/>
          <w:sz w:val="20"/>
        </w:rPr>
        <w:t xml:space="preserve"> (…)</w:t>
      </w:r>
      <w:r>
        <w:rPr>
          <w:noProof/>
        </w:rPr>
        <w:tab/>
        <w:t>est la sommation sur l’ensemble des sous-groupes;</w:t>
      </w:r>
    </w:p>
    <w:p>
      <w:pPr>
        <w:spacing w:before="0" w:after="0"/>
        <w:ind w:firstLine="130"/>
        <w:contextualSpacing/>
        <w:jc w:val="left"/>
        <w:rPr>
          <w:noProof/>
          <w:sz w:val="22"/>
        </w:rPr>
      </w:pP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,sg</w:t>
      </w:r>
      <w:r>
        <w:rPr>
          <w:noProof/>
        </w:rPr>
        <w:tab/>
        <w:t>est la valeur déterminée au point 4 de la section 2;</w:t>
      </w:r>
    </w:p>
    <w:p>
      <w:pPr>
        <w:spacing w:before="0" w:after="0"/>
        <w:ind w:firstLine="130"/>
        <w:rPr>
          <w:noProof/>
          <w:szCs w:val="24"/>
        </w:rPr>
      </w:pP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>est la valeur déterminée au point 6 de la section 2;</w:t>
      </w:r>
    </w:p>
    <w:p>
      <w:pPr>
        <w:spacing w:before="0" w:after="0"/>
        <w:ind w:firstLine="130"/>
        <w:rPr>
          <w:noProof/>
        </w:rPr>
      </w:pPr>
      <w:r>
        <w:rPr>
          <w:i/>
          <w:noProof/>
        </w:rPr>
        <w:t>r</w:t>
      </w: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  <w:t>est la valeur déterminée dans la section 3;</w:t>
      </w:r>
    </w:p>
    <w:p>
      <w:pPr>
        <w:ind w:firstLine="130"/>
        <w:rPr>
          <w:noProof/>
        </w:rPr>
      </w:pPr>
      <w:r>
        <w:rPr>
          <w:noProof/>
        </w:rPr>
        <w:t xml:space="preserve">où </w:t>
      </w:r>
    </w:p>
    <w:p>
      <w:pPr>
        <w:rPr>
          <w:noProof/>
        </w:rPr>
      </w:pPr>
      <w:r>
        <w:rPr>
          <w:noProof/>
        </w:rPr>
        <w:t>pour les années civiles Y de 2019 à 2025:</w:t>
      </w:r>
    </w:p>
    <w:p>
      <w:pPr>
        <w:spacing w:before="0" w:after="200" w:line="276" w:lineRule="auto"/>
        <w:ind w:firstLine="720"/>
        <w:jc w:val="left"/>
        <w:rPr>
          <w:noProof/>
          <w:sz w:val="22"/>
        </w:rPr>
      </w:pPr>
      <w:r>
        <w:rPr>
          <w:i/>
          <w:noProof/>
          <w:sz w:val="22"/>
        </w:rPr>
        <w:t>R-ET</w:t>
      </w:r>
      <w:r>
        <w:rPr>
          <w:i/>
          <w:noProof/>
          <w:sz w:val="22"/>
          <w:vertAlign w:val="subscript"/>
        </w:rPr>
        <w:t xml:space="preserve">Y, </w:t>
      </w:r>
      <w:r>
        <w:rPr>
          <w:i/>
          <w:noProof/>
          <w:sz w:val="22"/>
        </w:rPr>
        <w:t xml:space="preserve">= </w:t>
      </w:r>
      <w:r>
        <w:rPr>
          <w:i/>
          <w:noProof/>
        </w:rPr>
        <w:t>(1-rf</w:t>
      </w:r>
      <w:r>
        <w:rPr>
          <w:i/>
          <w:noProof/>
          <w:vertAlign w:val="subscript"/>
        </w:rPr>
        <w:t>2025</w:t>
      </w:r>
      <w:r>
        <w:rPr>
          <w:i/>
          <w:noProof/>
        </w:rPr>
        <w:t>)</w:t>
      </w:r>
      <w:r>
        <w:rPr>
          <w:i/>
          <w:noProof/>
          <w:sz w:val="22"/>
        </w:rPr>
        <w:t xml:space="preserve">+ </w:t>
      </w:r>
      <w:r>
        <w:rPr>
          <w:i/>
          <w:noProof/>
        </w:rPr>
        <w:t>rf</w:t>
      </w:r>
      <w:r>
        <w:rPr>
          <w:i/>
          <w:noProof/>
          <w:vertAlign w:val="subscript"/>
        </w:rPr>
        <w:t>2025</w:t>
      </w:r>
      <w:r>
        <w:rPr>
          <w:i/>
          <w:noProof/>
          <w:sz w:val="22"/>
        </w:rPr>
        <w:t xml:space="preserve"> </w:t>
      </w:r>
      <w:r>
        <w:rPr>
          <w:i/>
          <w:noProof/>
        </w:rPr>
        <w:t>×</w:t>
      </w:r>
      <w:r>
        <w:rPr>
          <w:i/>
          <w:noProof/>
          <w:sz w:val="22"/>
        </w:rPr>
        <w:t xml:space="preserve"> (2025 – Y)/6</w:t>
      </w:r>
      <w:r>
        <w:rPr>
          <w:noProof/>
          <w:sz w:val="22"/>
          <w:vertAlign w:val="subscript"/>
        </w:rPr>
        <w:t xml:space="preserve">  </w:t>
      </w:r>
    </w:p>
    <w:p>
      <w:pPr>
        <w:keepNext/>
        <w:ind w:left="850" w:hanging="850"/>
        <w:outlineLvl w:val="2"/>
        <w:rPr>
          <w:rFonts w:eastAsiaTheme="majorEastAsia"/>
          <w:bCs/>
          <w:noProof/>
        </w:rPr>
      </w:pPr>
      <w:r>
        <w:rPr>
          <w:noProof/>
        </w:rPr>
        <w:t xml:space="preserve">et pour les années civiles Y de 2026 à 2030: </w:t>
      </w:r>
    </w:p>
    <w:p>
      <w:pPr>
        <w:spacing w:before="0" w:after="200" w:line="276" w:lineRule="auto"/>
        <w:ind w:firstLine="720"/>
        <w:contextualSpacing/>
        <w:jc w:val="left"/>
        <w:rPr>
          <w:noProof/>
          <w:sz w:val="22"/>
          <w:vertAlign w:val="subscript"/>
        </w:rPr>
      </w:pPr>
      <w:r>
        <w:rPr>
          <w:i/>
          <w:noProof/>
          <w:sz w:val="22"/>
        </w:rPr>
        <w:t>R-ET</w:t>
      </w:r>
      <w:r>
        <w:rPr>
          <w:i/>
          <w:noProof/>
          <w:sz w:val="22"/>
          <w:vertAlign w:val="subscript"/>
        </w:rPr>
        <w:t xml:space="preserve">Y  </w:t>
      </w:r>
      <w:r>
        <w:rPr>
          <w:i/>
          <w:noProof/>
          <w:sz w:val="22"/>
        </w:rPr>
        <w:t>= (</w:t>
      </w:r>
      <w:r>
        <w:rPr>
          <w:i/>
          <w:noProof/>
        </w:rPr>
        <w:t>1-rf</w:t>
      </w:r>
      <w:r>
        <w:rPr>
          <w:i/>
          <w:noProof/>
          <w:vertAlign w:val="subscript"/>
        </w:rPr>
        <w:t xml:space="preserve">2030 </w:t>
      </w:r>
      <w:r>
        <w:rPr>
          <w:i/>
          <w:noProof/>
          <w:sz w:val="22"/>
        </w:rPr>
        <w:t>) + (</w:t>
      </w:r>
      <w:r>
        <w:rPr>
          <w:i/>
          <w:noProof/>
        </w:rPr>
        <w:t>rf</w:t>
      </w:r>
      <w:r>
        <w:rPr>
          <w:i/>
          <w:noProof/>
          <w:vertAlign w:val="subscript"/>
        </w:rPr>
        <w:t xml:space="preserve">2030 -  </w:t>
      </w:r>
      <w:r>
        <w:rPr>
          <w:i/>
          <w:noProof/>
        </w:rPr>
        <w:t>rf</w:t>
      </w:r>
      <w:r>
        <w:rPr>
          <w:i/>
          <w:noProof/>
          <w:vertAlign w:val="subscript"/>
        </w:rPr>
        <w:t>2025</w:t>
      </w:r>
      <w:r>
        <w:rPr>
          <w:i/>
          <w:noProof/>
          <w:sz w:val="22"/>
        </w:rPr>
        <w:t xml:space="preserve">) </w:t>
      </w:r>
      <w:r>
        <w:rPr>
          <w:i/>
          <w:noProof/>
        </w:rPr>
        <w:t>×</w:t>
      </w:r>
      <w:r>
        <w:rPr>
          <w:i/>
          <w:noProof/>
          <w:sz w:val="22"/>
        </w:rPr>
        <w:t xml:space="preserve"> (2030 – Y)/5</w:t>
      </w:r>
      <w:r>
        <w:rPr>
          <w:noProof/>
          <w:sz w:val="22"/>
          <w:vertAlign w:val="subscript"/>
        </w:rPr>
        <w:t xml:space="preserve"> </w:t>
      </w:r>
    </w:p>
    <w:p>
      <w:pPr>
        <w:spacing w:before="0" w:after="200" w:line="276" w:lineRule="auto"/>
        <w:ind w:left="1440"/>
        <w:contextualSpacing/>
        <w:jc w:val="left"/>
        <w:rPr>
          <w:noProof/>
          <w:sz w:val="22"/>
        </w:rPr>
      </w:pPr>
    </w:p>
    <w:p>
      <w:pPr>
        <w:spacing w:before="0" w:after="0"/>
        <w:rPr>
          <w:noProof/>
          <w:szCs w:val="24"/>
        </w:rPr>
      </w:pPr>
      <w:r>
        <w:rPr>
          <w:i/>
          <w:noProof/>
        </w:rPr>
        <w:t>rf</w:t>
      </w:r>
      <w:r>
        <w:rPr>
          <w:i/>
          <w:noProof/>
          <w:vertAlign w:val="subscript"/>
        </w:rPr>
        <w:t xml:space="preserve">2025 </w:t>
      </w:r>
      <w:r>
        <w:rPr>
          <w:noProof/>
        </w:rPr>
        <w:t xml:space="preserve">et </w:t>
      </w:r>
      <w:r>
        <w:rPr>
          <w:i/>
          <w:noProof/>
        </w:rPr>
        <w:t>rf</w:t>
      </w:r>
      <w:r>
        <w:rPr>
          <w:i/>
          <w:noProof/>
          <w:vertAlign w:val="subscript"/>
        </w:rPr>
        <w:t>2030</w:t>
      </w:r>
      <w:r>
        <w:rPr>
          <w:noProof/>
        </w:rPr>
        <w:t xml:space="preserve"> sont les objectifs de réduction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(en %) pour 2025 et 2030, tels que spécifiés à l’article 1</w:t>
      </w:r>
      <w:r>
        <w:rPr>
          <w:noProof/>
          <w:vertAlign w:val="superscript"/>
        </w:rPr>
        <w:t>er</w:t>
      </w:r>
      <w:r>
        <w:rPr>
          <w:noProof/>
        </w:rPr>
        <w:t>, points a) et b), respectivement.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</w:p>
    <w:p>
      <w:pPr>
        <w:pStyle w:val="Heading2"/>
        <w:rPr>
          <w:noProof/>
        </w:rPr>
      </w:pPr>
      <w:r>
        <w:rPr>
          <w:noProof/>
        </w:rPr>
        <w:t>Calcul des crédits et dettes d’émission pour chaque année civile</w:t>
      </w:r>
    </w:p>
    <w:p>
      <w:pPr>
        <w:keepNext/>
        <w:outlineLvl w:val="3"/>
        <w:rPr>
          <w:rFonts w:eastAsiaTheme="majorEastAsia"/>
          <w:bCs/>
          <w:iCs/>
          <w:noProof/>
          <w:szCs w:val="24"/>
        </w:rPr>
      </w:pPr>
      <w:r>
        <w:rPr>
          <w:noProof/>
        </w:rPr>
        <w:t>Pour chaque constructeur et chaque année civile Y de la période 2019 à 2029, les crédits d’émission (</w:t>
      </w:r>
      <w:r>
        <w:rPr>
          <w:i/>
          <w:noProof/>
        </w:rPr>
        <w:t>cCO2</w:t>
      </w:r>
      <w:r>
        <w:rPr>
          <w:i/>
          <w:noProof/>
          <w:vertAlign w:val="subscript"/>
        </w:rPr>
        <w:t>Y</w:t>
      </w:r>
      <w:r>
        <w:rPr>
          <w:noProof/>
        </w:rPr>
        <w:t>) et les dettes d’émission (</w:t>
      </w:r>
      <w:r>
        <w:rPr>
          <w:i/>
          <w:noProof/>
        </w:rPr>
        <w:t>dCO2</w:t>
      </w:r>
      <w:r>
        <w:rPr>
          <w:i/>
          <w:noProof/>
          <w:vertAlign w:val="subscript"/>
        </w:rPr>
        <w:t>Y</w:t>
      </w:r>
      <w:r>
        <w:rPr>
          <w:noProof/>
        </w:rPr>
        <w:t>) sont calculées de la manière suivante:</w:t>
      </w:r>
    </w:p>
    <w:p>
      <w:pPr>
        <w:keepNext/>
        <w:ind w:left="850" w:hanging="850"/>
        <w:outlineLvl w:val="2"/>
        <w:rPr>
          <w:rFonts w:eastAsiaTheme="majorEastAsia"/>
          <w:bCs/>
          <w:i/>
          <w:noProof/>
          <w:lang w:val="es-ES"/>
        </w:rPr>
      </w:pPr>
      <w:r>
        <w:rPr>
          <w:rFonts w:eastAsiaTheme="majorEastAsia"/>
          <w:i/>
          <w:noProof/>
          <w:lang w:val="es-ES"/>
        </w:rPr>
        <w:t>Si CO2</w:t>
      </w:r>
      <w:r>
        <w:rPr>
          <w:rFonts w:eastAsiaTheme="majorEastAsia"/>
          <w:i/>
          <w:noProof/>
          <w:vertAlign w:val="subscript"/>
          <w:lang w:val="es-ES"/>
        </w:rPr>
        <w:t>Y</w:t>
      </w:r>
      <w:r>
        <w:rPr>
          <w:rFonts w:eastAsiaTheme="majorEastAsia"/>
          <w:i/>
          <w:noProof/>
          <w:lang w:val="es-ES"/>
        </w:rPr>
        <w:t xml:space="preserve"> &lt; ET</w:t>
      </w:r>
      <w:r>
        <w:rPr>
          <w:rFonts w:eastAsiaTheme="majorEastAsia"/>
          <w:i/>
          <w:noProof/>
          <w:vertAlign w:val="subscript"/>
          <w:lang w:val="es-ES"/>
        </w:rPr>
        <w:t>Y</w:t>
      </w:r>
      <w:r>
        <w:rPr>
          <w:rFonts w:eastAsiaTheme="majorEastAsia"/>
          <w:i/>
          <w:noProof/>
          <w:lang w:val="es-ES"/>
        </w:rPr>
        <w:t>:</w:t>
      </w:r>
    </w:p>
    <w:p>
      <w:pPr>
        <w:spacing w:before="0" w:after="200" w:line="276" w:lineRule="auto"/>
        <w:ind w:firstLine="720"/>
        <w:jc w:val="left"/>
        <w:rPr>
          <w:i/>
          <w:noProof/>
          <w:szCs w:val="24"/>
          <w:lang w:val="es-ES"/>
        </w:rPr>
      </w:pPr>
      <w:r>
        <w:rPr>
          <w:i/>
          <w:noProof/>
          <w:lang w:val="es-ES"/>
        </w:rPr>
        <w:t>cCO2</w:t>
      </w:r>
      <w:r>
        <w:rPr>
          <w:i/>
          <w:noProof/>
          <w:vertAlign w:val="subscript"/>
          <w:lang w:val="es-ES"/>
        </w:rPr>
        <w:t>Y</w:t>
      </w:r>
      <w:r>
        <w:rPr>
          <w:noProof/>
          <w:lang w:val="es-ES"/>
        </w:rPr>
        <w:t xml:space="preserve"> = (</w:t>
      </w:r>
      <w:r>
        <w:rPr>
          <w:i/>
          <w:noProof/>
          <w:lang w:val="es-ES"/>
        </w:rPr>
        <w:t>ET</w:t>
      </w:r>
      <w:r>
        <w:rPr>
          <w:i/>
          <w:noProof/>
          <w:vertAlign w:val="subscript"/>
          <w:lang w:val="es-ES"/>
        </w:rPr>
        <w:t>Y</w:t>
      </w:r>
      <w:r>
        <w:rPr>
          <w:noProof/>
          <w:lang w:val="es-ES"/>
        </w:rPr>
        <w:t xml:space="preserve"> </w:t>
      </w:r>
      <w:r>
        <w:rPr>
          <w:i/>
          <w:noProof/>
          <w:lang w:val="es-ES"/>
        </w:rPr>
        <w:t>– CO2</w:t>
      </w:r>
      <w:r>
        <w:rPr>
          <w:i/>
          <w:noProof/>
          <w:vertAlign w:val="subscript"/>
          <w:lang w:val="es-ES"/>
        </w:rPr>
        <w:t>Y</w:t>
      </w:r>
      <w:r>
        <w:rPr>
          <w:i/>
          <w:noProof/>
          <w:lang w:val="es-ES"/>
        </w:rPr>
        <w:t>) × V</w:t>
      </w:r>
      <w:r>
        <w:rPr>
          <w:i/>
          <w:noProof/>
          <w:vertAlign w:val="subscript"/>
          <w:lang w:val="es-ES"/>
        </w:rPr>
        <w:t>y</w:t>
      </w:r>
      <w:r>
        <w:rPr>
          <w:noProof/>
          <w:lang w:val="es-ES"/>
        </w:rPr>
        <w:tab/>
        <w:t xml:space="preserve">et </w:t>
      </w:r>
    </w:p>
    <w:p>
      <w:pPr>
        <w:spacing w:before="0" w:after="200" w:line="276" w:lineRule="auto"/>
        <w:ind w:firstLine="720"/>
        <w:jc w:val="left"/>
        <w:rPr>
          <w:noProof/>
        </w:rPr>
      </w:pPr>
      <w:r>
        <w:rPr>
          <w:i/>
          <w:noProof/>
        </w:rPr>
        <w:t>dCO2</w:t>
      </w:r>
      <w:r>
        <w:rPr>
          <w:i/>
          <w:noProof/>
          <w:vertAlign w:val="subscript"/>
        </w:rPr>
        <w:t>Y</w:t>
      </w:r>
      <w:r>
        <w:rPr>
          <w:i/>
          <w:noProof/>
        </w:rPr>
        <w:t xml:space="preserve"> = 0</w:t>
      </w:r>
    </w:p>
    <w:p>
      <w:pPr>
        <w:keepNext/>
        <w:ind w:left="850" w:hanging="850"/>
        <w:outlineLvl w:val="2"/>
        <w:rPr>
          <w:rFonts w:eastAsiaTheme="majorEastAsia"/>
          <w:bCs/>
          <w:i/>
          <w:noProof/>
        </w:rPr>
      </w:pPr>
      <w:r>
        <w:rPr>
          <w:rFonts w:eastAsiaTheme="majorEastAsia"/>
          <w:i/>
          <w:noProof/>
          <w:sz w:val="22"/>
        </w:rPr>
        <w:t xml:space="preserve">Si </w:t>
      </w:r>
      <w:r>
        <w:rPr>
          <w:rFonts w:eastAsiaTheme="majorEastAsia"/>
          <w:i/>
          <w:noProof/>
        </w:rPr>
        <w:t>CO2</w:t>
      </w:r>
      <w:r>
        <w:rPr>
          <w:rFonts w:eastAsiaTheme="majorEastAsia"/>
          <w:i/>
          <w:noProof/>
          <w:vertAlign w:val="subscript"/>
        </w:rPr>
        <w:t>Y</w:t>
      </w:r>
      <w:r>
        <w:rPr>
          <w:rFonts w:eastAsiaTheme="majorEastAsia"/>
          <w:i/>
          <w:noProof/>
          <w:sz w:val="22"/>
        </w:rPr>
        <w:t xml:space="preserve"> &gt; T</w:t>
      </w:r>
      <w:r>
        <w:rPr>
          <w:rFonts w:eastAsiaTheme="majorEastAsia"/>
          <w:i/>
          <w:noProof/>
          <w:sz w:val="22"/>
          <w:vertAlign w:val="subscript"/>
        </w:rPr>
        <w:t>Y</w:t>
      </w:r>
      <w:r>
        <w:rPr>
          <w:rFonts w:eastAsiaTheme="majorEastAsia"/>
          <w:i/>
          <w:noProof/>
        </w:rPr>
        <w:t xml:space="preserve"> pour les années 2025 à 2029:</w:t>
      </w:r>
    </w:p>
    <w:p>
      <w:pPr>
        <w:keepNext/>
        <w:outlineLvl w:val="2"/>
        <w:rPr>
          <w:rFonts w:eastAsiaTheme="majorEastAsia"/>
          <w:bCs/>
          <w:i/>
          <w:noProof/>
          <w:vertAlign w:val="subscript"/>
          <w:lang w:val="es-ES"/>
        </w:rPr>
      </w:pPr>
      <w:r>
        <w:rPr>
          <w:noProof/>
        </w:rPr>
        <w:tab/>
      </w:r>
      <w:r>
        <w:rPr>
          <w:i/>
          <w:noProof/>
          <w:lang w:val="es-ES"/>
        </w:rPr>
        <w:t>dCO2</w:t>
      </w:r>
      <w:r>
        <w:rPr>
          <w:i/>
          <w:noProof/>
          <w:vertAlign w:val="subscript"/>
          <w:lang w:val="es-ES"/>
        </w:rPr>
        <w:t>Y</w:t>
      </w:r>
      <w:r>
        <w:rPr>
          <w:i/>
          <w:noProof/>
          <w:lang w:val="es-ES"/>
        </w:rPr>
        <w:t xml:space="preserve"> = (CO2</w:t>
      </w:r>
      <w:r>
        <w:rPr>
          <w:rFonts w:eastAsiaTheme="majorEastAsia"/>
          <w:noProof/>
          <w:vertAlign w:val="subscript"/>
          <w:lang w:val="es-ES"/>
        </w:rPr>
        <w:t>Y</w:t>
      </w:r>
      <w:r>
        <w:rPr>
          <w:rFonts w:eastAsiaTheme="majorEastAsia"/>
          <w:i/>
          <w:noProof/>
          <w:sz w:val="22"/>
          <w:lang w:val="es-ES"/>
        </w:rPr>
        <w:t xml:space="preserve"> - </w:t>
      </w:r>
      <w:r>
        <w:rPr>
          <w:rFonts w:eastAsiaTheme="majorEastAsia"/>
          <w:i/>
          <w:noProof/>
          <w:lang w:val="es-ES"/>
        </w:rPr>
        <w:t>T</w:t>
      </w:r>
      <w:r>
        <w:rPr>
          <w:rFonts w:eastAsiaTheme="majorEastAsia"/>
          <w:i/>
          <w:noProof/>
          <w:vertAlign w:val="subscript"/>
          <w:lang w:val="es-ES"/>
        </w:rPr>
        <w:t>Y</w:t>
      </w:r>
      <w:r>
        <w:rPr>
          <w:rFonts w:eastAsiaTheme="majorEastAsia"/>
          <w:i/>
          <w:noProof/>
          <w:lang w:val="es-ES"/>
        </w:rPr>
        <w:t>) ×</w:t>
      </w:r>
      <w:r>
        <w:rPr>
          <w:rFonts w:eastAsiaTheme="majorEastAsia"/>
          <w:i/>
          <w:noProof/>
          <w:sz w:val="22"/>
          <w:lang w:val="es-ES"/>
        </w:rPr>
        <w:t xml:space="preserve"> </w:t>
      </w:r>
      <w:r>
        <w:rPr>
          <w:rFonts w:eastAsiaTheme="majorEastAsia"/>
          <w:i/>
          <w:noProof/>
          <w:lang w:val="es-ES"/>
        </w:rPr>
        <w:t>V</w:t>
      </w:r>
      <w:r>
        <w:rPr>
          <w:rFonts w:eastAsiaTheme="majorEastAsia"/>
          <w:i/>
          <w:noProof/>
          <w:vertAlign w:val="subscript"/>
          <w:lang w:val="es-ES"/>
        </w:rPr>
        <w:t>Y</w:t>
      </w:r>
      <w:r>
        <w:rPr>
          <w:noProof/>
          <w:lang w:val="es-ES"/>
        </w:rPr>
        <w:tab/>
        <w:t xml:space="preserve">et </w:t>
      </w:r>
    </w:p>
    <w:p>
      <w:pPr>
        <w:keepNext/>
        <w:ind w:firstLine="720"/>
        <w:outlineLvl w:val="2"/>
        <w:rPr>
          <w:rFonts w:eastAsiaTheme="majorEastAsia"/>
          <w:bCs/>
          <w:noProof/>
          <w:lang w:val="es-ES"/>
        </w:rPr>
      </w:pPr>
      <w:r>
        <w:rPr>
          <w:i/>
          <w:noProof/>
          <w:lang w:val="es-ES"/>
        </w:rPr>
        <w:t>cCO2</w:t>
      </w:r>
      <w:r>
        <w:rPr>
          <w:i/>
          <w:noProof/>
          <w:vertAlign w:val="subscript"/>
          <w:lang w:val="es-ES"/>
        </w:rPr>
        <w:t>Y</w:t>
      </w:r>
      <w:r>
        <w:rPr>
          <w:i/>
          <w:noProof/>
          <w:lang w:val="es-ES"/>
        </w:rPr>
        <w:t xml:space="preserve"> = 0</w:t>
      </w:r>
      <w:r>
        <w:rPr>
          <w:rFonts w:eastAsiaTheme="majorEastAsia"/>
          <w:i/>
          <w:noProof/>
          <w:sz w:val="22"/>
          <w:lang w:val="es-ES"/>
        </w:rPr>
        <w:t xml:space="preserve"> </w:t>
      </w:r>
    </w:p>
    <w:p>
      <w:pPr>
        <w:keepNext/>
        <w:ind w:left="850" w:hanging="850"/>
        <w:outlineLvl w:val="2"/>
        <w:rPr>
          <w:rFonts w:eastAsiaTheme="majorEastAsia"/>
          <w:bCs/>
          <w:i/>
          <w:noProof/>
        </w:rPr>
      </w:pPr>
      <w:r>
        <w:rPr>
          <w:rFonts w:eastAsiaTheme="majorEastAsia"/>
          <w:i/>
          <w:noProof/>
        </w:rPr>
        <w:t>Dans tous les autres cas, dCO2</w:t>
      </w:r>
      <w:r>
        <w:rPr>
          <w:rFonts w:eastAsiaTheme="majorEastAsia"/>
          <w:i/>
          <w:noProof/>
          <w:vertAlign w:val="subscript"/>
        </w:rPr>
        <w:t>Y</w:t>
      </w:r>
      <w:r>
        <w:rPr>
          <w:rFonts w:eastAsiaTheme="majorEastAsia"/>
          <w:i/>
          <w:noProof/>
        </w:rPr>
        <w:t xml:space="preserve"> et cCO2</w:t>
      </w:r>
      <w:r>
        <w:rPr>
          <w:rFonts w:eastAsiaTheme="majorEastAsia"/>
          <w:i/>
          <w:noProof/>
          <w:vertAlign w:val="subscript"/>
        </w:rPr>
        <w:t>Y</w:t>
      </w:r>
      <w:r>
        <w:rPr>
          <w:rFonts w:eastAsiaTheme="majorEastAsia"/>
          <w:i/>
          <w:noProof/>
        </w:rPr>
        <w:t xml:space="preserve"> sont fixés à 0.</w:t>
      </w:r>
    </w:p>
    <w:p>
      <w:pPr>
        <w:rPr>
          <w:noProof/>
        </w:rPr>
      </w:pPr>
      <w:r>
        <w:rPr>
          <w:noProof/>
        </w:rPr>
        <w:t>où</w:t>
      </w:r>
    </w:p>
    <w:p>
      <w:pPr>
        <w:ind w:left="1438" w:hanging="1155"/>
        <w:rPr>
          <w:i/>
          <w:noProof/>
        </w:rPr>
      </w:pPr>
      <w:r>
        <w:rPr>
          <w:i/>
          <w:noProof/>
        </w:rPr>
        <w:t>ET</w:t>
      </w:r>
      <w:r>
        <w:rPr>
          <w:i/>
          <w:noProof/>
          <w:vertAlign w:val="subscript"/>
        </w:rPr>
        <w:t>Y</w:t>
      </w:r>
      <w:r>
        <w:rPr>
          <w:noProof/>
        </w:rPr>
        <w:t xml:space="preserve"> </w:t>
      </w:r>
      <w:r>
        <w:rPr>
          <w:noProof/>
        </w:rPr>
        <w:tab/>
        <w:t>est la trajectoire d’émission du constructeur au cours de l’année civile Y, déterminée conformément au point 5.1;</w:t>
      </w:r>
    </w:p>
    <w:p>
      <w:pPr>
        <w:ind w:left="1440" w:hanging="1155"/>
        <w:rPr>
          <w:noProof/>
        </w:rPr>
      </w:pPr>
      <w:r>
        <w:rPr>
          <w:i/>
          <w:noProof/>
        </w:rPr>
        <w:t>CO2</w:t>
      </w:r>
      <w:r>
        <w:rPr>
          <w:i/>
          <w:noProof/>
          <w:vertAlign w:val="subscript"/>
        </w:rPr>
        <w:t>Y</w:t>
      </w:r>
      <w:r>
        <w:rPr>
          <w:noProof/>
        </w:rPr>
        <w:tab/>
        <w:t>correspond aux émissions spécifiques moyennes au cours de l’année civile Y, déterminées conformément au point 2.7;</w:t>
      </w:r>
    </w:p>
    <w:p>
      <w:pPr>
        <w:ind w:left="1438" w:hanging="1155"/>
        <w:rPr>
          <w:i/>
          <w:noProof/>
        </w:rPr>
      </w:pPr>
      <w:r>
        <w:rPr>
          <w:i/>
          <w:noProof/>
        </w:rPr>
        <w:t>T</w:t>
      </w:r>
      <w:r>
        <w:rPr>
          <w:i/>
          <w:noProof/>
          <w:vertAlign w:val="subscript"/>
        </w:rPr>
        <w:t>Y</w:t>
      </w:r>
      <w:r>
        <w:rPr>
          <w:noProof/>
        </w:rPr>
        <w:t xml:space="preserve"> </w:t>
      </w:r>
      <w:r>
        <w:rPr>
          <w:noProof/>
        </w:rPr>
        <w:tab/>
        <w:t>est l’objectif d’émissions spécifiques du constructeur pour l’année civile Y, déterminées conformément à la section 4;</w:t>
      </w:r>
    </w:p>
    <w:p>
      <w:pPr>
        <w:ind w:left="1438" w:hanging="1155"/>
        <w:rPr>
          <w:noProof/>
        </w:rPr>
      </w:pPr>
      <w:r>
        <w:rPr>
          <w:noProof/>
        </w:rPr>
        <w:t>V</w:t>
      </w:r>
      <w:r>
        <w:rPr>
          <w:noProof/>
          <w:vertAlign w:val="subscript"/>
        </w:rPr>
        <w:t>Y</w:t>
      </w:r>
      <w:r>
        <w:rPr>
          <w:noProof/>
        </w:rPr>
        <w:tab/>
        <w:t>est le nombre de nouveaux véhicules lourds du constructeur au cours de l’année civile Y, à l’exclusion de tous les véhicules professionnels conformément à l’article 4, point a).</w:t>
      </w:r>
    </w:p>
    <w:p>
      <w:pPr>
        <w:ind w:left="1438" w:hanging="1155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lastRenderedPageBreak/>
        <w:t>Limite de dette d’émission</w:t>
      </w:r>
    </w:p>
    <w:p>
      <w:pPr>
        <w:rPr>
          <w:noProof/>
        </w:rPr>
      </w:pPr>
      <w:r>
        <w:rPr>
          <w:noProof/>
        </w:rPr>
        <w:t>Pour chaque constructeur, la limite de dette d’émission  (</w:t>
      </w:r>
      <w:r>
        <w:rPr>
          <w:i/>
          <w:noProof/>
          <w:sz w:val="22"/>
        </w:rPr>
        <w:t>limCO2</w:t>
      </w:r>
      <w:r>
        <w:rPr>
          <w:noProof/>
        </w:rPr>
        <w:t>) est définie de la manière suivante:</w:t>
      </w:r>
    </w:p>
    <w:p>
      <w:pPr>
        <w:ind w:firstLine="720"/>
        <w:rPr>
          <w:i/>
          <w:noProof/>
        </w:rPr>
      </w:pPr>
      <w:r>
        <w:rPr>
          <w:i/>
          <w:noProof/>
          <w:sz w:val="22"/>
        </w:rPr>
        <w:t>limCO2</w:t>
      </w:r>
      <w:r>
        <w:rPr>
          <w:i/>
          <w:noProof/>
        </w:rPr>
        <w:t xml:space="preserve"> = T</w:t>
      </w:r>
      <w:r>
        <w:rPr>
          <w:i/>
          <w:noProof/>
          <w:vertAlign w:val="subscript"/>
        </w:rPr>
        <w:t>2025</w:t>
      </w:r>
      <w:r>
        <w:rPr>
          <w:i/>
          <w:noProof/>
        </w:rPr>
        <w:t xml:space="preserve"> × 0,05 × V</w:t>
      </w:r>
      <w:r>
        <w:rPr>
          <w:i/>
          <w:noProof/>
          <w:vertAlign w:val="subscript"/>
        </w:rPr>
        <w:t>2025</w:t>
      </w:r>
    </w:p>
    <w:p>
      <w:pPr>
        <w:ind w:firstLine="283"/>
        <w:rPr>
          <w:noProof/>
        </w:rPr>
      </w:pPr>
      <w:r>
        <w:rPr>
          <w:noProof/>
        </w:rPr>
        <w:t xml:space="preserve">où </w:t>
      </w:r>
    </w:p>
    <w:p>
      <w:pPr>
        <w:ind w:left="1438" w:hanging="1155"/>
        <w:rPr>
          <w:i/>
          <w:noProof/>
        </w:rPr>
      </w:pPr>
      <w:r>
        <w:rPr>
          <w:i/>
          <w:noProof/>
        </w:rPr>
        <w:t>T</w:t>
      </w:r>
      <w:r>
        <w:rPr>
          <w:i/>
          <w:noProof/>
          <w:vertAlign w:val="subscript"/>
        </w:rPr>
        <w:t>2025</w:t>
      </w:r>
      <w:r>
        <w:rPr>
          <w:noProof/>
        </w:rPr>
        <w:t xml:space="preserve"> </w:t>
      </w:r>
      <w:r>
        <w:rPr>
          <w:noProof/>
        </w:rPr>
        <w:tab/>
        <w:t>est l’objectif d’émissions spécifiques du constructeur pour 2025, déterminé conformément à la section 4;</w:t>
      </w:r>
    </w:p>
    <w:p>
      <w:pPr>
        <w:ind w:left="1438" w:hanging="1155"/>
        <w:rPr>
          <w:noProof/>
        </w:rPr>
      </w:pPr>
      <w:r>
        <w:rPr>
          <w:i/>
          <w:noProof/>
        </w:rPr>
        <w:t>V</w:t>
      </w:r>
      <w:r>
        <w:rPr>
          <w:i/>
          <w:noProof/>
          <w:vertAlign w:val="subscript"/>
        </w:rPr>
        <w:t>2025</w:t>
      </w:r>
      <w:r>
        <w:rPr>
          <w:noProof/>
        </w:rPr>
        <w:tab/>
        <w:t>est le nombre de nouveaux véhicules lourds du constructeur en 2025, à l’exclusion de tous les véhicules professionnels conformément à l’article 4, point a).</w:t>
      </w:r>
    </w:p>
    <w:p>
      <w:pPr>
        <w:pStyle w:val="Heading2"/>
        <w:rPr>
          <w:noProof/>
        </w:rPr>
      </w:pPr>
      <w:r>
        <w:rPr>
          <w:noProof/>
        </w:rPr>
        <w:t>Crédits d’émission acquis avant l’année 2025</w:t>
      </w:r>
    </w:p>
    <w:p>
      <w:pPr>
        <w:keepNext/>
        <w:outlineLvl w:val="1"/>
        <w:rPr>
          <w:rFonts w:eastAsiaTheme="majorEastAsia"/>
          <w:bCs/>
          <w:noProof/>
          <w:szCs w:val="26"/>
        </w:rPr>
      </w:pPr>
      <w:r>
        <w:rPr>
          <w:noProof/>
        </w:rPr>
        <w:t xml:space="preserve">Les dettes d’émission acquises en 2025 sont diminuées d’un montant </w:t>
      </w:r>
      <w:r>
        <w:rPr>
          <w:i/>
          <w:noProof/>
        </w:rPr>
        <w:t>(redCO2)</w:t>
      </w:r>
      <w:r>
        <w:rPr>
          <w:noProof/>
        </w:rPr>
        <w:t xml:space="preserve"> correspondant aux crédits d’émission acquis avant 2025, qui est déterminé pour chaque constructeur de la manière suivante:</w:t>
      </w:r>
    </w:p>
    <w:p>
      <w:pPr>
        <w:rPr>
          <w:i/>
          <w:noProof/>
          <w:sz w:val="2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388206" cy="225425"/>
            <wp:effectExtent l="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42110" cy="24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</w:rPr>
        <w:t>où</w:t>
      </w:r>
    </w:p>
    <w:p>
      <w:pPr>
        <w:ind w:left="1418" w:hanging="1134"/>
        <w:rPr>
          <w:rFonts w:eastAsiaTheme="minorEastAsia"/>
          <w:noProof/>
          <w:szCs w:val="24"/>
        </w:rPr>
      </w:pPr>
      <w:r>
        <w:rPr>
          <w:noProof/>
        </w:rPr>
        <w:t>min</w:t>
      </w:r>
      <w:r>
        <w:rPr>
          <w:noProof/>
        </w:rPr>
        <w:tab/>
        <w:t>est le minimum des deux valeurs indiquées entre les parenthèses;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Y=2019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2024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 les années civiles 2019 à 2024;</w:t>
      </w:r>
    </w:p>
    <w:p>
      <w:pPr>
        <w:ind w:left="1418" w:hanging="1134"/>
        <w:rPr>
          <w:noProof/>
          <w:szCs w:val="24"/>
        </w:rPr>
      </w:pPr>
      <w:r>
        <w:rPr>
          <w:rFonts w:eastAsiaTheme="majorEastAsia"/>
          <w:i/>
          <w:noProof/>
        </w:rPr>
        <w:t>dCO2</w:t>
      </w:r>
      <w:r>
        <w:rPr>
          <w:rFonts w:eastAsiaTheme="majorEastAsia"/>
          <w:i/>
          <w:noProof/>
          <w:vertAlign w:val="subscript"/>
        </w:rPr>
        <w:t>2025</w:t>
      </w:r>
      <w:r>
        <w:rPr>
          <w:noProof/>
        </w:rPr>
        <w:tab/>
        <w:t>correspond aux dettes d’émission pour 2025, telles que déterminées conformément au point 5.2;</w:t>
      </w:r>
    </w:p>
    <w:p>
      <w:pPr>
        <w:ind w:left="1418" w:hanging="1134"/>
        <w:rPr>
          <w:noProof/>
          <w:szCs w:val="24"/>
        </w:rPr>
      </w:pPr>
      <w:r>
        <w:rPr>
          <w:i/>
          <w:noProof/>
        </w:rPr>
        <w:t>cCO2</w:t>
      </w:r>
      <w:r>
        <w:rPr>
          <w:i/>
          <w:noProof/>
          <w:vertAlign w:val="subscript"/>
        </w:rPr>
        <w:t>Y</w:t>
      </w:r>
      <w:r>
        <w:rPr>
          <w:noProof/>
        </w:rPr>
        <w:tab/>
      </w:r>
      <w:r>
        <w:rPr>
          <w:noProof/>
        </w:rPr>
        <w:tab/>
        <w:t>correspond aux crédits d’émission pour l’année civile Y, tels que déterminés conformément au point 5.2.</w:t>
      </w:r>
    </w:p>
    <w:p>
      <w:pPr>
        <w:rPr>
          <w:i/>
          <w:noProof/>
          <w:sz w:val="22"/>
        </w:rPr>
      </w:pPr>
      <w:r>
        <w:rPr>
          <w:noProof/>
        </w:rPr>
        <w:tab/>
      </w:r>
    </w:p>
    <w:p>
      <w:pPr>
        <w:pStyle w:val="Heading1"/>
        <w:rPr>
          <w:noProof/>
        </w:rPr>
      </w:pPr>
      <w:r>
        <w:rPr>
          <w:noProof/>
        </w:rPr>
        <w:t>Détermination des émissions excédentaires d’un constructeur visées à l’article 8, paragraphe 2</w:t>
      </w:r>
    </w:p>
    <w:p>
      <w:pPr>
        <w:rPr>
          <w:noProof/>
        </w:rPr>
      </w:pPr>
      <w:r>
        <w:rPr>
          <w:noProof/>
        </w:rPr>
        <w:t>Pour chaque constructeur et chaque année civile à partir de 2025, la valeur des émissions excédentaires (</w:t>
      </w:r>
      <w:r>
        <w:rPr>
          <w:i/>
          <w:noProof/>
          <w:sz w:val="22"/>
        </w:rPr>
        <w:t>exeCO2</w:t>
      </w:r>
      <w:r>
        <w:rPr>
          <w:i/>
          <w:noProof/>
          <w:sz w:val="22"/>
          <w:vertAlign w:val="subscript"/>
        </w:rPr>
        <w:t>Y</w:t>
      </w:r>
      <w:r>
        <w:rPr>
          <w:noProof/>
        </w:rPr>
        <w:t xml:space="preserve">) est déterminée de la manière suivante, si la valeur est positive: </w:t>
      </w:r>
    </w:p>
    <w:p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noProof/>
        </w:rPr>
        <w:t>Pour l’année 2025</w:t>
      </w:r>
    </w:p>
    <w:p>
      <w:pPr>
        <w:ind w:firstLine="720"/>
        <w:rPr>
          <w:rFonts w:eastAsiaTheme="minorEastAsia"/>
          <w:i/>
          <w:noProof/>
          <w:sz w:val="2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143250" cy="19205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30989" cy="20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noProof/>
        </w:rPr>
        <w:t>Pour les années Y de 2026 à 2028</w:t>
      </w:r>
    </w:p>
    <w:p>
      <w:pPr>
        <w:ind w:firstLine="720"/>
        <w:rPr>
          <w:noProof/>
        </w:rPr>
      </w:pPr>
      <w:r>
        <w:rPr>
          <w:i/>
          <w:noProof/>
          <w:sz w:val="22"/>
        </w:rPr>
        <w:t xml:space="preserve"> </w:t>
      </w:r>
      <w:r>
        <w:rPr>
          <w:noProof/>
          <w:lang w:val="en-US" w:eastAsia="en-US" w:bidi="ar-SA"/>
        </w:rPr>
        <w:drawing>
          <wp:inline distT="0" distB="0" distL="0" distR="0">
            <wp:extent cx="4826000" cy="2164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56325" cy="22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noProof/>
        </w:rPr>
        <w:t>Pour l’année 2029</w:t>
      </w:r>
    </w:p>
    <w:p>
      <w:pPr>
        <w:ind w:firstLine="720"/>
        <w:rPr>
          <w:noProof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4260850" cy="200527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00546" cy="21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noProof/>
        </w:rPr>
        <w:t>Pour les années 2030 et suivantes</w:t>
      </w:r>
    </w:p>
    <w:p>
      <w:pPr>
        <w:keepNext/>
        <w:ind w:firstLine="720"/>
        <w:outlineLvl w:val="3"/>
        <w:rPr>
          <w:rFonts w:eastAsiaTheme="majorEastAsia"/>
          <w:b/>
          <w:bCs/>
          <w:iCs/>
          <w:smallCaps/>
          <w:noProof/>
          <w:szCs w:val="28"/>
        </w:rPr>
      </w:pPr>
      <w:r>
        <w:rPr>
          <w:i/>
          <w:noProof/>
          <w:sz w:val="22"/>
        </w:rPr>
        <w:t>exeCO2</w:t>
      </w:r>
      <w:r>
        <w:rPr>
          <w:i/>
          <w:noProof/>
          <w:sz w:val="22"/>
          <w:vertAlign w:val="subscript"/>
        </w:rPr>
        <w:t>y</w:t>
      </w:r>
      <w:r>
        <w:rPr>
          <w:i/>
          <w:noProof/>
          <w:sz w:val="22"/>
        </w:rPr>
        <w:t xml:space="preserve"> = (</w:t>
      </w:r>
      <w:r>
        <w:rPr>
          <w:i/>
          <w:noProof/>
        </w:rPr>
        <w:t>CO2</w:t>
      </w:r>
      <w:r>
        <w:rPr>
          <w:i/>
          <w:noProof/>
          <w:vertAlign w:val="subscript"/>
        </w:rPr>
        <w:t>Y</w:t>
      </w:r>
      <w:r>
        <w:rPr>
          <w:i/>
          <w:noProof/>
          <w:sz w:val="22"/>
        </w:rPr>
        <w:t xml:space="preserve"> - </w:t>
      </w:r>
      <w:r>
        <w:rPr>
          <w:i/>
          <w:noProof/>
        </w:rPr>
        <w:t>T</w:t>
      </w:r>
      <w:r>
        <w:rPr>
          <w:i/>
          <w:noProof/>
          <w:vertAlign w:val="subscript"/>
        </w:rPr>
        <w:t>Y</w:t>
      </w:r>
      <w:r>
        <w:rPr>
          <w:i/>
          <w:noProof/>
        </w:rPr>
        <w:t xml:space="preserve">) x </w:t>
      </w:r>
      <w:r>
        <w:rPr>
          <w:noProof/>
        </w:rPr>
        <w:t>V</w:t>
      </w:r>
      <w:r>
        <w:rPr>
          <w:noProof/>
          <w:vertAlign w:val="subscript"/>
        </w:rPr>
        <w:t>Y</w:t>
      </w:r>
      <w:r>
        <w:rPr>
          <w:noProof/>
        </w:rPr>
        <w:tab/>
      </w:r>
      <w:r>
        <w:rPr>
          <w:i/>
          <w:noProof/>
          <w:sz w:val="22"/>
        </w:rPr>
        <w:t xml:space="preserve">  </w:t>
      </w:r>
      <w:r>
        <w:rPr>
          <w:noProof/>
        </w:rPr>
        <w:tab/>
      </w:r>
    </w:p>
    <w:p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</w:rPr>
        <w:t>où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Y=2019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2025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 les années civiles 2019 à 2025;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I=2025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Y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 les années civiles 2025 à Y;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J=2025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Y-1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 les années civiles 2025 à (Y-1);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J=2025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2028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 les années civiles 2025 à 2028;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I=2025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2029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 les années civiles 2025 à 2029;</w:t>
      </w:r>
    </w:p>
    <w:p>
      <w:pPr>
        <w:ind w:left="1418" w:hanging="1134"/>
        <w:rPr>
          <w:noProof/>
          <w:szCs w:val="24"/>
        </w:rPr>
      </w:pPr>
      <w:r>
        <w:rPr>
          <w:rFonts w:eastAsiaTheme="majorEastAsia"/>
          <w:i/>
          <w:noProof/>
        </w:rPr>
        <w:t>dCO2</w:t>
      </w:r>
      <w:r>
        <w:rPr>
          <w:rFonts w:eastAsiaTheme="majorEastAsia"/>
          <w:i/>
          <w:noProof/>
          <w:vertAlign w:val="subscript"/>
        </w:rPr>
        <w:t>Y</w:t>
      </w:r>
      <w:r>
        <w:rPr>
          <w:noProof/>
        </w:rPr>
        <w:tab/>
        <w:t>correspond aux dettes d’émission pour l’année civile Y, telles que déterminées conformément au point 5.2;</w:t>
      </w:r>
    </w:p>
    <w:p>
      <w:pPr>
        <w:ind w:left="1418" w:hanging="1134"/>
        <w:rPr>
          <w:noProof/>
          <w:szCs w:val="24"/>
        </w:rPr>
      </w:pPr>
      <w:r>
        <w:rPr>
          <w:i/>
          <w:noProof/>
        </w:rPr>
        <w:t>cCO2</w:t>
      </w:r>
      <w:r>
        <w:rPr>
          <w:i/>
          <w:noProof/>
          <w:vertAlign w:val="subscript"/>
        </w:rPr>
        <w:t>Y</w:t>
      </w:r>
      <w:r>
        <w:rPr>
          <w:noProof/>
        </w:rPr>
        <w:tab/>
        <w:t>correspond aux crédits d’émission pour l’année civile Y, tels que déterminés conformément au point 5.2;</w:t>
      </w:r>
    </w:p>
    <w:p>
      <w:pPr>
        <w:ind w:left="1418" w:hanging="1134"/>
        <w:rPr>
          <w:noProof/>
          <w:szCs w:val="24"/>
        </w:rPr>
      </w:pPr>
      <w:r>
        <w:rPr>
          <w:i/>
          <w:noProof/>
        </w:rPr>
        <w:t>limCO2</w:t>
      </w:r>
      <w:r>
        <w:rPr>
          <w:noProof/>
        </w:rPr>
        <w:tab/>
      </w:r>
      <w:r>
        <w:rPr>
          <w:noProof/>
        </w:rPr>
        <w:tab/>
        <w:t>est la limite de dette d’émission telle que déterminée conformément au point 5.3;</w:t>
      </w:r>
    </w:p>
    <w:p>
      <w:pPr>
        <w:ind w:left="1418" w:hanging="1134"/>
        <w:rPr>
          <w:noProof/>
          <w:szCs w:val="24"/>
        </w:rPr>
      </w:pPr>
      <w:r>
        <w:rPr>
          <w:rFonts w:eastAsiaTheme="majorEastAsia"/>
          <w:i/>
          <w:noProof/>
        </w:rPr>
        <w:t>redCO2</w:t>
      </w:r>
      <w:r>
        <w:rPr>
          <w:noProof/>
        </w:rPr>
        <w:tab/>
        <w:t>est la réduction des dettes d’émission de l’année 2025, telle que déterminée conformément au point 5.4.</w:t>
      </w:r>
    </w:p>
    <w:p>
      <w:pPr>
        <w:rPr>
          <w:noProof/>
        </w:rPr>
      </w:pPr>
      <w:r>
        <w:rPr>
          <w:noProof/>
        </w:rPr>
        <w:t xml:space="preserve">Dans tous les autres cas, la valeur des émissions excédentaires </w:t>
      </w:r>
      <w:r>
        <w:rPr>
          <w:i/>
          <w:noProof/>
          <w:sz w:val="22"/>
        </w:rPr>
        <w:t>exeCO2</w:t>
      </w:r>
      <w:r>
        <w:rPr>
          <w:i/>
          <w:noProof/>
          <w:sz w:val="22"/>
          <w:vertAlign w:val="subscript"/>
        </w:rPr>
        <w:t xml:space="preserve">Y   </w:t>
      </w:r>
      <w:r>
        <w:rPr>
          <w:noProof/>
        </w:rPr>
        <w:t xml:space="preserve"> est fixée à 0.</w:t>
      </w:r>
    </w:p>
    <w:p>
      <w:pPr>
        <w:rPr>
          <w:noProof/>
        </w:rPr>
        <w:sectPr>
          <w:footerReference w:type="default" r:id="rId22"/>
          <w:footerReference w:type="first" r:id="rId23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>
      <w:pPr>
        <w:pStyle w:val="Annexetitre"/>
        <w:rPr>
          <w:noProof/>
        </w:rPr>
      </w:pPr>
      <w:r>
        <w:rPr>
          <w:noProof/>
        </w:rPr>
        <w:lastRenderedPageBreak/>
        <w:t>ANNEXE II</w:t>
      </w:r>
    </w:p>
    <w:p>
      <w:pPr>
        <w:pStyle w:val="Annexetitreexpos"/>
        <w:rPr>
          <w:noProof/>
        </w:rPr>
      </w:pPr>
      <w:r>
        <w:rPr>
          <w:noProof/>
        </w:rPr>
        <w:t>Procédures d’ajustement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Facteurs d’ajustement de la charge utile visés à l’article 12, paragraphe 1, point c)</w:t>
      </w:r>
    </w:p>
    <w:p>
      <w:pPr>
        <w:rPr>
          <w:noProof/>
          <w:highlight w:val="yellow"/>
        </w:rPr>
      </w:pPr>
      <w:r>
        <w:rPr>
          <w:noProof/>
        </w:rPr>
        <w:t>Sous réserve des dispositions énoncées à l’article 10, paragraphe 2, point a), aux fins du calcul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de référence visées à l’article 1</w:t>
      </w:r>
      <w:r>
        <w:rPr>
          <w:noProof/>
          <w:vertAlign w:val="superscript"/>
        </w:rPr>
        <w:t>er</w:t>
      </w:r>
      <w:r>
        <w:rPr>
          <w:noProof/>
        </w:rPr>
        <w:t>, 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en g/km d’un véhicule lourd </w:t>
      </w:r>
      <w:r>
        <w:rPr>
          <w:i/>
          <w:noProof/>
        </w:rPr>
        <w:t>v</w:t>
      </w:r>
      <w:r>
        <w:rPr>
          <w:noProof/>
        </w:rPr>
        <w:t xml:space="preserve"> déterminées pour un profil de missions </w:t>
      </w:r>
      <w:r>
        <w:rPr>
          <w:i/>
          <w:noProof/>
        </w:rPr>
        <w:t>mp</w:t>
      </w:r>
      <w:r>
        <w:rPr>
          <w:noProof/>
        </w:rPr>
        <w:t xml:space="preserve"> visé dans le tableau 2 au point 2.1 de l’annexe I sont ajustées de la manière suivante:</w:t>
      </w:r>
    </w:p>
    <w:p>
      <w:pPr>
        <w:spacing w:before="0" w:after="200" w:line="276" w:lineRule="auto"/>
        <w:contextualSpacing/>
        <w:rPr>
          <w:noProof/>
          <w:sz w:val="22"/>
        </w:rPr>
      </w:pPr>
    </w:p>
    <w:p>
      <w:pPr>
        <w:ind w:left="720" w:firstLine="720"/>
        <w:rPr>
          <w:i/>
          <w:noProof/>
          <w:sz w:val="22"/>
        </w:rPr>
      </w:pPr>
      <w:r>
        <w:rPr>
          <w:rFonts w:eastAsiaTheme="minorEastAsia"/>
          <w:i/>
          <w:noProof/>
        </w:rPr>
        <w:t>CO2</w:t>
      </w:r>
      <w:r>
        <w:rPr>
          <w:rFonts w:eastAsiaTheme="minorEastAsia"/>
          <w:i/>
          <w:noProof/>
          <w:vertAlign w:val="subscript"/>
        </w:rPr>
        <w:t xml:space="preserve">v,mp </w:t>
      </w:r>
      <w:r>
        <w:rPr>
          <w:rFonts w:eastAsiaTheme="minorEastAsia"/>
          <w:i/>
          <w:noProof/>
        </w:rPr>
        <w:t>=  CO2(2019)</w:t>
      </w:r>
      <w:r>
        <w:rPr>
          <w:i/>
          <w:noProof/>
          <w:vertAlign w:val="subscript"/>
        </w:rPr>
        <w:t xml:space="preserve">v,mp  </w:t>
      </w:r>
      <w:r>
        <w:rPr>
          <w:rFonts w:eastAsiaTheme="minorEastAsia"/>
          <w:i/>
          <w:noProof/>
        </w:rPr>
        <w:t>x (1+ PLa</w:t>
      </w:r>
      <w:r>
        <w:rPr>
          <w:i/>
          <w:noProof/>
          <w:vertAlign w:val="subscript"/>
        </w:rPr>
        <w:t>sg,mp</w:t>
      </w:r>
      <w:r>
        <w:rPr>
          <w:rFonts w:eastAsiaTheme="minorEastAsia"/>
          <w:i/>
          <w:noProof/>
        </w:rPr>
        <w:t xml:space="preserve"> x (PL</w:t>
      </w:r>
      <w:r>
        <w:rPr>
          <w:i/>
          <w:noProof/>
          <w:vertAlign w:val="subscript"/>
        </w:rPr>
        <w:t>sg,mp</w:t>
      </w:r>
      <w:r>
        <w:rPr>
          <w:rFonts w:eastAsiaTheme="minorEastAsia"/>
          <w:i/>
          <w:noProof/>
        </w:rPr>
        <w:t xml:space="preserve"> – PL(2019)</w:t>
      </w:r>
      <w:r>
        <w:rPr>
          <w:i/>
          <w:noProof/>
          <w:vertAlign w:val="subscript"/>
        </w:rPr>
        <w:t>sg,mp</w:t>
      </w:r>
      <w:r>
        <w:rPr>
          <w:rFonts w:eastAsiaTheme="minorEastAsia"/>
          <w:i/>
          <w:noProof/>
        </w:rPr>
        <w:t>))</w:t>
      </w:r>
    </w:p>
    <w:p>
      <w:pPr>
        <w:ind w:left="720" w:firstLine="720"/>
        <w:rPr>
          <w:noProof/>
        </w:rPr>
      </w:pPr>
      <w:r>
        <w:rPr>
          <w:noProof/>
        </w:rPr>
        <w:t>où</w:t>
      </w:r>
    </w:p>
    <w:p>
      <w:pPr>
        <w:ind w:left="850" w:firstLine="590"/>
        <w:rPr>
          <w:noProof/>
          <w:szCs w:val="24"/>
        </w:rPr>
      </w:pPr>
      <w:r>
        <w:rPr>
          <w:i/>
          <w:noProof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est le sous-groupe auquel le véhicule </w:t>
      </w:r>
      <w:r>
        <w:rPr>
          <w:i/>
          <w:noProof/>
        </w:rPr>
        <w:t>v</w:t>
      </w:r>
      <w:r>
        <w:rPr>
          <w:noProof/>
        </w:rPr>
        <w:t xml:space="preserve"> appartient;</w:t>
      </w:r>
      <w:r>
        <w:rPr>
          <w:noProof/>
        </w:rPr>
        <w:tab/>
      </w:r>
    </w:p>
    <w:p>
      <w:pPr>
        <w:ind w:left="3600" w:hanging="2160"/>
        <w:rPr>
          <w:noProof/>
          <w:szCs w:val="24"/>
        </w:rPr>
      </w:pPr>
      <w:r>
        <w:rPr>
          <w:i/>
          <w:noProof/>
        </w:rPr>
        <w:t>CO2(2019)</w:t>
      </w:r>
      <w:r>
        <w:rPr>
          <w:i/>
          <w:noProof/>
          <w:vertAlign w:val="subscript"/>
        </w:rPr>
        <w:t>v,mp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du véhicule </w:t>
      </w:r>
      <w:r>
        <w:rPr>
          <w:i/>
          <w:noProof/>
        </w:rPr>
        <w:t>v</w:t>
      </w:r>
      <w:r>
        <w:rPr>
          <w:noProof/>
        </w:rPr>
        <w:t xml:space="preserve"> en g/km, telles que déterminées sur le profil de missions </w:t>
      </w:r>
      <w:r>
        <w:rPr>
          <w:i/>
          <w:noProof/>
        </w:rPr>
        <w:t>mp</w:t>
      </w:r>
      <w:r>
        <w:rPr>
          <w:noProof/>
        </w:rPr>
        <w:t xml:space="preserve"> et basées sur les données de surveillance de 2019 communiquées conformément au règlement (UE) nº .../2018 [surveillance et communication relatives aux véhicules lourds]; </w:t>
      </w:r>
    </w:p>
    <w:p>
      <w:pPr>
        <w:ind w:left="3600" w:hanging="2160"/>
        <w:rPr>
          <w:noProof/>
          <w:sz w:val="22"/>
        </w:rPr>
      </w:pPr>
      <w:r>
        <w:rPr>
          <w:i/>
          <w:noProof/>
        </w:rPr>
        <w:t>PL(2019)</w:t>
      </w:r>
      <w:r>
        <w:rPr>
          <w:i/>
          <w:noProof/>
          <w:vertAlign w:val="subscript"/>
        </w:rPr>
        <w:t>sg, mp</w:t>
      </w:r>
      <w:r>
        <w:rPr>
          <w:noProof/>
        </w:rPr>
        <w:tab/>
        <w:t xml:space="preserve">est la valeur de charge utile, qui a été attribuée aux véhicules du sous-groupe </w:t>
      </w:r>
      <w:r>
        <w:rPr>
          <w:i/>
          <w:noProof/>
        </w:rPr>
        <w:t>sg</w:t>
      </w:r>
      <w:r>
        <w:rPr>
          <w:noProof/>
        </w:rPr>
        <w:t xml:space="preserve"> sur le profil de missions </w:t>
      </w:r>
      <w:r>
        <w:rPr>
          <w:i/>
          <w:noProof/>
        </w:rPr>
        <w:t>mp</w:t>
      </w:r>
      <w:r>
        <w:rPr>
          <w:noProof/>
        </w:rPr>
        <w:t xml:space="preserve"> pour l’année civile 2019, conformément au tableau 3 du point 2.5 de l’annexe I, aux fins d’établir les données de surveillance de 2019 communiquées conformément au règlement (UE) nº .../2018 [surveillance et communication relatives aux véhicules lourds];</w:t>
      </w:r>
    </w:p>
    <w:p>
      <w:pPr>
        <w:ind w:left="3600" w:hanging="2160"/>
        <w:rPr>
          <w:noProof/>
          <w:szCs w:val="24"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sg, mp</w:t>
      </w:r>
      <w:r>
        <w:rPr>
          <w:noProof/>
        </w:rPr>
        <w:tab/>
        <w:t xml:space="preserve">est la valeur de charge utile attribuée aux véhicules du sous-groupe </w:t>
      </w:r>
      <w:r>
        <w:rPr>
          <w:i/>
          <w:noProof/>
        </w:rPr>
        <w:t>sg</w:t>
      </w:r>
      <w:r>
        <w:rPr>
          <w:noProof/>
        </w:rPr>
        <w:t xml:space="preserve"> sur le profil de misions </w:t>
      </w:r>
      <w:r>
        <w:rPr>
          <w:i/>
          <w:noProof/>
        </w:rPr>
        <w:t>mp</w:t>
      </w:r>
      <w:r>
        <w:rPr>
          <w:noProof/>
        </w:rPr>
        <w:t xml:space="preserve"> pour l’année civile à partir de laquelle les changements visés à l’article 12, paragraphe 1, point c), prennent effet pour tous les nouveaux véhicules lourds, conformément au tableau 3 du point 2.5 de l’annexe I;</w:t>
      </w:r>
      <w:r>
        <w:rPr>
          <w:noProof/>
        </w:rPr>
        <w:tab/>
      </w:r>
    </w:p>
    <w:p>
      <w:pPr>
        <w:ind w:left="3600" w:hanging="2160"/>
        <w:rPr>
          <w:noProof/>
        </w:rPr>
      </w:pPr>
      <w:r>
        <w:rPr>
          <w:i/>
          <w:noProof/>
        </w:rPr>
        <w:t>PLa</w:t>
      </w:r>
      <w:r>
        <w:rPr>
          <w:i/>
          <w:noProof/>
          <w:vertAlign w:val="subscript"/>
        </w:rPr>
        <w:t>sg, mp</w:t>
      </w:r>
      <w:r>
        <w:rPr>
          <w:noProof/>
        </w:rPr>
        <w:tab/>
        <w:t>est le facteur d’ajustement de la charge utile défini dans le tableau 5.</w:t>
      </w:r>
    </w:p>
    <w:p>
      <w:pPr>
        <w:ind w:left="720"/>
        <w:contextualSpacing/>
        <w:rPr>
          <w:noProof/>
        </w:rPr>
      </w:pPr>
      <w:r>
        <w:rPr>
          <w:b/>
          <w:noProof/>
        </w:rPr>
        <w:t xml:space="preserve">Tableau 5 - Facteurs d’ajustement de la charge utile </w:t>
      </w:r>
      <w:r>
        <w:rPr>
          <w:b/>
          <w:i/>
          <w:noProof/>
        </w:rPr>
        <w:t xml:space="preserve">PLa </w:t>
      </w:r>
      <w:r>
        <w:rPr>
          <w:b/>
          <w:i/>
          <w:noProof/>
          <w:vertAlign w:val="subscript"/>
        </w:rPr>
        <w:t>sg, mp</w:t>
      </w:r>
      <w:r>
        <w:rPr>
          <w:b/>
          <w:noProof/>
        </w:rPr>
        <w:t xml:space="preserve"> </w:t>
      </w:r>
    </w:p>
    <w:tbl>
      <w:tblPr>
        <w:tblStyle w:val="TableGrid"/>
        <w:tblW w:w="8568" w:type="dxa"/>
        <w:tblInd w:w="720" w:type="dxa"/>
        <w:tblLook w:val="04A0" w:firstRow="1" w:lastRow="0" w:firstColumn="1" w:lastColumn="0" w:noHBand="0" w:noVBand="1"/>
      </w:tblPr>
      <w:tblGrid>
        <w:gridCol w:w="1136"/>
        <w:gridCol w:w="899"/>
        <w:gridCol w:w="1296"/>
        <w:gridCol w:w="894"/>
        <w:gridCol w:w="1094"/>
        <w:gridCol w:w="1095"/>
        <w:gridCol w:w="2154"/>
      </w:tblGrid>
      <w:t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PLa</w:t>
            </w:r>
            <w:r>
              <w:rPr>
                <w:b/>
                <w:noProof/>
                <w:vertAlign w:val="subscript"/>
              </w:rPr>
              <w:t>sg,mp</w:t>
            </w:r>
            <w:r>
              <w:rPr>
                <w:b/>
                <w:noProof/>
              </w:rPr>
              <w:t xml:space="preserve"> </w:t>
            </w:r>
          </w:p>
          <w:p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(en 1/tonnes)</w:t>
            </w:r>
          </w:p>
        </w:tc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jc w:val="center"/>
              <w:rPr>
                <w:b/>
                <w:i/>
                <w:noProof/>
              </w:rPr>
            </w:pPr>
            <w:r>
              <w:rPr>
                <w:b/>
                <w:noProof/>
              </w:rPr>
              <w:t xml:space="preserve">Profils de missions </w:t>
            </w:r>
            <w:r>
              <w:rPr>
                <w:b/>
                <w:i/>
                <w:noProof/>
              </w:rPr>
              <w:t>mp</w:t>
            </w:r>
            <w:r>
              <w:rPr>
                <w:b/>
                <w:i/>
                <w:noProof/>
                <w:vertAlign w:val="superscript"/>
              </w:rPr>
              <w:t>1</w:t>
            </w:r>
            <w:r>
              <w:rPr>
                <w:b/>
                <w:i/>
                <w:noProof/>
              </w:rPr>
              <w:t xml:space="preserve"> </w:t>
            </w:r>
            <w:r>
              <w:rPr>
                <w:b/>
                <w:noProof/>
              </w:rPr>
              <w:t xml:space="preserve"> </w:t>
            </w:r>
          </w:p>
        </w:tc>
      </w:tr>
      <w:t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RDL, RDR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REL, RER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LHL, LHR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LEL, LER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UDL, UDR</w:t>
            </w:r>
          </w:p>
        </w:tc>
      </w:tr>
      <w:t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b/>
                <w:noProof/>
              </w:rPr>
            </w:pPr>
          </w:p>
          <w:p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i/>
                <w:noProof/>
              </w:rPr>
              <w:t>Sous-groupes de véhicules sg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</w:rPr>
            </w:pPr>
            <w:r>
              <w:rPr>
                <w:noProof/>
              </w:rPr>
              <w:t>0,026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</w:rPr>
            </w:pPr>
            <w:r>
              <w:rPr>
                <w:noProof/>
              </w:rPr>
              <w:t>N.A.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</w:rPr>
            </w:pPr>
            <w:r>
              <w:rPr>
                <w:noProof/>
              </w:rPr>
              <w:t>0,015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</w:rPr>
            </w:pPr>
            <w:r>
              <w:rPr>
                <w:noProof/>
              </w:rPr>
              <w:t>N.A.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0,026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0,017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0,017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0,022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</w:tr>
      <w:tr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0,026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0,025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0,015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0,015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  <w:color w:val="000000"/>
              </w:rPr>
              <w:t>0,026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0 021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0 016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0 016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  <w:color w:val="000000"/>
              </w:rPr>
              <w:t>0 022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</w:tr>
    </w:tbl>
    <w:p>
      <w:pPr>
        <w:rPr>
          <w:b/>
          <w:noProof/>
          <w:sz w:val="22"/>
        </w:rPr>
      </w:pPr>
      <w:r>
        <w:rPr>
          <w:noProof/>
        </w:rPr>
        <w:tab/>
      </w:r>
      <w:r>
        <w:rPr>
          <w:b/>
          <w:noProof/>
          <w:vertAlign w:val="superscript"/>
        </w:rPr>
        <w:t>1</w:t>
      </w:r>
      <w:r>
        <w:rPr>
          <w:b/>
          <w:noProof/>
        </w:rPr>
        <w:t xml:space="preserve"> </w:t>
      </w:r>
      <w:r>
        <w:rPr>
          <w:noProof/>
        </w:rPr>
        <w:t>Voir les définitions des profils de missions au point 1 de la section 2 de l’annexe 1.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Facteurs d ajustement visés à l’article 10, paragraphe 2, point b) </w:t>
      </w:r>
    </w:p>
    <w:p>
      <w:pPr>
        <w:rPr>
          <w:noProof/>
          <w:szCs w:val="24"/>
          <w:highlight w:val="yellow"/>
        </w:rPr>
      </w:pPr>
      <w:r>
        <w:rPr>
          <w:noProof/>
        </w:rPr>
        <w:t>Sous réserve des dispositions énoncées à l’article 10, paragraphe 2, point b), aux fins du calcul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de référence visées à l’article 1</w:t>
      </w:r>
      <w:r>
        <w:rPr>
          <w:noProof/>
          <w:vertAlign w:val="superscript"/>
        </w:rPr>
        <w:t>er</w:t>
      </w:r>
      <w:r>
        <w:rPr>
          <w:noProof/>
        </w:rPr>
        <w:t>, 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en g/km d’un véhicule lourd </w:t>
      </w:r>
      <w:r>
        <w:rPr>
          <w:i/>
          <w:noProof/>
        </w:rPr>
        <w:t>v</w:t>
      </w:r>
      <w:r>
        <w:rPr>
          <w:noProof/>
        </w:rPr>
        <w:t xml:space="preserve"> déterminées pour un profil de missions </w:t>
      </w:r>
      <w:r>
        <w:rPr>
          <w:i/>
          <w:noProof/>
        </w:rPr>
        <w:t>mp</w:t>
      </w:r>
      <w:r>
        <w:rPr>
          <w:noProof/>
        </w:rPr>
        <w:t xml:space="preserve"> visées au point 2.1 de l’annexe I sont ajustées de la manière suivante:</w:t>
      </w:r>
    </w:p>
    <w:p>
      <w:pPr>
        <w:ind w:left="720" w:firstLine="720"/>
        <w:rPr>
          <w:noProof/>
          <w:lang w:val="pt-PT"/>
        </w:rPr>
      </w:pPr>
      <w:r>
        <w:rPr>
          <w:rFonts w:eastAsiaTheme="minorEastAsia"/>
          <w:i/>
          <w:noProof/>
          <w:lang w:val="pt-PT"/>
        </w:rPr>
        <w:t>CO2</w:t>
      </w:r>
      <w:r>
        <w:rPr>
          <w:rFonts w:eastAsiaTheme="minorEastAsia"/>
          <w:i/>
          <w:noProof/>
          <w:vertAlign w:val="subscript"/>
          <w:lang w:val="pt-PT"/>
        </w:rPr>
        <w:t xml:space="preserve">v,mp </w:t>
      </w:r>
      <w:r>
        <w:rPr>
          <w:rFonts w:eastAsiaTheme="minorEastAsia"/>
          <w:i/>
          <w:noProof/>
          <w:lang w:val="pt-PT"/>
        </w:rPr>
        <w:t>=  CO2(2019)</w:t>
      </w:r>
      <w:r>
        <w:rPr>
          <w:i/>
          <w:noProof/>
          <w:vertAlign w:val="subscript"/>
          <w:lang w:val="pt-PT"/>
        </w:rPr>
        <w:t xml:space="preserve">v,mp  </w:t>
      </w:r>
      <w:r>
        <w:rPr>
          <w:rFonts w:eastAsiaTheme="minorEastAsia"/>
          <w:i/>
          <w:noProof/>
          <w:lang w:val="pt-PT"/>
        </w:rPr>
        <w:t xml:space="preserve">x (∑ </w:t>
      </w:r>
      <w:r>
        <w:rPr>
          <w:i/>
          <w:noProof/>
          <w:vertAlign w:val="subscript"/>
          <w:lang w:val="pt-PT"/>
        </w:rPr>
        <w:t>r</w:t>
      </w:r>
      <w:r>
        <w:rPr>
          <w:rFonts w:eastAsiaTheme="minorEastAsia"/>
          <w:i/>
          <w:noProof/>
          <w:lang w:val="pt-PT"/>
        </w:rPr>
        <w:t xml:space="preserve">  s</w:t>
      </w:r>
      <w:r>
        <w:rPr>
          <w:i/>
          <w:noProof/>
          <w:vertAlign w:val="subscript"/>
          <w:lang w:val="pt-PT"/>
        </w:rPr>
        <w:t xml:space="preserve"> r,sg</w:t>
      </w:r>
      <w:r>
        <w:rPr>
          <w:noProof/>
          <w:lang w:val="pt-PT"/>
        </w:rPr>
        <w:t xml:space="preserve"> </w:t>
      </w:r>
      <w:r>
        <w:rPr>
          <w:i/>
          <w:noProof/>
          <w:lang w:val="pt-PT"/>
        </w:rPr>
        <w:t>x CO2(2019)</w:t>
      </w:r>
      <w:r>
        <w:rPr>
          <w:i/>
          <w:noProof/>
          <w:vertAlign w:val="subscript"/>
          <w:lang w:val="pt-PT"/>
        </w:rPr>
        <w:t xml:space="preserve">r,mp  </w:t>
      </w:r>
      <w:r>
        <w:rPr>
          <w:i/>
          <w:noProof/>
          <w:lang w:val="pt-PT"/>
        </w:rPr>
        <w:t xml:space="preserve">)/ (∑ </w:t>
      </w:r>
      <w:r>
        <w:rPr>
          <w:i/>
          <w:noProof/>
          <w:vertAlign w:val="subscript"/>
          <w:lang w:val="pt-PT"/>
        </w:rPr>
        <w:t>r</w:t>
      </w:r>
      <w:r>
        <w:rPr>
          <w:i/>
          <w:noProof/>
          <w:lang w:val="pt-PT"/>
        </w:rPr>
        <w:t xml:space="preserve">  s</w:t>
      </w:r>
      <w:r>
        <w:rPr>
          <w:i/>
          <w:noProof/>
          <w:vertAlign w:val="subscript"/>
          <w:lang w:val="pt-PT"/>
        </w:rPr>
        <w:t xml:space="preserve"> r,sg</w:t>
      </w:r>
      <w:r>
        <w:rPr>
          <w:noProof/>
          <w:lang w:val="pt-PT"/>
        </w:rPr>
        <w:t xml:space="preserve"> </w:t>
      </w:r>
      <w:r>
        <w:rPr>
          <w:i/>
          <w:noProof/>
          <w:lang w:val="pt-PT"/>
        </w:rPr>
        <w:t>x CO2</w:t>
      </w:r>
      <w:r>
        <w:rPr>
          <w:i/>
          <w:noProof/>
          <w:vertAlign w:val="subscript"/>
          <w:lang w:val="pt-PT"/>
        </w:rPr>
        <w:t xml:space="preserve">r,mp  </w:t>
      </w:r>
      <w:r>
        <w:rPr>
          <w:i/>
          <w:noProof/>
          <w:lang w:val="pt-PT"/>
        </w:rPr>
        <w:t>)</w:t>
      </w:r>
    </w:p>
    <w:p>
      <w:pPr>
        <w:ind w:left="720" w:firstLine="720"/>
        <w:rPr>
          <w:noProof/>
        </w:rPr>
      </w:pPr>
      <w:r>
        <w:rPr>
          <w:noProof/>
        </w:rPr>
        <w:t>où</w:t>
      </w:r>
    </w:p>
    <w:p>
      <w:pPr>
        <w:ind w:left="3600" w:hanging="2160"/>
        <w:rPr>
          <w:i/>
          <w:noProof/>
          <w:szCs w:val="24"/>
        </w:rPr>
      </w:pPr>
      <w:r>
        <w:rPr>
          <w:i/>
          <w:noProof/>
        </w:rPr>
        <w:t xml:space="preserve">∑ </w:t>
      </w:r>
      <w:r>
        <w:rPr>
          <w:i/>
          <w:noProof/>
          <w:vertAlign w:val="subscript"/>
        </w:rPr>
        <w:t>r</w:t>
      </w:r>
      <w:r>
        <w:rPr>
          <w:i/>
          <w:noProof/>
        </w:rPr>
        <w:t xml:space="preserve">  </w:t>
      </w:r>
      <w:r>
        <w:rPr>
          <w:noProof/>
        </w:rPr>
        <w:tab/>
        <w:t xml:space="preserve">est la sommation sur l’ensemble des véhicules représentatifs </w:t>
      </w:r>
      <w:r>
        <w:rPr>
          <w:i/>
          <w:noProof/>
        </w:rPr>
        <w:t>r</w:t>
      </w:r>
      <w:r>
        <w:rPr>
          <w:noProof/>
        </w:rPr>
        <w:t xml:space="preserve"> du sous-groupe </w:t>
      </w:r>
      <w:r>
        <w:rPr>
          <w:i/>
          <w:noProof/>
        </w:rPr>
        <w:t>sg</w:t>
      </w:r>
      <w:r>
        <w:rPr>
          <w:noProof/>
        </w:rPr>
        <w:t>;</w:t>
      </w:r>
    </w:p>
    <w:p>
      <w:pPr>
        <w:ind w:left="850" w:firstLine="590"/>
        <w:rPr>
          <w:noProof/>
          <w:szCs w:val="24"/>
        </w:rPr>
      </w:pPr>
      <w:r>
        <w:rPr>
          <w:i/>
          <w:noProof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est le sous-groupe auquel le véhicule </w:t>
      </w:r>
      <w:r>
        <w:rPr>
          <w:i/>
          <w:noProof/>
        </w:rPr>
        <w:t>v</w:t>
      </w:r>
      <w:r>
        <w:rPr>
          <w:noProof/>
        </w:rPr>
        <w:t xml:space="preserve"> appartient;</w:t>
      </w:r>
    </w:p>
    <w:p>
      <w:pPr>
        <w:spacing w:before="20" w:after="20"/>
        <w:ind w:left="851" w:firstLine="590"/>
        <w:rPr>
          <w:noProof/>
          <w:szCs w:val="24"/>
        </w:rPr>
      </w:pPr>
      <w:r>
        <w:rPr>
          <w:i/>
          <w:noProof/>
        </w:rPr>
        <w:t>s</w:t>
      </w:r>
      <w:r>
        <w:rPr>
          <w:i/>
          <w:noProof/>
          <w:vertAlign w:val="subscript"/>
        </w:rPr>
        <w:t xml:space="preserve"> r,sg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est la pondération statistique du véhicule représentatif </w:t>
      </w:r>
      <w:r>
        <w:rPr>
          <w:i/>
          <w:noProof/>
        </w:rPr>
        <w:t>r</w:t>
      </w:r>
      <w:r>
        <w:rPr>
          <w:noProof/>
        </w:rPr>
        <w:t xml:space="preserve"> </w:t>
      </w:r>
    </w:p>
    <w:p>
      <w:pPr>
        <w:spacing w:before="20" w:after="20"/>
        <w:ind w:left="851" w:firstLine="590"/>
        <w:rPr>
          <w:i/>
          <w:noProof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dans le sous-groupe </w:t>
      </w:r>
      <w:r>
        <w:rPr>
          <w:i/>
          <w:noProof/>
        </w:rPr>
        <w:t>sg;</w:t>
      </w:r>
    </w:p>
    <w:p>
      <w:pPr>
        <w:ind w:left="3600" w:hanging="2160"/>
        <w:rPr>
          <w:noProof/>
          <w:szCs w:val="24"/>
        </w:rPr>
      </w:pPr>
      <w:r>
        <w:rPr>
          <w:i/>
          <w:noProof/>
        </w:rPr>
        <w:t>CO2(2019)</w:t>
      </w:r>
      <w:r>
        <w:rPr>
          <w:i/>
          <w:noProof/>
          <w:vertAlign w:val="subscript"/>
        </w:rPr>
        <w:t>v,mp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du véhicule </w:t>
      </w:r>
      <w:r>
        <w:rPr>
          <w:i/>
          <w:noProof/>
        </w:rPr>
        <w:t>v</w:t>
      </w:r>
      <w:r>
        <w:rPr>
          <w:noProof/>
        </w:rPr>
        <w:t xml:space="preserve"> en g/km, telles que déterminées sur le profil de missions </w:t>
      </w:r>
      <w:r>
        <w:rPr>
          <w:i/>
          <w:noProof/>
        </w:rPr>
        <w:t>mp</w:t>
      </w:r>
      <w:r>
        <w:rPr>
          <w:noProof/>
        </w:rPr>
        <w:t xml:space="preserve"> et basées sur les données de surveillance de 2019 communiquées conformément au règlement (UE) nº .../2018 [surveillance et communication relatives aux véhicules lourds]; </w:t>
      </w:r>
    </w:p>
    <w:p>
      <w:pPr>
        <w:ind w:left="3600" w:hanging="2160"/>
        <w:rPr>
          <w:noProof/>
          <w:szCs w:val="24"/>
        </w:rPr>
      </w:pPr>
      <w:r>
        <w:rPr>
          <w:i/>
          <w:noProof/>
        </w:rPr>
        <w:t>CO2(2019)</w:t>
      </w:r>
      <w:r>
        <w:rPr>
          <w:i/>
          <w:noProof/>
          <w:vertAlign w:val="subscript"/>
        </w:rPr>
        <w:t xml:space="preserve">r,mp  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du véhicule représentatif </w:t>
      </w:r>
      <w:r>
        <w:rPr>
          <w:i/>
          <w:noProof/>
        </w:rPr>
        <w:t>r</w:t>
      </w:r>
      <w:r>
        <w:rPr>
          <w:noProof/>
        </w:rPr>
        <w:t xml:space="preserve"> en g/km, telles que déterminées sur le profil de missions </w:t>
      </w:r>
      <w:r>
        <w:rPr>
          <w:i/>
          <w:noProof/>
        </w:rPr>
        <w:t xml:space="preserve">mp </w:t>
      </w:r>
      <w:r>
        <w:rPr>
          <w:noProof/>
        </w:rPr>
        <w:t xml:space="preserve">conformément au présent règlement dans sa version applicable en 2019; </w:t>
      </w:r>
    </w:p>
    <w:p>
      <w:pPr>
        <w:ind w:left="3600" w:hanging="2160"/>
        <w:rPr>
          <w:noProof/>
          <w:szCs w:val="24"/>
        </w:rPr>
      </w:pPr>
      <w:r>
        <w:rPr>
          <w:i/>
          <w:noProof/>
        </w:rPr>
        <w:t>CO2</w:t>
      </w:r>
      <w:r>
        <w:rPr>
          <w:i/>
          <w:noProof/>
          <w:vertAlign w:val="subscript"/>
        </w:rPr>
        <w:t xml:space="preserve">r,mp  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du véhicule représentatif </w:t>
      </w:r>
      <w:r>
        <w:rPr>
          <w:i/>
          <w:noProof/>
        </w:rPr>
        <w:t>r</w:t>
      </w:r>
      <w:r>
        <w:rPr>
          <w:noProof/>
        </w:rPr>
        <w:t>, telles que déterminées conformément au présent règlement pour l’année civile à partir de laquelle les changements visés à l’article 12, paragraphe 2, prennent effet pour tous les nouveaux véhicules lourds.</w:t>
      </w:r>
    </w:p>
    <w:p>
      <w:pPr>
        <w:ind w:left="1440"/>
        <w:rPr>
          <w:noProof/>
          <w:szCs w:val="24"/>
        </w:rPr>
      </w:pPr>
      <w:r>
        <w:rPr>
          <w:noProof/>
        </w:rPr>
        <w:t>Le véhicule représentatif est défini conformément à la méthodologie visée à l’article 12, paragraphe 2.</w:t>
      </w:r>
    </w:p>
    <w:sectPr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5E44B5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1ED2E6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6C070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214842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4830AF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662C3B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C38FA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5C6B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CANI Alberto (CLIMA)">
    <w15:presenceInfo w15:providerId="None" w15:userId="ASCANI Alberto (CLIM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ctiveWritingStyle w:appName="MSWord" w:lang="pt-PT" w:vendorID="64" w:dllVersion="131078" w:nlCheck="1" w:checkStyle="0"/>
  <w:activeWritingStyle w:appName="MSWord" w:lang="fr-BE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revisionView w:markup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6-11 18:13:49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42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8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de la"/>
    <w:docVar w:name="LW_ACCOMPAGNANT.CP" w:val="de la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3606A985-8E81-4F7B-A040-AF434A192642"/>
    <w:docVar w:name="LW_COVERPAGE_TYPE" w:val="1"/>
    <w:docVar w:name="LW_CROSSREFERENCE" w:val="{SEC(2018) 233 final}_x000b_{SWD(2018) 185 final}_x000b_{SWD(2018) 186 final}"/>
    <w:docVar w:name="LW_DocType" w:val="ANNEX"/>
    <w:docVar w:name="LW_EMISSION" w:val="17.5.2018"/>
    <w:docVar w:name="LW_EMISSION_ISODATE" w:val="2018-05-17"/>
    <w:docVar w:name="LW_EMISSION_LOCATION" w:val="BRX"/>
    <w:docVar w:name="LW_EMISSION_PREFIX" w:val="Bruxelles, le "/>
    <w:docVar w:name="LW_EMISSION_SUFFIX" w:val="&lt;EMPTY&gt;"/>
    <w:docVar w:name="LW_ID_DOCSTRUCTURE" w:val="COM/ANNEX"/>
    <w:docVar w:name="LW_ID_DOCTYPE" w:val="SG-017"/>
    <w:docVar w:name="LW_LANGUE" w:val="FR"/>
    <w:docVar w:name="LW_LEVEL_OF_SENSITIVITY" w:val="Standard treatment"/>
    <w:docVar w:name="LW_NOM.INST" w:val="COMMISSION EUROPÉENNE"/>
    <w:docVar w:name="LW_NOM.INST_JOINTDOC" w:val="&lt;EMPTY&gt;"/>
    <w:docVar w:name="LW_OBJETACTEPRINCIPAL" w:val="établissant des normes de performance en matière d\u8217?émissions de CO2 pour les nouveaux véhicules lourds"/>
    <w:docVar w:name="LW_OBJETACTEPRINCIPAL.CP" w:val="établissant des normes de performance en matière d\u8217?émissions de CO2 pour les nouveaux véhicules lourds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8) 28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ANNEXES"/>
    <w:docVar w:name="LW_TYPE.DOC.CP" w:val="ANNEXES"/>
    <w:docVar w:name="LW_TYPEACTEPRINCIPAL" w:val="proposition du règlement du Parlement européen et du Conseil"/>
    <w:docVar w:name="LW_TYPEACTEPRINCIPAL.CP" w:val="proposition du règlement du Parlement européen et du Consei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before="0" w:after="20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fr-FR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r-FR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before="120" w:after="120"/>
      <w:jc w:val="both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paragraph" w:customStyle="1" w:styleId="Headline2">
    <w:name w:val="Headline 2"/>
    <w:basedOn w:val="Text1"/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before="0" w:after="20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fr-FR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r-FR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before="120" w:after="120"/>
      <w:jc w:val="both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paragraph" w:customStyle="1" w:styleId="Headline2">
    <w:name w:val="Headline 2"/>
    <w:basedOn w:val="Text1"/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509154C-8378-43B4-BA18-C0EDD900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</TotalTime>
  <Pages>13</Pages>
  <Words>3242</Words>
  <Characters>16376</Characters>
  <Application>Microsoft Office Word</Application>
  <DocSecurity>0</DocSecurity>
  <Lines>779</Lines>
  <Paragraphs>530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Sibylle (CLIMA)</dc:creator>
  <cp:lastModifiedBy>DIGIT/A3</cp:lastModifiedBy>
  <cp:revision>11</cp:revision>
  <dcterms:created xsi:type="dcterms:W3CDTF">2018-06-08T09:55:00Z</dcterms:created>
  <dcterms:modified xsi:type="dcterms:W3CDTF">2018-06-11T16:13:00Z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LW 6.0, Build 20171009</vt:lpwstr>
  </property>
  <property fmtid="{D5CDD505-2E9C-101B-9397-08002B2CF9AE}" pid="3" name="Category">
    <vt:lpwstr>COM/ANNEX</vt:lpwstr>
  </property>
  <property fmtid="{D5CDD505-2E9C-101B-9397-08002B2CF9AE}" pid="4" name="Level of sensitivity">
    <vt:lpwstr>Standard treatment</vt:lpwstr>
  </property>
  <property fmtid="{D5CDD505-2E9C-101B-9397-08002B2CF9AE}" pid="5" name="First annex">
    <vt:lpwstr>1</vt:lpwstr>
  </property>
  <property fmtid="{D5CDD505-2E9C-101B-9397-08002B2CF9AE}" pid="6" name="Last annex">
    <vt:lpwstr>2</vt:lpwstr>
  </property>
  <property fmtid="{D5CDD505-2E9C-101B-9397-08002B2CF9AE}" pid="7" name="Unique annex">
    <vt:lpwstr>0</vt:lpwstr>
  </property>
  <property fmtid="{D5CDD505-2E9C-101B-9397-08002B2CF9AE}" pid="8" name="Part">
    <vt:lpwstr>&lt;UNUSED&gt;</vt:lpwstr>
  </property>
  <property fmtid="{D5CDD505-2E9C-101B-9397-08002B2CF9AE}" pid="9" name="Total parts">
    <vt:lpwstr>&lt;UNUSED&gt;</vt:lpwstr>
  </property>
  <property fmtid="{D5CDD505-2E9C-101B-9397-08002B2CF9AE}" pid="10" name="LWTemplateID">
    <vt:lpwstr>SG-017</vt:lpwstr>
  </property>
  <property fmtid="{D5CDD505-2E9C-101B-9397-08002B2CF9AE}" pid="11" name="DQCStatus">
    <vt:lpwstr>Green (DQC version 03)</vt:lpwstr>
  </property>
</Properties>
</file>