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5B" w:rsidRDefault="007453B5" w:rsidP="007453B5">
      <w:pPr>
        <w:pStyle w:val="Pagedecouverture"/>
        <w:rPr>
          <w:noProof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C3BD21B8-8C2E-425C-9283-8DFF3F1C2A1E" style="width:451.05pt;height:398.1pt">
            <v:imagedata r:id="rId9" o:title=""/>
          </v:shape>
        </w:pict>
      </w:r>
    </w:p>
    <w:p w:rsidR="00CC0B5B" w:rsidRDefault="00CC0B5B">
      <w:pPr>
        <w:rPr>
          <w:noProof/>
        </w:rPr>
        <w:sectPr w:rsidR="00CC0B5B" w:rsidSect="007453B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CC0B5B" w:rsidRDefault="007453B5">
      <w:pPr>
        <w:pStyle w:val="Annexetitre"/>
        <w:rPr>
          <w:rStyle w:val="Marker"/>
          <w:noProof/>
        </w:rPr>
      </w:pPr>
      <w:r>
        <w:rPr>
          <w:noProof/>
        </w:rPr>
        <w:lastRenderedPageBreak/>
        <w:t>ANNEXE I</w:t>
      </w:r>
    </w:p>
    <w:p w:rsidR="00CC0B5B" w:rsidRDefault="007453B5">
      <w:pPr>
        <w:pStyle w:val="NormalCentered"/>
        <w:rPr>
          <w:noProof/>
        </w:rPr>
      </w:pPr>
      <w:r>
        <w:rPr>
          <w:noProof/>
        </w:rPr>
        <w:t>INDICATEURS COMMUNS</w:t>
      </w:r>
    </w:p>
    <w:p w:rsidR="00CC0B5B" w:rsidRDefault="00CC0B5B">
      <w:pPr>
        <w:rPr>
          <w:noProof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C0B5B">
        <w:tc>
          <w:tcPr>
            <w:tcW w:w="4644" w:type="dxa"/>
          </w:tcPr>
          <w:p w:rsidR="00CC0B5B" w:rsidRDefault="007453B5">
            <w:pPr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PRIORITÉ</w:t>
            </w:r>
          </w:p>
        </w:tc>
        <w:tc>
          <w:tcPr>
            <w:tcW w:w="4644" w:type="dxa"/>
          </w:tcPr>
          <w:p w:rsidR="00CC0B5B" w:rsidRDefault="007453B5">
            <w:pPr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INDICATEUR</w:t>
            </w:r>
          </w:p>
        </w:tc>
      </w:tr>
      <w:tr w:rsidR="00CC0B5B">
        <w:trPr>
          <w:trHeight w:val="54"/>
        </w:trPr>
        <w:tc>
          <w:tcPr>
            <w:tcW w:w="4644" w:type="dxa"/>
            <w:vMerge w:val="restart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>Favoriser une pêche durable et la conservation des ressources biologiques de la mer</w:t>
            </w:r>
          </w:p>
        </w:tc>
        <w:tc>
          <w:tcPr>
            <w:tcW w:w="4644" w:type="dxa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 xml:space="preserve">Évolution du </w:t>
            </w:r>
            <w:r>
              <w:rPr>
                <w:noProof/>
              </w:rPr>
              <w:t>volume des débarquements provenant de stocks évalués au RMD</w:t>
            </w:r>
          </w:p>
        </w:tc>
      </w:tr>
      <w:tr w:rsidR="00CC0B5B">
        <w:trPr>
          <w:trHeight w:val="51"/>
        </w:trPr>
        <w:tc>
          <w:tcPr>
            <w:tcW w:w="4644" w:type="dxa"/>
            <w:vMerge/>
          </w:tcPr>
          <w:p w:rsidR="00CC0B5B" w:rsidRDefault="00CC0B5B">
            <w:pPr>
              <w:rPr>
                <w:noProof/>
                <w:szCs w:val="24"/>
              </w:rPr>
            </w:pPr>
          </w:p>
        </w:tc>
        <w:tc>
          <w:tcPr>
            <w:tcW w:w="4644" w:type="dxa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>Évolution de la rentabilité de la flotte de pêche de l’Union</w:t>
            </w:r>
          </w:p>
        </w:tc>
      </w:tr>
      <w:tr w:rsidR="00CC0B5B">
        <w:trPr>
          <w:trHeight w:val="51"/>
        </w:trPr>
        <w:tc>
          <w:tcPr>
            <w:tcW w:w="4644" w:type="dxa"/>
            <w:vMerge/>
          </w:tcPr>
          <w:p w:rsidR="00CC0B5B" w:rsidRDefault="00CC0B5B">
            <w:pPr>
              <w:rPr>
                <w:noProof/>
                <w:szCs w:val="24"/>
              </w:rPr>
            </w:pPr>
          </w:p>
        </w:tc>
        <w:tc>
          <w:tcPr>
            <w:tcW w:w="4644" w:type="dxa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 xml:space="preserve">Surface (en ha) des sites Natura 2000 et d’autres zones marines protégées au titre de la directive-cadre «Stratégie pour le milieu </w:t>
            </w:r>
            <w:r>
              <w:rPr>
                <w:noProof/>
              </w:rPr>
              <w:t>marin», faisant l’objet de mesures de protection, de maintien et de restauration</w:t>
            </w:r>
          </w:p>
        </w:tc>
      </w:tr>
      <w:tr w:rsidR="00CC0B5B">
        <w:trPr>
          <w:trHeight w:val="51"/>
        </w:trPr>
        <w:tc>
          <w:tcPr>
            <w:tcW w:w="4644" w:type="dxa"/>
            <w:vMerge/>
          </w:tcPr>
          <w:p w:rsidR="00CC0B5B" w:rsidRDefault="00CC0B5B">
            <w:pPr>
              <w:rPr>
                <w:noProof/>
                <w:szCs w:val="24"/>
              </w:rPr>
            </w:pPr>
          </w:p>
        </w:tc>
        <w:tc>
          <w:tcPr>
            <w:tcW w:w="4644" w:type="dxa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>Pourcentage de navires de pêche équipés d’un dispositif électronique de position et de déclaration des captures</w:t>
            </w:r>
          </w:p>
        </w:tc>
      </w:tr>
      <w:tr w:rsidR="00CC0B5B">
        <w:trPr>
          <w:trHeight w:val="104"/>
        </w:trPr>
        <w:tc>
          <w:tcPr>
            <w:tcW w:w="4644" w:type="dxa"/>
            <w:vMerge w:val="restart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>Contribuer à la sécurité alimentaire dans l’Union au moyen d</w:t>
            </w:r>
            <w:r>
              <w:rPr>
                <w:noProof/>
              </w:rPr>
              <w:t>’une aquaculture et de marchés compétitifs et durables</w:t>
            </w:r>
          </w:p>
        </w:tc>
        <w:tc>
          <w:tcPr>
            <w:tcW w:w="4644" w:type="dxa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>Évolution de la valeur et du volume de la production aquacole dans l’Union</w:t>
            </w:r>
          </w:p>
        </w:tc>
      </w:tr>
      <w:tr w:rsidR="00CC0B5B">
        <w:trPr>
          <w:trHeight w:val="103"/>
        </w:trPr>
        <w:tc>
          <w:tcPr>
            <w:tcW w:w="4644" w:type="dxa"/>
            <w:vMerge/>
          </w:tcPr>
          <w:p w:rsidR="00CC0B5B" w:rsidRDefault="00CC0B5B">
            <w:pPr>
              <w:rPr>
                <w:noProof/>
                <w:szCs w:val="24"/>
              </w:rPr>
            </w:pPr>
          </w:p>
        </w:tc>
        <w:tc>
          <w:tcPr>
            <w:tcW w:w="4644" w:type="dxa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>Évolution de la valeur et du volume des débarquements</w:t>
            </w:r>
          </w:p>
        </w:tc>
      </w:tr>
      <w:tr w:rsidR="00CC0B5B">
        <w:trPr>
          <w:trHeight w:val="104"/>
        </w:trPr>
        <w:tc>
          <w:tcPr>
            <w:tcW w:w="4644" w:type="dxa"/>
            <w:vMerge w:val="restart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 xml:space="preserve">Permettre la croissance d’une économie bleue durable et favoriser la </w:t>
            </w:r>
            <w:r>
              <w:rPr>
                <w:noProof/>
              </w:rPr>
              <w:t>prospérité des communautés côtières</w:t>
            </w:r>
          </w:p>
        </w:tc>
        <w:tc>
          <w:tcPr>
            <w:tcW w:w="4644" w:type="dxa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>Évolution du PIB dans les régions maritimes de niveau NUTS 3</w:t>
            </w:r>
          </w:p>
        </w:tc>
      </w:tr>
      <w:tr w:rsidR="00CC0B5B">
        <w:trPr>
          <w:trHeight w:val="103"/>
        </w:trPr>
        <w:tc>
          <w:tcPr>
            <w:tcW w:w="4644" w:type="dxa"/>
            <w:vMerge/>
          </w:tcPr>
          <w:p w:rsidR="00CC0B5B" w:rsidRDefault="00CC0B5B">
            <w:pPr>
              <w:rPr>
                <w:noProof/>
                <w:szCs w:val="24"/>
              </w:rPr>
            </w:pPr>
          </w:p>
        </w:tc>
        <w:tc>
          <w:tcPr>
            <w:tcW w:w="4644" w:type="dxa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>Évolution du nombre d’emplois (en équivalents temps plein) dans l’économie bleue</w:t>
            </w:r>
          </w:p>
        </w:tc>
      </w:tr>
      <w:tr w:rsidR="00CC0B5B">
        <w:trPr>
          <w:trHeight w:val="1095"/>
        </w:trPr>
        <w:tc>
          <w:tcPr>
            <w:tcW w:w="4644" w:type="dxa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>Renforcer la gouvernance internationale des océans et faire en sorte que le</w:t>
            </w:r>
            <w:r>
              <w:rPr>
                <w:noProof/>
              </w:rPr>
              <w:t>s mers et les océans soient sûrs, sécurisés, propres et gérés de manière durable</w:t>
            </w:r>
          </w:p>
        </w:tc>
        <w:tc>
          <w:tcPr>
            <w:tcW w:w="4644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Nombre d’opérations communes contribuant à la coopération européenne concernant les fonctions de garde-côtes</w:t>
            </w:r>
          </w:p>
        </w:tc>
      </w:tr>
    </w:tbl>
    <w:p w:rsidR="00CC0B5B" w:rsidRDefault="00CC0B5B">
      <w:pPr>
        <w:rPr>
          <w:noProof/>
        </w:rPr>
        <w:sectPr w:rsidR="00CC0B5B" w:rsidSect="007453B5">
          <w:footerReference w:type="default" r:id="rId16"/>
          <w:footerReference w:type="first" r:id="rId17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:rsidR="00CC0B5B" w:rsidRDefault="007453B5">
      <w:pPr>
        <w:pStyle w:val="Annexetitre"/>
        <w:rPr>
          <w:rStyle w:val="Marker"/>
          <w:noProof/>
        </w:rPr>
      </w:pPr>
      <w:r>
        <w:rPr>
          <w:noProof/>
        </w:rPr>
        <w:lastRenderedPageBreak/>
        <w:t>ANNEXE II</w:t>
      </w:r>
    </w:p>
    <w:p w:rsidR="00CC0B5B" w:rsidRDefault="007453B5">
      <w:pPr>
        <w:pStyle w:val="NormalCentered"/>
        <w:rPr>
          <w:noProof/>
        </w:rPr>
      </w:pPr>
      <w:r>
        <w:rPr>
          <w:noProof/>
        </w:rPr>
        <w:t>DOMAINES DE SOUTIEN EN GESTION PARTAGÉE</w:t>
      </w:r>
    </w:p>
    <w:p w:rsidR="00CC0B5B" w:rsidRDefault="00CC0B5B">
      <w:pPr>
        <w:rPr>
          <w:noProof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2693"/>
        <w:gridCol w:w="2410"/>
      </w:tblGrid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PRIORITÉ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DOMAINE DE SOUTIEN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 xml:space="preserve">TYPE DE DOMAINE DE SOUTIEN (nomenclature à utiliser dans le plan de financement) 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TAUX DE COFINANCEMENT MAXIMAL</w:t>
            </w:r>
          </w:p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(en % des dépenses publiques éligibles)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 14, paragraphe 1</w:t>
            </w:r>
          </w:p>
          <w:p w:rsidR="00CC0B5B" w:rsidRDefault="007453B5">
            <w:pPr>
              <w:rPr>
                <w:i/>
                <w:noProof/>
                <w:szCs w:val="24"/>
              </w:rPr>
            </w:pPr>
            <w:r>
              <w:rPr>
                <w:i/>
                <w:noProof/>
              </w:rPr>
              <w:t>Réalisa</w:t>
            </w:r>
            <w:r>
              <w:rPr>
                <w:i/>
                <w:noProof/>
              </w:rPr>
              <w:t>tion des objectifs environnementaux, économiques, sociaux et en matière d’emploi de la PCP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1.1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16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Investissements dans des navires de petite pêche côtière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1.1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 17, paragraphe 1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 xml:space="preserve">Gestion de la pêche et des flottes de pêche 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1.1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 17, paragraphe 2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Arrêt définitif des activités de pêche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1.2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50 %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18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Arrêt extraordinaire des activités de pêche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1.2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50 %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19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Contrôle et exécution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1.3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85 %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20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 xml:space="preserve">Collecte et traitement de données pour la </w:t>
            </w:r>
            <w:r>
              <w:rPr>
                <w:i/>
                <w:noProof/>
              </w:rPr>
              <w:t>gestion de la pêche et à des fins scientifiques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1.3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85 %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21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Compensation des surcoûts dans les régions ultrapériphériques pour les produits de la pêche et de l’aquaculture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1.4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22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 xml:space="preserve">Protection et restauration de la biodiversité et </w:t>
            </w:r>
            <w:r>
              <w:rPr>
                <w:i/>
                <w:noProof/>
              </w:rPr>
              <w:t>des écosystèmes marins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1.5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85 %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23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Aquaculture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2.1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24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Commercialisation des produits de la pêche et de l’aquaculture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2.1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25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Transformation des produits de la pêche et de l’aquaculture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2.1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3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26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Développement local mené par les acteurs locaux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3.1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3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27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Connaissances du milieu marin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3.1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28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Surveillance maritime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4.1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  <w:tr w:rsidR="00CC0B5B">
        <w:tc>
          <w:tcPr>
            <w:tcW w:w="1668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</w:t>
            </w: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29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Coopération concernant les fonctions de garde-côtes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4.1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  <w:tr w:rsidR="00CC0B5B">
        <w:tc>
          <w:tcPr>
            <w:tcW w:w="1668" w:type="dxa"/>
          </w:tcPr>
          <w:p w:rsidR="00CC0B5B" w:rsidRDefault="00CC0B5B">
            <w:pPr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835" w:type="dxa"/>
          </w:tcPr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Assistance technique</w:t>
            </w:r>
          </w:p>
        </w:tc>
        <w:tc>
          <w:tcPr>
            <w:tcW w:w="2693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5.1</w:t>
            </w:r>
          </w:p>
        </w:tc>
        <w:tc>
          <w:tcPr>
            <w:tcW w:w="2410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</w:tbl>
    <w:p w:rsidR="00CC0B5B" w:rsidRDefault="00CC0B5B">
      <w:pPr>
        <w:rPr>
          <w:noProof/>
        </w:rPr>
        <w:sectPr w:rsidR="00CC0B5B" w:rsidSect="007453B5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:rsidR="00CC0B5B" w:rsidRDefault="007453B5">
      <w:pPr>
        <w:pStyle w:val="Annexetitre"/>
        <w:rPr>
          <w:rStyle w:val="Marker"/>
          <w:noProof/>
        </w:rPr>
      </w:pPr>
      <w:r>
        <w:rPr>
          <w:noProof/>
        </w:rPr>
        <w:t>ANNEXE III</w:t>
      </w:r>
    </w:p>
    <w:p w:rsidR="00CC0B5B" w:rsidRDefault="007453B5">
      <w:pPr>
        <w:pStyle w:val="NormalCentered"/>
        <w:rPr>
          <w:noProof/>
        </w:rPr>
      </w:pPr>
      <w:r>
        <w:rPr>
          <w:noProof/>
        </w:rPr>
        <w:t>TAUX MAXIMAUX D'INTENSITÉ DE L'AIDE SPÉCIFIQUES EN GESTION PARTAGÉE</w:t>
      </w:r>
    </w:p>
    <w:p w:rsidR="00CC0B5B" w:rsidRDefault="00CC0B5B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207"/>
        <w:gridCol w:w="2555"/>
      </w:tblGrid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NUMÉRO DE LIGNE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DOMAINE DE SOUTIEN OU TYPE D’OPÉRATION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TAUX MAXIMAUX D’INTENSITÉ DE L’AIDE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16</w:t>
            </w:r>
          </w:p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noProof/>
              </w:rPr>
              <w:t xml:space="preserve">Investissements dans des navires de petite </w:t>
            </w:r>
            <w:r>
              <w:rPr>
                <w:noProof/>
              </w:rPr>
              <w:t>pêche côtière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30 %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Opérations contribuant à la mise en œuvre de l'obligation de débarquement visée à l’article 15 du règlement (UE) nº 1380/2013;</w:t>
            </w:r>
          </w:p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- opérations qui améliorent la sélectivité des engins de pêche au regard de la taille ou de l'espèce;</w:t>
            </w:r>
          </w:p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 xml:space="preserve">- </w:t>
            </w:r>
            <w:r>
              <w:rPr>
                <w:noProof/>
              </w:rPr>
              <w:t>opérations qui améliorent l’infrastructure des ports de pêche, des halles de criée, des sites de débarquement et des abris afin de faciliter le débarquement et le stockage des captures indésirées;</w:t>
            </w:r>
          </w:p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- opérations qui facilitent la commercialisation des captur</w:t>
            </w:r>
            <w:r>
              <w:rPr>
                <w:noProof/>
              </w:rPr>
              <w:t>es indésirées débarquées provenant des stocks commerciaux conformément à l’article 8, paragraphe 2, point b), du règlement (UE) nº 1379/2013.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>3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Opérations visant à améliorer la santé, la sécurité et les conditions de travail à bord des navires de pêc</w:t>
            </w:r>
            <w:r>
              <w:rPr>
                <w:noProof/>
              </w:rPr>
              <w:t>he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75 %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Opérations situées dans les régions ultrapériphériques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85 %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bCs/>
                <w:noProof/>
                <w:szCs w:val="24"/>
              </w:rPr>
            </w:pPr>
            <w:r>
              <w:rPr>
                <w:noProof/>
              </w:rPr>
              <w:t>5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Opérations situées dans des îles grecques isolées ainsi que dans les îles croates Dugi Otok, Vis, Mljet et Lastovo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85 %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6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19</w:t>
            </w:r>
          </w:p>
          <w:p w:rsidR="00CC0B5B" w:rsidRDefault="007453B5">
            <w:pPr>
              <w:rPr>
                <w:rFonts w:eastAsia="Times New Roman"/>
                <w:bCs/>
                <w:noProof/>
                <w:szCs w:val="24"/>
              </w:rPr>
            </w:pPr>
            <w:r>
              <w:rPr>
                <w:noProof/>
              </w:rPr>
              <w:t>Contrôle et exécution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85 %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7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Opérations liées à</w:t>
            </w:r>
            <w:r>
              <w:rPr>
                <w:noProof/>
              </w:rPr>
              <w:t xml:space="preserve"> la petite pêche côtière (y compris en matière de contrôle et d’exécution)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>8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Quand le bénéficiaire est un organisme de droit public ou une entreprise chargée de la gestion de services d’intérêt économique général visée à l’article 106, paragraphe 2,</w:t>
            </w:r>
            <w:r>
              <w:rPr>
                <w:noProof/>
              </w:rPr>
              <w:t xml:space="preserve"> du traité, lorsque l’aide est accordée pour la gestion de ces services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9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 17, paragraphe 2</w:t>
            </w:r>
          </w:p>
          <w:p w:rsidR="00CC0B5B" w:rsidRDefault="007453B5">
            <w:pPr>
              <w:rPr>
                <w:noProof/>
                <w:szCs w:val="24"/>
              </w:rPr>
            </w:pPr>
            <w:r>
              <w:rPr>
                <w:noProof/>
              </w:rPr>
              <w:t>Arrêt définitif des activités de pêche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18</w:t>
            </w:r>
          </w:p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Arrêt extraordinaire des activités de pêche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11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20</w:t>
            </w:r>
          </w:p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 xml:space="preserve">Collecte et traitement </w:t>
            </w:r>
            <w:r>
              <w:rPr>
                <w:noProof/>
              </w:rPr>
              <w:t>des données pour la gestion de la pêche et à des fins scientifiques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12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21</w:t>
            </w:r>
          </w:p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Compensation des surcoûts dans les régions ultrapériphériques pour les produits de la pêche et de l’aquaculture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13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27</w:t>
            </w:r>
          </w:p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Connaissances du milieu marin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14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28</w:t>
            </w:r>
          </w:p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Surveillance maritime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15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29</w:t>
            </w:r>
          </w:p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Coopération concernant les fonctions de garde-côtes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  <w:tr w:rsidR="00CC0B5B">
        <w:tc>
          <w:tcPr>
            <w:tcW w:w="1526" w:type="dxa"/>
          </w:tcPr>
          <w:p w:rsidR="00CC0B5B" w:rsidRDefault="007453B5">
            <w:pPr>
              <w:rPr>
                <w:rFonts w:eastAsia="Times New Roman"/>
                <w:bCs/>
                <w:noProof/>
                <w:szCs w:val="24"/>
              </w:rPr>
            </w:pPr>
            <w:r>
              <w:rPr>
                <w:noProof/>
              </w:rPr>
              <w:t>16</w:t>
            </w:r>
          </w:p>
        </w:tc>
        <w:tc>
          <w:tcPr>
            <w:tcW w:w="5207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Opérations liées à la conception, à l’élaboration, au suivi, à l’évaluation ou à la gestion des systèmes transparents pour l’échan</w:t>
            </w:r>
            <w:r>
              <w:rPr>
                <w:noProof/>
              </w:rPr>
              <w:t>ge des possibilités de pêche entre les États membres, conformément à l’article 16, paragraphe 8, du règlement (UE) nº 1380/2013</w:t>
            </w:r>
          </w:p>
        </w:tc>
        <w:tc>
          <w:tcPr>
            <w:tcW w:w="2555" w:type="dxa"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</w:tbl>
    <w:p w:rsidR="00CC0B5B" w:rsidRDefault="00CC0B5B">
      <w:pPr>
        <w:rPr>
          <w:noProof/>
        </w:rPr>
        <w:sectPr w:rsidR="00CC0B5B" w:rsidSect="007453B5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:rsidR="00CC0B5B" w:rsidRDefault="007453B5">
      <w:pPr>
        <w:pStyle w:val="Annexetitre"/>
        <w:rPr>
          <w:rStyle w:val="Marker"/>
          <w:noProof/>
        </w:rPr>
      </w:pPr>
      <w:r>
        <w:rPr>
          <w:noProof/>
        </w:rPr>
        <w:t>ANNEXE IV</w:t>
      </w:r>
    </w:p>
    <w:p w:rsidR="00CC0B5B" w:rsidRDefault="007453B5">
      <w:pPr>
        <w:pStyle w:val="NormalCentered"/>
        <w:rPr>
          <w:noProof/>
        </w:rPr>
      </w:pPr>
      <w:r>
        <w:rPr>
          <w:noProof/>
        </w:rPr>
        <w:t xml:space="preserve">COEFFICIENTS RETENUS POUR LE CALCUL DU SOUTIEN AUX OBJECTIFS LIÉS À L’ENVIRONNEMENT ET AU </w:t>
      </w:r>
      <w:r>
        <w:rPr>
          <w:noProof/>
        </w:rPr>
        <w:t>CHANGEMENT CLIMATIQUE</w:t>
      </w:r>
    </w:p>
    <w:tbl>
      <w:tblPr>
        <w:tblStyle w:val="TableGrid"/>
        <w:tblpPr w:leftFromText="180" w:rightFromText="180" w:vertAnchor="page" w:horzAnchor="page" w:tblpX="1083" w:tblpY="2836"/>
        <w:tblW w:w="10170" w:type="dxa"/>
        <w:tblLayout w:type="fixed"/>
        <w:tblLook w:val="04A0" w:firstRow="1" w:lastRow="0" w:firstColumn="1" w:lastColumn="0" w:noHBand="0" w:noVBand="1"/>
      </w:tblPr>
      <w:tblGrid>
        <w:gridCol w:w="3227"/>
        <w:gridCol w:w="2409"/>
        <w:gridCol w:w="2267"/>
        <w:gridCol w:w="2267"/>
      </w:tblGrid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DOMAINE DE SOUTIEN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 xml:space="preserve">NOMENCLATURE À UTILISER DANS LE PROGRAMME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Coefficient retenu pour le calcul du soutien aux objectifs liés au changement climatique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Coefficient retenu pour le calcul du soutien aux objectifs liés à l'environnement</w:t>
            </w:r>
          </w:p>
        </w:tc>
      </w:tr>
      <w:tr w:rsidR="00CC0B5B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jc w:val="center"/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Dépenses contribuant à la priorité 1:  Favoriser une pêche durable et la conservation des ressources biologiques de la mer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B" w:rsidRDefault="00CC0B5B">
            <w:pPr>
              <w:jc w:val="center"/>
              <w:rPr>
                <w:rFonts w:eastAsia="Times New Roman"/>
                <w:i/>
                <w:noProof/>
                <w:szCs w:val="24"/>
              </w:rPr>
            </w:pP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 14, paragraphe 1</w:t>
            </w:r>
          </w:p>
          <w:p w:rsidR="00CC0B5B" w:rsidRDefault="007453B5">
            <w:pPr>
              <w:rPr>
                <w:i/>
                <w:noProof/>
                <w:szCs w:val="24"/>
              </w:rPr>
            </w:pPr>
            <w:r>
              <w:rPr>
                <w:i/>
                <w:noProof/>
              </w:rPr>
              <w:t>Réalisation des objectifs environnementaux, économiques, sociaux et en matière d’emploi de la PCP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40 %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 pour les dépenses relatives aux objectifs environnementaux</w:t>
            </w:r>
          </w:p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 pour les autres objectifs</w:t>
            </w: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16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Investissements dans des navires de petite pêche côtière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 pour les dépenses relatives à la première acquisition d’un navire de pêche par</w:t>
            </w:r>
            <w:r>
              <w:rPr>
                <w:noProof/>
              </w:rPr>
              <w:t xml:space="preserve"> un jeune pêcheur</w:t>
            </w:r>
          </w:p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40 % pour les dépenses relatives au remplacement ou à la modernisation du moteur principal ou auxiliaire</w:t>
            </w: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 17, paragraphe 1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 xml:space="preserve">Gestion de la pêche et des flottes de pêche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 17, paragraphe 2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Arrêt définitif des acti</w:t>
            </w:r>
            <w:r>
              <w:rPr>
                <w:i/>
                <w:noProof/>
              </w:rPr>
              <w:t>vités de pêche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 si le soutien est utilisé pour la démolition du navire de pêche</w:t>
            </w:r>
          </w:p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 * si le soutien est utilisé pour l'adaptation du navire de pêche à des activités autres que la pêche commerciale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0 %*</w:t>
            </w: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18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 xml:space="preserve">Arrêt extraordinaire des </w:t>
            </w:r>
            <w:r>
              <w:rPr>
                <w:i/>
                <w:noProof/>
              </w:rPr>
              <w:t>activités de pêche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40 %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40 %</w:t>
            </w: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19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Contrôle et exécution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40 %</w:t>
            </w: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20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Collecte et traitement des données pour la gestion de la pêche et à des fins scientifiques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40 %</w:t>
            </w: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21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 xml:space="preserve">Compensation des surcoûts dans les régions </w:t>
            </w:r>
            <w:r>
              <w:rPr>
                <w:i/>
                <w:noProof/>
              </w:rPr>
              <w:t>ultrapériphériques pour les produits de la pêche et de l’aquaculture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22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Protection et restauration de la biodiversité et des écosystèmes marins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1.5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40 %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  <w:tr w:rsidR="00CC0B5B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jc w:val="center"/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 xml:space="preserve">Dépenses contribuant à la priorité 2: Contribuer à la sécurité alimentaire </w:t>
            </w:r>
            <w:r>
              <w:rPr>
                <w:i/>
                <w:noProof/>
              </w:rPr>
              <w:t>dans l’Union au moyen d’une aquaculture et de marchés compétitifs et durables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B" w:rsidRDefault="00CC0B5B">
            <w:pPr>
              <w:jc w:val="center"/>
              <w:rPr>
                <w:i/>
                <w:noProof/>
                <w:szCs w:val="24"/>
              </w:rPr>
            </w:pP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23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Aquaculture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40 %</w:t>
            </w: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24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Commercialisation des produits de la pêche et de l’aquaculture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25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 xml:space="preserve">Transformation des produits de la pêche </w:t>
            </w:r>
            <w:r>
              <w:rPr>
                <w:i/>
                <w:noProof/>
              </w:rPr>
              <w:t>et de l’aquaculture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2.1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</w:tr>
      <w:tr w:rsidR="00CC0B5B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jc w:val="center"/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Dépenses contribuant à la priorité 3:  Permettre la croissance d’une économie bleue durable et favoriser la prospérité des communautés côtières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B" w:rsidRDefault="00CC0B5B">
            <w:pPr>
              <w:jc w:val="center"/>
              <w:rPr>
                <w:rFonts w:eastAsia="Times New Roman"/>
                <w:i/>
                <w:noProof/>
                <w:szCs w:val="24"/>
              </w:rPr>
            </w:pP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26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Développement local mené par les acteurs locaux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3.1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40 %</w:t>
            </w: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27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Connaissances du milieu marin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3.1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40 %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100 %</w:t>
            </w:r>
          </w:p>
        </w:tc>
      </w:tr>
      <w:tr w:rsidR="00CC0B5B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jc w:val="center"/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Dépenses contribuant à la priorité 4:  Renforcer la gouvernance internationale des océans et faire en sorte que les mers et les océans soient sûrs, sécurisés, propres et gérés de manière durable.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B" w:rsidRDefault="00CC0B5B">
            <w:pPr>
              <w:jc w:val="center"/>
              <w:rPr>
                <w:rFonts w:eastAsia="Times New Roman"/>
                <w:i/>
                <w:noProof/>
                <w:szCs w:val="24"/>
              </w:rPr>
            </w:pP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</w:t>
            </w:r>
            <w:r>
              <w:rPr>
                <w:noProof/>
              </w:rPr>
              <w:t>rticle 28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Surveillance maritime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Article 29</w:t>
            </w:r>
          </w:p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Coopération concernant les fonctions de garde-côtes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4.1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</w:t>
            </w:r>
          </w:p>
        </w:tc>
      </w:tr>
      <w:tr w:rsidR="00CC0B5B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jc w:val="center"/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Dépenses contribuant à l’assistance technique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B" w:rsidRDefault="00CC0B5B">
            <w:pPr>
              <w:jc w:val="center"/>
              <w:rPr>
                <w:rFonts w:eastAsia="Times New Roman"/>
                <w:i/>
                <w:noProof/>
                <w:szCs w:val="24"/>
              </w:rPr>
            </w:pPr>
          </w:p>
        </w:tc>
      </w:tr>
      <w:tr w:rsidR="00CC0B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i/>
                <w:noProof/>
                <w:szCs w:val="24"/>
              </w:rPr>
            </w:pPr>
            <w:r>
              <w:rPr>
                <w:i/>
                <w:noProof/>
              </w:rPr>
              <w:t>Assistance technique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5.1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5B" w:rsidRDefault="007453B5">
            <w:pPr>
              <w:rPr>
                <w:rFonts w:eastAsia="Times New Roman"/>
                <w:noProof/>
                <w:szCs w:val="24"/>
              </w:rPr>
            </w:pPr>
            <w:r>
              <w:rPr>
                <w:noProof/>
              </w:rPr>
              <w:t>0 %*</w:t>
            </w:r>
          </w:p>
        </w:tc>
      </w:tr>
    </w:tbl>
    <w:p w:rsidR="00CC0B5B" w:rsidRDefault="007453B5">
      <w:pPr>
        <w:rPr>
          <w:rFonts w:eastAsia="Times New Roman"/>
          <w:noProof/>
          <w:szCs w:val="24"/>
        </w:rPr>
      </w:pPr>
      <w:r>
        <w:rPr>
          <w:noProof/>
        </w:rPr>
        <w:t xml:space="preserve">* Un État membre peut proposer dans son programme </w:t>
      </w:r>
      <w:r>
        <w:rPr>
          <w:noProof/>
        </w:rPr>
        <w:t>qu’un coefficient de 40 % soit attribué à un domaine de soutien marqué d’un * dans le tableau, pour autant qu’il puisse démontrer la pertinence de ce domaine de soutien en matière d'atténuation du changement climatique ou d’adaptation à celui-ci ou en mati</w:t>
      </w:r>
      <w:r>
        <w:rPr>
          <w:noProof/>
        </w:rPr>
        <w:t>ère d'objectifs environnementaux, le cas échéant.</w:t>
      </w:r>
    </w:p>
    <w:p w:rsidR="00CC0B5B" w:rsidRDefault="00CC0B5B">
      <w:pPr>
        <w:rPr>
          <w:noProof/>
        </w:rPr>
        <w:sectPr w:rsidR="00CC0B5B" w:rsidSect="007453B5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:rsidR="00CC0B5B" w:rsidRDefault="007453B5">
      <w:pPr>
        <w:pStyle w:val="Annexetitre"/>
        <w:rPr>
          <w:rStyle w:val="Marker"/>
          <w:noProof/>
        </w:rPr>
      </w:pPr>
      <w:r>
        <w:rPr>
          <w:noProof/>
        </w:rPr>
        <w:t xml:space="preserve">ANNEXE V </w:t>
      </w:r>
    </w:p>
    <w:p w:rsidR="00CC0B5B" w:rsidRDefault="007453B5">
      <w:pPr>
        <w:pStyle w:val="NormalCentered"/>
        <w:rPr>
          <w:noProof/>
        </w:rPr>
      </w:pPr>
      <w:r>
        <w:rPr>
          <w:noProof/>
        </w:rPr>
        <w:t>RESSOURCES GLOBALES PAR ÉTAT MEMBRE POUR LE FONDS EUROPÉEN POUR LES AFFAIRES MARITIMES ET LA PÊCHE POUR LA PÉRIODE 2021-2027</w:t>
      </w:r>
    </w:p>
    <w:p w:rsidR="00CC0B5B" w:rsidRDefault="00CC0B5B">
      <w:pPr>
        <w:rPr>
          <w:noProof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97"/>
        <w:gridCol w:w="1586"/>
        <w:gridCol w:w="1587"/>
        <w:gridCol w:w="1587"/>
        <w:gridCol w:w="1587"/>
        <w:gridCol w:w="1587"/>
        <w:gridCol w:w="1490"/>
        <w:gridCol w:w="1559"/>
        <w:gridCol w:w="1638"/>
      </w:tblGrid>
      <w:tr w:rsidR="00CC0B5B">
        <w:trPr>
          <w:jc w:val="right"/>
        </w:trPr>
        <w:tc>
          <w:tcPr>
            <w:tcW w:w="1597" w:type="dxa"/>
          </w:tcPr>
          <w:p w:rsidR="00CC0B5B" w:rsidRDefault="00CC0B5B">
            <w:pPr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1586" w:type="dxa"/>
          </w:tcPr>
          <w:p w:rsidR="00CC0B5B" w:rsidRDefault="007453B5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2021</w:t>
            </w:r>
          </w:p>
        </w:tc>
        <w:tc>
          <w:tcPr>
            <w:tcW w:w="1587" w:type="dxa"/>
          </w:tcPr>
          <w:p w:rsidR="00CC0B5B" w:rsidRDefault="007453B5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2022</w:t>
            </w:r>
          </w:p>
        </w:tc>
        <w:tc>
          <w:tcPr>
            <w:tcW w:w="1587" w:type="dxa"/>
          </w:tcPr>
          <w:p w:rsidR="00CC0B5B" w:rsidRDefault="007453B5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2023</w:t>
            </w:r>
          </w:p>
        </w:tc>
        <w:tc>
          <w:tcPr>
            <w:tcW w:w="1587" w:type="dxa"/>
          </w:tcPr>
          <w:p w:rsidR="00CC0B5B" w:rsidRDefault="007453B5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2024</w:t>
            </w:r>
          </w:p>
        </w:tc>
        <w:tc>
          <w:tcPr>
            <w:tcW w:w="1587" w:type="dxa"/>
          </w:tcPr>
          <w:p w:rsidR="00CC0B5B" w:rsidRDefault="007453B5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2025</w:t>
            </w:r>
          </w:p>
        </w:tc>
        <w:tc>
          <w:tcPr>
            <w:tcW w:w="1490" w:type="dxa"/>
          </w:tcPr>
          <w:p w:rsidR="00CC0B5B" w:rsidRDefault="007453B5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2026</w:t>
            </w:r>
          </w:p>
        </w:tc>
        <w:tc>
          <w:tcPr>
            <w:tcW w:w="1559" w:type="dxa"/>
          </w:tcPr>
          <w:p w:rsidR="00CC0B5B" w:rsidRDefault="007453B5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2027</w:t>
            </w:r>
          </w:p>
        </w:tc>
        <w:tc>
          <w:tcPr>
            <w:tcW w:w="1638" w:type="dxa"/>
          </w:tcPr>
          <w:p w:rsidR="00CC0B5B" w:rsidRDefault="007453B5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>
              <w:rPr>
                <w:b/>
                <w:noProof/>
              </w:rPr>
              <w:t>TOTAL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BE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5 420 528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5 528 939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5 639 520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5 752 311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5 867 358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5 984 701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6 072 814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40 266 171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BG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11 435 037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11 663 737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11 897 017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12 134 959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12 377 660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12 625 203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12 811 085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84 944 698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CZ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4 039 229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4 120 014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4 202 416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4 286 465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4 372 195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4 459 635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4 525 295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30 005 249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DK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27 053 971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27 595 050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28 146 963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28 709 906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29 284 109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29 869 767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30 309 543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200 969 309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DE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28 513 544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29 083 814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29 665 502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30 258 817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30 863 998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31 481 253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31 944 754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211 811 682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EE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13 110 534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13 372 744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13 640 205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13 913 011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14 191 273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14 475 087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14 688 206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97 391 060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IE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19 165 423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19 548 731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19 939 714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20 338 511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20 745 284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21 160 173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21 471 716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142 369 552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EL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50 480 983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51 490 602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52 520 436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53 570 852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54 642 278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55 735 079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56 555 673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374 995 903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ES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150 831 009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153 847 625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156 924 643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160 063 158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163 264 447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166 529 604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168 981 438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1 120 441 924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FR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76 346 460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77 873 387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79 430 888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81 019 517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82 639 920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84 292 652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85 533 702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567 136 526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HR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32 804 523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33 460 613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34 129 839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34 812 441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35 508 695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36 218 841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36 752 095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243 687 047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IT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69 761 016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71 156 235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72 579 390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74 030 988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75 511 619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77 021 791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78 155 791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518 216 830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CY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5 156 833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5 259 970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5 365 171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5 472 475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5 581 926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5 693 560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5 777 387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38 307 322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LV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18 156 754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18 519 888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18 890 294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19 268 103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19 653 468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20 046 521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20 341 668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134 876 696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LT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8 236 376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8 401 103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8 569 129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8 740 512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8 915 324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9 093 623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9 227 510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61 183 577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LU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-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-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-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-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-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-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-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-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HU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5 076 470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5 177 999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5 281 561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5 387 193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5 494 938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5 604 832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5 687 353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37 710 346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MT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2 938 064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2 996 826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3 056 763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3 117 899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3 180 258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3 243 860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3 291 620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21 825 290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NL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13 182 316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13 445 962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13 714 887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13 989 186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14 268 972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14 554 340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14 768 625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97 924 288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AT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904 373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922 460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940 910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959 728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978 923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998 500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1 013 200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6 718 094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PL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68 976 348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70 355 873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71 763 020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73 198 291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74 662 268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76 155 454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77 276 699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512 387 953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PT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50 962 391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51 981 638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53 021 293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54 081 726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55 163 369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56 266 592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57 095 013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378 572 022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RO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21 868 723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22 306 097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22 752 228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23 207 276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23 671 425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24 144 835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24 500 321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162 450 905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SI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3 221 347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3 285 774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3 351 490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3 418 521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3 486 892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3 556 627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3 608 990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23 929 641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SK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2 049 608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2 090 600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2 132 413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2 175 061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2 218 563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2 262 933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2 296 250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15 225 428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FI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9 659 603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9 852 795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10 049 855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10 250 853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10 455 872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10 664 981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10 822 003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71 755 962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SE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15 601 692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15 913 725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16 232 007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16 556 649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16 887 785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17 225 527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17 479 140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115 896 525 </w:t>
            </w:r>
          </w:p>
        </w:tc>
      </w:tr>
      <w:tr w:rsidR="00CC0B5B">
        <w:trPr>
          <w:jc w:val="right"/>
        </w:trPr>
        <w:tc>
          <w:tcPr>
            <w:tcW w:w="1597" w:type="dxa"/>
          </w:tcPr>
          <w:p w:rsidR="00CC0B5B" w:rsidRDefault="007453B5">
            <w:pPr>
              <w:rPr>
                <w:b/>
                <w:noProof/>
              </w:rPr>
            </w:pPr>
            <w:r>
              <w:rPr>
                <w:b/>
                <w:noProof/>
              </w:rPr>
              <w:t>TOTAL</w:t>
            </w:r>
          </w:p>
        </w:tc>
        <w:tc>
          <w:tcPr>
            <w:tcW w:w="1586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714 953 155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729 252 201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743 837 554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758 714 409 </w:t>
            </w:r>
          </w:p>
        </w:tc>
        <w:tc>
          <w:tcPr>
            <w:tcW w:w="1587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773 888 819 </w:t>
            </w:r>
          </w:p>
        </w:tc>
        <w:tc>
          <w:tcPr>
            <w:tcW w:w="1490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789 365 971 </w:t>
            </w:r>
          </w:p>
        </w:tc>
        <w:tc>
          <w:tcPr>
            <w:tcW w:w="1559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 800 987 891 </w:t>
            </w:r>
          </w:p>
        </w:tc>
        <w:tc>
          <w:tcPr>
            <w:tcW w:w="1638" w:type="dxa"/>
          </w:tcPr>
          <w:p w:rsidR="00CC0B5B" w:rsidRDefault="007453B5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5 311 000 000 </w:t>
            </w:r>
          </w:p>
        </w:tc>
      </w:tr>
    </w:tbl>
    <w:p w:rsidR="00CC0B5B" w:rsidRDefault="00CC0B5B">
      <w:pPr>
        <w:rPr>
          <w:noProof/>
        </w:rPr>
      </w:pPr>
    </w:p>
    <w:sectPr w:rsidR="00CC0B5B" w:rsidSect="007453B5">
      <w:headerReference w:type="default" r:id="rId18"/>
      <w:footerReference w:type="default" r:id="rId19"/>
      <w:headerReference w:type="first" r:id="rId20"/>
      <w:footerReference w:type="first" r:id="rId21"/>
      <w:pgSz w:w="16839" w:h="11907" w:orient="landscape"/>
      <w:pgMar w:top="1417" w:right="1134" w:bottom="141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5B" w:rsidRDefault="007453B5">
      <w:pPr>
        <w:spacing w:before="0" w:after="0"/>
      </w:pPr>
      <w:r>
        <w:separator/>
      </w:r>
    </w:p>
  </w:endnote>
  <w:endnote w:type="continuationSeparator" w:id="0">
    <w:p w:rsidR="00CC0B5B" w:rsidRDefault="007453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B5" w:rsidRPr="007453B5" w:rsidRDefault="007453B5" w:rsidP="007453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B5" w:rsidRPr="007453B5" w:rsidRDefault="007453B5" w:rsidP="007453B5">
    <w:pPr>
      <w:pStyle w:val="Footer"/>
      <w:rPr>
        <w:rFonts w:ascii="Arial" w:hAnsi="Arial" w:cs="Arial"/>
        <w:b/>
        <w:sz w:val="48"/>
      </w:rPr>
    </w:pPr>
    <w:r w:rsidRPr="007453B5">
      <w:rPr>
        <w:rFonts w:ascii="Arial" w:hAnsi="Arial" w:cs="Arial"/>
        <w:b/>
        <w:sz w:val="48"/>
      </w:rPr>
      <w:t>FR</w:t>
    </w:r>
    <w:r w:rsidRPr="007453B5">
      <w:rPr>
        <w:rFonts w:ascii="Arial" w:hAnsi="Arial" w:cs="Arial"/>
        <w:b/>
        <w:sz w:val="48"/>
      </w:rPr>
      <w:tab/>
    </w:r>
    <w:r w:rsidRPr="007453B5">
      <w:rPr>
        <w:rFonts w:ascii="Arial" w:hAnsi="Arial" w:cs="Arial"/>
        <w:b/>
        <w:sz w:val="48"/>
      </w:rPr>
      <w:tab/>
    </w:r>
    <w:r w:rsidRPr="007453B5">
      <w:tab/>
    </w:r>
    <w:r w:rsidRPr="007453B5"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B5" w:rsidRPr="007453B5" w:rsidRDefault="007453B5" w:rsidP="007453B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B5" w:rsidRPr="007453B5" w:rsidRDefault="007453B5" w:rsidP="007453B5">
    <w:pPr>
      <w:pStyle w:val="Footer"/>
      <w:rPr>
        <w:rFonts w:ascii="Arial" w:hAnsi="Arial" w:cs="Arial"/>
        <w:b/>
        <w:sz w:val="48"/>
      </w:rPr>
    </w:pPr>
    <w:r w:rsidRPr="007453B5">
      <w:rPr>
        <w:rFonts w:ascii="Arial" w:hAnsi="Arial" w:cs="Arial"/>
        <w:b/>
        <w:sz w:val="48"/>
      </w:rPr>
      <w:t>FR</w:t>
    </w:r>
    <w:r w:rsidRPr="007453B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7453B5">
      <w:tab/>
    </w:r>
    <w:r w:rsidRPr="007453B5">
      <w:rPr>
        <w:rFonts w:ascii="Arial" w:hAnsi="Arial" w:cs="Arial"/>
        <w:b/>
        <w:sz w:val="48"/>
      </w:rPr>
      <w:t>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B5" w:rsidRPr="007453B5" w:rsidRDefault="007453B5" w:rsidP="007453B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B5" w:rsidRPr="007453B5" w:rsidRDefault="007453B5" w:rsidP="007453B5">
    <w:pPr>
      <w:pStyle w:val="FooterLandscape"/>
      <w:rPr>
        <w:rFonts w:ascii="Arial" w:hAnsi="Arial" w:cs="Arial"/>
        <w:b/>
        <w:sz w:val="48"/>
      </w:rPr>
    </w:pPr>
    <w:r w:rsidRPr="007453B5">
      <w:rPr>
        <w:rFonts w:ascii="Arial" w:hAnsi="Arial" w:cs="Arial"/>
        <w:b/>
        <w:sz w:val="48"/>
      </w:rPr>
      <w:t>FR</w:t>
    </w:r>
    <w:r w:rsidRPr="007453B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10</w:t>
    </w:r>
    <w:r>
      <w:fldChar w:fldCharType="end"/>
    </w:r>
    <w:r>
      <w:tab/>
    </w:r>
    <w:r w:rsidRPr="007453B5">
      <w:tab/>
    </w:r>
    <w:r w:rsidRPr="007453B5">
      <w:rPr>
        <w:rFonts w:ascii="Arial" w:hAnsi="Arial" w:cs="Arial"/>
        <w:b/>
        <w:sz w:val="48"/>
      </w:rPr>
      <w:t>FR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B5" w:rsidRPr="007453B5" w:rsidRDefault="007453B5" w:rsidP="007453B5">
    <w:pPr>
      <w:pStyle w:val="FooterLandscap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5B" w:rsidRDefault="007453B5">
      <w:pPr>
        <w:spacing w:before="0" w:after="0"/>
      </w:pPr>
      <w:r>
        <w:separator/>
      </w:r>
    </w:p>
  </w:footnote>
  <w:footnote w:type="continuationSeparator" w:id="0">
    <w:p w:rsidR="00CC0B5B" w:rsidRDefault="007453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B5" w:rsidRPr="007453B5" w:rsidRDefault="007453B5" w:rsidP="007453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B5" w:rsidRPr="007453B5" w:rsidRDefault="007453B5" w:rsidP="007453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B5" w:rsidRPr="007453B5" w:rsidRDefault="007453B5" w:rsidP="007453B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B5" w:rsidRPr="007453B5" w:rsidRDefault="007453B5" w:rsidP="007453B5">
    <w:pPr>
      <w:pStyle w:val="HeaderLandscap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B5" w:rsidRPr="007453B5" w:rsidRDefault="007453B5" w:rsidP="007453B5">
    <w:pPr>
      <w:pStyle w:val="HeaderLandscap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834C79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478F29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75CBF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5722D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85200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4D6480F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99E44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EEFCCC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 w:numId="37">
    <w:abstractNumId w:val="18"/>
  </w:num>
  <w:num w:numId="38">
    <w:abstractNumId w:val="12"/>
  </w:num>
  <w:num w:numId="39">
    <w:abstractNumId w:val="20"/>
  </w:num>
  <w:num w:numId="40">
    <w:abstractNumId w:val="11"/>
  </w:num>
  <w:num w:numId="41">
    <w:abstractNumId w:val="13"/>
  </w:num>
  <w:num w:numId="42">
    <w:abstractNumId w:val="9"/>
  </w:num>
  <w:num w:numId="43">
    <w:abstractNumId w:val="19"/>
  </w:num>
  <w:num w:numId="44">
    <w:abstractNumId w:val="8"/>
  </w:num>
  <w:num w:numId="45">
    <w:abstractNumId w:val="14"/>
  </w:num>
  <w:num w:numId="46">
    <w:abstractNumId w:val="16"/>
  </w:num>
  <w:num w:numId="47">
    <w:abstractNumId w:val="17"/>
  </w:num>
  <w:num w:numId="48">
    <w:abstractNumId w:val="10"/>
  </w:num>
  <w:num w:numId="49">
    <w:abstractNumId w:val="15"/>
  </w:num>
  <w:num w:numId="5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hideSpellingErrors/>
  <w:hideGrammaticalErrors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6-12 23:02:56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7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" w:val="de la"/>
    <w:docVar w:name="LW_ACCOMPAGNANT.CP" w:val="de la"/>
    <w:docVar w:name="LW_ANNEX_NBR_FIRST" w:val="1"/>
    <w:docVar w:name="LW_ANNEX_NBR_LAST" w:val="5"/>
    <w:docVar w:name="LW_ANNEX_UNIQUE" w:val="0"/>
    <w:docVar w:name="LW_CORRIGENDUM" w:val="&lt;UNUSED&gt;"/>
    <w:docVar w:name="LW_COVERPAGE_EXISTS" w:val="True"/>
    <w:docVar w:name="LW_COVERPAGE_GUID" w:val="C3BD21B8-8C2E-425C-9283-8DFF3F1C2A1E"/>
    <w:docVar w:name="LW_COVERPAGE_TYPE" w:val="1"/>
    <w:docVar w:name="LW_CROSSREFERENCE" w:val="{SEC(2018) 276 final}_x000d__x000a_{SWD(2018) 295 final}"/>
    <w:docVar w:name="LW_DocType" w:val="ANNEX"/>
    <w:docVar w:name="LW_EMISSION" w:val="12.6.2018"/>
    <w:docVar w:name="LW_EMISSION_ISODATE" w:val="2018-06-12"/>
    <w:docVar w:name="LW_EMISSION_LOCATION" w:val="BRX"/>
    <w:docVar w:name="LW_EMISSION_PREFIX" w:val="Strasbourg, le"/>
    <w:docVar w:name="LW_EMISSION_SUFFIX" w:val="&lt;EMPTY&gt;"/>
    <w:docVar w:name="LW_ID_DOCSTRUCTURE" w:val="COM/ANNEX"/>
    <w:docVar w:name="LW_ID_DOCTYPE" w:val="SG-017"/>
    <w:docVar w:name="LW_LANGUE" w:val="FR"/>
    <w:docVar w:name="LW_LEVEL_OF_SENSITIVITY" w:val="Standard treatment"/>
    <w:docVar w:name="LW_NOM.INST" w:val="COMMISSION EUROPÉENNE"/>
    <w:docVar w:name="LW_NOM.INST_JOINTDOC" w:val="&lt;EMPTY&gt;"/>
    <w:docVar w:name="LW_OBJETACTEPRINCIPAL" w:val="relatif au Fonds européen pour les affaires maritimes et la pêche et abrogeant le règlement (UE) nº 508/2014 du Parlement européen et du Conseil"/>
    <w:docVar w:name="LW_OBJETACTEPRINCIPAL.CP" w:val="relatif au Fonds européen pour les affaires maritimes et la pêche et abrogeant le règlement (UE) nº 508/2014 du Parlement européen et du Conseil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8) 39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ANNEXES"/>
    <w:docVar w:name="LW_TYPE.DOC.CP" w:val="ANNEXES"/>
    <w:docVar w:name="LW_TYPEACTEPRINCIPAL" w:val="proposition de règlement du Parlement européen et du Conseil"/>
    <w:docVar w:name="LW_TYPEACTEPRINCIPAL.CP" w:val="proposition de règlement du Parlement européen et du Conseil"/>
  </w:docVars>
  <w:rsids>
    <w:rsidRoot w:val="00CC0B5B"/>
    <w:rsid w:val="007453B5"/>
    <w:rsid w:val="00CC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4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fr-FR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AnnexetitreChar">
    <w:name w:val="Annexe titre Char"/>
    <w:basedOn w:val="DefaultParagraphFont"/>
    <w:rPr>
      <w:rFonts w:ascii="Times New Roman" w:hAnsi="Times New Roman" w:cs="Times New Roman"/>
      <w:b/>
      <w:sz w:val="24"/>
      <w:u w:val="single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7453B5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453B5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453B5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7453B5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453B5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rsid w:val="007453B5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7453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rsid w:val="007453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4"/>
      </w:numPr>
      <w:contextualSpacing/>
    </w:p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fr-FR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AnnexetitreChar">
    <w:name w:val="Annexe titre Char"/>
    <w:basedOn w:val="DefaultParagraphFont"/>
    <w:rPr>
      <w:rFonts w:ascii="Times New Roman" w:hAnsi="Times New Roman" w:cs="Times New Roman"/>
      <w:b/>
      <w:sz w:val="24"/>
      <w:u w:val="single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7453B5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453B5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453B5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7453B5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453B5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rsid w:val="007453B5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7453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rsid w:val="007453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50D81-843C-4FE6-BC99-78498157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11</Pages>
  <Words>2110</Words>
  <Characters>8921</Characters>
  <Application>Microsoft Office Word</Application>
  <DocSecurity>0</DocSecurity>
  <Lines>715</Lines>
  <Paragraphs>533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GUERRE Vincent (MARE)</dc:creator>
  <cp:lastModifiedBy>PAREDES ECHAURI Cristina (CAB-ALMUNIA)</cp:lastModifiedBy>
  <cp:revision>9</cp:revision>
  <cp:lastPrinted>2018-05-18T17:59:00Z</cp:lastPrinted>
  <dcterms:created xsi:type="dcterms:W3CDTF">2018-06-12T13:39:00Z</dcterms:created>
  <dcterms:modified xsi:type="dcterms:W3CDTF">2018-06-12T21:05:00Z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First annex">
    <vt:lpwstr>1</vt:lpwstr>
  </property>
  <property fmtid="{D5CDD505-2E9C-101B-9397-08002B2CF9AE}" pid="7" name="Last annex">
    <vt:lpwstr>5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DQCStatus">
    <vt:lpwstr>Yellow (DQC version 03)</vt:lpwstr>
  </property>
</Properties>
</file>