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CF8" w:rsidRDefault="003561C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2217E55-160F-40C1-90E6-C372DF62A34A" style="width:449.75pt;height:435.75pt">
            <v:imagedata r:id="rId9" o:title=""/>
          </v:shape>
        </w:pict>
      </w:r>
    </w:p>
    <w:bookmarkEnd w:id="0"/>
    <w:p w:rsidR="00046CF8" w:rsidRDefault="00046CF8">
      <w:pPr>
        <w:rPr>
          <w:noProof/>
        </w:rPr>
        <w:sectPr w:rsidR="00046CF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046CF8" w:rsidRDefault="003561C2">
      <w:pPr>
        <w:pStyle w:val="TOCHeading"/>
        <w:rPr>
          <w:noProof/>
          <w:sz w:val="28"/>
          <w:szCs w:val="28"/>
        </w:rPr>
      </w:pPr>
      <w:r>
        <w:rPr>
          <w:noProof/>
          <w:sz w:val="28"/>
          <w:szCs w:val="28"/>
        </w:rPr>
        <w:lastRenderedPageBreak/>
        <w:t>Table of contents</w:t>
      </w:r>
    </w:p>
    <w:p w:rsidR="00046CF8" w:rsidRDefault="00046CF8">
      <w:pPr>
        <w:rPr>
          <w:noProof/>
        </w:rPr>
      </w:pPr>
    </w:p>
    <w:p w:rsidR="00046CF8" w:rsidRDefault="00046CF8">
      <w:pPr>
        <w:rPr>
          <w:noProof/>
        </w:rPr>
      </w:pPr>
    </w:p>
    <w:p w:rsidR="00046CF8" w:rsidRDefault="003561C2">
      <w:pPr>
        <w:pStyle w:val="TOC1"/>
        <w:rPr>
          <w:rFonts w:asciiTheme="minorHAnsi" w:eastAsiaTheme="minorEastAsia" w:hAnsiTheme="minorHAnsi" w:cstheme="minorBidi"/>
          <w:caps w:val="0"/>
          <w:noProof/>
          <w:sz w:val="24"/>
          <w:szCs w:val="24"/>
          <w:lang w:eastAsia="it-IT"/>
        </w:rPr>
      </w:pPr>
      <w:r>
        <w:rPr>
          <w:caps w:val="0"/>
          <w:noProof/>
        </w:rPr>
        <w:fldChar w:fldCharType="begin"/>
      </w:r>
      <w:r>
        <w:rPr>
          <w:caps w:val="0"/>
          <w:noProof/>
        </w:rPr>
        <w:instrText xml:space="preserve"> TOC \o "1-1" \t "Titolo 3;1" </w:instrText>
      </w:r>
      <w:r>
        <w:rPr>
          <w:caps w:val="0"/>
          <w:noProof/>
        </w:rPr>
        <w:fldChar w:fldCharType="separate"/>
      </w:r>
      <w:r>
        <w:rPr>
          <w:noProof/>
        </w:rPr>
        <w:t>1.</w:t>
      </w:r>
      <w:r>
        <w:rPr>
          <w:rFonts w:asciiTheme="minorHAnsi" w:eastAsiaTheme="minorEastAsia" w:hAnsiTheme="minorHAnsi" w:cstheme="minorBidi"/>
          <w:caps w:val="0"/>
          <w:noProof/>
          <w:sz w:val="24"/>
          <w:szCs w:val="24"/>
          <w:lang w:eastAsia="it-IT"/>
        </w:rPr>
        <w:tab/>
      </w:r>
      <w:r>
        <w:rPr>
          <w:noProof/>
        </w:rPr>
        <w:t>Introduction: Political and legal context</w:t>
      </w:r>
      <w:r>
        <w:rPr>
          <w:noProof/>
        </w:rPr>
        <w:tab/>
      </w:r>
      <w:r>
        <w:rPr>
          <w:noProof/>
        </w:rPr>
        <w:fldChar w:fldCharType="begin"/>
      </w:r>
      <w:r>
        <w:rPr>
          <w:noProof/>
        </w:rPr>
        <w:instrText xml:space="preserve"> PAGEREF _Toc514507414 \h </w:instrText>
      </w:r>
      <w:r>
        <w:rPr>
          <w:noProof/>
        </w:rPr>
      </w:r>
      <w:r>
        <w:rPr>
          <w:noProof/>
        </w:rPr>
        <w:fldChar w:fldCharType="separate"/>
      </w:r>
      <w:r>
        <w:rPr>
          <w:noProof/>
        </w:rPr>
        <w:t>3</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rPr>
        <w:t>2.</w:t>
      </w:r>
      <w:r>
        <w:rPr>
          <w:rFonts w:asciiTheme="minorHAnsi" w:eastAsiaTheme="minorEastAsia" w:hAnsiTheme="minorHAnsi" w:cstheme="minorBidi"/>
          <w:caps w:val="0"/>
          <w:noProof/>
          <w:sz w:val="24"/>
          <w:szCs w:val="24"/>
          <w:lang w:eastAsia="it-IT"/>
        </w:rPr>
        <w:tab/>
      </w:r>
      <w:r>
        <w:rPr>
          <w:noProof/>
        </w:rPr>
        <w:t>THE OBJECTIVES</w:t>
      </w:r>
      <w:r>
        <w:rPr>
          <w:noProof/>
        </w:rPr>
        <w:tab/>
      </w:r>
      <w:r>
        <w:rPr>
          <w:noProof/>
        </w:rPr>
        <w:fldChar w:fldCharType="begin"/>
      </w:r>
      <w:r>
        <w:rPr>
          <w:noProof/>
        </w:rPr>
        <w:instrText xml:space="preserve"> PAGEREF _Toc514507415 \h </w:instrText>
      </w:r>
      <w:r>
        <w:rPr>
          <w:noProof/>
        </w:rPr>
      </w:r>
      <w:r>
        <w:rPr>
          <w:noProof/>
        </w:rPr>
        <w:fldChar w:fldCharType="separate"/>
      </w:r>
      <w:r>
        <w:rPr>
          <w:noProof/>
        </w:rPr>
        <w:t>11</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rPr>
        <w:t>3.</w:t>
      </w:r>
      <w:r>
        <w:rPr>
          <w:rFonts w:asciiTheme="minorHAnsi" w:eastAsiaTheme="minorEastAsia" w:hAnsiTheme="minorHAnsi" w:cstheme="minorBidi"/>
          <w:caps w:val="0"/>
          <w:noProof/>
          <w:sz w:val="24"/>
          <w:szCs w:val="24"/>
          <w:lang w:eastAsia="it-IT"/>
        </w:rPr>
        <w:tab/>
      </w:r>
      <w:r>
        <w:rPr>
          <w:noProof/>
        </w:rPr>
        <w:t>Programme structure and priorities</w:t>
      </w:r>
      <w:r>
        <w:rPr>
          <w:noProof/>
        </w:rPr>
        <w:tab/>
      </w:r>
      <w:r>
        <w:rPr>
          <w:noProof/>
        </w:rPr>
        <w:fldChar w:fldCharType="begin"/>
      </w:r>
      <w:r>
        <w:rPr>
          <w:noProof/>
        </w:rPr>
        <w:instrText xml:space="preserve"> PAGEREF _Toc514507416 \h </w:instrText>
      </w:r>
      <w:r>
        <w:rPr>
          <w:noProof/>
        </w:rPr>
      </w:r>
      <w:r>
        <w:rPr>
          <w:noProof/>
        </w:rPr>
        <w:fldChar w:fldCharType="separate"/>
      </w:r>
      <w:r>
        <w:rPr>
          <w:noProof/>
        </w:rPr>
        <w:t>21</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rPr>
        <w:t>4.</w:t>
      </w:r>
      <w:r>
        <w:rPr>
          <w:rFonts w:asciiTheme="minorHAnsi" w:eastAsiaTheme="minorEastAsia" w:hAnsiTheme="minorHAnsi" w:cstheme="minorBidi"/>
          <w:caps w:val="0"/>
          <w:noProof/>
          <w:sz w:val="24"/>
          <w:szCs w:val="24"/>
          <w:lang w:eastAsia="it-IT"/>
        </w:rPr>
        <w:tab/>
      </w:r>
      <w:r>
        <w:rPr>
          <w:noProof/>
        </w:rPr>
        <w:t>Delivery mechanisms of the intended funding</w:t>
      </w:r>
      <w:r>
        <w:rPr>
          <w:noProof/>
        </w:rPr>
        <w:tab/>
      </w:r>
      <w:r>
        <w:rPr>
          <w:noProof/>
        </w:rPr>
        <w:fldChar w:fldCharType="begin"/>
      </w:r>
      <w:r>
        <w:rPr>
          <w:noProof/>
        </w:rPr>
        <w:instrText xml:space="preserve"> PAGEREF _Toc514507417 \h </w:instrText>
      </w:r>
      <w:r>
        <w:rPr>
          <w:noProof/>
        </w:rPr>
      </w:r>
      <w:r>
        <w:rPr>
          <w:noProof/>
        </w:rPr>
        <w:fldChar w:fldCharType="separate"/>
      </w:r>
      <w:r>
        <w:rPr>
          <w:noProof/>
        </w:rPr>
        <w:t>28</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rPr>
        <w:t>5.</w:t>
      </w:r>
      <w:r>
        <w:rPr>
          <w:rFonts w:asciiTheme="minorHAnsi" w:eastAsiaTheme="minorEastAsia" w:hAnsiTheme="minorHAnsi" w:cstheme="minorBidi"/>
          <w:caps w:val="0"/>
          <w:noProof/>
          <w:sz w:val="24"/>
          <w:szCs w:val="24"/>
          <w:lang w:eastAsia="it-IT"/>
        </w:rPr>
        <w:tab/>
      </w:r>
      <w:r>
        <w:rPr>
          <w:noProof/>
        </w:rPr>
        <w:t>How will performance be monitored and evaluated?</w:t>
      </w:r>
      <w:r>
        <w:rPr>
          <w:noProof/>
        </w:rPr>
        <w:tab/>
      </w:r>
      <w:r>
        <w:rPr>
          <w:noProof/>
        </w:rPr>
        <w:fldChar w:fldCharType="begin"/>
      </w:r>
      <w:r>
        <w:rPr>
          <w:noProof/>
        </w:rPr>
        <w:instrText xml:space="preserve"> PAGEREF _Toc514507418 \h </w:instrText>
      </w:r>
      <w:r>
        <w:rPr>
          <w:noProof/>
        </w:rPr>
      </w:r>
      <w:r>
        <w:rPr>
          <w:noProof/>
        </w:rPr>
        <w:fldChar w:fldCharType="separate"/>
      </w:r>
      <w:r>
        <w:rPr>
          <w:noProof/>
        </w:rPr>
        <w:t>31</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lang w:eastAsia="en-GB"/>
        </w:rPr>
        <w:t>Annex 1: Procedural information</w:t>
      </w:r>
      <w:r>
        <w:rPr>
          <w:noProof/>
        </w:rPr>
        <w:tab/>
      </w:r>
      <w:r>
        <w:rPr>
          <w:noProof/>
        </w:rPr>
        <w:fldChar w:fldCharType="begin"/>
      </w:r>
      <w:r>
        <w:rPr>
          <w:noProof/>
        </w:rPr>
        <w:instrText xml:space="preserve"> PAGEREF _T</w:instrText>
      </w:r>
      <w:r>
        <w:rPr>
          <w:noProof/>
        </w:rPr>
        <w:instrText xml:space="preserve">oc514507419 \h </w:instrText>
      </w:r>
      <w:r>
        <w:rPr>
          <w:noProof/>
        </w:rPr>
      </w:r>
      <w:r>
        <w:rPr>
          <w:noProof/>
        </w:rPr>
        <w:fldChar w:fldCharType="separate"/>
      </w:r>
      <w:r>
        <w:rPr>
          <w:noProof/>
        </w:rPr>
        <w:t>36</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lang w:eastAsia="en-GB"/>
        </w:rPr>
        <w:t>Annex 2: Stakeholder consultation activities</w:t>
      </w:r>
      <w:r>
        <w:rPr>
          <w:noProof/>
        </w:rPr>
        <w:tab/>
      </w:r>
      <w:r>
        <w:rPr>
          <w:noProof/>
        </w:rPr>
        <w:fldChar w:fldCharType="begin"/>
      </w:r>
      <w:r>
        <w:rPr>
          <w:noProof/>
        </w:rPr>
        <w:instrText xml:space="preserve"> PAGEREF _Toc514507420 \h </w:instrText>
      </w:r>
      <w:r>
        <w:rPr>
          <w:noProof/>
        </w:rPr>
      </w:r>
      <w:r>
        <w:rPr>
          <w:noProof/>
        </w:rPr>
        <w:fldChar w:fldCharType="separate"/>
      </w:r>
      <w:r>
        <w:rPr>
          <w:noProof/>
        </w:rPr>
        <w:t>45</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rPr>
        <w:t>Annex 3: Evaluation Results</w:t>
      </w:r>
      <w:r>
        <w:rPr>
          <w:noProof/>
        </w:rPr>
        <w:tab/>
      </w:r>
      <w:r>
        <w:rPr>
          <w:noProof/>
        </w:rPr>
        <w:fldChar w:fldCharType="begin"/>
      </w:r>
      <w:r>
        <w:rPr>
          <w:noProof/>
        </w:rPr>
        <w:instrText xml:space="preserve"> </w:instrText>
      </w:r>
      <w:r>
        <w:rPr>
          <w:noProof/>
        </w:rPr>
        <w:instrText xml:space="preserve">PAGEREF _Toc514507423 \h </w:instrText>
      </w:r>
      <w:r>
        <w:rPr>
          <w:noProof/>
        </w:rPr>
      </w:r>
      <w:r>
        <w:rPr>
          <w:noProof/>
        </w:rPr>
        <w:fldChar w:fldCharType="separate"/>
      </w:r>
      <w:r>
        <w:rPr>
          <w:noProof/>
        </w:rPr>
        <w:t>53</w:t>
      </w:r>
      <w:r>
        <w:rPr>
          <w:noProof/>
        </w:rPr>
        <w:fldChar w:fldCharType="end"/>
      </w:r>
    </w:p>
    <w:p w:rsidR="00046CF8" w:rsidRDefault="003561C2">
      <w:pPr>
        <w:pStyle w:val="TOC1"/>
        <w:rPr>
          <w:rFonts w:asciiTheme="minorHAnsi" w:eastAsiaTheme="minorEastAsia" w:hAnsiTheme="minorHAnsi" w:cstheme="minorBidi"/>
          <w:caps w:val="0"/>
          <w:noProof/>
          <w:sz w:val="24"/>
          <w:szCs w:val="24"/>
          <w:lang w:eastAsia="it-IT"/>
        </w:rPr>
      </w:pPr>
      <w:r>
        <w:rPr>
          <w:noProof/>
        </w:rPr>
        <w:t>Annex 4: Other intiatives and activities</w:t>
      </w:r>
      <w:r>
        <w:rPr>
          <w:noProof/>
        </w:rPr>
        <w:tab/>
      </w:r>
      <w:r>
        <w:rPr>
          <w:noProof/>
        </w:rPr>
        <w:fldChar w:fldCharType="begin"/>
      </w:r>
      <w:r>
        <w:rPr>
          <w:noProof/>
        </w:rPr>
        <w:instrText xml:space="preserve"> PAGEREF _Toc514507425 \h </w:instrText>
      </w:r>
      <w:r>
        <w:rPr>
          <w:noProof/>
        </w:rPr>
      </w:r>
      <w:r>
        <w:rPr>
          <w:noProof/>
        </w:rPr>
        <w:fldChar w:fldCharType="separate"/>
      </w:r>
      <w:r>
        <w:rPr>
          <w:noProof/>
        </w:rPr>
        <w:t>57</w:t>
      </w:r>
      <w:r>
        <w:rPr>
          <w:noProof/>
        </w:rPr>
        <w:fldChar w:fldCharType="end"/>
      </w:r>
    </w:p>
    <w:p w:rsidR="00046CF8" w:rsidRDefault="003561C2">
      <w:pPr>
        <w:rPr>
          <w:noProof/>
        </w:rPr>
        <w:sectPr w:rsidR="00046CF8">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1"/>
          <w:cols w:space="720"/>
          <w:titlePg/>
        </w:sectPr>
      </w:pPr>
      <w:r>
        <w:rPr>
          <w:rFonts w:ascii="Times New Roman" w:eastAsia="Times New Roman" w:hAnsi="Times New Roman" w:cs="Times New Roman"/>
          <w:caps/>
          <w:noProof/>
          <w:sz w:val="20"/>
          <w:szCs w:val="20"/>
        </w:rPr>
        <w:fldChar w:fldCharType="end"/>
      </w:r>
    </w:p>
    <w:p w:rsidR="00046CF8" w:rsidRDefault="003561C2">
      <w:pPr>
        <w:spacing w:after="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Glossary</w:t>
      </w:r>
    </w:p>
    <w:tbl>
      <w:tblPr>
        <w:tblStyle w:val="TableGrid"/>
        <w:tblW w:w="0" w:type="auto"/>
        <w:tblLook w:val="04A0" w:firstRow="1" w:lastRow="0" w:firstColumn="1" w:lastColumn="0" w:noHBand="0" w:noVBand="1"/>
      </w:tblPr>
      <w:tblGrid>
        <w:gridCol w:w="2659"/>
        <w:gridCol w:w="6169"/>
      </w:tblGrid>
      <w:tr w:rsidR="00046CF8">
        <w:tc>
          <w:tcPr>
            <w:tcW w:w="2660" w:type="dxa"/>
            <w:tcBorders>
              <w:bottom w:val="double" w:sz="4" w:space="0" w:color="auto"/>
            </w:tcBorders>
            <w:shd w:val="clear" w:color="auto" w:fill="F2F2F2" w:themeFill="background1" w:themeFillShade="F2"/>
          </w:tcPr>
          <w:p w:rsidR="00046CF8" w:rsidRDefault="003561C2">
            <w:pPr>
              <w:jc w:val="center"/>
              <w:rPr>
                <w:b/>
                <w:i/>
                <w:noProof/>
              </w:rPr>
            </w:pPr>
            <w:r>
              <w:rPr>
                <w:b/>
                <w:i/>
                <w:noProof/>
              </w:rPr>
              <w:t>Term or acronym</w:t>
            </w:r>
          </w:p>
        </w:tc>
        <w:tc>
          <w:tcPr>
            <w:tcW w:w="6174" w:type="dxa"/>
            <w:tcBorders>
              <w:bottom w:val="double" w:sz="4" w:space="0" w:color="auto"/>
            </w:tcBorders>
            <w:shd w:val="clear" w:color="auto" w:fill="F2F2F2" w:themeFill="background1" w:themeFillShade="F2"/>
          </w:tcPr>
          <w:p w:rsidR="00046CF8" w:rsidRDefault="003561C2">
            <w:pPr>
              <w:jc w:val="center"/>
              <w:rPr>
                <w:b/>
                <w:i/>
                <w:noProof/>
              </w:rPr>
            </w:pPr>
            <w:r>
              <w:rPr>
                <w:b/>
                <w:i/>
                <w:noProof/>
              </w:rPr>
              <w:t>Meaning or definition</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AIR</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Annual Implementation Report</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CFP</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Common Fisheries Policy</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CLLD</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 xml:space="preserve">Community-led Local </w:t>
            </w:r>
            <w:r>
              <w:rPr>
                <w:noProof/>
                <w:sz w:val="18"/>
                <w:szCs w:val="18"/>
              </w:rPr>
              <w:t>Development</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CMES</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Common Monitoring and Evaluation System</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CMO</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Common Organisation of the Markets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CPR</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Common Provisions Regulation</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EFCA</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Fisheries Control Agency</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EFF</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Fisheries Fund</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EMFF</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Maritime and Fisheries Fund</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EMSA</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Maritime Safety Agency</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ESIF</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Structural and Investment Funds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EUMSS</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Maritime Security Strategy</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EUMOFA</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Market Observatory for</w:t>
            </w:r>
          </w:p>
          <w:p w:rsidR="00046CF8" w:rsidRDefault="003561C2">
            <w:pPr>
              <w:rPr>
                <w:noProof/>
                <w:sz w:val="18"/>
                <w:szCs w:val="18"/>
              </w:rPr>
            </w:pPr>
            <w:r>
              <w:rPr>
                <w:noProof/>
                <w:sz w:val="18"/>
                <w:szCs w:val="18"/>
              </w:rPr>
              <w:t>Fisheries and Aquaculture Products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ExAC</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Ex-Ante Conditionalities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FLAG</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Fisheries Local Action</w:t>
            </w:r>
            <w:r>
              <w:rPr>
                <w:noProof/>
                <w:sz w:val="18"/>
                <w:szCs w:val="18"/>
              </w:rPr>
              <w:t xml:space="preserve"> Group</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FRONTEX</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European Border and Coast Guard Agency</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FTE</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Full Time Equivalent</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IUU</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Illegal, Unreported and Unregulated fishing</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MA</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 xml:space="preserve">Managing Authority </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MPA</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Marine Protected Areas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MC</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Ministerial Conference</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MSFD</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Marine Strategy Framework Directive</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MSY</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Maximum Sustainable Yield</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OP</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Operational Programme</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OR</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Outermost Regions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PO</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Producer Organisation</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SDG</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Sustainable Development Goal</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SSCF</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Small Scale Coastal Fleet</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STECF</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Scientific, Technical and Economic Committee for Fisheries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TAC</w:t>
            </w:r>
          </w:p>
        </w:tc>
        <w:tc>
          <w:tcPr>
            <w:tcW w:w="6174" w:type="dxa"/>
            <w:tcMar>
              <w:top w:w="85" w:type="dxa"/>
              <w:left w:w="57" w:type="dxa"/>
              <w:bottom w:w="85" w:type="dxa"/>
              <w:right w:w="57" w:type="dxa"/>
            </w:tcMar>
          </w:tcPr>
          <w:p w:rsidR="00046CF8" w:rsidRDefault="003561C2">
            <w:pPr>
              <w:rPr>
                <w:noProof/>
                <w:sz w:val="18"/>
                <w:szCs w:val="18"/>
              </w:rPr>
            </w:pPr>
            <w:r>
              <w:rPr>
                <w:noProof/>
                <w:sz w:val="18"/>
                <w:szCs w:val="18"/>
              </w:rPr>
              <w:t xml:space="preserve">Total Allowable </w:t>
            </w:r>
            <w:r>
              <w:rPr>
                <w:noProof/>
                <w:sz w:val="18"/>
                <w:szCs w:val="18"/>
              </w:rPr>
              <w:t>Catch</w:t>
            </w:r>
          </w:p>
        </w:tc>
      </w:tr>
      <w:tr w:rsidR="00046CF8">
        <w:tc>
          <w:tcPr>
            <w:tcW w:w="2660" w:type="dxa"/>
            <w:tcBorders>
              <w:top w:val="double" w:sz="4" w:space="0" w:color="auto"/>
            </w:tcBorders>
            <w:tcMar>
              <w:top w:w="85" w:type="dxa"/>
              <w:left w:w="57" w:type="dxa"/>
              <w:bottom w:w="85" w:type="dxa"/>
              <w:right w:w="57" w:type="dxa"/>
            </w:tcMar>
          </w:tcPr>
          <w:p w:rsidR="00046CF8" w:rsidRDefault="003561C2">
            <w:pPr>
              <w:rPr>
                <w:noProof/>
                <w:sz w:val="18"/>
                <w:szCs w:val="18"/>
              </w:rPr>
            </w:pPr>
            <w:r>
              <w:rPr>
                <w:noProof/>
                <w:sz w:val="18"/>
                <w:szCs w:val="18"/>
              </w:rPr>
              <w:t>Blue Economy</w:t>
            </w:r>
          </w:p>
        </w:tc>
        <w:tc>
          <w:tcPr>
            <w:tcW w:w="6174" w:type="dxa"/>
            <w:tcBorders>
              <w:top w:val="double" w:sz="4" w:space="0" w:color="auto"/>
            </w:tcBorders>
            <w:tcMar>
              <w:top w:w="85" w:type="dxa"/>
              <w:left w:w="57" w:type="dxa"/>
              <w:bottom w:w="85" w:type="dxa"/>
              <w:right w:w="57" w:type="dxa"/>
            </w:tcMar>
          </w:tcPr>
          <w:p w:rsidR="00046CF8" w:rsidRDefault="003561C2">
            <w:pPr>
              <w:jc w:val="both"/>
              <w:rPr>
                <w:noProof/>
                <w:sz w:val="18"/>
                <w:szCs w:val="18"/>
              </w:rPr>
            </w:pPr>
            <w:r>
              <w:rPr>
                <w:noProof/>
                <w:sz w:val="18"/>
                <w:szCs w:val="18"/>
              </w:rPr>
              <w:t xml:space="preserve">Blue Economy refers to all sectoral and cross-sectoral economic activities related to oceans, seas and coasts including the Union's Outermost Regions and landlocked countries. The established sectors comprises bioeconomy, marine </w:t>
            </w:r>
            <w:r>
              <w:rPr>
                <w:noProof/>
                <w:sz w:val="18"/>
                <w:szCs w:val="18"/>
              </w:rPr>
              <w:t xml:space="preserve">extraction of oil </w:t>
            </w:r>
            <w:r>
              <w:rPr>
                <w:noProof/>
                <w:sz w:val="18"/>
                <w:szCs w:val="18"/>
              </w:rPr>
              <w:lastRenderedPageBreak/>
              <w:t>and gas, ports, warehousing and water projects, shipbuilding and repair, maritime transport and coastal tourism. This includes direct and indirect activities contributing to the sustainable functioning and development of these economic se</w:t>
            </w:r>
            <w:r>
              <w:rPr>
                <w:noProof/>
                <w:sz w:val="18"/>
                <w:szCs w:val="18"/>
              </w:rPr>
              <w:t>ctors throughout the single market. It also includes emerging sectors as well as economic value based on natural capital and non-market goods and services. Emerging sectors include renewable energy, blue biotechnology, deep-sea mining, desalination, coasta</w:t>
            </w:r>
            <w:r>
              <w:rPr>
                <w:noProof/>
                <w:sz w:val="18"/>
                <w:szCs w:val="18"/>
              </w:rPr>
              <w:t>l and environmental protection, defence and security, marine research and education and ecosystem services.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lastRenderedPageBreak/>
              <w:t>Maritime Policy</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Maritime Policy refers to a Union policy whose aim is to foster integrated and coherent decision-making to maximise the sustainable</w:t>
            </w:r>
            <w:r>
              <w:rPr>
                <w:noProof/>
                <w:sz w:val="18"/>
                <w:szCs w:val="18"/>
              </w:rPr>
              <w:t xml:space="preserve"> development, economic growth and social cohesion of the Union, and notably the coastal, insular and outermost regions in the Union, as well as blue economy sectors, through coherent maritime-related policies and relevant international cooperation.</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Integr</w:t>
            </w:r>
            <w:r>
              <w:rPr>
                <w:noProof/>
                <w:sz w:val="18"/>
                <w:szCs w:val="18"/>
              </w:rPr>
              <w:t>ated maritime surveillance (IMS)</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 xml:space="preserve">Integrated maritime surveillance refers to a Union initiative aimed at enhancing effectiveness and efficiency in surveillance activities in respect of the European seas through information exchange and collaboration across </w:t>
            </w:r>
            <w:r>
              <w:rPr>
                <w:noProof/>
                <w:sz w:val="18"/>
                <w:szCs w:val="18"/>
              </w:rPr>
              <w:t>sectors and borders.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International Ocean Governance</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An EU initiative to improve the framework of international and regional processes, agreements, rules and institutions through a coherent cross-sectorial and rules based approach to ensure oceans are heal</w:t>
            </w:r>
            <w:r>
              <w:rPr>
                <w:noProof/>
                <w:sz w:val="18"/>
                <w:szCs w:val="18"/>
              </w:rPr>
              <w:t>thy, productive, safe, secure and resilient.</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Coast Guard</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 xml:space="preserve">Coast Guard refers to national authorities performing Coast Guard functions, which are: maritime safety (including vessel traffic management); maritime security; maritime customs activities; </w:t>
            </w:r>
            <w:r>
              <w:rPr>
                <w:noProof/>
                <w:sz w:val="18"/>
                <w:szCs w:val="18"/>
              </w:rPr>
              <w:t>prevention and suppression of trafficking and smuggling and connected maritime law enforcement; maritime border control; maritime surveillance; protection of marine environment and response; search and rescue; accident and disaster response; fisheries cont</w:t>
            </w:r>
            <w:r>
              <w:rPr>
                <w:noProof/>
                <w:sz w:val="18"/>
                <w:szCs w:val="18"/>
              </w:rPr>
              <w:t>rol; and other activities related to the above functions.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 xml:space="preserve">Common information sharing environment (CISE) </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 xml:space="preserve">Common information sharing environment means a network of systems with a decentralised set-up developed for the exchange of information between users </w:t>
            </w:r>
            <w:r>
              <w:rPr>
                <w:noProof/>
                <w:sz w:val="18"/>
                <w:szCs w:val="18"/>
              </w:rPr>
              <w:t>in order to improve their situational awareness of activities at sea.</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European marine observation and data network (EMODNET)</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European marine observation and data network refers to a network that integrates relevant national marine observation and data pro</w:t>
            </w:r>
            <w:r>
              <w:rPr>
                <w:noProof/>
                <w:sz w:val="18"/>
                <w:szCs w:val="18"/>
              </w:rPr>
              <w:t>grammes and make all data, metadata and products quality assured and standardised available, free of restrictions on use into a common and accessible European resource</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Maritime Spatial Planning (MSP)</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 xml:space="preserve">Maritime Spatial Planning refers to a process by which </w:t>
            </w:r>
            <w:r>
              <w:rPr>
                <w:noProof/>
                <w:sz w:val="18"/>
                <w:szCs w:val="18"/>
              </w:rPr>
              <w:t>the relevant Member State’s authorities analyse and organise human activities in marine areas in order to achieve ecological, economic and social objectives; working across borders.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Sea Basin Strategy (SBS)</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Sea Basin Strategy refers to an integrated frame</w:t>
            </w:r>
            <w:r>
              <w:rPr>
                <w:noProof/>
                <w:sz w:val="18"/>
                <w:szCs w:val="18"/>
              </w:rPr>
              <w:t>work to address common marine and maritime challenges faced by Member States and where appropriate third countries located in a sea basin (or in one or more sub-sea basins) promoting cooperation and coordination amongst the relevant countries in order to a</w:t>
            </w:r>
            <w:r>
              <w:rPr>
                <w:noProof/>
                <w:sz w:val="18"/>
                <w:szCs w:val="18"/>
              </w:rPr>
              <w:t>chieve economic, social and territorial cohesion. It is developed with the initiative by the Commission in cooperation with the Countries concerned and their regions and other stakeholders as appropriate and it may be supported by the European Structural a</w:t>
            </w:r>
            <w:r>
              <w:rPr>
                <w:noProof/>
                <w:sz w:val="18"/>
                <w:szCs w:val="18"/>
              </w:rPr>
              <w:t>nd Investment Funds among other financing sources.</w:t>
            </w:r>
          </w:p>
        </w:tc>
      </w:tr>
      <w:tr w:rsidR="00046CF8">
        <w:tc>
          <w:tcPr>
            <w:tcW w:w="2660" w:type="dxa"/>
            <w:tcMar>
              <w:top w:w="85" w:type="dxa"/>
              <w:left w:w="57" w:type="dxa"/>
              <w:bottom w:w="85" w:type="dxa"/>
              <w:right w:w="57" w:type="dxa"/>
            </w:tcMar>
          </w:tcPr>
          <w:p w:rsidR="00046CF8" w:rsidRDefault="003561C2">
            <w:pPr>
              <w:rPr>
                <w:noProof/>
                <w:sz w:val="18"/>
                <w:szCs w:val="18"/>
              </w:rPr>
            </w:pPr>
            <w:r>
              <w:rPr>
                <w:noProof/>
                <w:sz w:val="18"/>
                <w:szCs w:val="18"/>
              </w:rPr>
              <w:t>Sustainable management of marine resources</w:t>
            </w:r>
          </w:p>
        </w:tc>
        <w:tc>
          <w:tcPr>
            <w:tcW w:w="6174" w:type="dxa"/>
            <w:tcMar>
              <w:top w:w="85" w:type="dxa"/>
              <w:left w:w="57" w:type="dxa"/>
              <w:bottom w:w="85" w:type="dxa"/>
              <w:right w:w="57" w:type="dxa"/>
            </w:tcMar>
          </w:tcPr>
          <w:p w:rsidR="00046CF8" w:rsidRDefault="003561C2">
            <w:pPr>
              <w:jc w:val="both"/>
              <w:rPr>
                <w:noProof/>
                <w:sz w:val="18"/>
                <w:szCs w:val="18"/>
              </w:rPr>
            </w:pPr>
            <w:r>
              <w:rPr>
                <w:noProof/>
                <w:sz w:val="18"/>
                <w:szCs w:val="18"/>
              </w:rPr>
              <w:t xml:space="preserve">Sustainable management of marine resources means </w:t>
            </w:r>
            <w:r>
              <w:rPr>
                <w:noProof/>
                <w:color w:val="231F20"/>
                <w:sz w:val="18"/>
                <w:szCs w:val="18"/>
                <w:lang w:val="en"/>
              </w:rPr>
              <w:t>management practices that meet the needs of the present without compromising the ability of future generations t</w:t>
            </w:r>
            <w:r>
              <w:rPr>
                <w:noProof/>
                <w:color w:val="231F20"/>
                <w:sz w:val="18"/>
                <w:szCs w:val="18"/>
                <w:lang w:val="en"/>
              </w:rPr>
              <w:t>o meet their own needs.</w:t>
            </w:r>
          </w:p>
        </w:tc>
      </w:tr>
    </w:tbl>
    <w:p w:rsidR="00046CF8" w:rsidRDefault="00046CF8">
      <w:pPr>
        <w:spacing w:after="0"/>
        <w:jc w:val="center"/>
        <w:rPr>
          <w:rFonts w:ascii="Times New Roman" w:hAnsi="Times New Roman" w:cs="Times New Roman"/>
          <w:b/>
          <w:noProof/>
          <w:sz w:val="28"/>
          <w:szCs w:val="28"/>
        </w:rPr>
      </w:pPr>
    </w:p>
    <w:p w:rsidR="00046CF8" w:rsidRDefault="003561C2">
      <w:pPr>
        <w:rPr>
          <w:rFonts w:ascii="Times New Roman" w:hAnsi="Times New Roman" w:cs="Times New Roman"/>
          <w:b/>
          <w:noProof/>
          <w:sz w:val="28"/>
          <w:szCs w:val="28"/>
        </w:rPr>
      </w:pPr>
      <w:r>
        <w:rPr>
          <w:rFonts w:ascii="Times New Roman" w:hAnsi="Times New Roman" w:cs="Times New Roman"/>
          <w:b/>
          <w:noProof/>
          <w:sz w:val="28"/>
          <w:szCs w:val="28"/>
        </w:rPr>
        <w:br w:type="page"/>
      </w:r>
    </w:p>
    <w:p w:rsidR="00046CF8" w:rsidRDefault="00046CF8">
      <w:pPr>
        <w:spacing w:after="0"/>
        <w:jc w:val="center"/>
        <w:rPr>
          <w:rFonts w:ascii="Times New Roman" w:hAnsi="Times New Roman" w:cs="Times New Roman"/>
          <w:b/>
          <w:noProof/>
          <w:sz w:val="28"/>
          <w:szCs w:val="28"/>
        </w:rPr>
      </w:pPr>
    </w:p>
    <w:p w:rsidR="00046CF8" w:rsidRDefault="003561C2">
      <w:pPr>
        <w:pStyle w:val="Heading1"/>
        <w:rPr>
          <w:noProof/>
        </w:rPr>
      </w:pPr>
      <w:bookmarkStart w:id="1" w:name="_Toc514503163"/>
      <w:bookmarkStart w:id="2" w:name="_Toc514507414"/>
      <w:r>
        <w:rPr>
          <w:noProof/>
        </w:rPr>
        <w:t>Introduction: Political and legal context</w:t>
      </w:r>
      <w:bookmarkEnd w:id="1"/>
      <w:bookmarkEnd w:id="2"/>
    </w:p>
    <w:p w:rsidR="00046CF8" w:rsidRDefault="003561C2">
      <w:pPr>
        <w:pStyle w:val="Heading2"/>
        <w:rPr>
          <w:noProof/>
          <w:szCs w:val="24"/>
        </w:rPr>
      </w:pPr>
      <w:bookmarkStart w:id="3" w:name="_Toc514503164"/>
      <w:r>
        <w:rPr>
          <w:noProof/>
          <w:szCs w:val="24"/>
        </w:rPr>
        <w:t>Scope and context</w:t>
      </w:r>
      <w:bookmarkEnd w:id="3"/>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This impact assessment covers future funding for fisheries, blue growth/maritime policies and international ocean governance. Such funding is a key enabler for implementing the CFP, for promoting an innovative and sustainable blue economy and for deliverin</w:t>
      </w:r>
      <w:r>
        <w:rPr>
          <w:rFonts w:ascii="Times New Roman" w:hAnsi="Times New Roman" w:cs="Times New Roman"/>
          <w:noProof/>
          <w:sz w:val="24"/>
          <w:szCs w:val="24"/>
        </w:rPr>
        <w:t xml:space="preserve">g on commitments on global processes.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As a global ocean actor and the world's fifth largest producer of seafood, the European Union has a responsibility to protect, conserve and sustainably use the oceans and their resources. Reducing the pressure on our</w:t>
      </w:r>
      <w:r>
        <w:rPr>
          <w:rFonts w:ascii="Times New Roman" w:hAnsi="Times New Roman" w:cs="Times New Roman"/>
          <w:noProof/>
          <w:sz w:val="24"/>
          <w:szCs w:val="24"/>
        </w:rPr>
        <w:t xml:space="preserve"> oceans would also be in our own socio-economic interest</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In 2016 Europe's blue economy</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was estimated at EUR 174.2 billion of gross value added and 3.48 million jobs – with potential for further growth in the years to come. The European Parliament has is</w:t>
      </w:r>
      <w:r>
        <w:rPr>
          <w:rFonts w:ascii="Times New Roman" w:hAnsi="Times New Roman" w:cs="Times New Roman"/>
          <w:noProof/>
          <w:sz w:val="24"/>
          <w:szCs w:val="24"/>
        </w:rPr>
        <w:t>sued a number of reports and opinions both on the EMFF and on how blue growth, maritime policy and the CFP should be financed through the EU’s budget</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and stresses that seas and oceans are powerful drivers of the European economy with significant potential</w:t>
      </w:r>
      <w:r>
        <w:rPr>
          <w:rFonts w:ascii="Times New Roman" w:hAnsi="Times New Roman" w:cs="Times New Roman"/>
          <w:noProof/>
          <w:sz w:val="24"/>
          <w:szCs w:val="24"/>
        </w:rPr>
        <w:t xml:space="preserve"> as regard innovation, growth and jobs. Furthermore, Europeans consistently point to security and safety as a top priority for their Union. Leaders have also called for stronger external borders as a precondition for lifting internal borders</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taking into a</w:t>
      </w:r>
      <w:r>
        <w:rPr>
          <w:rFonts w:ascii="Times New Roman" w:hAnsi="Times New Roman" w:cs="Times New Roman"/>
          <w:noProof/>
          <w:sz w:val="24"/>
          <w:szCs w:val="24"/>
        </w:rPr>
        <w:t xml:space="preserve">ccount the interagency cooperation on Boarder and Coast Guard set up in 2017. In addition, the Commission reflection paper on the future of EU finances points to the fact that security and safety threats also concern other areas, such as the protection of </w:t>
      </w:r>
      <w:r>
        <w:rPr>
          <w:rFonts w:ascii="Times New Roman" w:hAnsi="Times New Roman" w:cs="Times New Roman"/>
          <w:noProof/>
          <w:sz w:val="24"/>
          <w:szCs w:val="24"/>
        </w:rPr>
        <w:t>resilient food chains</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During the 2014-2020 period funding for fisheries and maritime policies has been provided through the European Maritime and Fisheries Fund (EMFF). The EMFF is one of the European Investment and Structural Funds (ESIFs). The other ES</w:t>
      </w:r>
      <w:r>
        <w:rPr>
          <w:rFonts w:ascii="Times New Roman" w:hAnsi="Times New Roman" w:cs="Times New Roman"/>
          <w:noProof/>
          <w:sz w:val="24"/>
          <w:szCs w:val="24"/>
        </w:rPr>
        <w:t>IFs are the European Regional Development Fund (ERDF), the Cohesion Fund (CF), the European Social Fund (ESF) and the European Agricultural Fund for Rural Development (EAFRD). The Common Provisions Regulation (CPR) provides a common legal basis for all ESI</w:t>
      </w:r>
      <w:r>
        <w:rPr>
          <w:rFonts w:ascii="Times New Roman" w:hAnsi="Times New Roman" w:cs="Times New Roman"/>
          <w:noProof/>
          <w:sz w:val="24"/>
          <w:szCs w:val="24"/>
        </w:rPr>
        <w:t xml:space="preserve">Fs in addition to fund-specific rules set out in fund-specific regulations.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This IA report analyses various ways to address these challenges through future funding for fisheries, blue growth/maritime policies and international ocean governance. It satisfi</w:t>
      </w:r>
      <w:r>
        <w:rPr>
          <w:rFonts w:ascii="Times New Roman" w:hAnsi="Times New Roman" w:cs="Times New Roman"/>
          <w:noProof/>
          <w:sz w:val="24"/>
          <w:szCs w:val="24"/>
        </w:rPr>
        <w:t xml:space="preserve">es the requirements of the Financial Regulation in respect of preparing an ex-ante </w:t>
      </w:r>
      <w:r>
        <w:rPr>
          <w:rFonts w:ascii="Times New Roman" w:hAnsi="Times New Roman" w:cs="Times New Roman"/>
          <w:noProof/>
          <w:sz w:val="24"/>
          <w:szCs w:val="24"/>
        </w:rPr>
        <w:lastRenderedPageBreak/>
        <w:t>evaluation. On 2 May 2018, the European Commission adopted its proposals for a new Multiannual Financial Framework (MFF) for 2021-2027</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Under these proposals, the</w:t>
      </w:r>
      <w:r>
        <w:rPr>
          <w:noProof/>
        </w:rPr>
        <w:t xml:space="preserve"> </w:t>
      </w:r>
      <w:r>
        <w:rPr>
          <w:rFonts w:ascii="Times New Roman" w:hAnsi="Times New Roman" w:cs="Times New Roman"/>
          <w:noProof/>
          <w:sz w:val="24"/>
          <w:szCs w:val="24"/>
        </w:rPr>
        <w:t xml:space="preserve">European </w:t>
      </w:r>
      <w:r>
        <w:rPr>
          <w:rFonts w:ascii="Times New Roman" w:hAnsi="Times New Roman" w:cs="Times New Roman"/>
          <w:noProof/>
          <w:sz w:val="24"/>
          <w:szCs w:val="24"/>
        </w:rPr>
        <w:t>Maritime and Fisheries Fund will have a budget of EUR million 6.140 in current prices over this period.</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918479" cy="63706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19470" cy="6371722"/>
                    </a:xfrm>
                    <a:prstGeom prst="rect">
                      <a:avLst/>
                    </a:prstGeom>
                    <a:noFill/>
                  </pic:spPr>
                </pic:pic>
              </a:graphicData>
            </a:graphic>
          </wp:inline>
        </w:drawing>
      </w:r>
    </w:p>
    <w:p w:rsidR="00046CF8" w:rsidRDefault="003561C2">
      <w:pPr>
        <w:pStyle w:val="Heading2"/>
        <w:rPr>
          <w:noProof/>
        </w:rPr>
      </w:pPr>
      <w:bookmarkStart w:id="4" w:name="_Toc514503165"/>
      <w:r>
        <w:rPr>
          <w:noProof/>
        </w:rPr>
        <w:lastRenderedPageBreak/>
        <w:t>Lessons learned from previous programmes</w:t>
      </w:r>
      <w:bookmarkEnd w:id="4"/>
    </w:p>
    <w:p w:rsidR="00046CF8" w:rsidRDefault="003561C2">
      <w:pPr>
        <w:pStyle w:val="Text1"/>
        <w:ind w:left="0"/>
        <w:rPr>
          <w:noProof/>
        </w:rPr>
      </w:pPr>
      <w:r>
        <w:rPr>
          <w:noProof/>
        </w:rPr>
        <w:t>During 2007-2013, European fisheries policy was supported through the European Fisheries Fund (EFF)</w:t>
      </w:r>
      <w:r>
        <w:rPr>
          <w:rStyle w:val="FootnoteReference"/>
          <w:noProof/>
        </w:rPr>
        <w:footnoteReference w:id="8"/>
      </w:r>
      <w:r>
        <w:rPr>
          <w:noProof/>
        </w:rPr>
        <w:t>. The res</w:t>
      </w:r>
      <w:r>
        <w:rPr>
          <w:noProof/>
        </w:rPr>
        <w:t>ults of the EFF were mixed</w:t>
      </w:r>
      <w:r>
        <w:rPr>
          <w:rStyle w:val="FootnoteReference"/>
          <w:noProof/>
        </w:rPr>
        <w:footnoteReference w:id="9"/>
      </w:r>
      <w:r>
        <w:rPr>
          <w:noProof/>
        </w:rPr>
        <w:t>. First, and perhaps most importantly, it contributed to an important reduction in the capacity of the EU fleet. For example, between 2007 and 2015, the capacity of the EU fishing fleet decreased by 17.5% (in gross tonnage), of w</w:t>
      </w:r>
      <w:r>
        <w:rPr>
          <w:noProof/>
        </w:rPr>
        <w:t>hich more than half (53%) was removed with support from the EFF. Thus, nearly 10% of the EU fleet capacity was removed with the help of the EFF. This also resulted in a 9% decrease of engine power. This reduction in fleet capacity together with other measu</w:t>
      </w:r>
      <w:r>
        <w:rPr>
          <w:noProof/>
        </w:rPr>
        <w:t xml:space="preserve">res contributed to a more sustainable exploitation of fish resources, although the main driver for that development are responsible fisheries management decisions. </w:t>
      </w:r>
    </w:p>
    <w:p w:rsidR="00046CF8" w:rsidRDefault="003561C2">
      <w:pPr>
        <w:spacing w:after="0"/>
        <w:jc w:val="both"/>
        <w:rPr>
          <w:rFonts w:ascii="Times New Roman" w:hAnsi="Times New Roman" w:cs="Times New Roman"/>
          <w:noProof/>
          <w:sz w:val="24"/>
          <w:szCs w:val="24"/>
        </w:rPr>
      </w:pPr>
      <w:r>
        <w:rPr>
          <w:rFonts w:ascii="Times New Roman" w:hAnsi="Times New Roman" w:cs="Times New Roman"/>
          <w:noProof/>
          <w:sz w:val="24"/>
          <w:szCs w:val="24"/>
        </w:rPr>
        <w:t>However, there were also challenges in the implementation and the ex-post evaluation of the</w:t>
      </w:r>
      <w:r>
        <w:rPr>
          <w:rFonts w:ascii="Times New Roman" w:hAnsi="Times New Roman" w:cs="Times New Roman"/>
          <w:noProof/>
          <w:sz w:val="24"/>
          <w:szCs w:val="24"/>
        </w:rPr>
        <w:t xml:space="preserve"> EFF</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concluded that there was scope for improvement:</w:t>
      </w:r>
    </w:p>
    <w:p w:rsidR="00046CF8" w:rsidRDefault="00046CF8">
      <w:pPr>
        <w:spacing w:after="0"/>
        <w:jc w:val="both"/>
        <w:rPr>
          <w:rFonts w:ascii="Times New Roman" w:hAnsi="Times New Roman" w:cs="Times New Roman"/>
          <w:noProof/>
          <w:sz w:val="16"/>
          <w:szCs w:val="16"/>
        </w:rPr>
      </w:pP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spacing w:after="0"/>
              <w:contextualSpacing/>
              <w:jc w:val="both"/>
              <w:rPr>
                <w:rFonts w:ascii="Times New Roman" w:hAnsi="Times New Roman"/>
                <w:b/>
                <w:noProof/>
                <w:sz w:val="24"/>
                <w:szCs w:val="24"/>
              </w:rPr>
            </w:pPr>
            <w:r>
              <w:rPr>
                <w:rFonts w:ascii="Times New Roman" w:hAnsi="Times New Roman"/>
                <w:b/>
                <w:noProof/>
                <w:sz w:val="24"/>
                <w:szCs w:val="24"/>
              </w:rPr>
              <w:t>EFF-ex post evaluation – key conclusions and recommendations</w:t>
            </w:r>
          </w:p>
          <w:p w:rsidR="00046CF8" w:rsidRDefault="00046CF8">
            <w:pPr>
              <w:spacing w:before="0" w:after="0"/>
              <w:contextualSpacing/>
              <w:jc w:val="both"/>
              <w:rPr>
                <w:rFonts w:ascii="Times New Roman" w:hAnsi="Times New Roman"/>
                <w:noProof/>
              </w:rPr>
            </w:pPr>
          </w:p>
          <w:p w:rsidR="00046CF8" w:rsidRDefault="003561C2">
            <w:pPr>
              <w:numPr>
                <w:ilvl w:val="0"/>
                <w:numId w:val="4"/>
              </w:numPr>
              <w:spacing w:before="0" w:after="0"/>
              <w:contextualSpacing/>
              <w:jc w:val="both"/>
              <w:rPr>
                <w:rFonts w:ascii="Times New Roman" w:hAnsi="Times New Roman"/>
                <w:noProof/>
                <w:sz w:val="24"/>
                <w:szCs w:val="24"/>
              </w:rPr>
            </w:pPr>
            <w:r>
              <w:rPr>
                <w:rFonts w:ascii="Times New Roman" w:hAnsi="Times New Roman"/>
                <w:noProof/>
                <w:sz w:val="24"/>
                <w:szCs w:val="24"/>
              </w:rPr>
              <w:t xml:space="preserve">It is necessary to improve the link between funding and policy objectives, the sustainable exploitation of fisheries as well as the </w:t>
            </w:r>
            <w:r>
              <w:rPr>
                <w:rFonts w:ascii="Times New Roman" w:hAnsi="Times New Roman"/>
                <w:noProof/>
                <w:sz w:val="24"/>
                <w:szCs w:val="24"/>
              </w:rPr>
              <w:t>protection and enhancement of the environment and natural resources (minimising the negative impacts on the marine environment). A key issue is to improve conditionalities for fleet measures so that conservation objectives are better achieved.  Fleet measu</w:t>
            </w:r>
            <w:r>
              <w:rPr>
                <w:rFonts w:ascii="Times New Roman" w:hAnsi="Times New Roman"/>
                <w:noProof/>
                <w:sz w:val="24"/>
                <w:szCs w:val="24"/>
              </w:rPr>
              <w:t>res in the EFF did not deliver good results because of low level of targeting. There was no proof that scrapping schemes were always applied to the fleet segments that were most unbalanced. There was also a lack of sufficient conditionality for granting th</w:t>
            </w:r>
            <w:r>
              <w:rPr>
                <w:rFonts w:ascii="Times New Roman" w:hAnsi="Times New Roman"/>
                <w:noProof/>
                <w:sz w:val="24"/>
                <w:szCs w:val="24"/>
              </w:rPr>
              <w:t xml:space="preserve">e aid, which did not prevent re-introduction of capacity through vessel modernisation. Finally, there was no linkage between permanent cessation and fleet capacity objectives of the concerned segments. After scrapping, nothing prevented overcapacity to be </w:t>
            </w:r>
            <w:r>
              <w:rPr>
                <w:rFonts w:ascii="Times New Roman" w:hAnsi="Times New Roman"/>
                <w:noProof/>
                <w:sz w:val="24"/>
                <w:szCs w:val="24"/>
              </w:rPr>
              <w:t>rebuilt in a given fleet segment because national fleet capacity objectives were in some cases global, not segmented.</w:t>
            </w:r>
          </w:p>
          <w:p w:rsidR="00046CF8" w:rsidRDefault="00046CF8">
            <w:pPr>
              <w:spacing w:before="0" w:after="0"/>
              <w:jc w:val="both"/>
              <w:rPr>
                <w:rFonts w:ascii="Times New Roman" w:hAnsi="Times New Roman"/>
                <w:noProof/>
              </w:rPr>
            </w:pPr>
          </w:p>
          <w:p w:rsidR="00046CF8" w:rsidRDefault="003561C2">
            <w:pPr>
              <w:pStyle w:val="ListParagraph"/>
              <w:numPr>
                <w:ilvl w:val="0"/>
                <w:numId w:val="4"/>
              </w:numPr>
              <w:spacing w:before="0" w:after="0"/>
              <w:jc w:val="both"/>
              <w:rPr>
                <w:rFonts w:ascii="Times New Roman" w:hAnsi="Times New Roman"/>
                <w:noProof/>
                <w:sz w:val="24"/>
                <w:szCs w:val="24"/>
              </w:rPr>
            </w:pPr>
            <w:r>
              <w:rPr>
                <w:rFonts w:ascii="Times New Roman" w:hAnsi="Times New Roman"/>
                <w:noProof/>
                <w:sz w:val="24"/>
                <w:szCs w:val="24"/>
              </w:rPr>
              <w:t xml:space="preserve">EFF funding did increase the productivity of the EU aquaculture, but this must be seen in the light of the effects of the financial </w:t>
            </w:r>
            <w:r>
              <w:rPr>
                <w:rFonts w:ascii="Times New Roman" w:hAnsi="Times New Roman"/>
                <w:noProof/>
                <w:sz w:val="24"/>
                <w:szCs w:val="24"/>
              </w:rPr>
              <w:t>crisis on investment and modernisation during the funding period. There is a widespread view that EFF funding was essential during this difficult period from 2008 onwards that reduced investment and borrowing activity in the aquaculture sector. However, al</w:t>
            </w:r>
            <w:r>
              <w:rPr>
                <w:rFonts w:ascii="Times New Roman" w:hAnsi="Times New Roman"/>
                <w:noProof/>
                <w:sz w:val="24"/>
                <w:szCs w:val="24"/>
              </w:rPr>
              <w:t>though the aquaculture measure was designed to foster innovation, EFF funding was rarely used for this purpose. Future support should maintain and increase the focus on innovation and environmentally sustainable solutions.</w:t>
            </w:r>
          </w:p>
          <w:p w:rsidR="00046CF8" w:rsidRDefault="00046CF8">
            <w:pPr>
              <w:pStyle w:val="ListParagraph"/>
              <w:spacing w:after="0"/>
              <w:jc w:val="both"/>
              <w:rPr>
                <w:rFonts w:ascii="Times New Roman" w:hAnsi="Times New Roman"/>
                <w:noProof/>
              </w:rPr>
            </w:pPr>
          </w:p>
          <w:p w:rsidR="00046CF8" w:rsidRDefault="003561C2">
            <w:pPr>
              <w:pStyle w:val="ListParagraph"/>
              <w:numPr>
                <w:ilvl w:val="0"/>
                <w:numId w:val="4"/>
              </w:numPr>
              <w:spacing w:before="0" w:after="0"/>
              <w:jc w:val="both"/>
              <w:rPr>
                <w:rFonts w:ascii="Times New Roman" w:hAnsi="Times New Roman"/>
                <w:noProof/>
                <w:sz w:val="24"/>
                <w:szCs w:val="24"/>
              </w:rPr>
            </w:pPr>
            <w:r>
              <w:rPr>
                <w:rFonts w:ascii="Times New Roman" w:hAnsi="Times New Roman"/>
                <w:noProof/>
                <w:sz w:val="24"/>
                <w:szCs w:val="24"/>
              </w:rPr>
              <w:t>Support to processing and market</w:t>
            </w:r>
            <w:r>
              <w:rPr>
                <w:rFonts w:ascii="Times New Roman" w:hAnsi="Times New Roman"/>
                <w:noProof/>
                <w:sz w:val="24"/>
                <w:szCs w:val="24"/>
              </w:rPr>
              <w:t xml:space="preserve">ing contributed to foster and accelerate the modernisation of the industry. The results in terms of innovation and the </w:t>
            </w:r>
            <w:r>
              <w:rPr>
                <w:rFonts w:ascii="Times New Roman" w:hAnsi="Times New Roman"/>
                <w:noProof/>
                <w:sz w:val="24"/>
                <w:szCs w:val="24"/>
              </w:rPr>
              <w:lastRenderedPageBreak/>
              <w:t>development of niche markets are less clear. Future support should maintain and increase the focus on innovation and environmentally sust</w:t>
            </w:r>
            <w:r>
              <w:rPr>
                <w:rFonts w:ascii="Times New Roman" w:hAnsi="Times New Roman"/>
                <w:noProof/>
                <w:sz w:val="24"/>
                <w:szCs w:val="24"/>
              </w:rPr>
              <w:t>ainable solutions.</w:t>
            </w:r>
          </w:p>
          <w:p w:rsidR="00046CF8" w:rsidRDefault="00046CF8">
            <w:pPr>
              <w:spacing w:before="0" w:after="0"/>
              <w:ind w:left="360"/>
              <w:jc w:val="both"/>
              <w:rPr>
                <w:rFonts w:ascii="Times New Roman" w:hAnsi="Times New Roman"/>
                <w:noProof/>
              </w:rPr>
            </w:pPr>
          </w:p>
          <w:p w:rsidR="00046CF8" w:rsidRDefault="003561C2">
            <w:pPr>
              <w:pStyle w:val="ListParagraph"/>
              <w:numPr>
                <w:ilvl w:val="0"/>
                <w:numId w:val="10"/>
              </w:numPr>
              <w:spacing w:before="0" w:after="0"/>
              <w:jc w:val="both"/>
              <w:rPr>
                <w:rFonts w:ascii="Times New Roman" w:hAnsi="Times New Roman"/>
                <w:noProof/>
                <w:sz w:val="24"/>
                <w:szCs w:val="24"/>
              </w:rPr>
            </w:pPr>
            <w:r>
              <w:rPr>
                <w:rFonts w:ascii="Times New Roman" w:hAnsi="Times New Roman"/>
                <w:noProof/>
                <w:sz w:val="24"/>
                <w:szCs w:val="24"/>
              </w:rPr>
              <w:t>The EFF included a measure specifically targeting the small scale coastal fleet (SSCF)</w:t>
            </w:r>
            <w:r>
              <w:rPr>
                <w:rStyle w:val="FootnoteReference"/>
                <w:rFonts w:ascii="Times New Roman" w:hAnsi="Times New Roman"/>
                <w:noProof/>
                <w:sz w:val="24"/>
                <w:szCs w:val="24"/>
              </w:rPr>
              <w:footnoteReference w:id="11"/>
            </w:r>
            <w:r>
              <w:rPr>
                <w:rFonts w:ascii="Times New Roman" w:hAnsi="Times New Roman"/>
                <w:noProof/>
                <w:sz w:val="24"/>
                <w:szCs w:val="24"/>
              </w:rPr>
              <w:t>. However, this support only accounted for 2% of spending with only EE, PL and FI spending 10% or more of total fisheries on this measure while 16 Me</w:t>
            </w:r>
            <w:r>
              <w:rPr>
                <w:rFonts w:ascii="Times New Roman" w:hAnsi="Times New Roman"/>
                <w:noProof/>
                <w:sz w:val="24"/>
                <w:szCs w:val="24"/>
              </w:rPr>
              <w:t xml:space="preserve">mber States did not it at all, i.e. GR which has the highest share of SSCF in the EU. The EFF did help to maintain numbers and employment in the small-scale fleet, but overall the viability of the small-scale fleet worsened during the EFF period. SSCF are </w:t>
            </w:r>
            <w:r>
              <w:rPr>
                <w:rFonts w:ascii="Times New Roman" w:hAnsi="Times New Roman"/>
                <w:noProof/>
                <w:sz w:val="24"/>
                <w:szCs w:val="24"/>
              </w:rPr>
              <w:t>faced with the same issues and have the same needs as the wider catching sector, but their ability to access funds can be constrained by access to credit and/or lack of organisation.</w:t>
            </w:r>
            <w:r>
              <w:rPr>
                <w:noProof/>
                <w:sz w:val="24"/>
                <w:szCs w:val="24"/>
              </w:rPr>
              <w:t xml:space="preserve"> </w:t>
            </w:r>
            <w:r>
              <w:rPr>
                <w:rFonts w:ascii="Times New Roman" w:hAnsi="Times New Roman"/>
                <w:noProof/>
                <w:sz w:val="24"/>
                <w:szCs w:val="24"/>
              </w:rPr>
              <w:t>For the future public support should be revisited and alternatives sought</w:t>
            </w:r>
            <w:r>
              <w:rPr>
                <w:rFonts w:ascii="Times New Roman" w:hAnsi="Times New Roman"/>
                <w:noProof/>
                <w:sz w:val="24"/>
                <w:szCs w:val="24"/>
              </w:rPr>
              <w:t xml:space="preserve"> to better support these fleets (specific measures, conditions with increased aid intensity).</w:t>
            </w:r>
          </w:p>
          <w:p w:rsidR="00046CF8" w:rsidRDefault="00046CF8">
            <w:pPr>
              <w:spacing w:before="0" w:after="0"/>
              <w:jc w:val="both"/>
              <w:rPr>
                <w:rFonts w:ascii="Times New Roman" w:hAnsi="Times New Roman"/>
                <w:noProof/>
              </w:rPr>
            </w:pPr>
          </w:p>
          <w:p w:rsidR="00046CF8" w:rsidRDefault="003561C2">
            <w:pPr>
              <w:pStyle w:val="ListParagraph"/>
              <w:numPr>
                <w:ilvl w:val="0"/>
                <w:numId w:val="10"/>
              </w:numPr>
              <w:spacing w:before="0" w:after="0"/>
              <w:rPr>
                <w:rFonts w:ascii="Times New Roman" w:hAnsi="Times New Roman"/>
                <w:noProof/>
                <w:sz w:val="24"/>
                <w:szCs w:val="24"/>
              </w:rPr>
            </w:pPr>
            <w:r>
              <w:rPr>
                <w:rFonts w:ascii="Times New Roman" w:hAnsi="Times New Roman"/>
                <w:noProof/>
                <w:sz w:val="24"/>
                <w:szCs w:val="24"/>
              </w:rPr>
              <w:t>The administrative burden associated with the delivery of the EFF was too high. At the application stage it acted as a disincentive for applying for support. Mor</w:t>
            </w:r>
            <w:r>
              <w:rPr>
                <w:rFonts w:ascii="Times New Roman" w:hAnsi="Times New Roman"/>
                <w:noProof/>
                <w:sz w:val="24"/>
                <w:szCs w:val="24"/>
              </w:rPr>
              <w:t>eover, the complexity of certain projects seemed to have created disincentives for potential beneficiaries, in particular in cases where a large network of partners where involved and where significant administrative and coordination capacity where needed.</w:t>
            </w:r>
            <w:r>
              <w:rPr>
                <w:rFonts w:ascii="Times New Roman" w:hAnsi="Times New Roman"/>
                <w:noProof/>
                <w:sz w:val="24"/>
                <w:szCs w:val="24"/>
              </w:rPr>
              <w:t xml:space="preserve"> Delays in project selection and payment disbursement also impacted on the efficiency of programme delivery. Additionally, the level of co-financing required was perceived as an issue, in particular for the most fragile categories of stakeholders. Public s</w:t>
            </w:r>
            <w:r>
              <w:rPr>
                <w:rFonts w:ascii="Times New Roman" w:hAnsi="Times New Roman"/>
                <w:noProof/>
                <w:sz w:val="24"/>
                <w:szCs w:val="24"/>
              </w:rPr>
              <w:t>upport should be focussed to ensure greater effectiveness and efficiency</w:t>
            </w:r>
          </w:p>
          <w:p w:rsidR="00046CF8" w:rsidRDefault="00046CF8">
            <w:pPr>
              <w:spacing w:before="0" w:after="0"/>
              <w:jc w:val="both"/>
              <w:rPr>
                <w:rFonts w:ascii="Times New Roman" w:hAnsi="Times New Roman"/>
                <w:noProof/>
              </w:rPr>
            </w:pPr>
          </w:p>
          <w:p w:rsidR="00046CF8" w:rsidRDefault="003561C2">
            <w:pPr>
              <w:pStyle w:val="ListParagraph"/>
              <w:numPr>
                <w:ilvl w:val="0"/>
                <w:numId w:val="10"/>
              </w:numPr>
              <w:spacing w:before="0" w:after="0"/>
              <w:jc w:val="both"/>
              <w:rPr>
                <w:rFonts w:ascii="Times New Roman" w:hAnsi="Times New Roman"/>
                <w:noProof/>
                <w:sz w:val="24"/>
                <w:szCs w:val="24"/>
              </w:rPr>
            </w:pPr>
            <w:r>
              <w:rPr>
                <w:rFonts w:ascii="Times New Roman" w:hAnsi="Times New Roman"/>
                <w:noProof/>
                <w:sz w:val="24"/>
                <w:szCs w:val="24"/>
              </w:rPr>
              <w:t xml:space="preserve">The lack of context, result and output indicators in the EFF increased the difficulty of the analysis of its impacts. Comprehensive sets of relevant (meaningful and useful) context, </w:t>
            </w:r>
            <w:r>
              <w:rPr>
                <w:rFonts w:ascii="Times New Roman" w:hAnsi="Times New Roman"/>
                <w:noProof/>
                <w:sz w:val="24"/>
                <w:szCs w:val="24"/>
              </w:rPr>
              <w:t>results and output indicators should thus be identified to monitor progress and to measure the impacts of public support. To ensure consistency these indicators should be harmonised across Member States.</w:t>
            </w:r>
          </w:p>
          <w:p w:rsidR="00046CF8" w:rsidRDefault="00046CF8">
            <w:pPr>
              <w:spacing w:before="0" w:after="0"/>
              <w:rPr>
                <w:rFonts w:ascii="Times New Roman" w:hAnsi="Times New Roman"/>
                <w:noProof/>
              </w:rPr>
            </w:pPr>
          </w:p>
        </w:tc>
      </w:tr>
    </w:tbl>
    <w:p w:rsidR="00046CF8" w:rsidRDefault="00046CF8">
      <w:pPr>
        <w:spacing w:after="0"/>
        <w:jc w:val="both"/>
        <w:rPr>
          <w:rFonts w:ascii="Times New Roman" w:hAnsi="Times New Roman" w:cs="Times New Roman"/>
          <w:noProof/>
          <w:sz w:val="16"/>
          <w:szCs w:val="16"/>
        </w:rPr>
      </w:pPr>
    </w:p>
    <w:p w:rsidR="00046CF8" w:rsidRDefault="003561C2">
      <w:pPr>
        <w:spacing w:after="12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evaluation of other financial tools </w:t>
      </w:r>
      <w:r>
        <w:rPr>
          <w:rFonts w:ascii="Times New Roman" w:hAnsi="Times New Roman" w:cs="Times New Roman"/>
          <w:noProof/>
          <w:sz w:val="24"/>
          <w:szCs w:val="24"/>
        </w:rPr>
        <w:t>in the area of fisheries (support to common market organisation and producer organisations, compensation schemes in outermost regions, funding of fisheries data collection and control) called for a rationalisation and streamlining of all funding aimed at s</w:t>
      </w:r>
      <w:r>
        <w:rPr>
          <w:rFonts w:ascii="Times New Roman" w:hAnsi="Times New Roman" w:cs="Times New Roman"/>
          <w:noProof/>
          <w:sz w:val="24"/>
          <w:szCs w:val="24"/>
        </w:rPr>
        <w:t xml:space="preserve">upporting the CFP, and alleviating the administrative burden of programmes directly managed by the Commission. It also became clear that increased efforts were needed in order to better address the key CFP challenges related to environmental, economic and </w:t>
      </w:r>
      <w:r>
        <w:rPr>
          <w:rFonts w:ascii="Times New Roman" w:hAnsi="Times New Roman" w:cs="Times New Roman"/>
          <w:noProof/>
          <w:sz w:val="24"/>
          <w:szCs w:val="24"/>
        </w:rPr>
        <w:t>social sustainability. Support to the outermost regions was not part of the EFF. However, the recent Commission Communication on a stronger and renewed partnership with the EU's outermost regions concludes that the progress towards a sustainable blue econo</w:t>
      </w:r>
      <w:r>
        <w:rPr>
          <w:rFonts w:ascii="Times New Roman" w:hAnsi="Times New Roman" w:cs="Times New Roman"/>
          <w:noProof/>
          <w:sz w:val="24"/>
          <w:szCs w:val="24"/>
        </w:rPr>
        <w:t>my in these regions is uneven and urges the outermost regions to set up strategic planning and investments in the form of blue economy strategies to improve synergies between public policies and investments</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w:t>
      </w:r>
    </w:p>
    <w:p w:rsidR="00046CF8" w:rsidRDefault="00046CF8">
      <w:pPr>
        <w:spacing w:after="0"/>
        <w:jc w:val="both"/>
        <w:rPr>
          <w:rFonts w:ascii="Times New Roman" w:hAnsi="Times New Roman" w:cs="Times New Roman"/>
          <w:noProof/>
          <w:sz w:val="24"/>
          <w:szCs w:val="24"/>
        </w:rPr>
      </w:pPr>
    </w:p>
    <w:p w:rsidR="00046CF8" w:rsidRDefault="003561C2">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In 2013 the CFP was reformed. Most importantly, the reform took forward the concept of Maximum Sustainable Yield which should be reached at the latest by 2020. Moreover, an additional objective was included, the so-called landing obligation. Discarding is </w:t>
      </w:r>
      <w:r>
        <w:rPr>
          <w:rFonts w:ascii="Times New Roman" w:hAnsi="Times New Roman" w:cs="Times New Roman"/>
          <w:noProof/>
          <w:sz w:val="24"/>
          <w:szCs w:val="24"/>
        </w:rPr>
        <w:t>the practice of returning unwanted catches to the sea, either dead or alive, because they are undersized, due to market demand, the fisher has no quota or because catch composition rules impose this. The reform of the CFP aimed at gradually eliminating the</w:t>
      </w:r>
      <w:r>
        <w:rPr>
          <w:rFonts w:ascii="Times New Roman" w:hAnsi="Times New Roman" w:cs="Times New Roman"/>
          <w:noProof/>
          <w:sz w:val="24"/>
          <w:szCs w:val="24"/>
        </w:rPr>
        <w:t xml:space="preserve"> wasteful practice of discarding through the introduction of the </w:t>
      </w:r>
      <w:r>
        <w:rPr>
          <w:rFonts w:ascii="Times New Roman" w:eastAsia="Times New Roman" w:hAnsi="Times New Roman" w:cs="Times New Roman"/>
          <w:noProof/>
          <w:sz w:val="24"/>
          <w:szCs w:val="24"/>
        </w:rPr>
        <w:t xml:space="preserve">landing obligation. This radical change in fisheries management aims to improve fishing behaviour through more selective fishing practices. </w:t>
      </w:r>
    </w:p>
    <w:p w:rsidR="00046CF8" w:rsidRDefault="003561C2">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 additional part of the new CFP is the reformed </w:t>
      </w:r>
      <w:r>
        <w:rPr>
          <w:rFonts w:ascii="Times New Roman" w:eastAsia="Times New Roman" w:hAnsi="Times New Roman" w:cs="Times New Roman"/>
          <w:noProof/>
          <w:sz w:val="24"/>
          <w:szCs w:val="24"/>
        </w:rPr>
        <w:t>Common Organisation of the Markets (CMO) which entered into force from 2014.  It abolished previous financing mechanisms designed to stabilize fish markets (the intervention mechanisms), signalling an important shift in policy towards market-based instrume</w:t>
      </w:r>
      <w:r>
        <w:rPr>
          <w:rFonts w:ascii="Times New Roman" w:eastAsia="Times New Roman" w:hAnsi="Times New Roman" w:cs="Times New Roman"/>
          <w:noProof/>
          <w:sz w:val="24"/>
          <w:szCs w:val="24"/>
        </w:rPr>
        <w:t xml:space="preserve">nts and structural support for competitiveness and sustainability in the sector.  </w:t>
      </w:r>
    </w:p>
    <w:p w:rsidR="00046CF8" w:rsidRDefault="003561C2">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directly managed programme to support the development of maritime policy was established in 2011 with a budget of EUR 40 million for the period 2011-2013</w:t>
      </w:r>
      <w:r>
        <w:rPr>
          <w:rStyle w:val="FootnoteReference"/>
          <w:rFonts w:ascii="Times New Roman" w:eastAsia="Times New Roman" w:hAnsi="Times New Roman" w:cs="Times New Roman"/>
          <w:noProof/>
          <w:sz w:val="24"/>
          <w:szCs w:val="24"/>
        </w:rPr>
        <w:footnoteReference w:id="13"/>
      </w:r>
      <w:r>
        <w:rPr>
          <w:rFonts w:ascii="Times New Roman" w:eastAsia="Times New Roman" w:hAnsi="Times New Roman" w:cs="Times New Roman"/>
          <w:noProof/>
          <w:sz w:val="24"/>
          <w:szCs w:val="24"/>
        </w:rPr>
        <w:t>. It aimed to dev</w:t>
      </w:r>
      <w:r>
        <w:rPr>
          <w:rFonts w:ascii="Times New Roman" w:eastAsia="Times New Roman" w:hAnsi="Times New Roman" w:cs="Times New Roman"/>
          <w:noProof/>
          <w:sz w:val="24"/>
          <w:szCs w:val="24"/>
        </w:rPr>
        <w:t>elop cross-sectoral tools (Maritime Spatial Planning, the Common Information Sharing Environment and marine knowledge on the oceans, seas and coastal regions) and sea-basin strategies, to promote the protection of the marine environment, the sustainable us</w:t>
      </w:r>
      <w:r>
        <w:rPr>
          <w:rFonts w:ascii="Times New Roman" w:eastAsia="Times New Roman" w:hAnsi="Times New Roman" w:cs="Times New Roman"/>
          <w:noProof/>
          <w:sz w:val="24"/>
          <w:szCs w:val="24"/>
        </w:rPr>
        <w:t>e of marine and coastal resources including the Marine Strategy Framework Directive</w:t>
      </w:r>
      <w:r>
        <w:rPr>
          <w:rStyle w:val="FootnoteReference"/>
          <w:rFonts w:ascii="Times New Roman" w:eastAsia="Times New Roman" w:hAnsi="Times New Roman" w:cs="Times New Roman"/>
          <w:noProof/>
          <w:sz w:val="24"/>
          <w:szCs w:val="24"/>
        </w:rPr>
        <w:footnoteReference w:id="14"/>
      </w:r>
      <w:r>
        <w:rPr>
          <w:rFonts w:ascii="Times New Roman" w:eastAsia="Times New Roman" w:hAnsi="Times New Roman" w:cs="Times New Roman"/>
          <w:noProof/>
          <w:sz w:val="24"/>
          <w:szCs w:val="24"/>
        </w:rPr>
        <w:t xml:space="preserve"> to support sustainable economic growth, employment, innovation and new technologies in maritime sectors and in coastal, insular and outermost regions of the Union and to i</w:t>
      </w:r>
      <w:r>
        <w:rPr>
          <w:rFonts w:ascii="Times New Roman" w:eastAsia="Times New Roman" w:hAnsi="Times New Roman" w:cs="Times New Roman"/>
          <w:noProof/>
          <w:sz w:val="24"/>
          <w:szCs w:val="24"/>
        </w:rPr>
        <w:t>mprove and enhance external cooperation and coordination in relation to the objectives of maritime policy. As a result, a Maritime Strategy for the Adriatic-Ionian Seas</w:t>
      </w:r>
      <w:r>
        <w:rPr>
          <w:rStyle w:val="FootnoteReference"/>
          <w:rFonts w:ascii="Times New Roman" w:eastAsia="Times New Roman" w:hAnsi="Times New Roman" w:cs="Times New Roman"/>
          <w:noProof/>
          <w:sz w:val="24"/>
          <w:szCs w:val="24"/>
        </w:rPr>
        <w:footnoteReference w:id="15"/>
      </w:r>
      <w:r>
        <w:rPr>
          <w:rFonts w:ascii="Times New Roman" w:eastAsia="Times New Roman" w:hAnsi="Times New Roman" w:cs="Times New Roman"/>
          <w:noProof/>
          <w:sz w:val="24"/>
          <w:szCs w:val="24"/>
        </w:rPr>
        <w:t xml:space="preserve"> and an Atlantic Action Plan</w:t>
      </w:r>
      <w:r>
        <w:rPr>
          <w:rStyle w:val="FootnoteReference"/>
          <w:rFonts w:ascii="Times New Roman" w:eastAsia="Times New Roman" w:hAnsi="Times New Roman" w:cs="Times New Roman"/>
          <w:noProof/>
          <w:sz w:val="24"/>
          <w:szCs w:val="24"/>
        </w:rPr>
        <w:footnoteReference w:id="16"/>
      </w:r>
      <w:r>
        <w:rPr>
          <w:rFonts w:ascii="Times New Roman" w:eastAsia="Times New Roman" w:hAnsi="Times New Roman" w:cs="Times New Roman"/>
          <w:noProof/>
          <w:sz w:val="24"/>
          <w:szCs w:val="24"/>
        </w:rPr>
        <w:t xml:space="preserve"> were adopted respectively in 2012 and 2013 while an MSP D</w:t>
      </w:r>
      <w:r>
        <w:rPr>
          <w:rFonts w:ascii="Times New Roman" w:eastAsia="Times New Roman" w:hAnsi="Times New Roman" w:cs="Times New Roman"/>
          <w:noProof/>
          <w:sz w:val="24"/>
          <w:szCs w:val="24"/>
        </w:rPr>
        <w:t>irective</w:t>
      </w:r>
      <w:r>
        <w:rPr>
          <w:rStyle w:val="FootnoteReference"/>
          <w:rFonts w:ascii="Times New Roman" w:eastAsia="Times New Roman" w:hAnsi="Times New Roman" w:cs="Times New Roman"/>
          <w:noProof/>
          <w:sz w:val="24"/>
          <w:szCs w:val="24"/>
        </w:rPr>
        <w:footnoteReference w:id="17"/>
      </w:r>
      <w:r>
        <w:rPr>
          <w:rFonts w:ascii="Times New Roman" w:eastAsia="Times New Roman" w:hAnsi="Times New Roman" w:cs="Times New Roman"/>
          <w:noProof/>
          <w:sz w:val="24"/>
          <w:szCs w:val="24"/>
        </w:rPr>
        <w:t xml:space="preserve"> was adopted in 2014.      </w:t>
      </w:r>
    </w:p>
    <w:p w:rsidR="00046CF8" w:rsidRDefault="003561C2">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Adopted in May but entering into force with retroactive effect on 1 January 2014, the European Maritime and Fisheries Fund (EMFF) </w:t>
      </w:r>
      <w:r>
        <w:rPr>
          <w:rFonts w:ascii="Times New Roman" w:hAnsi="Times New Roman" w:cs="Times New Roman"/>
          <w:noProof/>
          <w:sz w:val="24"/>
          <w:szCs w:val="24"/>
        </w:rPr>
        <w:t>worth EUR 6.4 billion</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over the 2014-2020 period </w:t>
      </w:r>
      <w:r>
        <w:rPr>
          <w:rFonts w:ascii="Times New Roman" w:eastAsia="Times New Roman" w:hAnsi="Times New Roman" w:cs="Times New Roman"/>
          <w:noProof/>
          <w:sz w:val="24"/>
          <w:szCs w:val="24"/>
        </w:rPr>
        <w:t>was designed to respond to the shortcomi</w:t>
      </w:r>
      <w:r>
        <w:rPr>
          <w:rFonts w:ascii="Times New Roman" w:eastAsia="Times New Roman" w:hAnsi="Times New Roman" w:cs="Times New Roman"/>
          <w:noProof/>
          <w:sz w:val="24"/>
          <w:szCs w:val="24"/>
        </w:rPr>
        <w:t>ngs of the EFF, as structural support accompanying CFP reform and to boost the implementation of maritime policy. It introduced a number of novel features:</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pStyle w:val="Text1"/>
              <w:spacing w:before="0" w:after="0"/>
              <w:ind w:left="0"/>
              <w:rPr>
                <w:b/>
                <w:noProof/>
                <w:szCs w:val="24"/>
              </w:rPr>
            </w:pPr>
            <w:r>
              <w:rPr>
                <w:b/>
                <w:noProof/>
                <w:szCs w:val="24"/>
              </w:rPr>
              <w:t>New features of the EMFF 2014-2020:</w:t>
            </w:r>
          </w:p>
          <w:p w:rsidR="00046CF8" w:rsidRDefault="00046CF8">
            <w:pPr>
              <w:pStyle w:val="Text1"/>
              <w:spacing w:before="0" w:after="0"/>
              <w:ind w:left="0"/>
              <w:rPr>
                <w:noProof/>
                <w:sz w:val="20"/>
              </w:rPr>
            </w:pPr>
          </w:p>
          <w:p w:rsidR="00046CF8" w:rsidRDefault="003561C2">
            <w:pPr>
              <w:pStyle w:val="Text1"/>
              <w:numPr>
                <w:ilvl w:val="0"/>
                <w:numId w:val="9"/>
              </w:numPr>
              <w:spacing w:before="0" w:after="0"/>
              <w:rPr>
                <w:noProof/>
                <w:szCs w:val="24"/>
              </w:rPr>
            </w:pPr>
            <w:r>
              <w:rPr>
                <w:noProof/>
                <w:szCs w:val="24"/>
              </w:rPr>
              <w:t>Many types of funding brought in under one single umbrella: The</w:t>
            </w:r>
            <w:r>
              <w:rPr>
                <w:noProof/>
                <w:szCs w:val="24"/>
              </w:rPr>
              <w:t xml:space="preserve"> EMFF (complemented by the support provided under the Sustainable Fisheries Partnership Agreements) combines all different funding in support of the CFP in a single fund</w:t>
            </w:r>
            <w:r>
              <w:rPr>
                <w:rFonts w:eastAsiaTheme="minorHAnsi"/>
                <w:noProof/>
                <w:szCs w:val="24"/>
                <w:vertAlign w:val="superscript"/>
              </w:rPr>
              <w:footnoteReference w:id="19"/>
            </w:r>
            <w:r>
              <w:rPr>
                <w:rFonts w:eastAsiaTheme="minorHAnsi"/>
                <w:noProof/>
                <w:szCs w:val="24"/>
              </w:rPr>
              <w:t>.</w:t>
            </w:r>
            <w:r>
              <w:rPr>
                <w:noProof/>
                <w:szCs w:val="24"/>
              </w:rPr>
              <w:t>This meant the inclusion of support for data collection, control, market policy, comp</w:t>
            </w:r>
            <w:r>
              <w:rPr>
                <w:noProof/>
                <w:szCs w:val="24"/>
              </w:rPr>
              <w:t xml:space="preserve">ensation for the Outermost regions and support to maritime policy/blue growth. </w:t>
            </w:r>
          </w:p>
          <w:p w:rsidR="00046CF8" w:rsidRDefault="003561C2">
            <w:pPr>
              <w:pStyle w:val="Text1"/>
              <w:numPr>
                <w:ilvl w:val="0"/>
                <w:numId w:val="9"/>
              </w:numPr>
              <w:spacing w:before="0" w:after="0"/>
              <w:rPr>
                <w:noProof/>
                <w:szCs w:val="24"/>
              </w:rPr>
            </w:pPr>
            <w:r>
              <w:rPr>
                <w:noProof/>
                <w:szCs w:val="24"/>
              </w:rPr>
              <w:t>Inclusion in the ESIF family: The EMFF is part of the ESIF framework and is covered by the Common Provisions Regulation (CPR) applicable to all ESIFs. The CPR is complemented b</w:t>
            </w:r>
            <w:r>
              <w:rPr>
                <w:noProof/>
                <w:szCs w:val="24"/>
              </w:rPr>
              <w:t xml:space="preserve">y fund-specific regulations such as the EMFF, delegated acts and implementing acts. In the CPR there is a requirement to put in place a performance framework and to release a performance reserve based on the achievement of milestones and targets. For this </w:t>
            </w:r>
            <w:r>
              <w:rPr>
                <w:noProof/>
                <w:szCs w:val="24"/>
              </w:rPr>
              <w:t>to function, a new monitoring and evaluation system was put in place consisting of common baseline, output and result indicators.</w:t>
            </w:r>
          </w:p>
          <w:p w:rsidR="00046CF8" w:rsidRDefault="003561C2">
            <w:pPr>
              <w:pStyle w:val="Text1"/>
              <w:numPr>
                <w:ilvl w:val="0"/>
                <w:numId w:val="9"/>
              </w:numPr>
              <w:spacing w:after="0"/>
              <w:rPr>
                <w:noProof/>
                <w:szCs w:val="24"/>
              </w:rPr>
            </w:pPr>
            <w:r>
              <w:rPr>
                <w:noProof/>
                <w:szCs w:val="24"/>
              </w:rPr>
              <w:t>Ex-ante conditionalities: To ensure that investments take place under optimal conditions a requirement to fulfil fund-specific</w:t>
            </w:r>
            <w:r>
              <w:rPr>
                <w:noProof/>
                <w:szCs w:val="24"/>
              </w:rPr>
              <w:t xml:space="preserve"> ex-ante conditionalities (ExAC) was introduced (administrative capacity for data collection and control, submission of fleet reports in line with COM guidelines, national strategic plans for aquaculture)</w:t>
            </w:r>
            <w:r>
              <w:rPr>
                <w:rStyle w:val="FootnoteReference"/>
                <w:noProof/>
                <w:szCs w:val="24"/>
              </w:rPr>
              <w:footnoteReference w:id="20"/>
            </w:r>
            <w:r>
              <w:rPr>
                <w:noProof/>
                <w:szCs w:val="24"/>
              </w:rPr>
              <w:t xml:space="preserve">. </w:t>
            </w:r>
          </w:p>
          <w:p w:rsidR="00046CF8" w:rsidRDefault="003561C2">
            <w:pPr>
              <w:pStyle w:val="Text1"/>
              <w:numPr>
                <w:ilvl w:val="0"/>
                <w:numId w:val="9"/>
              </w:numPr>
              <w:spacing w:after="0"/>
              <w:rPr>
                <w:noProof/>
                <w:szCs w:val="24"/>
              </w:rPr>
            </w:pPr>
            <w:r>
              <w:rPr>
                <w:noProof/>
                <w:szCs w:val="24"/>
              </w:rPr>
              <w:t xml:space="preserve">Compliance with the CFP: Moreover, a compliance </w:t>
            </w:r>
            <w:r>
              <w:rPr>
                <w:noProof/>
                <w:szCs w:val="24"/>
              </w:rPr>
              <w:t>mechanism was introduced by which both Member States and operators have to comply with the rules of the CFP from admissibility to implementation to be able to get support. In terms of support measures, the EMFF is more than ever before aligned with the obj</w:t>
            </w:r>
            <w:r>
              <w:rPr>
                <w:noProof/>
                <w:szCs w:val="24"/>
              </w:rPr>
              <w:t>ectives of the CFP and maritime policy. It supports the implementation of the landing obligation through financing of selective gear and the marketing and processing of unwanted catches and assigns a key role to producer organisations (POs) in its implemen</w:t>
            </w:r>
            <w:r>
              <w:rPr>
                <w:noProof/>
                <w:szCs w:val="24"/>
              </w:rPr>
              <w:t>tation. Investments into the cornerstones for sound fisheries management, scientific data collection and control have been substantially upgraded. Support for fleet measures such as permanent cessation</w:t>
            </w:r>
            <w:r>
              <w:rPr>
                <w:rStyle w:val="FootnoteReference"/>
                <w:noProof/>
                <w:szCs w:val="24"/>
              </w:rPr>
              <w:footnoteReference w:id="21"/>
            </w:r>
            <w:r>
              <w:rPr>
                <w:noProof/>
                <w:szCs w:val="24"/>
              </w:rPr>
              <w:t xml:space="preserve"> of vessels or engine replacement has continued but un</w:t>
            </w:r>
            <w:r>
              <w:rPr>
                <w:noProof/>
                <w:szCs w:val="24"/>
              </w:rPr>
              <w:t>der strict conditions that are in line with the CFP conservation component. It supports the protection of marine biodiversity and ecosystems, including through the management of Natura 2000 areas and other MPAs.</w:t>
            </w:r>
          </w:p>
          <w:p w:rsidR="00046CF8" w:rsidRDefault="003561C2">
            <w:pPr>
              <w:pStyle w:val="Text1"/>
              <w:numPr>
                <w:ilvl w:val="0"/>
                <w:numId w:val="9"/>
              </w:numPr>
              <w:spacing w:before="0" w:after="0"/>
              <w:rPr>
                <w:noProof/>
                <w:szCs w:val="24"/>
              </w:rPr>
            </w:pPr>
            <w:r>
              <w:rPr>
                <w:noProof/>
                <w:szCs w:val="24"/>
              </w:rPr>
              <w:t>Maritime policy: A good share of the EMFF allocation is geared towards maritime policy priorities, such as maritime spatial planning, maritime surveillance, marine knowledge, sea basin strategies (and relevant macro-regional strategies) and piloting the bl</w:t>
            </w:r>
            <w:r>
              <w:rPr>
                <w:noProof/>
                <w:szCs w:val="24"/>
              </w:rPr>
              <w:t xml:space="preserve">ue growth strategy in coastal, insular and outermost regions of the Union. Approximately EUR 275 million is managed directly by the Commission whilst more than EUR 70 million has been programmed in Operational programmes. </w:t>
            </w:r>
          </w:p>
          <w:p w:rsidR="00046CF8" w:rsidRDefault="003561C2">
            <w:pPr>
              <w:pStyle w:val="Text1"/>
              <w:numPr>
                <w:ilvl w:val="0"/>
                <w:numId w:val="9"/>
              </w:numPr>
              <w:spacing w:before="0" w:after="0"/>
              <w:rPr>
                <w:noProof/>
                <w:szCs w:val="24"/>
              </w:rPr>
            </w:pPr>
            <w:r>
              <w:rPr>
                <w:noProof/>
                <w:szCs w:val="24"/>
              </w:rPr>
              <w:t>Small-scale Coastal Fleet: The EM</w:t>
            </w:r>
            <w:r>
              <w:rPr>
                <w:noProof/>
                <w:szCs w:val="24"/>
              </w:rPr>
              <w:t xml:space="preserve">FF include elements that permit Member States to grant preferential treatment to the small scale coastal fishing fleet (SSCF), which makes up 74% of the active EU fleet. </w:t>
            </w:r>
          </w:p>
          <w:p w:rsidR="00046CF8" w:rsidRDefault="003561C2">
            <w:pPr>
              <w:pStyle w:val="Text1"/>
              <w:numPr>
                <w:ilvl w:val="0"/>
                <w:numId w:val="9"/>
              </w:numPr>
              <w:spacing w:before="0" w:after="0"/>
              <w:rPr>
                <w:rFonts w:eastAsiaTheme="minorHAnsi"/>
                <w:noProof/>
                <w:szCs w:val="24"/>
              </w:rPr>
            </w:pPr>
            <w:r>
              <w:rPr>
                <w:noProof/>
                <w:szCs w:val="24"/>
              </w:rPr>
              <w:t>Community-led local development: The EMFF reinforces the local development of coastal</w:t>
            </w:r>
            <w:r>
              <w:rPr>
                <w:noProof/>
                <w:szCs w:val="24"/>
              </w:rPr>
              <w:t xml:space="preserve"> areas through support through FLAGs (Fisheries Local Action Groups) which use the bottom-approach (CLLD) to implement local development strategies in their communities</w:t>
            </w:r>
            <w:r>
              <w:rPr>
                <w:rStyle w:val="FootnoteReference"/>
                <w:noProof/>
                <w:szCs w:val="24"/>
              </w:rPr>
              <w:footnoteReference w:id="22"/>
            </w:r>
            <w:r>
              <w:rPr>
                <w:noProof/>
                <w:szCs w:val="24"/>
              </w:rPr>
              <w:t>.</w:t>
            </w:r>
          </w:p>
          <w:p w:rsidR="00046CF8" w:rsidRDefault="003561C2">
            <w:pPr>
              <w:pStyle w:val="Text1"/>
              <w:numPr>
                <w:ilvl w:val="0"/>
                <w:numId w:val="9"/>
              </w:numPr>
              <w:spacing w:before="0" w:after="0"/>
              <w:rPr>
                <w:rFonts w:eastAsiaTheme="minorHAnsi"/>
                <w:noProof/>
                <w:sz w:val="20"/>
              </w:rPr>
            </w:pPr>
            <w:r>
              <w:rPr>
                <w:rFonts w:eastAsiaTheme="minorHAnsi"/>
                <w:noProof/>
                <w:szCs w:val="24"/>
              </w:rPr>
              <w:t>Directly managed elements: The European Marine Observation and Data Network (EMODnet)</w:t>
            </w:r>
            <w:r>
              <w:rPr>
                <w:rFonts w:eastAsiaTheme="minorHAnsi"/>
                <w:noProof/>
                <w:szCs w:val="24"/>
              </w:rPr>
              <w:t xml:space="preserve"> has been one of the success stories of the EMFF. By gathering over 150 public and private organisations in a partnership to deliver marine data that is reliable, accessible and free of restrictions of use it has increased productivity, stimulated innovati</w:t>
            </w:r>
            <w:r>
              <w:rPr>
                <w:rFonts w:eastAsiaTheme="minorHAnsi"/>
                <w:noProof/>
                <w:szCs w:val="24"/>
              </w:rPr>
              <w:t>on and reduced risk for business, public authorities and civil society. These organisations are investing in processes and added-value services that are dependent on the continuation beyond 2020.</w:t>
            </w:r>
          </w:p>
          <w:p w:rsidR="00046CF8" w:rsidRDefault="003561C2">
            <w:pPr>
              <w:pStyle w:val="Text1"/>
              <w:numPr>
                <w:ilvl w:val="0"/>
                <w:numId w:val="9"/>
              </w:numPr>
              <w:spacing w:before="0" w:after="0"/>
              <w:rPr>
                <w:rFonts w:eastAsiaTheme="minorHAnsi"/>
                <w:noProof/>
                <w:szCs w:val="24"/>
              </w:rPr>
            </w:pPr>
            <w:r>
              <w:rPr>
                <w:rFonts w:eastAsiaTheme="minorHAnsi"/>
                <w:noProof/>
                <w:szCs w:val="24"/>
              </w:rPr>
              <w:t>Monitoring and evaluation: Development of a Common Monitorin</w:t>
            </w:r>
            <w:r>
              <w:rPr>
                <w:rFonts w:eastAsiaTheme="minorHAnsi"/>
                <w:noProof/>
                <w:szCs w:val="24"/>
              </w:rPr>
              <w:t>g and Evaluation System (CMES) with common indicators at EU-level</w:t>
            </w:r>
          </w:p>
        </w:tc>
      </w:tr>
    </w:tbl>
    <w:p w:rsidR="00046CF8" w:rsidRDefault="00046CF8">
      <w:pPr>
        <w:spacing w:after="0"/>
        <w:jc w:val="both"/>
        <w:rPr>
          <w:rFonts w:ascii="Times New Roman" w:eastAsia="Times New Roman" w:hAnsi="Times New Roman" w:cs="Times New Roman"/>
          <w:noProof/>
          <w:sz w:val="8"/>
          <w:szCs w:val="8"/>
        </w:rPr>
      </w:pPr>
    </w:p>
    <w:p w:rsidR="00046CF8" w:rsidRDefault="00046CF8">
      <w:pPr>
        <w:pStyle w:val="Text1"/>
        <w:spacing w:after="0"/>
        <w:ind w:left="0"/>
        <w:rPr>
          <w:noProof/>
          <w:sz w:val="20"/>
        </w:rPr>
      </w:pPr>
    </w:p>
    <w:p w:rsidR="00046CF8" w:rsidRDefault="003561C2">
      <w:pPr>
        <w:pStyle w:val="Text1"/>
        <w:spacing w:after="120"/>
        <w:ind w:left="0"/>
        <w:rPr>
          <w:noProof/>
        </w:rPr>
      </w:pPr>
      <w:r>
        <w:rPr>
          <w:noProof/>
        </w:rPr>
        <w:t>At this stage no evaluations have been completed of the EMFF at EU or Member State level. However, monitoring data from 2017 shows the following:</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pStyle w:val="ListParagraph"/>
              <w:numPr>
                <w:ilvl w:val="0"/>
                <w:numId w:val="9"/>
              </w:numPr>
              <w:spacing w:before="0"/>
              <w:jc w:val="both"/>
              <w:rPr>
                <w:rFonts w:ascii="Times New Roman" w:eastAsiaTheme="minorHAnsi" w:hAnsi="Times New Roman"/>
                <w:noProof/>
                <w:sz w:val="24"/>
                <w:szCs w:val="24"/>
              </w:rPr>
            </w:pPr>
            <w:r>
              <w:rPr>
                <w:rFonts w:ascii="Times New Roman" w:hAnsi="Times New Roman"/>
                <w:noProof/>
                <w:sz w:val="24"/>
                <w:szCs w:val="24"/>
              </w:rPr>
              <w:t xml:space="preserve">For </w:t>
            </w:r>
            <w:r>
              <w:rPr>
                <w:rFonts w:ascii="Times New Roman" w:hAnsi="Times New Roman"/>
                <w:b/>
                <w:noProof/>
                <w:sz w:val="24"/>
                <w:szCs w:val="24"/>
              </w:rPr>
              <w:t>shared management</w:t>
            </w:r>
            <w:r>
              <w:rPr>
                <w:rFonts w:ascii="Times New Roman" w:hAnsi="Times New Roman"/>
                <w:noProof/>
                <w:sz w:val="24"/>
                <w:szCs w:val="24"/>
              </w:rPr>
              <w:t xml:space="preserve"> the rate of impleme</w:t>
            </w:r>
            <w:r>
              <w:rPr>
                <w:rFonts w:ascii="Times New Roman" w:hAnsi="Times New Roman"/>
                <w:noProof/>
                <w:sz w:val="24"/>
                <w:szCs w:val="24"/>
              </w:rPr>
              <w:t>ntation was generally low in the first years</w:t>
            </w:r>
            <w:r>
              <w:rPr>
                <w:rStyle w:val="FootnoteReference"/>
                <w:rFonts w:ascii="Times New Roman" w:hAnsi="Times New Roman"/>
                <w:noProof/>
                <w:sz w:val="24"/>
                <w:szCs w:val="24"/>
              </w:rPr>
              <w:footnoteReference w:id="23"/>
            </w:r>
            <w:r>
              <w:rPr>
                <w:rFonts w:ascii="Times New Roman" w:hAnsi="Times New Roman"/>
                <w:noProof/>
                <w:sz w:val="24"/>
                <w:szCs w:val="24"/>
              </w:rPr>
              <w:t xml:space="preserve"> and the risk of decommitment is high</w:t>
            </w:r>
            <w:r>
              <w:rPr>
                <w:rStyle w:val="FootnoteReference"/>
                <w:rFonts w:ascii="Times New Roman" w:hAnsi="Times New Roman"/>
                <w:noProof/>
                <w:sz w:val="24"/>
                <w:szCs w:val="24"/>
              </w:rPr>
              <w:footnoteReference w:id="24"/>
            </w:r>
            <w:r>
              <w:rPr>
                <w:rFonts w:ascii="Times New Roman" w:hAnsi="Times New Roman"/>
                <w:noProof/>
                <w:sz w:val="24"/>
                <w:szCs w:val="24"/>
              </w:rPr>
              <w:t>. However, during 2017 the rate implementation increased considerably</w:t>
            </w:r>
            <w:r>
              <w:rPr>
                <w:rStyle w:val="FootnoteReference"/>
                <w:rFonts w:ascii="Times New Roman" w:hAnsi="Times New Roman"/>
                <w:noProof/>
                <w:sz w:val="24"/>
                <w:szCs w:val="24"/>
              </w:rPr>
              <w:footnoteReference w:id="25"/>
            </w:r>
            <w:r>
              <w:rPr>
                <w:rFonts w:ascii="Times New Roman" w:hAnsi="Times New Roman"/>
                <w:noProof/>
                <w:sz w:val="24"/>
                <w:szCs w:val="24"/>
              </w:rPr>
              <w:t>. The number of operations (excluding technical assistance) more than doubled, from 6 200 in 2016 to 15</w:t>
            </w:r>
            <w:r>
              <w:rPr>
                <w:rFonts w:ascii="Times New Roman" w:hAnsi="Times New Roman"/>
                <w:noProof/>
                <w:sz w:val="24"/>
                <w:szCs w:val="24"/>
              </w:rPr>
              <w:t xml:space="preserve"> 500 in 2017. The number of commitments (European Maritime and Fisheries Fund + national public) increased from EUR 769 million to EUR 1.5 billion, the total public expenditure increased almost 10 times from EUR 58 million in 2016 to 534 million in 2017 an</w:t>
            </w:r>
            <w:r>
              <w:rPr>
                <w:rFonts w:ascii="Times New Roman" w:hAnsi="Times New Roman"/>
                <w:noProof/>
                <w:sz w:val="24"/>
                <w:szCs w:val="24"/>
              </w:rPr>
              <w:t>d the EMFF expenditure increased from EUR 39 million in 2016 to EUR 375 million in 2017.</w:t>
            </w:r>
            <w:r>
              <w:rPr>
                <w:noProof/>
                <w:sz w:val="24"/>
                <w:szCs w:val="24"/>
              </w:rPr>
              <w:t xml:space="preserve"> </w:t>
            </w:r>
            <w:r>
              <w:rPr>
                <w:rFonts w:ascii="Times New Roman" w:hAnsi="Times New Roman"/>
                <w:noProof/>
                <w:sz w:val="24"/>
                <w:szCs w:val="24"/>
              </w:rPr>
              <w:t>The number of fishing vessels benefitting from support almost tripled from 3 600 in 2016 to over 9 600 in 2017.</w:t>
            </w:r>
          </w:p>
          <w:p w:rsidR="00046CF8" w:rsidRDefault="003561C2">
            <w:pPr>
              <w:pStyle w:val="ListParagraph"/>
              <w:numPr>
                <w:ilvl w:val="0"/>
                <w:numId w:val="9"/>
              </w:numPr>
              <w:jc w:val="both"/>
              <w:rPr>
                <w:rFonts w:ascii="Times New Roman" w:eastAsiaTheme="minorHAnsi" w:hAnsi="Times New Roman"/>
                <w:noProof/>
                <w:sz w:val="24"/>
                <w:szCs w:val="24"/>
              </w:rPr>
            </w:pPr>
            <w:r>
              <w:rPr>
                <w:rFonts w:ascii="Times New Roman" w:hAnsi="Times New Roman"/>
                <w:noProof/>
                <w:sz w:val="24"/>
                <w:szCs w:val="24"/>
              </w:rPr>
              <w:t xml:space="preserve">Despite the fact that the link between the CFP and the </w:t>
            </w:r>
            <w:r>
              <w:rPr>
                <w:rFonts w:ascii="Times New Roman" w:hAnsi="Times New Roman"/>
                <w:noProof/>
                <w:sz w:val="24"/>
                <w:szCs w:val="24"/>
              </w:rPr>
              <w:t xml:space="preserve">EMFF has been strengthened, Member States do not always invest in those areas where investments are mostly needed to achieve the objective of the CFP. For example, the implementation of the landing obligation has been given different priority in different </w:t>
            </w:r>
            <w:r>
              <w:rPr>
                <w:rFonts w:ascii="Times New Roman" w:hAnsi="Times New Roman"/>
                <w:noProof/>
                <w:sz w:val="24"/>
                <w:szCs w:val="24"/>
              </w:rPr>
              <w:t>Member States with the result that more investment is needed to support the adaptation of the fishing industry to these challenges</w:t>
            </w:r>
            <w:r>
              <w:rPr>
                <w:rStyle w:val="FootnoteReference"/>
                <w:rFonts w:ascii="Times New Roman" w:hAnsi="Times New Roman"/>
                <w:noProof/>
                <w:sz w:val="24"/>
                <w:szCs w:val="24"/>
              </w:rPr>
              <w:footnoteReference w:id="26"/>
            </w:r>
            <w:r>
              <w:rPr>
                <w:rFonts w:ascii="Times New Roman" w:hAnsi="Times New Roman"/>
                <w:noProof/>
                <w:sz w:val="24"/>
                <w:szCs w:val="24"/>
              </w:rPr>
              <w:t>.</w:t>
            </w:r>
          </w:p>
          <w:p w:rsidR="00046CF8" w:rsidRDefault="003561C2">
            <w:pPr>
              <w:pStyle w:val="ListParagraph"/>
              <w:numPr>
                <w:ilvl w:val="0"/>
                <w:numId w:val="9"/>
              </w:numPr>
              <w:spacing w:after="0"/>
              <w:jc w:val="both"/>
              <w:rPr>
                <w:rFonts w:ascii="Times New Roman" w:eastAsiaTheme="minorHAnsi" w:hAnsi="Times New Roman"/>
                <w:noProof/>
                <w:sz w:val="24"/>
                <w:szCs w:val="24"/>
              </w:rPr>
            </w:pPr>
            <w:r>
              <w:rPr>
                <w:rFonts w:ascii="Times New Roman" w:hAnsi="Times New Roman"/>
                <w:noProof/>
                <w:sz w:val="24"/>
                <w:szCs w:val="24"/>
              </w:rPr>
              <w:t xml:space="preserve">Administrative complexities at national level slow down the rate of implementation. In </w:t>
            </w:r>
            <w:r>
              <w:rPr>
                <w:rFonts w:ascii="Times New Roman" w:hAnsi="Times New Roman"/>
                <w:b/>
                <w:noProof/>
                <w:sz w:val="24"/>
                <w:szCs w:val="24"/>
              </w:rPr>
              <w:t>shared management</w:t>
            </w:r>
            <w:r>
              <w:rPr>
                <w:rFonts w:ascii="Times New Roman" w:hAnsi="Times New Roman"/>
                <w:noProof/>
                <w:sz w:val="24"/>
                <w:szCs w:val="24"/>
              </w:rPr>
              <w:t xml:space="preserve"> this is for exampl</w:t>
            </w:r>
            <w:r>
              <w:rPr>
                <w:rFonts w:ascii="Times New Roman" w:hAnsi="Times New Roman"/>
                <w:noProof/>
                <w:sz w:val="24"/>
                <w:szCs w:val="24"/>
              </w:rPr>
              <w:t xml:space="preserve">e the case within aquaculture, CLLD, innovation and to a certain extent maritime policy. On the contrary under </w:t>
            </w:r>
            <w:r>
              <w:rPr>
                <w:rFonts w:ascii="Times New Roman" w:hAnsi="Times New Roman"/>
                <w:b/>
                <w:noProof/>
                <w:sz w:val="24"/>
                <w:szCs w:val="24"/>
              </w:rPr>
              <w:t>direct management</w:t>
            </w:r>
            <w:r>
              <w:rPr>
                <w:rFonts w:ascii="Times New Roman" w:hAnsi="Times New Roman"/>
                <w:noProof/>
                <w:sz w:val="24"/>
                <w:szCs w:val="24"/>
              </w:rPr>
              <w:t xml:space="preserve"> maritime policy innovation actions (Blue Careers, Blue Labs, Blue Technology calls for proposals) were highly oversubscribed, reaching about 100% budget implementation for the period 2014-2016.</w:t>
            </w:r>
            <w:r>
              <w:rPr>
                <w:rFonts w:ascii="Times New Roman" w:eastAsiaTheme="minorHAnsi" w:hAnsi="Times New Roman"/>
                <w:noProof/>
                <w:sz w:val="24"/>
                <w:szCs w:val="24"/>
              </w:rPr>
              <w:t xml:space="preserve">  </w:t>
            </w:r>
          </w:p>
        </w:tc>
      </w:tr>
    </w:tbl>
    <w:p w:rsidR="00046CF8" w:rsidRDefault="00046CF8">
      <w:pPr>
        <w:pStyle w:val="Text1"/>
        <w:spacing w:after="0"/>
        <w:ind w:left="0"/>
        <w:rPr>
          <w:noProof/>
          <w:sz w:val="8"/>
          <w:szCs w:val="8"/>
        </w:rPr>
      </w:pPr>
    </w:p>
    <w:p w:rsidR="00046CF8" w:rsidRDefault="00046CF8">
      <w:pPr>
        <w:pStyle w:val="Text1"/>
        <w:spacing w:after="0"/>
        <w:ind w:left="0"/>
        <w:rPr>
          <w:noProof/>
        </w:rPr>
      </w:pPr>
    </w:p>
    <w:p w:rsidR="00046CF8" w:rsidRDefault="003561C2">
      <w:pPr>
        <w:pStyle w:val="Text1"/>
        <w:spacing w:after="120"/>
        <w:ind w:left="0"/>
        <w:rPr>
          <w:noProof/>
        </w:rPr>
      </w:pPr>
      <w:r>
        <w:rPr>
          <w:noProof/>
        </w:rPr>
        <w:t>In addition to evaluations and monitoring data, stakehol</w:t>
      </w:r>
      <w:r>
        <w:rPr>
          <w:noProof/>
        </w:rPr>
        <w:t>der views on fisheries and maritime policies post-2020 were collected through a number of consultation activities</w:t>
      </w:r>
      <w:r>
        <w:rPr>
          <w:rStyle w:val="FootnoteReference"/>
          <w:noProof/>
        </w:rPr>
        <w:footnoteReference w:id="27"/>
      </w:r>
      <w:r>
        <w:rPr>
          <w:noProof/>
        </w:rPr>
        <w:t xml:space="preserve"> (of which more details are provided in Annex 2).</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rPr>
                <w:rFonts w:ascii="Times New Roman" w:hAnsi="Times New Roman"/>
                <w:b/>
                <w:noProof/>
                <w:sz w:val="24"/>
                <w:szCs w:val="24"/>
              </w:rPr>
            </w:pPr>
            <w:r>
              <w:rPr>
                <w:rFonts w:ascii="Times New Roman" w:hAnsi="Times New Roman"/>
                <w:b/>
                <w:noProof/>
                <w:sz w:val="24"/>
                <w:szCs w:val="24"/>
              </w:rPr>
              <w:t>Stakeholder views – key issues:</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Many stakeholders and the European Parliament</w:t>
            </w:r>
            <w:r>
              <w:rPr>
                <w:rStyle w:val="FootnoteReference"/>
                <w:rFonts w:ascii="Times New Roman" w:hAnsi="Times New Roman"/>
                <w:noProof/>
                <w:sz w:val="24"/>
                <w:szCs w:val="24"/>
              </w:rPr>
              <w:footnoteReference w:id="28"/>
            </w:r>
            <w:r>
              <w:rPr>
                <w:rFonts w:ascii="Times New Roman" w:hAnsi="Times New Roman"/>
                <w:noProof/>
                <w:sz w:val="24"/>
                <w:szCs w:val="24"/>
              </w:rPr>
              <w:t xml:space="preserve"> call for </w:t>
            </w:r>
            <w:r>
              <w:rPr>
                <w:rFonts w:ascii="Times New Roman" w:hAnsi="Times New Roman"/>
                <w:b/>
                <w:noProof/>
                <w:sz w:val="24"/>
                <w:szCs w:val="24"/>
              </w:rPr>
              <w:t>continuity</w:t>
            </w:r>
            <w:r>
              <w:rPr>
                <w:rFonts w:ascii="Times New Roman" w:hAnsi="Times New Roman"/>
                <w:noProof/>
                <w:sz w:val="24"/>
                <w:szCs w:val="24"/>
              </w:rPr>
              <w:t xml:space="preserve"> and are strongly in favour of keeping dedicated funding for fisheries and maritime policies post-2020. Given the direct link to the fulfilment of CFP objectives, future support for fisheries and external funding strands are not suitable to be ma</w:t>
            </w:r>
            <w:r>
              <w:rPr>
                <w:rFonts w:ascii="Times New Roman" w:hAnsi="Times New Roman"/>
                <w:noProof/>
                <w:sz w:val="24"/>
                <w:szCs w:val="24"/>
              </w:rPr>
              <w:t xml:space="preserve">instreamed into other EU funds </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achievement of CFP objectives</w:t>
            </w:r>
            <w:r>
              <w:rPr>
                <w:rFonts w:ascii="Times New Roman" w:hAnsi="Times New Roman"/>
                <w:noProof/>
                <w:sz w:val="24"/>
                <w:szCs w:val="24"/>
              </w:rPr>
              <w:t xml:space="preserve"> was noted by the stakeholders as a priority for the future. </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 xml:space="preserve">For the future support should in particular aim to </w:t>
            </w:r>
            <w:r>
              <w:rPr>
                <w:rFonts w:ascii="Times New Roman" w:hAnsi="Times New Roman"/>
                <w:b/>
                <w:noProof/>
                <w:sz w:val="24"/>
                <w:szCs w:val="24"/>
              </w:rPr>
              <w:t>rebuild fish stocks</w:t>
            </w:r>
            <w:r>
              <w:rPr>
                <w:rFonts w:ascii="Times New Roman" w:hAnsi="Times New Roman"/>
                <w:noProof/>
                <w:sz w:val="24"/>
                <w:szCs w:val="24"/>
              </w:rPr>
              <w:t xml:space="preserve"> </w:t>
            </w:r>
            <w:r>
              <w:rPr>
                <w:rFonts w:ascii="Times New Roman" w:hAnsi="Times New Roman"/>
                <w:b/>
                <w:noProof/>
                <w:sz w:val="24"/>
                <w:szCs w:val="24"/>
              </w:rPr>
              <w:t>above the MSY level.</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Many stakeholders argue that any kind</w:t>
            </w:r>
            <w:r>
              <w:rPr>
                <w:rFonts w:ascii="Times New Roman" w:hAnsi="Times New Roman"/>
                <w:noProof/>
                <w:sz w:val="24"/>
                <w:szCs w:val="24"/>
              </w:rPr>
              <w:t xml:space="preserve"> of support leading to overfishing should be discontinued.</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 xml:space="preserve">A polarisation of opinion concerning the support to </w:t>
            </w:r>
            <w:r>
              <w:rPr>
                <w:rFonts w:ascii="Times New Roman" w:hAnsi="Times New Roman"/>
                <w:b/>
                <w:noProof/>
                <w:sz w:val="24"/>
                <w:szCs w:val="24"/>
              </w:rPr>
              <w:t xml:space="preserve">fishing fleets </w:t>
            </w:r>
            <w:r>
              <w:rPr>
                <w:rFonts w:ascii="Times New Roman" w:hAnsi="Times New Roman"/>
                <w:noProof/>
                <w:sz w:val="24"/>
                <w:szCs w:val="24"/>
              </w:rPr>
              <w:t>could be observed, with stakeholders split nearly equally between those in favour and those against the continuation of fleet meas</w:t>
            </w:r>
            <w:r>
              <w:rPr>
                <w:rFonts w:ascii="Times New Roman" w:hAnsi="Times New Roman"/>
                <w:noProof/>
                <w:sz w:val="24"/>
                <w:szCs w:val="24"/>
              </w:rPr>
              <w:t xml:space="preserve">ures, those against claiming that fleet measures are drivers for overfishing. </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 xml:space="preserve">There is a general consensus around continued support for </w:t>
            </w:r>
            <w:r>
              <w:rPr>
                <w:rFonts w:ascii="Times New Roman" w:hAnsi="Times New Roman"/>
                <w:b/>
                <w:noProof/>
                <w:sz w:val="24"/>
                <w:szCs w:val="24"/>
              </w:rPr>
              <w:t>data collection and control</w:t>
            </w:r>
            <w:r>
              <w:rPr>
                <w:rFonts w:ascii="Times New Roman" w:hAnsi="Times New Roman"/>
                <w:noProof/>
                <w:sz w:val="24"/>
                <w:szCs w:val="24"/>
              </w:rPr>
              <w:t xml:space="preserve">, </w:t>
            </w:r>
            <w:r>
              <w:rPr>
                <w:rFonts w:ascii="Times New Roman" w:hAnsi="Times New Roman"/>
                <w:b/>
                <w:noProof/>
                <w:sz w:val="24"/>
                <w:szCs w:val="24"/>
              </w:rPr>
              <w:t>SSCF, outermost regions, CLLD and professional organisations</w:t>
            </w:r>
            <w:r>
              <w:rPr>
                <w:rFonts w:ascii="Times New Roman" w:hAnsi="Times New Roman"/>
                <w:b/>
                <w:noProof/>
                <w:sz w:val="24"/>
                <w:szCs w:val="24"/>
                <w:vertAlign w:val="superscript"/>
              </w:rPr>
              <w:footnoteReference w:id="29"/>
            </w:r>
            <w:r>
              <w:rPr>
                <w:rFonts w:ascii="Times New Roman" w:hAnsi="Times New Roman"/>
                <w:b/>
                <w:noProof/>
                <w:sz w:val="24"/>
                <w:szCs w:val="24"/>
              </w:rPr>
              <w:t>.</w:t>
            </w:r>
            <w:r>
              <w:rPr>
                <w:rFonts w:ascii="Times New Roman" w:hAnsi="Times New Roman"/>
                <w:noProof/>
                <w:sz w:val="24"/>
                <w:szCs w:val="24"/>
              </w:rPr>
              <w:t xml:space="preserve"> </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Some stakeholders call for</w:t>
            </w:r>
            <w:r>
              <w:rPr>
                <w:rFonts w:ascii="Times New Roman" w:hAnsi="Times New Roman"/>
                <w:noProof/>
                <w:sz w:val="24"/>
                <w:szCs w:val="24"/>
              </w:rPr>
              <w:t xml:space="preserve"> a </w:t>
            </w:r>
            <w:r>
              <w:rPr>
                <w:rFonts w:ascii="Times New Roman" w:hAnsi="Times New Roman"/>
                <w:b/>
                <w:noProof/>
                <w:sz w:val="24"/>
                <w:szCs w:val="24"/>
              </w:rPr>
              <w:t>differentiated support by sea-basin</w:t>
            </w:r>
            <w:r>
              <w:rPr>
                <w:rFonts w:ascii="Times New Roman" w:hAnsi="Times New Roman"/>
                <w:noProof/>
                <w:sz w:val="24"/>
                <w:szCs w:val="24"/>
              </w:rPr>
              <w:t xml:space="preserve"> according to the specific challenges being faced, including by Brexit, and the need for cooperation with third countries. </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 xml:space="preserve">Many stakeholders highlight the fact that </w:t>
            </w:r>
            <w:r>
              <w:rPr>
                <w:rFonts w:ascii="Times New Roman" w:hAnsi="Times New Roman"/>
                <w:b/>
                <w:noProof/>
                <w:sz w:val="24"/>
                <w:szCs w:val="24"/>
              </w:rPr>
              <w:t>innovation</w:t>
            </w:r>
            <w:r>
              <w:rPr>
                <w:rFonts w:ascii="Times New Roman" w:hAnsi="Times New Roman"/>
                <w:noProof/>
                <w:sz w:val="24"/>
                <w:szCs w:val="24"/>
              </w:rPr>
              <w:t xml:space="preserve"> is horizontal to all blue growth sectors </w:t>
            </w:r>
            <w:r>
              <w:rPr>
                <w:rFonts w:ascii="Times New Roman" w:hAnsi="Times New Roman"/>
                <w:noProof/>
                <w:sz w:val="24"/>
                <w:szCs w:val="24"/>
              </w:rPr>
              <w:t>including fisheries and recognise sea-basin and macro-regional strategies as an important driver for the territorial development of coastal regions and islands. They recognize the need to enable further policy development and to increase visibility and the</w:t>
            </w:r>
            <w:r>
              <w:rPr>
                <w:rFonts w:ascii="Times New Roman" w:hAnsi="Times New Roman"/>
                <w:noProof/>
                <w:sz w:val="24"/>
                <w:szCs w:val="24"/>
              </w:rPr>
              <w:t xml:space="preserve"> political priority of </w:t>
            </w:r>
            <w:r>
              <w:rPr>
                <w:rFonts w:ascii="Times New Roman" w:hAnsi="Times New Roman"/>
                <w:b/>
                <w:noProof/>
                <w:sz w:val="24"/>
                <w:szCs w:val="24"/>
              </w:rPr>
              <w:t xml:space="preserve">blue growth </w:t>
            </w:r>
            <w:r>
              <w:rPr>
                <w:rFonts w:ascii="Times New Roman" w:hAnsi="Times New Roman"/>
                <w:noProof/>
                <w:sz w:val="24"/>
                <w:szCs w:val="24"/>
              </w:rPr>
              <w:t xml:space="preserve">across funds. </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 xml:space="preserve">For a number of stakeholders the next fund should give priority to </w:t>
            </w:r>
            <w:r>
              <w:rPr>
                <w:rFonts w:ascii="Times New Roman" w:hAnsi="Times New Roman"/>
                <w:b/>
                <w:noProof/>
                <w:sz w:val="24"/>
                <w:szCs w:val="24"/>
              </w:rPr>
              <w:t>the social dimension</w:t>
            </w:r>
            <w:r>
              <w:rPr>
                <w:rFonts w:ascii="Times New Roman" w:hAnsi="Times New Roman"/>
                <w:noProof/>
                <w:sz w:val="24"/>
                <w:szCs w:val="24"/>
              </w:rPr>
              <w:t xml:space="preserve"> with the promotion of social dialogue, improvement of hygiene, health safety and working conditions, while investing in the training, education, awareness raising.</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b/>
                <w:noProof/>
                <w:sz w:val="24"/>
                <w:szCs w:val="24"/>
              </w:rPr>
              <w:t>Complex administrative delivery</w:t>
            </w:r>
            <w:r>
              <w:rPr>
                <w:rFonts w:ascii="Times New Roman" w:hAnsi="Times New Roman"/>
                <w:noProof/>
                <w:sz w:val="24"/>
                <w:szCs w:val="24"/>
              </w:rPr>
              <w:t xml:space="preserve"> is seen as the biggest shortcoming and many stakeholders ca</w:t>
            </w:r>
            <w:r>
              <w:rPr>
                <w:rFonts w:ascii="Times New Roman" w:hAnsi="Times New Roman"/>
                <w:noProof/>
                <w:sz w:val="24"/>
                <w:szCs w:val="24"/>
              </w:rPr>
              <w:t xml:space="preserve">ll for radical simplification and flexibility. The intervention logic is considered too rigid not allowing Member States to address their own specificities. This could be addressed by </w:t>
            </w:r>
            <w:r>
              <w:rPr>
                <w:rFonts w:ascii="Times New Roman" w:hAnsi="Times New Roman"/>
                <w:b/>
                <w:noProof/>
                <w:sz w:val="24"/>
                <w:szCs w:val="24"/>
              </w:rPr>
              <w:t>eliminating pre-defined measures</w:t>
            </w:r>
            <w:r>
              <w:rPr>
                <w:rFonts w:ascii="Times New Roman" w:hAnsi="Times New Roman"/>
                <w:noProof/>
                <w:sz w:val="24"/>
                <w:szCs w:val="24"/>
              </w:rPr>
              <w:t xml:space="preserve"> and increase the use of financial instr</w:t>
            </w:r>
            <w:r>
              <w:rPr>
                <w:rFonts w:ascii="Times New Roman" w:hAnsi="Times New Roman"/>
                <w:noProof/>
                <w:sz w:val="24"/>
                <w:szCs w:val="24"/>
              </w:rPr>
              <w:t>uments.</w:t>
            </w:r>
          </w:p>
          <w:p w:rsidR="00046CF8" w:rsidRDefault="003561C2">
            <w:pPr>
              <w:pStyle w:val="ListParagraph"/>
              <w:numPr>
                <w:ilvl w:val="0"/>
                <w:numId w:val="9"/>
              </w:numPr>
              <w:rPr>
                <w:rFonts w:ascii="Times New Roman" w:hAnsi="Times New Roman"/>
                <w:noProof/>
                <w:sz w:val="24"/>
                <w:szCs w:val="24"/>
              </w:rPr>
            </w:pPr>
            <w:r>
              <w:rPr>
                <w:rFonts w:ascii="Times New Roman" w:hAnsi="Times New Roman"/>
                <w:noProof/>
                <w:sz w:val="24"/>
                <w:szCs w:val="24"/>
              </w:rPr>
              <w:t xml:space="preserve">NGOs, advisory councils and social partners stress that a </w:t>
            </w:r>
            <w:r>
              <w:rPr>
                <w:rFonts w:ascii="Times New Roman" w:hAnsi="Times New Roman"/>
                <w:b/>
                <w:noProof/>
                <w:sz w:val="24"/>
                <w:szCs w:val="24"/>
              </w:rPr>
              <w:t>conditional approach</w:t>
            </w:r>
            <w:r>
              <w:rPr>
                <w:rFonts w:ascii="Times New Roman" w:hAnsi="Times New Roman"/>
                <w:noProof/>
                <w:sz w:val="24"/>
                <w:szCs w:val="24"/>
              </w:rPr>
              <w:t xml:space="preserve"> to any future spending should continue to be linked to the delivery of objectives the CFP and demonstration of results. In this regard, Member States should be more resp</w:t>
            </w:r>
            <w:r>
              <w:rPr>
                <w:rFonts w:ascii="Times New Roman" w:hAnsi="Times New Roman"/>
                <w:noProof/>
                <w:sz w:val="24"/>
                <w:szCs w:val="24"/>
              </w:rPr>
              <w:t>onsible for reporting how the funding has led to meeting the goals and objectives of the CFP. Moreover, a conditionality clause could be included linking the financial access to the implementation of the CFP regulation and the respect of basic social stand</w:t>
            </w:r>
            <w:r>
              <w:rPr>
                <w:rFonts w:ascii="Times New Roman" w:hAnsi="Times New Roman"/>
                <w:noProof/>
                <w:sz w:val="24"/>
                <w:szCs w:val="24"/>
              </w:rPr>
              <w:t xml:space="preserve">ards by operators. </w:t>
            </w:r>
          </w:p>
          <w:p w:rsidR="00046CF8" w:rsidRDefault="003561C2">
            <w:pPr>
              <w:pStyle w:val="ListParagraph"/>
              <w:numPr>
                <w:ilvl w:val="0"/>
                <w:numId w:val="9"/>
              </w:numPr>
              <w:spacing w:after="0"/>
              <w:rPr>
                <w:rFonts w:ascii="Times New Roman" w:hAnsi="Times New Roman"/>
                <w:noProof/>
              </w:rPr>
            </w:pPr>
            <w:r>
              <w:rPr>
                <w:rFonts w:ascii="Times New Roman" w:hAnsi="Times New Roman"/>
                <w:noProof/>
                <w:sz w:val="24"/>
                <w:szCs w:val="24"/>
              </w:rPr>
              <w:t xml:space="preserve">Stakeholders signal that the </w:t>
            </w:r>
            <w:r>
              <w:rPr>
                <w:rFonts w:ascii="Times New Roman" w:hAnsi="Times New Roman"/>
                <w:b/>
                <w:noProof/>
                <w:sz w:val="24"/>
                <w:szCs w:val="24"/>
              </w:rPr>
              <w:t>international framework for oceans is incomplete</w:t>
            </w:r>
            <w:r>
              <w:rPr>
                <w:rFonts w:ascii="Times New Roman" w:hAnsi="Times New Roman"/>
                <w:noProof/>
                <w:sz w:val="24"/>
                <w:szCs w:val="24"/>
              </w:rPr>
              <w:t xml:space="preserve"> and needs further development. They also note there is little coordination between international organisations responsible for oceans, while agreed internatio</w:t>
            </w:r>
            <w:r>
              <w:rPr>
                <w:rFonts w:ascii="Times New Roman" w:hAnsi="Times New Roman"/>
                <w:noProof/>
                <w:sz w:val="24"/>
                <w:szCs w:val="24"/>
              </w:rPr>
              <w:t>nal rules and arrangements on oceans are often not implemented effectively or enforced uniformly.</w:t>
            </w:r>
            <w:r>
              <w:rPr>
                <w:noProof/>
              </w:rPr>
              <w:t xml:space="preserve"> </w:t>
            </w:r>
            <w:r>
              <w:rPr>
                <w:rFonts w:ascii="Times New Roman" w:hAnsi="Times New Roman"/>
                <w:noProof/>
                <w:sz w:val="24"/>
                <w:szCs w:val="24"/>
              </w:rPr>
              <w:t>Stakeholders call for strengthening the safety and security of the maritime space.</w:t>
            </w:r>
          </w:p>
        </w:tc>
      </w:tr>
    </w:tbl>
    <w:p w:rsidR="00046CF8" w:rsidRDefault="00046CF8">
      <w:pPr>
        <w:pStyle w:val="Text1"/>
        <w:spacing w:after="0"/>
        <w:ind w:left="0"/>
        <w:rPr>
          <w:noProof/>
          <w:sz w:val="8"/>
          <w:szCs w:val="8"/>
        </w:rPr>
      </w:pPr>
    </w:p>
    <w:p w:rsidR="00046CF8" w:rsidRDefault="00046CF8">
      <w:pPr>
        <w:pStyle w:val="Text1"/>
        <w:spacing w:after="0"/>
        <w:ind w:left="0"/>
        <w:rPr>
          <w:noProof/>
          <w:sz w:val="8"/>
          <w:szCs w:val="8"/>
        </w:rPr>
      </w:pPr>
    </w:p>
    <w:p w:rsidR="00046CF8" w:rsidRDefault="003561C2">
      <w:pPr>
        <w:pStyle w:val="Heading1"/>
        <w:spacing w:before="120" w:after="120"/>
        <w:rPr>
          <w:noProof/>
        </w:rPr>
      </w:pPr>
      <w:bookmarkStart w:id="5" w:name="_Toc514503166"/>
      <w:bookmarkStart w:id="6" w:name="_Toc514507415"/>
      <w:r>
        <w:rPr>
          <w:noProof/>
        </w:rPr>
        <w:t>THE OBJECTIVES</w:t>
      </w:r>
      <w:bookmarkEnd w:id="5"/>
      <w:bookmarkEnd w:id="6"/>
      <w:r>
        <w:rPr>
          <w:noProof/>
        </w:rPr>
        <w:t xml:space="preserve"> </w:t>
      </w:r>
    </w:p>
    <w:p w:rsidR="00046CF8" w:rsidRDefault="00046CF8">
      <w:pPr>
        <w:pStyle w:val="Text1"/>
        <w:spacing w:after="0"/>
        <w:jc w:val="left"/>
        <w:rPr>
          <w:noProof/>
        </w:rPr>
      </w:pPr>
    </w:p>
    <w:p w:rsidR="00046CF8" w:rsidRDefault="003561C2">
      <w:pPr>
        <w:pStyle w:val="Heading2"/>
        <w:rPr>
          <w:noProof/>
        </w:rPr>
      </w:pPr>
      <w:bookmarkStart w:id="7" w:name="_Toc514503167"/>
      <w:r>
        <w:rPr>
          <w:noProof/>
        </w:rPr>
        <w:t>Challenges for the programme of the next MFF</w:t>
      </w:r>
      <w:bookmarkEnd w:id="7"/>
      <w:r>
        <w:rPr>
          <w:noProof/>
        </w:rPr>
        <w:t xml:space="preserve"> </w:t>
      </w:r>
    </w:p>
    <w:p w:rsidR="00046CF8" w:rsidRDefault="003561C2">
      <w:pPr>
        <w:pStyle w:val="Text1"/>
        <w:spacing w:after="0"/>
        <w:ind w:left="0"/>
        <w:rPr>
          <w:noProof/>
        </w:rPr>
      </w:pPr>
      <w:r>
        <w:rPr>
          <w:noProof/>
        </w:rPr>
        <w:t xml:space="preserve">Compared </w:t>
      </w:r>
      <w:r>
        <w:rPr>
          <w:noProof/>
        </w:rPr>
        <w:t>to the time when the EMFF was drafted the EU fisheries sector has undergone a substantial restructuring and over the period 2008-2016 the economic performance of the EU fleet improved considerably. In 2015 it was generally profitable, generating EUR 7.2 bi</w:t>
      </w:r>
      <w:r>
        <w:rPr>
          <w:noProof/>
        </w:rPr>
        <w:t>llion in revenue and EUR 798 million in net profit. This represents significant progress taking into account that the EU fleet was barely breaking even in 2009. The positive trend is also reflected in improving positive expectations by the industry as show</w:t>
      </w:r>
      <w:r>
        <w:rPr>
          <w:noProof/>
        </w:rPr>
        <w:t>n by growing investments</w:t>
      </w:r>
      <w:r>
        <w:rPr>
          <w:rStyle w:val="FootnoteReference"/>
          <w:noProof/>
        </w:rPr>
        <w:footnoteReference w:id="30"/>
      </w:r>
      <w:r>
        <w:rPr>
          <w:noProof/>
        </w:rPr>
        <w:t>in recent years.</w:t>
      </w:r>
    </w:p>
    <w:p w:rsidR="00046CF8" w:rsidRDefault="003561C2">
      <w:pPr>
        <w:pStyle w:val="Text1"/>
        <w:ind w:left="0"/>
        <w:rPr>
          <w:noProof/>
        </w:rPr>
      </w:pPr>
      <w:r>
        <w:rPr>
          <w:noProof/>
          <w:lang w:eastAsia="en-GB"/>
        </w:rPr>
        <w:drawing>
          <wp:inline distT="0" distB="0" distL="0" distR="0">
            <wp:extent cx="2314575" cy="2028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314318" cy="2028600"/>
                    </a:xfrm>
                    <a:prstGeom prst="rect">
                      <a:avLst/>
                    </a:prstGeom>
                    <a:noFill/>
                  </pic:spPr>
                </pic:pic>
              </a:graphicData>
            </a:graphic>
          </wp:inline>
        </w:drawing>
      </w:r>
      <w:r>
        <w:rPr>
          <w:noProof/>
          <w:szCs w:val="24"/>
          <w:lang w:eastAsia="en-GB"/>
        </w:rPr>
        <w:drawing>
          <wp:inline distT="0" distB="0" distL="0" distR="0">
            <wp:extent cx="2352675" cy="2014537"/>
            <wp:effectExtent l="0" t="0" r="0" b="5080"/>
            <wp:docPr id="4" name="Picture 4" descr="cid:image003.png@01D3ABEF.0E16B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3.png@01D3ABEF.0E16B920"/>
                    <pic:cNvPicPr>
                      <a:picLocks noChangeAspect="1" noChangeArrowheads="1"/>
                    </pic:cNvPicPr>
                  </pic:nvPicPr>
                  <pic:blipFill>
                    <a:blip r:embed="rId24" r:link="rId25" cstate="screen">
                      <a:extLst>
                        <a:ext uri="{28A0092B-C50C-407E-A947-70E740481C1C}">
                          <a14:useLocalDpi xmlns:a14="http://schemas.microsoft.com/office/drawing/2010/main"/>
                        </a:ext>
                      </a:extLst>
                    </a:blip>
                    <a:srcRect/>
                    <a:stretch>
                      <a:fillRect/>
                    </a:stretch>
                  </pic:blipFill>
                  <pic:spPr bwMode="auto">
                    <a:xfrm>
                      <a:off x="0" y="0"/>
                      <a:ext cx="2352811" cy="2014653"/>
                    </a:xfrm>
                    <a:prstGeom prst="rect">
                      <a:avLst/>
                    </a:prstGeom>
                    <a:noFill/>
                    <a:ln>
                      <a:noFill/>
                    </a:ln>
                  </pic:spPr>
                </pic:pic>
              </a:graphicData>
            </a:graphic>
          </wp:inline>
        </w:drawing>
      </w:r>
    </w:p>
    <w:p w:rsidR="00046CF8" w:rsidRDefault="003561C2">
      <w:pPr>
        <w:pStyle w:val="Text1"/>
        <w:spacing w:after="120"/>
        <w:ind w:left="0"/>
        <w:rPr>
          <w:noProof/>
        </w:rPr>
      </w:pPr>
      <w:r>
        <w:rPr>
          <w:noProof/>
        </w:rPr>
        <w:t>The general improvement is driven by several factors. It coincides with an overall reduction in fleet capacity and low fuel prices</w:t>
      </w:r>
      <w:r>
        <w:rPr>
          <w:rStyle w:val="FootnoteReference"/>
          <w:noProof/>
        </w:rPr>
        <w:footnoteReference w:id="31"/>
      </w:r>
      <w:r>
        <w:rPr>
          <w:noProof/>
        </w:rPr>
        <w:t xml:space="preserve"> but also with an increase in the number of fish stocks being fished at sustaina</w:t>
      </w:r>
      <w:r>
        <w:rPr>
          <w:noProof/>
        </w:rPr>
        <w:t>ble (or MSY) levels. But although the performance of the EU fleet has improved, the development has been uneven and considerable problems remain in certain fleet segments and geographical areas of the Union. Taking into consideration evaluation recommendat</w:t>
      </w:r>
      <w:r>
        <w:rPr>
          <w:noProof/>
        </w:rPr>
        <w:t>ion, monitoring data and stakeholder consultations the key challenges for the future can be summarised as follows:</w:t>
      </w:r>
    </w:p>
    <w:tbl>
      <w:tblPr>
        <w:tblStyle w:val="Highlightbox"/>
        <w:tblW w:w="0" w:type="auto"/>
        <w:tblInd w:w="5" w:type="dxa"/>
        <w:tblBorders>
          <w:top w:val="single" w:sz="4" w:space="0" w:color="0070C0"/>
        </w:tblBorders>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Borders>
              <w:top w:val="none" w:sz="0" w:space="0" w:color="auto"/>
              <w:left w:val="none" w:sz="0" w:space="0" w:color="auto"/>
              <w:bottom w:val="none" w:sz="0" w:space="0" w:color="auto"/>
              <w:right w:val="none" w:sz="0" w:space="0" w:color="auto"/>
            </w:tcBorders>
          </w:tcPr>
          <w:p w:rsidR="00046CF8" w:rsidRDefault="003561C2">
            <w:pPr>
              <w:pStyle w:val="Text1"/>
              <w:spacing w:before="0" w:after="0"/>
              <w:ind w:left="0"/>
              <w:rPr>
                <w:noProof/>
                <w:szCs w:val="24"/>
              </w:rPr>
            </w:pPr>
            <w:r>
              <w:rPr>
                <w:b/>
                <w:noProof/>
                <w:szCs w:val="24"/>
              </w:rPr>
              <w:t>Key challenges for the future</w:t>
            </w:r>
            <w:r>
              <w:rPr>
                <w:noProof/>
                <w:szCs w:val="24"/>
              </w:rPr>
              <w:t>:</w:t>
            </w:r>
          </w:p>
          <w:p w:rsidR="00046CF8" w:rsidRDefault="00046CF8">
            <w:pPr>
              <w:pStyle w:val="Text1"/>
              <w:spacing w:before="0" w:after="0"/>
              <w:ind w:left="0"/>
              <w:rPr>
                <w:noProof/>
                <w:sz w:val="20"/>
              </w:rPr>
            </w:pPr>
          </w:p>
          <w:p w:rsidR="00046CF8" w:rsidRDefault="003561C2">
            <w:pPr>
              <w:pStyle w:val="Text1"/>
              <w:spacing w:before="0" w:after="0"/>
              <w:ind w:left="0"/>
              <w:rPr>
                <w:noProof/>
                <w:szCs w:val="24"/>
              </w:rPr>
            </w:pPr>
            <w:r>
              <w:rPr>
                <w:noProof/>
                <w:szCs w:val="24"/>
              </w:rPr>
              <w:t>For fisheries:</w:t>
            </w:r>
          </w:p>
          <w:p w:rsidR="00046CF8" w:rsidRDefault="003561C2">
            <w:pPr>
              <w:pStyle w:val="Text1"/>
              <w:numPr>
                <w:ilvl w:val="0"/>
                <w:numId w:val="7"/>
              </w:numPr>
              <w:spacing w:before="0" w:after="0"/>
              <w:rPr>
                <w:noProof/>
                <w:szCs w:val="24"/>
              </w:rPr>
            </w:pPr>
            <w:r>
              <w:rPr>
                <w:b/>
                <w:noProof/>
                <w:szCs w:val="24"/>
              </w:rPr>
              <w:t>Overcapacity</w:t>
            </w:r>
            <w:r>
              <w:rPr>
                <w:noProof/>
                <w:szCs w:val="24"/>
              </w:rPr>
              <w:t xml:space="preserve"> is still a serious problem in many segments and across sea-basins In the Mediterranean, </w:t>
            </w:r>
            <w:r>
              <w:rPr>
                <w:b/>
                <w:noProof/>
                <w:szCs w:val="24"/>
              </w:rPr>
              <w:t>overfishing</w:t>
            </w:r>
            <w:r>
              <w:rPr>
                <w:noProof/>
                <w:szCs w:val="24"/>
              </w:rPr>
              <w:t xml:space="preserve"> is broadly between two and three times MSY overall. For stocks such as hake, red mullet, black-bellied anglerfish and blue whiting, current fishing mortali</w:t>
            </w:r>
            <w:r>
              <w:rPr>
                <w:noProof/>
                <w:szCs w:val="24"/>
              </w:rPr>
              <w:t xml:space="preserve">ty rates have been up to six times higher than MSY. Despite recent improvements to the availability of data, the status of many stocks remains unknown. </w:t>
            </w:r>
          </w:p>
          <w:p w:rsidR="00046CF8" w:rsidRDefault="003561C2">
            <w:pPr>
              <w:pStyle w:val="Text1"/>
              <w:numPr>
                <w:ilvl w:val="0"/>
                <w:numId w:val="7"/>
              </w:numPr>
              <w:spacing w:before="0" w:after="0"/>
              <w:rPr>
                <w:noProof/>
                <w:szCs w:val="24"/>
              </w:rPr>
            </w:pPr>
            <w:r>
              <w:rPr>
                <w:noProof/>
                <w:szCs w:val="24"/>
              </w:rPr>
              <w:t xml:space="preserve">A successful implementation of the CFP will </w:t>
            </w:r>
            <w:r>
              <w:rPr>
                <w:b/>
                <w:noProof/>
                <w:szCs w:val="24"/>
              </w:rPr>
              <w:t>continue to require and depend on support</w:t>
            </w:r>
            <w:r>
              <w:rPr>
                <w:noProof/>
                <w:szCs w:val="24"/>
              </w:rPr>
              <w:t xml:space="preserve"> for fisheries con</w:t>
            </w:r>
            <w:r>
              <w:rPr>
                <w:noProof/>
                <w:szCs w:val="24"/>
              </w:rPr>
              <w:t xml:space="preserve">trol and data collection as well as for supporting the fight against IUU both within the EU and internationally. Additionally, control and scientific data collection are areas in which the information collected needs to be used for a </w:t>
            </w:r>
            <w:r>
              <w:rPr>
                <w:b/>
                <w:noProof/>
                <w:szCs w:val="24"/>
              </w:rPr>
              <w:t>broader scope</w:t>
            </w:r>
            <w:r>
              <w:rPr>
                <w:noProof/>
                <w:szCs w:val="24"/>
              </w:rPr>
              <w:t xml:space="preserve"> of purpo</w:t>
            </w:r>
            <w:r>
              <w:rPr>
                <w:noProof/>
                <w:szCs w:val="24"/>
              </w:rPr>
              <w:t>ses (surveillance and marine knowledge respectively) and requires more inter-operable systems.</w:t>
            </w:r>
          </w:p>
          <w:p w:rsidR="00046CF8" w:rsidRDefault="003561C2">
            <w:pPr>
              <w:pStyle w:val="Text1"/>
              <w:numPr>
                <w:ilvl w:val="0"/>
                <w:numId w:val="7"/>
              </w:numPr>
              <w:spacing w:before="0" w:after="0"/>
              <w:rPr>
                <w:noProof/>
                <w:szCs w:val="24"/>
              </w:rPr>
            </w:pPr>
            <w:r>
              <w:rPr>
                <w:rFonts w:eastAsiaTheme="minorHAnsi"/>
                <w:noProof/>
                <w:szCs w:val="24"/>
              </w:rPr>
              <w:t>Representing 74% of all active vessels in the Union small scale coastal fisheries are fundamental for the viability and resilience of many coastal communities. A</w:t>
            </w:r>
            <w:r>
              <w:rPr>
                <w:rFonts w:eastAsiaTheme="minorHAnsi"/>
                <w:noProof/>
                <w:szCs w:val="24"/>
              </w:rPr>
              <w:t xml:space="preserve">lthough the sector was profitable in 2015 and labour productivity is increasing, the situation is </w:t>
            </w:r>
            <w:r>
              <w:rPr>
                <w:rFonts w:eastAsiaTheme="minorHAnsi"/>
                <w:b/>
                <w:noProof/>
                <w:szCs w:val="24"/>
              </w:rPr>
              <w:t>mixed</w:t>
            </w:r>
            <w:r>
              <w:rPr>
                <w:rFonts w:eastAsiaTheme="minorHAnsi"/>
                <w:noProof/>
                <w:szCs w:val="24"/>
              </w:rPr>
              <w:t xml:space="preserve"> at regional level, with 53 out 135 SSCF fleets with </w:t>
            </w:r>
            <w:r>
              <w:rPr>
                <w:rFonts w:eastAsiaTheme="minorHAnsi"/>
                <w:b/>
                <w:noProof/>
                <w:szCs w:val="24"/>
              </w:rPr>
              <w:t>net losses</w:t>
            </w:r>
            <w:r>
              <w:rPr>
                <w:rStyle w:val="FootnoteReference"/>
                <w:rFonts w:eastAsiaTheme="minorHAnsi"/>
                <w:noProof/>
                <w:szCs w:val="24"/>
              </w:rPr>
              <w:footnoteReference w:id="32"/>
            </w:r>
            <w:r>
              <w:rPr>
                <w:rFonts w:eastAsiaTheme="minorHAnsi"/>
                <w:noProof/>
                <w:szCs w:val="24"/>
              </w:rPr>
              <w:t>.</w:t>
            </w:r>
          </w:p>
          <w:p w:rsidR="00046CF8" w:rsidRDefault="003561C2">
            <w:pPr>
              <w:pStyle w:val="Text1"/>
              <w:numPr>
                <w:ilvl w:val="0"/>
                <w:numId w:val="7"/>
              </w:numPr>
              <w:spacing w:before="0" w:after="0"/>
              <w:rPr>
                <w:noProof/>
                <w:szCs w:val="24"/>
              </w:rPr>
            </w:pPr>
            <w:r>
              <w:rPr>
                <w:noProof/>
                <w:szCs w:val="24"/>
              </w:rPr>
              <w:t xml:space="preserve">The </w:t>
            </w:r>
            <w:r>
              <w:rPr>
                <w:b/>
                <w:noProof/>
                <w:szCs w:val="24"/>
              </w:rPr>
              <w:t>lack of attractiveness</w:t>
            </w:r>
            <w:r>
              <w:rPr>
                <w:noProof/>
                <w:szCs w:val="24"/>
              </w:rPr>
              <w:t xml:space="preserve"> of the fisheries sector calls for continued attention. Safet</w:t>
            </w:r>
            <w:r>
              <w:rPr>
                <w:noProof/>
                <w:szCs w:val="24"/>
              </w:rPr>
              <w:t>y concerns and difficult working conditions aboard fishing vessels (health, hygiene etc.) make the sector unattractive to work in</w:t>
            </w:r>
          </w:p>
          <w:p w:rsidR="00046CF8" w:rsidRDefault="00046CF8">
            <w:pPr>
              <w:pStyle w:val="Text1"/>
              <w:spacing w:before="0" w:after="0"/>
              <w:ind w:left="0"/>
              <w:rPr>
                <w:rFonts w:eastAsiaTheme="minorHAnsi"/>
                <w:noProof/>
                <w:sz w:val="20"/>
              </w:rPr>
            </w:pPr>
          </w:p>
          <w:p w:rsidR="00046CF8" w:rsidRDefault="003561C2">
            <w:pPr>
              <w:pStyle w:val="Text1"/>
              <w:spacing w:before="0" w:after="0"/>
              <w:ind w:left="0"/>
              <w:rPr>
                <w:rFonts w:eastAsiaTheme="minorHAnsi"/>
                <w:noProof/>
                <w:szCs w:val="24"/>
              </w:rPr>
            </w:pPr>
            <w:r>
              <w:rPr>
                <w:rFonts w:eastAsiaTheme="minorHAnsi"/>
                <w:noProof/>
                <w:szCs w:val="24"/>
              </w:rPr>
              <w:t>For aquaculture, marketing and processing:</w:t>
            </w:r>
          </w:p>
          <w:p w:rsidR="00046CF8" w:rsidRDefault="003561C2">
            <w:pPr>
              <w:pStyle w:val="ListParagraph"/>
              <w:numPr>
                <w:ilvl w:val="0"/>
                <w:numId w:val="11"/>
              </w:numPr>
              <w:spacing w:after="0"/>
              <w:rPr>
                <w:rFonts w:ascii="Times New Roman" w:hAnsi="Times New Roman"/>
                <w:noProof/>
                <w:sz w:val="24"/>
                <w:szCs w:val="24"/>
              </w:rPr>
            </w:pPr>
            <w:r>
              <w:rPr>
                <w:rFonts w:ascii="Times New Roman" w:hAnsi="Times New Roman"/>
                <w:noProof/>
                <w:sz w:val="24"/>
                <w:szCs w:val="24"/>
              </w:rPr>
              <w:t xml:space="preserve">To increase the focus on </w:t>
            </w:r>
            <w:r>
              <w:rPr>
                <w:rFonts w:ascii="Times New Roman" w:hAnsi="Times New Roman"/>
                <w:b/>
                <w:noProof/>
                <w:sz w:val="24"/>
                <w:szCs w:val="24"/>
              </w:rPr>
              <w:t>innovation</w:t>
            </w:r>
            <w:r>
              <w:rPr>
                <w:rFonts w:ascii="Times New Roman" w:hAnsi="Times New Roman"/>
                <w:noProof/>
                <w:sz w:val="24"/>
                <w:szCs w:val="24"/>
              </w:rPr>
              <w:t xml:space="preserve"> and </w:t>
            </w:r>
            <w:r>
              <w:rPr>
                <w:rFonts w:ascii="Times New Roman" w:hAnsi="Times New Roman"/>
                <w:b/>
                <w:noProof/>
                <w:sz w:val="24"/>
                <w:szCs w:val="24"/>
              </w:rPr>
              <w:t>environmentally sustainable solutions</w:t>
            </w:r>
            <w:r>
              <w:rPr>
                <w:rFonts w:ascii="Times New Roman" w:hAnsi="Times New Roman"/>
                <w:noProof/>
                <w:sz w:val="24"/>
                <w:szCs w:val="24"/>
              </w:rPr>
              <w:t>.</w:t>
            </w:r>
          </w:p>
          <w:p w:rsidR="00046CF8" w:rsidRDefault="00046CF8">
            <w:pPr>
              <w:pStyle w:val="Text1"/>
              <w:numPr>
                <w:ilvl w:val="0"/>
                <w:numId w:val="7"/>
              </w:numPr>
              <w:spacing w:before="0" w:after="0"/>
              <w:ind w:left="0"/>
              <w:rPr>
                <w:noProof/>
                <w:szCs w:val="24"/>
              </w:rPr>
            </w:pPr>
          </w:p>
          <w:p w:rsidR="00046CF8" w:rsidRDefault="003561C2">
            <w:pPr>
              <w:pStyle w:val="Text1"/>
              <w:spacing w:before="0" w:after="0"/>
              <w:ind w:left="0"/>
              <w:rPr>
                <w:noProof/>
                <w:szCs w:val="24"/>
              </w:rPr>
            </w:pPr>
            <w:r>
              <w:rPr>
                <w:noProof/>
                <w:szCs w:val="24"/>
              </w:rPr>
              <w:t>Fo</w:t>
            </w:r>
            <w:r>
              <w:rPr>
                <w:noProof/>
                <w:szCs w:val="24"/>
              </w:rPr>
              <w:t>r the blue economy:</w:t>
            </w:r>
          </w:p>
          <w:p w:rsidR="00046CF8" w:rsidRDefault="003561C2">
            <w:pPr>
              <w:pStyle w:val="Text1"/>
              <w:numPr>
                <w:ilvl w:val="0"/>
                <w:numId w:val="7"/>
              </w:numPr>
              <w:spacing w:before="0" w:after="0"/>
              <w:rPr>
                <w:noProof/>
                <w:szCs w:val="24"/>
              </w:rPr>
            </w:pPr>
            <w:r>
              <w:rPr>
                <w:noProof/>
                <w:szCs w:val="24"/>
              </w:rPr>
              <w:t xml:space="preserve">The blue economy is </w:t>
            </w:r>
            <w:r>
              <w:rPr>
                <w:b/>
                <w:noProof/>
                <w:szCs w:val="24"/>
              </w:rPr>
              <w:t>still</w:t>
            </w:r>
            <w:r>
              <w:rPr>
                <w:noProof/>
                <w:szCs w:val="24"/>
              </w:rPr>
              <w:t xml:space="preserve"> </w:t>
            </w:r>
            <w:r>
              <w:rPr>
                <w:b/>
                <w:noProof/>
                <w:szCs w:val="24"/>
              </w:rPr>
              <w:t>not delivering</w:t>
            </w:r>
            <w:r>
              <w:rPr>
                <w:noProof/>
                <w:szCs w:val="24"/>
              </w:rPr>
              <w:t xml:space="preserve"> to its full potential and there is a need to remove bottlenecks and support </w:t>
            </w:r>
            <w:r>
              <w:rPr>
                <w:b/>
                <w:noProof/>
                <w:szCs w:val="24"/>
              </w:rPr>
              <w:t>enabling conditions</w:t>
            </w:r>
            <w:r>
              <w:rPr>
                <w:noProof/>
                <w:szCs w:val="24"/>
              </w:rPr>
              <w:t xml:space="preserve"> to facilitate investment, </w:t>
            </w:r>
            <w:r>
              <w:rPr>
                <w:b/>
                <w:noProof/>
                <w:szCs w:val="24"/>
              </w:rPr>
              <w:t>innovation</w:t>
            </w:r>
            <w:r>
              <w:rPr>
                <w:noProof/>
                <w:szCs w:val="24"/>
              </w:rPr>
              <w:t xml:space="preserve"> and market development. Continued support is needed for develo</w:t>
            </w:r>
            <w:r>
              <w:rPr>
                <w:noProof/>
                <w:szCs w:val="24"/>
              </w:rPr>
              <w:t>ping marine knowledge, maritime spatial planning, maritime security and cooperation between Member States within the framework of sea-basin strategies. In the blue economy increased efforts are necessary to address sustainability issues including marine li</w:t>
            </w:r>
            <w:r>
              <w:rPr>
                <w:noProof/>
                <w:szCs w:val="24"/>
              </w:rPr>
              <w:t>tter, the shortage of skills, supply of labour, high development costs, commercialisation of research results and issues related to licensing and standards in emerging blue growth sectors.</w:t>
            </w:r>
          </w:p>
          <w:p w:rsidR="00046CF8" w:rsidRDefault="003561C2">
            <w:pPr>
              <w:pStyle w:val="Text1"/>
              <w:numPr>
                <w:ilvl w:val="0"/>
                <w:numId w:val="8"/>
              </w:numPr>
              <w:spacing w:before="0" w:after="0"/>
              <w:rPr>
                <w:noProof/>
                <w:szCs w:val="24"/>
              </w:rPr>
            </w:pPr>
            <w:r>
              <w:rPr>
                <w:noProof/>
                <w:szCs w:val="24"/>
              </w:rPr>
              <w:t xml:space="preserve">Community-led local development has a great potential to help developing the blue economy at local level and ways to </w:t>
            </w:r>
            <w:r>
              <w:rPr>
                <w:b/>
                <w:noProof/>
                <w:szCs w:val="24"/>
              </w:rPr>
              <w:t>strengthen</w:t>
            </w:r>
            <w:r>
              <w:rPr>
                <w:noProof/>
                <w:szCs w:val="24"/>
              </w:rPr>
              <w:t xml:space="preserve"> this approach should be explored.</w:t>
            </w:r>
          </w:p>
          <w:p w:rsidR="00046CF8" w:rsidRDefault="00046CF8">
            <w:pPr>
              <w:pStyle w:val="Text1"/>
              <w:spacing w:before="0" w:after="0"/>
              <w:ind w:left="0"/>
              <w:rPr>
                <w:noProof/>
                <w:sz w:val="20"/>
              </w:rPr>
            </w:pPr>
          </w:p>
          <w:p w:rsidR="00046CF8" w:rsidRDefault="003561C2">
            <w:pPr>
              <w:pStyle w:val="Text1"/>
              <w:spacing w:before="0" w:after="0"/>
              <w:ind w:left="0"/>
              <w:rPr>
                <w:noProof/>
                <w:szCs w:val="24"/>
              </w:rPr>
            </w:pPr>
            <w:r>
              <w:rPr>
                <w:noProof/>
                <w:szCs w:val="24"/>
              </w:rPr>
              <w:t>Emerging policy issues: the international scene and maritime security</w:t>
            </w:r>
          </w:p>
          <w:p w:rsidR="00046CF8" w:rsidRDefault="003561C2">
            <w:pPr>
              <w:pStyle w:val="ListParagraph"/>
              <w:numPr>
                <w:ilvl w:val="0"/>
                <w:numId w:val="9"/>
              </w:numPr>
              <w:spacing w:before="0" w:after="0"/>
              <w:rPr>
                <w:rFonts w:ascii="Times New Roman" w:hAnsi="Times New Roman"/>
                <w:noProof/>
              </w:rPr>
            </w:pPr>
            <w:r>
              <w:rPr>
                <w:rFonts w:ascii="Times New Roman" w:hAnsi="Times New Roman"/>
                <w:noProof/>
                <w:sz w:val="24"/>
                <w:szCs w:val="24"/>
              </w:rPr>
              <w:t xml:space="preserve">The EMFF was set up in conjunction with the reform of the CFP, and marginally to support a nascent maritime policy. Since then, </w:t>
            </w:r>
            <w:r>
              <w:rPr>
                <w:rFonts w:ascii="Times New Roman" w:hAnsi="Times New Roman"/>
                <w:b/>
                <w:noProof/>
                <w:sz w:val="24"/>
                <w:szCs w:val="24"/>
              </w:rPr>
              <w:t>significant developments have taken place</w:t>
            </w:r>
            <w:r>
              <w:rPr>
                <w:rFonts w:ascii="Times New Roman" w:hAnsi="Times New Roman"/>
                <w:noProof/>
                <w:sz w:val="24"/>
                <w:szCs w:val="24"/>
              </w:rPr>
              <w:t xml:space="preserve"> at international level. Besides the continued implementation of these two policies, it</w:t>
            </w:r>
            <w:r>
              <w:rPr>
                <w:rFonts w:ascii="Times New Roman" w:hAnsi="Times New Roman"/>
                <w:noProof/>
                <w:sz w:val="24"/>
                <w:szCs w:val="24"/>
              </w:rPr>
              <w:t>s successor will have to take into account the objectives of the Paris Agreement, the effects of Brexit and the new Ocean Governance.</w:t>
            </w:r>
          </w:p>
        </w:tc>
      </w:tr>
    </w:tbl>
    <w:p w:rsidR="00046CF8" w:rsidRDefault="00046CF8">
      <w:pPr>
        <w:autoSpaceDE w:val="0"/>
        <w:autoSpaceDN w:val="0"/>
        <w:adjustRightInd w:val="0"/>
        <w:spacing w:after="0"/>
        <w:jc w:val="both"/>
        <w:rPr>
          <w:rFonts w:ascii="Times New Roman" w:hAnsi="Times New Roman" w:cs="Times New Roman"/>
          <w:noProof/>
          <w:sz w:val="16"/>
          <w:szCs w:val="16"/>
          <w:u w:val="single"/>
        </w:rPr>
      </w:pPr>
    </w:p>
    <w:p w:rsidR="00046CF8" w:rsidRDefault="003561C2">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To conclude, the main issue for the future is to further improve the policy in line with evaluation recommendations and </w:t>
      </w:r>
      <w:r>
        <w:rPr>
          <w:rFonts w:ascii="Times New Roman" w:hAnsi="Times New Roman" w:cs="Times New Roman"/>
          <w:noProof/>
          <w:sz w:val="24"/>
          <w:szCs w:val="24"/>
        </w:rPr>
        <w:t>stakeholder views, the focus is on evolution rather than radical changes. This means that future support for fisheries and maritime policies should be targeted to deliver on key CFP objectives, notably MSY in all sea-basins by 2020 and beyond, to address p</w:t>
      </w:r>
      <w:r>
        <w:rPr>
          <w:rFonts w:ascii="Times New Roman" w:hAnsi="Times New Roman" w:cs="Times New Roman"/>
          <w:noProof/>
          <w:sz w:val="24"/>
          <w:szCs w:val="24"/>
        </w:rPr>
        <w:t>ersisting market failures in particular related to enabling conditions to facilitate, innovation and market development in the blue economy (including the development of local economies in coastal communities) and to respond to emerging issues. We can grou</w:t>
      </w:r>
      <w:r>
        <w:rPr>
          <w:rFonts w:ascii="Times New Roman" w:hAnsi="Times New Roman" w:cs="Times New Roman"/>
          <w:noProof/>
          <w:sz w:val="24"/>
          <w:szCs w:val="24"/>
        </w:rPr>
        <w:t>p these challenges into four general objectives for the future:</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numPr>
                <w:ilvl w:val="0"/>
                <w:numId w:val="12"/>
              </w:numPr>
              <w:spacing w:before="0" w:after="0"/>
              <w:ind w:left="0"/>
              <w:rPr>
                <w:rFonts w:ascii="Times New Roman" w:hAnsi="Times New Roman"/>
                <w:noProof/>
                <w:sz w:val="24"/>
                <w:szCs w:val="24"/>
              </w:rPr>
            </w:pPr>
            <w:r>
              <w:rPr>
                <w:rFonts w:ascii="Times New Roman" w:hAnsi="Times New Roman"/>
                <w:noProof/>
                <w:sz w:val="24"/>
                <w:szCs w:val="24"/>
              </w:rPr>
              <w:t>1. For fisheries: Fostering sustainable fisheries and the conservation of marine biological resources;</w:t>
            </w:r>
          </w:p>
          <w:p w:rsidR="00046CF8" w:rsidRDefault="00046CF8">
            <w:pPr>
              <w:spacing w:before="0" w:after="0"/>
              <w:rPr>
                <w:rFonts w:ascii="Times New Roman" w:hAnsi="Times New Roman"/>
                <w:noProof/>
              </w:rPr>
            </w:pPr>
          </w:p>
          <w:p w:rsidR="00046CF8" w:rsidRDefault="003561C2">
            <w:pPr>
              <w:numPr>
                <w:ilvl w:val="0"/>
                <w:numId w:val="12"/>
              </w:numPr>
              <w:spacing w:before="0" w:after="0"/>
              <w:ind w:left="0"/>
              <w:rPr>
                <w:rFonts w:ascii="Times New Roman" w:hAnsi="Times New Roman"/>
                <w:noProof/>
                <w:sz w:val="24"/>
                <w:szCs w:val="24"/>
              </w:rPr>
            </w:pPr>
            <w:r>
              <w:rPr>
                <w:rFonts w:ascii="Times New Roman" w:hAnsi="Times New Roman"/>
                <w:noProof/>
                <w:sz w:val="24"/>
                <w:szCs w:val="24"/>
              </w:rPr>
              <w:t>2. For aquaculture, marketing and processing: Contributing to food security in the Union</w:t>
            </w:r>
            <w:r>
              <w:rPr>
                <w:rFonts w:ascii="Times New Roman" w:hAnsi="Times New Roman"/>
                <w:noProof/>
                <w:sz w:val="24"/>
                <w:szCs w:val="24"/>
              </w:rPr>
              <w:t xml:space="preserve"> through competitive and sustainable aquaculture and markets;</w:t>
            </w:r>
          </w:p>
          <w:p w:rsidR="00046CF8" w:rsidRDefault="00046CF8">
            <w:pPr>
              <w:spacing w:before="0" w:after="0"/>
              <w:rPr>
                <w:rFonts w:ascii="Times New Roman" w:hAnsi="Times New Roman"/>
                <w:noProof/>
              </w:rPr>
            </w:pPr>
          </w:p>
          <w:p w:rsidR="00046CF8" w:rsidRDefault="003561C2">
            <w:pPr>
              <w:numPr>
                <w:ilvl w:val="0"/>
                <w:numId w:val="12"/>
              </w:numPr>
              <w:spacing w:before="0" w:after="0"/>
              <w:ind w:left="0"/>
              <w:rPr>
                <w:rFonts w:ascii="Times New Roman" w:hAnsi="Times New Roman"/>
                <w:noProof/>
                <w:sz w:val="24"/>
                <w:szCs w:val="24"/>
              </w:rPr>
            </w:pPr>
            <w:r>
              <w:rPr>
                <w:rFonts w:ascii="Times New Roman" w:hAnsi="Times New Roman"/>
                <w:noProof/>
                <w:sz w:val="24"/>
                <w:szCs w:val="24"/>
              </w:rPr>
              <w:t>3. For the blue economy: Enabling the growth of the sustainable blue economy and fostering prosperous coastal communities;</w:t>
            </w:r>
          </w:p>
          <w:p w:rsidR="00046CF8" w:rsidRDefault="00046CF8">
            <w:pPr>
              <w:spacing w:before="0" w:after="0"/>
              <w:rPr>
                <w:rFonts w:ascii="Times New Roman" w:hAnsi="Times New Roman"/>
                <w:noProof/>
              </w:rPr>
            </w:pPr>
          </w:p>
          <w:p w:rsidR="00046CF8" w:rsidRDefault="003561C2">
            <w:pPr>
              <w:numPr>
                <w:ilvl w:val="0"/>
                <w:numId w:val="12"/>
              </w:numPr>
              <w:spacing w:before="0" w:after="0"/>
              <w:ind w:left="0"/>
              <w:rPr>
                <w:rFonts w:ascii="Times New Roman" w:hAnsi="Times New Roman"/>
                <w:noProof/>
              </w:rPr>
            </w:pPr>
            <w:r>
              <w:rPr>
                <w:rFonts w:ascii="Times New Roman" w:hAnsi="Times New Roman"/>
                <w:noProof/>
                <w:sz w:val="24"/>
                <w:szCs w:val="24"/>
              </w:rPr>
              <w:t>4. For emerging policy issues: Strengthening international ocean gove</w:t>
            </w:r>
            <w:r>
              <w:rPr>
                <w:rFonts w:ascii="Times New Roman" w:hAnsi="Times New Roman"/>
                <w:noProof/>
                <w:sz w:val="24"/>
                <w:szCs w:val="24"/>
              </w:rPr>
              <w:t>rnance and enabling safe, secure, clean and sustainably managed oceans.</w:t>
            </w:r>
            <w:r>
              <w:rPr>
                <w:rFonts w:ascii="Times New Roman" w:hAnsi="Times New Roman"/>
                <w:noProof/>
              </w:rPr>
              <w:t xml:space="preserve"> </w:t>
            </w:r>
          </w:p>
        </w:tc>
      </w:tr>
    </w:tbl>
    <w:p w:rsidR="00046CF8" w:rsidRDefault="003561C2">
      <w:pPr>
        <w:autoSpaceDE w:val="0"/>
        <w:autoSpaceDN w:val="0"/>
        <w:adjustRightInd w:val="0"/>
        <w:spacing w:after="0"/>
        <w:jc w:val="both"/>
        <w:rPr>
          <w:rFonts w:ascii="Times New Roman" w:hAnsi="Times New Roman" w:cs="Times New Roman"/>
          <w:noProof/>
          <w:sz w:val="20"/>
          <w:szCs w:val="20"/>
          <w:u w:val="single"/>
        </w:rPr>
      </w:pPr>
      <w:r>
        <w:rPr>
          <w:rFonts w:ascii="Times New Roman" w:hAnsi="Times New Roman" w:cs="Times New Roman"/>
          <w:noProof/>
          <w:sz w:val="20"/>
          <w:szCs w:val="20"/>
          <w:u w:val="single"/>
        </w:rPr>
        <w:t xml:space="preserve">      </w:t>
      </w:r>
    </w:p>
    <w:p w:rsidR="00046CF8" w:rsidRDefault="003561C2">
      <w:pPr>
        <w:autoSpaceDE w:val="0"/>
        <w:autoSpaceDN w:val="0"/>
        <w:adjustRightInd w:val="0"/>
        <w:spacing w:after="12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2.1.1</w:t>
      </w:r>
      <w:r>
        <w:rPr>
          <w:rFonts w:ascii="Times New Roman" w:hAnsi="Times New Roman" w:cs="Times New Roman"/>
          <w:noProof/>
          <w:sz w:val="24"/>
          <w:szCs w:val="24"/>
          <w:u w:val="single"/>
        </w:rPr>
        <w:tab/>
        <w:t xml:space="preserve">Fostering sustainable fisheries and the conservation of marine biological resources </w:t>
      </w:r>
    </w:p>
    <w:p w:rsidR="00046CF8" w:rsidRDefault="003561C2">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As we have seen, in terms of economic and environmental sustainability the situation</w:t>
      </w:r>
      <w:r>
        <w:rPr>
          <w:rFonts w:ascii="Times New Roman" w:hAnsi="Times New Roman" w:cs="Times New Roman"/>
          <w:noProof/>
          <w:sz w:val="24"/>
          <w:szCs w:val="24"/>
        </w:rPr>
        <w:t xml:space="preserve"> today is very different from 2014 when the EMFF was designed. The status of fish stocks is improving and the majority of stocks in the North-East Atlantic, North Sea and Baltic are in a healthy state</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In 2018, the EU fleet will operate in a financially stronger and more resilient position than ever over the last decade, leaving financial margin to face remaining challenges ahead. </w:t>
      </w:r>
    </w:p>
    <w:p w:rsidR="00046CF8" w:rsidRDefault="00046CF8">
      <w:pPr>
        <w:pStyle w:val="Text1"/>
        <w:spacing w:after="0"/>
        <w:ind w:left="0"/>
        <w:rPr>
          <w:noProof/>
          <w:sz w:val="16"/>
          <w:szCs w:val="16"/>
          <w:u w:val="single"/>
        </w:rPr>
      </w:pPr>
    </w:p>
    <w:p w:rsidR="00046CF8" w:rsidRDefault="003561C2">
      <w:pPr>
        <w:pStyle w:val="Text1"/>
        <w:ind w:left="0"/>
        <w:rPr>
          <w:noProof/>
        </w:rPr>
      </w:pPr>
      <w:r>
        <w:rPr>
          <w:noProof/>
        </w:rPr>
        <w:t xml:space="preserve">Public support is necessary to continue supporting the CFP objectives </w:t>
      </w:r>
      <w:r>
        <w:rPr>
          <w:noProof/>
        </w:rPr>
        <w:t>of achieving MSY and the implementation of the landing obligation</w:t>
      </w:r>
      <w:r>
        <w:rPr>
          <w:rStyle w:val="FootnoteReference"/>
          <w:noProof/>
        </w:rPr>
        <w:footnoteReference w:id="34"/>
      </w:r>
      <w:r>
        <w:rPr>
          <w:noProof/>
        </w:rPr>
        <w:t>. Despite progress in recent years and more than three decades of public support, overcapacity is still a serious problem in many segments and across sea-basins. In 2016, on the basis of bio</w:t>
      </w:r>
      <w:r>
        <w:rPr>
          <w:noProof/>
        </w:rPr>
        <w:t>logical, economic or technical indicators and/or supplementary information, 15 Member States</w:t>
      </w:r>
      <w:r>
        <w:rPr>
          <w:rStyle w:val="FootnoteReference"/>
          <w:noProof/>
        </w:rPr>
        <w:footnoteReference w:id="35"/>
      </w:r>
      <w:r>
        <w:rPr>
          <w:noProof/>
        </w:rPr>
        <w:t xml:space="preserve"> identified a number of their fleet segments as not effectively balanced with their fishing opportunities, or showing latent signs of being imbalanced, and therefo</w:t>
      </w:r>
      <w:r>
        <w:rPr>
          <w:noProof/>
        </w:rPr>
        <w:t xml:space="preserve">re requiring action plans under the Commission guidelines. </w:t>
      </w:r>
    </w:p>
    <w:p w:rsidR="00046CF8" w:rsidRDefault="003561C2">
      <w:pPr>
        <w:pStyle w:val="Text1"/>
        <w:ind w:left="0"/>
        <w:rPr>
          <w:noProof/>
        </w:rPr>
      </w:pPr>
      <w:r>
        <w:rPr>
          <w:noProof/>
        </w:rPr>
        <w:t xml:space="preserve">Overcapacity is considered a leading cause of overfishing in the Mediterranean Sea, given the general lack of catch controls and the reliance on effort to regulate fishing mortality. </w:t>
      </w:r>
      <w:r>
        <w:rPr>
          <w:b/>
          <w:noProof/>
        </w:rPr>
        <w:t>That is why f</w:t>
      </w:r>
      <w:r>
        <w:rPr>
          <w:b/>
          <w:noProof/>
        </w:rPr>
        <w:t>or the future the policy must be more targeted and more focussed in order to better address the issue of overcapacity and overfishing in those segments of the EU fisheries fleet which continue to fish stocks at unsustainable levels.</w:t>
      </w:r>
    </w:p>
    <w:p w:rsidR="00046CF8" w:rsidRDefault="003561C2">
      <w:pPr>
        <w:pStyle w:val="Text1"/>
        <w:ind w:left="0"/>
        <w:rPr>
          <w:noProof/>
        </w:rPr>
      </w:pPr>
      <w:r>
        <w:rPr>
          <w:noProof/>
        </w:rPr>
        <w:t>The role of Producer Or</w:t>
      </w:r>
      <w:r>
        <w:rPr>
          <w:noProof/>
        </w:rPr>
        <w:t xml:space="preserve">ganisations as key actors in the implementation of the CFP for promoting and achieving sustainable fisheries and aquaculture activities is recognised and stakeholders plead for continuity in the support of their production and marketing plans. </w:t>
      </w:r>
    </w:p>
    <w:p w:rsidR="00046CF8" w:rsidRDefault="003561C2">
      <w:pPr>
        <w:pStyle w:val="Text1"/>
        <w:spacing w:after="120"/>
        <w:ind w:left="0"/>
        <w:rPr>
          <w:noProof/>
        </w:rPr>
      </w:pPr>
      <w:r>
        <w:rPr>
          <w:noProof/>
        </w:rPr>
        <w:t xml:space="preserve">As regards </w:t>
      </w:r>
      <w:r>
        <w:rPr>
          <w:noProof/>
        </w:rPr>
        <w:t xml:space="preserve">small-scale fisheries the situation varies enormously across different sea-basins, with small-scale coastal fishers in the Mediterranean and Baltic Seas suffering the most difficulties in terms of operating losses. For the future, stakeholders signal that </w:t>
      </w:r>
      <w:r>
        <w:rPr>
          <w:noProof/>
        </w:rPr>
        <w:t xml:space="preserve">it is important to increase support to small-scale fisheries and although in many cases, the problems faced by the SSCF sector are beyond the scope of the EMFF, such as for example access to quota (which is largely determined by Member States). </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spacing w:before="0" w:after="0"/>
              <w:jc w:val="both"/>
              <w:rPr>
                <w:rFonts w:ascii="Times New Roman" w:hAnsi="Times New Roman"/>
                <w:b/>
                <w:noProof/>
                <w:sz w:val="24"/>
                <w:szCs w:val="24"/>
              </w:rPr>
            </w:pPr>
            <w:r>
              <w:rPr>
                <w:rFonts w:ascii="Times New Roman" w:hAnsi="Times New Roman"/>
                <w:b/>
                <w:noProof/>
                <w:sz w:val="24"/>
                <w:szCs w:val="24"/>
              </w:rPr>
              <w:t>Socio-economic conditions in the fisheries sector</w:t>
            </w:r>
          </w:p>
          <w:p w:rsidR="00046CF8" w:rsidRDefault="003561C2">
            <w:pPr>
              <w:autoSpaceDE w:val="0"/>
              <w:autoSpaceDN w:val="0"/>
              <w:adjustRightInd w:val="0"/>
              <w:spacing w:after="0"/>
              <w:jc w:val="both"/>
              <w:rPr>
                <w:rFonts w:ascii="Times New Roman" w:hAnsi="Times New Roman"/>
                <w:noProof/>
                <w:sz w:val="24"/>
                <w:szCs w:val="24"/>
              </w:rPr>
            </w:pPr>
            <w:r>
              <w:rPr>
                <w:rFonts w:ascii="Times New Roman" w:hAnsi="Times New Roman"/>
                <w:noProof/>
                <w:sz w:val="24"/>
                <w:szCs w:val="24"/>
              </w:rPr>
              <w:t>In 2015 direct employment generated by the sector amounted to 152 700 fishers, corresponding to 114 863 FTEs. Despite the generally good economic outlook, employment in the EU fleet continues to decline. Th</w:t>
            </w:r>
            <w:r>
              <w:rPr>
                <w:rFonts w:ascii="Times New Roman" w:hAnsi="Times New Roman"/>
                <w:noProof/>
                <w:sz w:val="24"/>
                <w:szCs w:val="24"/>
              </w:rPr>
              <w:t>e decrease was on average 1% per year from 2008 to 2015 as a result of a reduction in the number of fishing vessels and the fact that labour is replaced by capital in many vessels. Average annual wage per FTE was estimated at EUR 24.8 thousand, ranging fro</w:t>
            </w:r>
            <w:r>
              <w:rPr>
                <w:rFonts w:ascii="Times New Roman" w:hAnsi="Times New Roman"/>
                <w:noProof/>
                <w:sz w:val="24"/>
                <w:szCs w:val="24"/>
              </w:rPr>
              <w:t>m EUR 1.4 thousand for Cypriot fishers to EUR 75 thousand for Belgian fishers</w:t>
            </w:r>
            <w:r>
              <w:rPr>
                <w:rStyle w:val="FootnoteReference"/>
                <w:rFonts w:ascii="Times New Roman" w:hAnsi="Times New Roman"/>
                <w:noProof/>
                <w:sz w:val="24"/>
                <w:szCs w:val="24"/>
              </w:rPr>
              <w:footnoteReference w:id="36"/>
            </w:r>
            <w:r>
              <w:rPr>
                <w:rFonts w:ascii="Times New Roman" w:hAnsi="Times New Roman"/>
                <w:noProof/>
                <w:sz w:val="24"/>
                <w:szCs w:val="24"/>
              </w:rPr>
              <w:t>. In the sector ancillary to marine fishing there were 35 000 FTE and EUR 2.8 billion of income in 2009, while in 2014 the corresponding values stood at 36 000 FTE and EUR 2.5 bi</w:t>
            </w:r>
            <w:r>
              <w:rPr>
                <w:rFonts w:ascii="Times New Roman" w:hAnsi="Times New Roman"/>
                <w:noProof/>
                <w:sz w:val="24"/>
                <w:szCs w:val="24"/>
              </w:rPr>
              <w:t>llion. Thus, employment numbers in the ancillary sector were essentially stable between 2009 and 2014. This is clear evidence that employment in the ancillary sector was quite resilient relative to the primary industry</w:t>
            </w:r>
            <w:r>
              <w:rPr>
                <w:rStyle w:val="FootnoteReference"/>
                <w:rFonts w:ascii="Times New Roman" w:hAnsi="Times New Roman"/>
                <w:noProof/>
                <w:sz w:val="24"/>
                <w:szCs w:val="24"/>
              </w:rPr>
              <w:footnoteReference w:id="37"/>
            </w:r>
            <w:r>
              <w:rPr>
                <w:rFonts w:ascii="Times New Roman" w:hAnsi="Times New Roman"/>
                <w:noProof/>
                <w:sz w:val="24"/>
                <w:szCs w:val="24"/>
              </w:rPr>
              <w:t xml:space="preserve">. Thus, in the catching sector wages </w:t>
            </w:r>
            <w:r>
              <w:rPr>
                <w:rFonts w:ascii="Times New Roman" w:hAnsi="Times New Roman"/>
                <w:noProof/>
                <w:sz w:val="24"/>
                <w:szCs w:val="24"/>
              </w:rPr>
              <w:t xml:space="preserve">have increased over time while employment has decreased. </w:t>
            </w:r>
          </w:p>
          <w:p w:rsidR="00046CF8" w:rsidRDefault="003561C2">
            <w:pPr>
              <w:autoSpaceDE w:val="0"/>
              <w:autoSpaceDN w:val="0"/>
              <w:adjustRightInd w:val="0"/>
              <w:spacing w:after="0"/>
              <w:jc w:val="both"/>
              <w:rPr>
                <w:rFonts w:ascii="Times New Roman" w:hAnsi="Times New Roman"/>
                <w:noProof/>
                <w:sz w:val="24"/>
                <w:szCs w:val="24"/>
              </w:rPr>
            </w:pPr>
            <w:r>
              <w:rPr>
                <w:rFonts w:ascii="Times New Roman" w:hAnsi="Times New Roman"/>
                <w:noProof/>
                <w:sz w:val="24"/>
                <w:szCs w:val="24"/>
              </w:rPr>
              <w:t>Safety concerns and difficult working conditions aboard fishing vessels make the catching sector unattractive to work in. Despite recent investments, the risk of an accident causing an injury or dea</w:t>
            </w:r>
            <w:r>
              <w:rPr>
                <w:rFonts w:ascii="Times New Roman" w:hAnsi="Times New Roman"/>
                <w:noProof/>
                <w:sz w:val="24"/>
                <w:szCs w:val="24"/>
              </w:rPr>
              <w:t xml:space="preserve">th is 2.4 times greater in the sea fisheries sector than the average of all EU industries. Labour gaps exist when local fishers leave the industry to get better paid jobs and less harsh working conditions elsewhere and due to the lack of interest of local </w:t>
            </w:r>
            <w:r>
              <w:rPr>
                <w:rFonts w:ascii="Times New Roman" w:hAnsi="Times New Roman"/>
                <w:noProof/>
                <w:sz w:val="24"/>
                <w:szCs w:val="24"/>
              </w:rPr>
              <w:t>labour filling the gaps. It is particularly difficult to get youth to work within the fisheries sector and securing the intergenerational turnover becomes a challenge. Thus, as fleets have increasing difficulties to complete crews with local, well qualifie</w:t>
            </w:r>
            <w:r>
              <w:rPr>
                <w:rFonts w:ascii="Times New Roman" w:hAnsi="Times New Roman"/>
                <w:noProof/>
                <w:sz w:val="24"/>
                <w:szCs w:val="24"/>
              </w:rPr>
              <w:t>d people it becomes necessary to resort to non-EU nationals and – in small scale fleets – use workers that continue working beyond the legal retirement age</w:t>
            </w:r>
            <w:r>
              <w:rPr>
                <w:rStyle w:val="FootnoteReference"/>
                <w:rFonts w:ascii="Times New Roman" w:hAnsi="Times New Roman"/>
                <w:noProof/>
                <w:sz w:val="24"/>
                <w:szCs w:val="24"/>
              </w:rPr>
              <w:footnoteReference w:id="38"/>
            </w:r>
            <w:r>
              <w:rPr>
                <w:rFonts w:ascii="Times New Roman" w:hAnsi="Times New Roman"/>
                <w:noProof/>
                <w:sz w:val="24"/>
                <w:szCs w:val="24"/>
              </w:rPr>
              <w:t xml:space="preserve"> </w:t>
            </w:r>
            <w:r>
              <w:rPr>
                <w:rStyle w:val="FootnoteReference"/>
                <w:rFonts w:ascii="Times New Roman" w:hAnsi="Times New Roman"/>
                <w:noProof/>
                <w:sz w:val="24"/>
                <w:szCs w:val="24"/>
              </w:rPr>
              <w:footnoteReference w:id="39"/>
            </w:r>
            <w:r>
              <w:rPr>
                <w:rFonts w:ascii="Times New Roman" w:hAnsi="Times New Roman"/>
                <w:noProof/>
                <w:sz w:val="24"/>
                <w:szCs w:val="24"/>
              </w:rPr>
              <w:t>. At the same time a recent trend in some parts of the Union is that the local labour gap is decre</w:t>
            </w:r>
            <w:r>
              <w:rPr>
                <w:rFonts w:ascii="Times New Roman" w:hAnsi="Times New Roman"/>
                <w:noProof/>
                <w:sz w:val="24"/>
                <w:szCs w:val="24"/>
              </w:rPr>
              <w:t>asing and that fishers who had left the sector are coming back. All these trends have to be taken into account when designing future support for the sector.</w:t>
            </w:r>
          </w:p>
        </w:tc>
      </w:tr>
    </w:tbl>
    <w:p w:rsidR="00046CF8" w:rsidRDefault="00046CF8">
      <w:pPr>
        <w:pStyle w:val="Text1"/>
        <w:spacing w:after="120"/>
        <w:ind w:left="0"/>
        <w:rPr>
          <w:noProof/>
          <w:szCs w:val="24"/>
        </w:rPr>
      </w:pP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spacing w:before="0" w:after="0"/>
              <w:jc w:val="both"/>
              <w:rPr>
                <w:rFonts w:ascii="Times New Roman" w:hAnsi="Times New Roman"/>
                <w:b/>
                <w:noProof/>
                <w:sz w:val="24"/>
                <w:szCs w:val="24"/>
              </w:rPr>
            </w:pPr>
            <w:r>
              <w:rPr>
                <w:rFonts w:ascii="Times New Roman" w:hAnsi="Times New Roman"/>
                <w:b/>
                <w:noProof/>
                <w:sz w:val="24"/>
                <w:szCs w:val="24"/>
              </w:rPr>
              <w:t>Coherence of the Common Fisheries Policy with EU environmental policy</w:t>
            </w:r>
          </w:p>
          <w:p w:rsidR="00046CF8" w:rsidRDefault="003561C2">
            <w:pPr>
              <w:spacing w:after="0"/>
              <w:jc w:val="both"/>
              <w:rPr>
                <w:rFonts w:ascii="Times New Roman" w:hAnsi="Times New Roman"/>
                <w:noProof/>
                <w:sz w:val="24"/>
                <w:szCs w:val="24"/>
              </w:rPr>
            </w:pPr>
            <w:r>
              <w:rPr>
                <w:rFonts w:ascii="Times New Roman" w:hAnsi="Times New Roman"/>
                <w:noProof/>
                <w:sz w:val="24"/>
                <w:szCs w:val="24"/>
              </w:rPr>
              <w:t>The main objective of the E</w:t>
            </w:r>
            <w:r>
              <w:rPr>
                <w:rFonts w:ascii="Times New Roman" w:hAnsi="Times New Roman"/>
                <w:noProof/>
                <w:sz w:val="24"/>
                <w:szCs w:val="24"/>
              </w:rPr>
              <w:t>MFF is to support the implementation of the CFP which aims to ensure that fishing and aquaculture contribute to long-term environmental, economic and social sustainability.</w:t>
            </w:r>
          </w:p>
          <w:p w:rsidR="00046CF8" w:rsidRDefault="003561C2">
            <w:pPr>
              <w:spacing w:after="0"/>
              <w:jc w:val="both"/>
              <w:rPr>
                <w:rFonts w:ascii="Times New Roman" w:hAnsi="Times New Roman"/>
                <w:noProof/>
                <w:sz w:val="24"/>
                <w:szCs w:val="24"/>
              </w:rPr>
            </w:pPr>
            <w:r>
              <w:rPr>
                <w:rFonts w:ascii="Times New Roman" w:hAnsi="Times New Roman"/>
                <w:noProof/>
                <w:sz w:val="24"/>
                <w:szCs w:val="24"/>
              </w:rPr>
              <w:t>The CFP contributes to the objectives of EU environmental legislation through the d</w:t>
            </w:r>
            <w:r>
              <w:rPr>
                <w:rFonts w:ascii="Times New Roman" w:hAnsi="Times New Roman"/>
                <w:noProof/>
                <w:sz w:val="24"/>
                <w:szCs w:val="24"/>
              </w:rPr>
              <w:t xml:space="preserve">ifferent measures aiming at the conservation of marine biological resources and minimising the negative impact of fishing on marine ecosystems. Through those measures it contributes in particular to the achievement of 'good environmental status' under the </w:t>
            </w:r>
            <w:r>
              <w:rPr>
                <w:rFonts w:ascii="Times New Roman" w:hAnsi="Times New Roman"/>
                <w:noProof/>
                <w:sz w:val="24"/>
                <w:szCs w:val="24"/>
              </w:rPr>
              <w:t>MSFD</w:t>
            </w:r>
            <w:r>
              <w:rPr>
                <w:rStyle w:val="FootnoteReference"/>
                <w:rFonts w:ascii="Times New Roman" w:hAnsi="Times New Roman"/>
                <w:noProof/>
                <w:sz w:val="24"/>
                <w:szCs w:val="24"/>
              </w:rPr>
              <w:footnoteReference w:id="40"/>
            </w:r>
            <w:r>
              <w:rPr>
                <w:rFonts w:ascii="Times New Roman" w:hAnsi="Times New Roman"/>
                <w:noProof/>
                <w:sz w:val="24"/>
                <w:szCs w:val="24"/>
              </w:rPr>
              <w:t>.</w:t>
            </w:r>
          </w:p>
          <w:p w:rsidR="00046CF8" w:rsidRDefault="003561C2">
            <w:pPr>
              <w:spacing w:after="0"/>
              <w:jc w:val="both"/>
              <w:rPr>
                <w:rFonts w:ascii="Times New Roman" w:hAnsi="Times New Roman"/>
                <w:noProof/>
                <w:sz w:val="24"/>
                <w:szCs w:val="24"/>
              </w:rPr>
            </w:pPr>
            <w:r>
              <w:rPr>
                <w:rFonts w:ascii="Times New Roman" w:hAnsi="Times New Roman"/>
                <w:noProof/>
                <w:sz w:val="24"/>
                <w:szCs w:val="24"/>
              </w:rPr>
              <w:t>The conclusions of the fitness check of the EU nature directives</w:t>
            </w:r>
            <w:r>
              <w:rPr>
                <w:rStyle w:val="FootnoteReference"/>
                <w:rFonts w:ascii="Times New Roman" w:hAnsi="Times New Roman"/>
                <w:noProof/>
                <w:sz w:val="24"/>
                <w:szCs w:val="24"/>
              </w:rPr>
              <w:footnoteReference w:id="41"/>
            </w:r>
            <w:r>
              <w:rPr>
                <w:rFonts w:ascii="Times New Roman" w:hAnsi="Times New Roman"/>
                <w:noProof/>
                <w:sz w:val="24"/>
                <w:szCs w:val="24"/>
              </w:rPr>
              <w:t xml:space="preserve"> and the Court of Auditors report on Natura 2000</w:t>
            </w:r>
            <w:r>
              <w:rPr>
                <w:rStyle w:val="FootnoteReference"/>
                <w:rFonts w:ascii="Times New Roman" w:hAnsi="Times New Roman"/>
                <w:noProof/>
                <w:sz w:val="24"/>
                <w:szCs w:val="24"/>
              </w:rPr>
              <w:footnoteReference w:id="42"/>
            </w:r>
            <w:r>
              <w:rPr>
                <w:rFonts w:ascii="Times New Roman" w:hAnsi="Times New Roman"/>
                <w:noProof/>
                <w:sz w:val="24"/>
                <w:szCs w:val="24"/>
              </w:rPr>
              <w:t xml:space="preserve"> indicated the need to strengthen investment in Natura 2000, to improve synergies with EU funding instruments and to better ensure tracking of EU funds for Natura 2000.  This is also one of the objectives of the “Action plan for nature, people and the econ</w:t>
            </w:r>
            <w:r>
              <w:rPr>
                <w:rFonts w:ascii="Times New Roman" w:hAnsi="Times New Roman"/>
                <w:noProof/>
                <w:sz w:val="24"/>
                <w:szCs w:val="24"/>
              </w:rPr>
              <w:t>omy”</w:t>
            </w:r>
            <w:r>
              <w:rPr>
                <w:rStyle w:val="FootnoteReference"/>
                <w:rFonts w:ascii="Times New Roman" w:hAnsi="Times New Roman"/>
                <w:noProof/>
                <w:sz w:val="24"/>
                <w:szCs w:val="24"/>
              </w:rPr>
              <w:footnoteReference w:id="43"/>
            </w:r>
            <w:r>
              <w:rPr>
                <w:rFonts w:ascii="Times New Roman" w:hAnsi="Times New Roman"/>
                <w:noProof/>
                <w:sz w:val="24"/>
                <w:szCs w:val="24"/>
              </w:rPr>
              <w:t xml:space="preserve"> adopted by the Commission in 2016, which was supported by the resolution of the European Parliament</w:t>
            </w:r>
            <w:r>
              <w:rPr>
                <w:rStyle w:val="FootnoteReference"/>
                <w:rFonts w:ascii="Times New Roman" w:hAnsi="Times New Roman"/>
                <w:noProof/>
                <w:sz w:val="24"/>
                <w:szCs w:val="24"/>
              </w:rPr>
              <w:footnoteReference w:id="44"/>
            </w:r>
            <w:r>
              <w:rPr>
                <w:rFonts w:ascii="Times New Roman" w:hAnsi="Times New Roman"/>
                <w:noProof/>
                <w:sz w:val="24"/>
                <w:szCs w:val="24"/>
              </w:rPr>
              <w:t xml:space="preserve"> and the Council conclusions</w:t>
            </w:r>
            <w:r>
              <w:rPr>
                <w:rStyle w:val="FootnoteReference"/>
                <w:rFonts w:ascii="Times New Roman" w:hAnsi="Times New Roman"/>
                <w:noProof/>
                <w:sz w:val="24"/>
                <w:szCs w:val="24"/>
              </w:rPr>
              <w:footnoteReference w:id="45"/>
            </w:r>
            <w:r>
              <w:rPr>
                <w:rFonts w:ascii="Times New Roman" w:hAnsi="Times New Roman"/>
                <w:noProof/>
                <w:sz w:val="24"/>
                <w:szCs w:val="24"/>
              </w:rPr>
              <w:t xml:space="preserve">. </w:t>
            </w:r>
          </w:p>
          <w:p w:rsidR="00046CF8" w:rsidRDefault="003561C2">
            <w:pPr>
              <w:spacing w:after="0"/>
              <w:jc w:val="both"/>
              <w:rPr>
                <w:rFonts w:ascii="Times New Roman" w:hAnsi="Times New Roman"/>
                <w:noProof/>
                <w:sz w:val="24"/>
                <w:szCs w:val="24"/>
              </w:rPr>
            </w:pPr>
            <w:r>
              <w:rPr>
                <w:rFonts w:ascii="Times New Roman" w:hAnsi="Times New Roman"/>
                <w:noProof/>
                <w:sz w:val="24"/>
                <w:szCs w:val="24"/>
              </w:rPr>
              <w:t>Under Action 11 of the Action Plan, the Commission has committed to develop cross-cutting indicators for all EU funds,</w:t>
            </w:r>
            <w:r>
              <w:rPr>
                <w:rFonts w:ascii="Times New Roman" w:hAnsi="Times New Roman"/>
                <w:noProof/>
                <w:sz w:val="24"/>
                <w:szCs w:val="24"/>
              </w:rPr>
              <w:t xml:space="preserve"> to consider improvement to existing indicators and to explore the possibility to develop ex-ante conditionalities. The EMFF already has established specific indicators to measure the impact of funding on the Natura 2000 network.</w:t>
            </w:r>
          </w:p>
          <w:p w:rsidR="00046CF8" w:rsidRDefault="003561C2">
            <w:pPr>
              <w:spacing w:after="0"/>
              <w:jc w:val="both"/>
              <w:rPr>
                <w:rFonts w:ascii="Times New Roman" w:hAnsi="Times New Roman"/>
                <w:noProof/>
                <w:sz w:val="24"/>
                <w:szCs w:val="24"/>
              </w:rPr>
            </w:pPr>
            <w:r>
              <w:rPr>
                <w:rFonts w:ascii="Times New Roman" w:hAnsi="Times New Roman"/>
                <w:noProof/>
                <w:sz w:val="24"/>
                <w:szCs w:val="24"/>
              </w:rPr>
              <w:t>For the 2014-2020 period M</w:t>
            </w:r>
            <w:r>
              <w:rPr>
                <w:rFonts w:ascii="Times New Roman" w:hAnsi="Times New Roman"/>
                <w:noProof/>
                <w:sz w:val="24"/>
                <w:szCs w:val="24"/>
              </w:rPr>
              <w:t>ember States allocated over EUR 635 million through the EMFF for biodiversity protection, including support to the management, restoration and monitoring of Natura 2000 sites and other MPAs, to promote more selective fishing gear, to avoid accidental by-ca</w:t>
            </w:r>
            <w:r>
              <w:rPr>
                <w:rFonts w:ascii="Times New Roman" w:hAnsi="Times New Roman"/>
                <w:noProof/>
                <w:sz w:val="24"/>
                <w:szCs w:val="24"/>
              </w:rPr>
              <w:t>tch of species (marine mammals and seabirds) and to support aquaculture providing environmental services. With regards to the collection of marine litter, approximately EUR 21 million was allocated by Member States in the 2014-2020 period for different pro</w:t>
            </w:r>
            <w:r>
              <w:rPr>
                <w:rFonts w:ascii="Times New Roman" w:hAnsi="Times New Roman"/>
                <w:noProof/>
                <w:sz w:val="24"/>
                <w:szCs w:val="24"/>
              </w:rPr>
              <w:t>jects.</w:t>
            </w:r>
          </w:p>
        </w:tc>
      </w:tr>
    </w:tbl>
    <w:p w:rsidR="00046CF8" w:rsidRDefault="00046CF8">
      <w:pPr>
        <w:autoSpaceDE w:val="0"/>
        <w:autoSpaceDN w:val="0"/>
        <w:adjustRightInd w:val="0"/>
        <w:spacing w:after="0" w:line="240" w:lineRule="auto"/>
        <w:jc w:val="both"/>
        <w:rPr>
          <w:rFonts w:ascii="Times New Roman" w:hAnsi="Times New Roman" w:cs="Times New Roman"/>
          <w:noProof/>
          <w:sz w:val="16"/>
          <w:szCs w:val="16"/>
        </w:rPr>
      </w:pPr>
    </w:p>
    <w:p w:rsidR="00046CF8" w:rsidRDefault="003561C2">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SSCF represent the overwhelming majority of the registered 4500 vessels in these regions. In the OR long distance fisheries are better managed than small scale fisheries, which lack scientific advice and adequate management measures to strengthen </w:t>
      </w:r>
      <w:r>
        <w:rPr>
          <w:rFonts w:ascii="Times New Roman" w:hAnsi="Times New Roman" w:cs="Times New Roman"/>
          <w:noProof/>
          <w:sz w:val="24"/>
          <w:szCs w:val="24"/>
        </w:rPr>
        <w:t>their sustainability. In addition these regions face challenges due to lack of staff with basic education and entrepreneurial capacity, insufficient infrastructure facilities, limited physical space for aquaculture projects, insufficient scientific knowled</w:t>
      </w:r>
      <w:r>
        <w:rPr>
          <w:rFonts w:ascii="Times New Roman" w:hAnsi="Times New Roman" w:cs="Times New Roman"/>
          <w:noProof/>
          <w:sz w:val="24"/>
          <w:szCs w:val="24"/>
        </w:rPr>
        <w:t xml:space="preserve">ge about marine resources to carry out stock assessments. </w:t>
      </w:r>
    </w:p>
    <w:p w:rsidR="00046CF8" w:rsidRDefault="00046CF8">
      <w:pPr>
        <w:autoSpaceDE w:val="0"/>
        <w:autoSpaceDN w:val="0"/>
        <w:adjustRightInd w:val="0"/>
        <w:spacing w:after="0" w:line="240" w:lineRule="auto"/>
        <w:rPr>
          <w:rFonts w:ascii="Times New Roman" w:hAnsi="Times New Roman" w:cs="Times New Roman"/>
          <w:noProof/>
          <w:sz w:val="24"/>
          <w:szCs w:val="24"/>
        </w:rPr>
      </w:pPr>
    </w:p>
    <w:p w:rsidR="00046CF8" w:rsidRDefault="003561C2">
      <w:pPr>
        <w:pStyle w:val="Text1"/>
        <w:ind w:left="0"/>
        <w:rPr>
          <w:noProof/>
        </w:rPr>
      </w:pPr>
      <w:r>
        <w:rPr>
          <w:noProof/>
        </w:rPr>
        <w:t>There is potential to develop blue growth sectors in the OR</w:t>
      </w:r>
      <w:r>
        <w:rPr>
          <w:rStyle w:val="FootnoteReference"/>
          <w:noProof/>
        </w:rPr>
        <w:footnoteReference w:id="46"/>
      </w:r>
      <w:r>
        <w:rPr>
          <w:noProof/>
        </w:rPr>
        <w:t>. However, development is hampered by the limited availability of adequately qualified and trained staff and the absence of links between the education systems and businesses involved in the blue economy. Other challenges include access to finance and coor</w:t>
      </w:r>
      <w:r>
        <w:rPr>
          <w:noProof/>
        </w:rPr>
        <w:t>dination and governance for spatial planning, needs and gaps in knowledge of the OR marine ecosystems, which are very different from mainland Europe and for which scientific data, research and management of marine areas (including fisheries) are often weak</w:t>
      </w:r>
      <w:r>
        <w:rPr>
          <w:noProof/>
        </w:rPr>
        <w:t xml:space="preserve"> or insufficient. Without strengthening this management capacity of often very fragile ecosystems the development of blue growth would not be sustainable. </w:t>
      </w:r>
    </w:p>
    <w:p w:rsidR="00046CF8" w:rsidRDefault="003561C2">
      <w:pPr>
        <w:pStyle w:val="Text1"/>
        <w:ind w:left="0"/>
        <w:rPr>
          <w:noProof/>
          <w:szCs w:val="24"/>
        </w:rPr>
      </w:pPr>
      <w:r>
        <w:rPr>
          <w:noProof/>
          <w:szCs w:val="24"/>
        </w:rPr>
        <w:t>In the current period, EMFF support for the outermost regions consists of two separate envelopes, th</w:t>
      </w:r>
      <w:r>
        <w:rPr>
          <w:noProof/>
          <w:szCs w:val="24"/>
        </w:rPr>
        <w:t xml:space="preserve">e regular structural measures that are the same as in other parts of the EU except that co-financing rates and aid intensities are higher, and a ring-fenced envelope to compensate OR operators (catch, aquaculture, processing and marketing sectors) for the </w:t>
      </w:r>
      <w:r>
        <w:rPr>
          <w:noProof/>
          <w:szCs w:val="24"/>
        </w:rPr>
        <w:t>difference in costs between ORs and mainland. The EMFF finances 100% of the compensation plans</w:t>
      </w:r>
      <w:r>
        <w:rPr>
          <w:noProof/>
          <w:szCs w:val="24"/>
          <w:vertAlign w:val="superscript"/>
        </w:rPr>
        <w:footnoteReference w:id="47"/>
      </w:r>
      <w:r>
        <w:rPr>
          <w:noProof/>
          <w:szCs w:val="24"/>
        </w:rPr>
        <w:t>.</w:t>
      </w:r>
    </w:p>
    <w:p w:rsidR="00046CF8" w:rsidRDefault="003561C2">
      <w:pPr>
        <w:pStyle w:val="Text1"/>
        <w:ind w:left="0"/>
        <w:rPr>
          <w:noProof/>
        </w:rPr>
      </w:pPr>
      <w:r>
        <w:rPr>
          <w:noProof/>
        </w:rPr>
        <w:t>2.1.2</w:t>
      </w:r>
      <w:r>
        <w:rPr>
          <w:noProof/>
        </w:rPr>
        <w:tab/>
      </w:r>
      <w:r>
        <w:rPr>
          <w:noProof/>
          <w:u w:val="single"/>
        </w:rPr>
        <w:t>Contributing to food security in the Union through competitive and sustainable aquaculture and markets</w:t>
      </w:r>
    </w:p>
    <w:p w:rsidR="00046CF8" w:rsidRDefault="003561C2">
      <w:pPr>
        <w:pStyle w:val="Text1"/>
        <w:ind w:left="0"/>
        <w:rPr>
          <w:noProof/>
        </w:rPr>
      </w:pPr>
      <w:r>
        <w:rPr>
          <w:noProof/>
        </w:rPr>
        <w:t>Aquaculture is a key sector that can contribute to</w:t>
      </w:r>
      <w:r>
        <w:rPr>
          <w:noProof/>
        </w:rPr>
        <w:t xml:space="preserve"> supplying future generations with healthy protein in the face of declining fish stocks. With more than EUR 1.2 billion of EMFF resources under shared management in the 2014-2020 period, support for aquaculture is more significant than ever before. In addi</w:t>
      </w:r>
      <w:r>
        <w:rPr>
          <w:noProof/>
        </w:rPr>
        <w:t>tion, other actions such as support to Producer Organisations, marketing or local development can also help the aquaculture sector.</w:t>
      </w:r>
    </w:p>
    <w:p w:rsidR="00046CF8" w:rsidRDefault="003561C2">
      <w:pPr>
        <w:pStyle w:val="Text1"/>
        <w:ind w:left="0"/>
        <w:rPr>
          <w:noProof/>
        </w:rPr>
      </w:pPr>
      <w:r>
        <w:rPr>
          <w:noProof/>
        </w:rPr>
        <w:t>Although in 2015 fish products farmed in the EU reached the highest values and volume ever registered</w:t>
      </w:r>
      <w:r>
        <w:rPr>
          <w:rStyle w:val="FootnoteReference"/>
          <w:noProof/>
        </w:rPr>
        <w:footnoteReference w:id="48"/>
      </w:r>
      <w:r>
        <w:rPr>
          <w:noProof/>
        </w:rPr>
        <w:t>, the aquaculture sect</w:t>
      </w:r>
      <w:r>
        <w:rPr>
          <w:noProof/>
        </w:rPr>
        <w:t>or has been characterised by slow growth. Despite decades of support to investments in production, innovation, training, marketing and environmental improvements, the EU only accounts for 1.2% of the global aquaculture production and consumption is dominat</w:t>
      </w:r>
      <w:r>
        <w:rPr>
          <w:noProof/>
        </w:rPr>
        <w:t>ed by wild products. Key bottlenecks are lengthy licensing procedures and lack of spatial planning which leads to uncertainty and competition for space. These are issues under Member State competence where the contribution of the EMFF is limited although t</w:t>
      </w:r>
      <w:r>
        <w:rPr>
          <w:noProof/>
        </w:rPr>
        <w:t>he Maritime Spatial Planning (MSP) Directive</w:t>
      </w:r>
      <w:r>
        <w:rPr>
          <w:rStyle w:val="FootnoteReference"/>
          <w:noProof/>
        </w:rPr>
        <w:footnoteReference w:id="49"/>
      </w:r>
      <w:r>
        <w:rPr>
          <w:noProof/>
        </w:rPr>
        <w:t xml:space="preserve"> and MSP cross-border projects</w:t>
      </w:r>
      <w:r>
        <w:rPr>
          <w:rStyle w:val="FootnoteReference"/>
          <w:noProof/>
        </w:rPr>
        <w:footnoteReference w:id="50"/>
      </w:r>
      <w:r>
        <w:rPr>
          <w:noProof/>
        </w:rPr>
        <w:t xml:space="preserve"> could help to improve the situation. What needs to be addressed is the environmental impact of aquaculture through support to extensive and certain forms of intensive aquaculture </w:t>
      </w:r>
      <w:r>
        <w:rPr>
          <w:noProof/>
        </w:rPr>
        <w:t xml:space="preserve">based on closed recirculation systems with very limited or no environmental impacts. Another topical issue in aquaculture is risk management. Stock insurance is one of the tools used where demand is higher than current supply and where the gap between the </w:t>
      </w:r>
      <w:r>
        <w:rPr>
          <w:noProof/>
        </w:rPr>
        <w:t xml:space="preserve">two is widening. </w:t>
      </w:r>
    </w:p>
    <w:p w:rsidR="00046CF8" w:rsidRDefault="003561C2">
      <w:pPr>
        <w:pStyle w:val="Text1"/>
        <w:ind w:left="0"/>
        <w:rPr>
          <w:noProof/>
        </w:rPr>
      </w:pPr>
      <w:r>
        <w:rPr>
          <w:noProof/>
          <w:u w:val="single"/>
        </w:rPr>
        <w:t>2.1.3</w:t>
      </w:r>
      <w:r>
        <w:rPr>
          <w:noProof/>
          <w:u w:val="single"/>
        </w:rPr>
        <w:tab/>
        <w:t>Enabling the growth of the sustainable blue economy and fostering prosperous coastal communities</w:t>
      </w:r>
    </w:p>
    <w:p w:rsidR="00046CF8" w:rsidRDefault="003561C2">
      <w:pPr>
        <w:pStyle w:val="Text1"/>
        <w:spacing w:after="0"/>
        <w:ind w:left="0"/>
        <w:rPr>
          <w:noProof/>
        </w:rPr>
      </w:pPr>
      <w:r>
        <w:rPr>
          <w:noProof/>
        </w:rPr>
        <w:t>The total turnover of the EU blue economy was EUR 566.2 billion in 2016 and the blue economy sectors employed directly around 3.48 mill</w:t>
      </w:r>
      <w:r>
        <w:rPr>
          <w:noProof/>
        </w:rPr>
        <w:t>ion persons. In relative terms, direct activities of the blue economy represents about 1.3% of the EU28 GDP and 0.5% of the total EU employment. However, these shares are significantly higher when indirect activities are considered. Blue economy based wage</w:t>
      </w:r>
      <w:r>
        <w:rPr>
          <w:noProof/>
        </w:rPr>
        <w:t>s and salaries have grown steadily since reaching a low in 2011. Average salaries, at EUR 28.3 thousand in 2016, increased 15% compared to 2008 (EUR 24.7 thousand).</w:t>
      </w:r>
    </w:p>
    <w:p w:rsidR="00046CF8" w:rsidRDefault="003561C2">
      <w:pPr>
        <w:pStyle w:val="Text1"/>
        <w:ind w:left="0"/>
        <w:rPr>
          <w:noProof/>
        </w:rPr>
      </w:pPr>
      <w:r>
        <w:rPr>
          <w:rFonts w:ascii="Gill Sans MT" w:hAnsi="Gill Sans MT"/>
          <w:noProof/>
          <w:sz w:val="20"/>
          <w:lang w:eastAsia="en-GB"/>
        </w:rPr>
        <w:drawing>
          <wp:inline distT="0" distB="0" distL="0" distR="0">
            <wp:extent cx="2410210" cy="1728374"/>
            <wp:effectExtent l="0" t="0" r="0" b="5715"/>
            <wp:docPr id="10" name="Picture 198" descr="cid:image001.png@01D3ABCA.9CEAB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id:image001.png@01D3ABCA.9CEABF90"/>
                    <pic:cNvPicPr>
                      <a:picLocks noChangeAspect="1" noChangeArrowheads="1"/>
                    </pic:cNvPicPr>
                  </pic:nvPicPr>
                  <pic:blipFill>
                    <a:blip r:embed="rId26" r:link="rId27">
                      <a:extLst>
                        <a:ext uri="{28A0092B-C50C-407E-A947-70E740481C1C}">
                          <a14:useLocalDpi xmlns:a14="http://schemas.microsoft.com/office/drawing/2010/main"/>
                        </a:ext>
                      </a:extLst>
                    </a:blip>
                    <a:srcRect/>
                    <a:stretch>
                      <a:fillRect/>
                    </a:stretch>
                  </pic:blipFill>
                  <pic:spPr bwMode="auto">
                    <a:xfrm>
                      <a:off x="0" y="0"/>
                      <a:ext cx="2410212" cy="1728375"/>
                    </a:xfrm>
                    <a:prstGeom prst="rect">
                      <a:avLst/>
                    </a:prstGeom>
                    <a:noFill/>
                    <a:ln>
                      <a:noFill/>
                    </a:ln>
                  </pic:spPr>
                </pic:pic>
              </a:graphicData>
            </a:graphic>
          </wp:inline>
        </w:drawing>
      </w:r>
      <w:r>
        <w:rPr>
          <w:noProof/>
          <w:lang w:eastAsia="en-GB"/>
        </w:rPr>
        <w:drawing>
          <wp:inline distT="0" distB="0" distL="0" distR="0">
            <wp:extent cx="2283358" cy="1727228"/>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284144" cy="1727822"/>
                    </a:xfrm>
                    <a:prstGeom prst="rect">
                      <a:avLst/>
                    </a:prstGeom>
                    <a:noFill/>
                  </pic:spPr>
                </pic:pic>
              </a:graphicData>
            </a:graphic>
          </wp:inline>
        </w:drawing>
      </w:r>
    </w:p>
    <w:p w:rsidR="00046CF8" w:rsidRDefault="003561C2">
      <w:pPr>
        <w:pStyle w:val="Text1"/>
        <w:ind w:left="0"/>
        <w:rPr>
          <w:noProof/>
        </w:rPr>
      </w:pPr>
      <w:r>
        <w:rPr>
          <w:noProof/>
        </w:rPr>
        <w:t>Whilst public investment in the blue economy should be mainstreamed across different funding instruments, also by strengthening cooperation between countries within the framework of sea-basin strategies, future support though fisheries and maritime policie</w:t>
      </w:r>
      <w:r>
        <w:rPr>
          <w:noProof/>
        </w:rPr>
        <w:t xml:space="preserve">s would need to concentrate on enabling conditions and on removing bottlenecks to facilitate investment and the development of new markets and technologies or services. Support would therefore need to focus on close-to-market innovation, supply of missing </w:t>
      </w:r>
      <w:r>
        <w:rPr>
          <w:noProof/>
        </w:rPr>
        <w:t>skills and qualifications, support to new inclusive business models, access to marine data to spur innovation and technology development, maritime security and maritime spatial planning to create opportunities that are compatible with marine ecosystems and</w:t>
      </w:r>
      <w:r>
        <w:rPr>
          <w:noProof/>
        </w:rPr>
        <w:t xml:space="preserve"> the investment predictability necessary to leverage private sector capital/debt funding.       </w:t>
      </w:r>
    </w:p>
    <w:p w:rsidR="00046CF8" w:rsidRDefault="003561C2">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Ensuring that blue growth opportunities can thrive in coastal communities, community-led local development (CLLD) should be extended. At just below 10% of the </w:t>
      </w:r>
      <w:r>
        <w:rPr>
          <w:rFonts w:ascii="Times New Roman" w:hAnsi="Times New Roman" w:cs="Times New Roman"/>
          <w:noProof/>
          <w:sz w:val="24"/>
          <w:szCs w:val="24"/>
        </w:rPr>
        <w:t xml:space="preserve">total EMFF budget, CLLD is implemented by 20 Member States who by the end of 2017 had selected a total of 368 FLAGs. </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spacing w:before="0" w:after="0"/>
              <w:jc w:val="both"/>
              <w:rPr>
                <w:rFonts w:ascii="Times New Roman" w:hAnsi="Times New Roman"/>
                <w:noProof/>
              </w:rPr>
            </w:pPr>
            <w:r>
              <w:rPr>
                <w:rFonts w:ascii="Times New Roman" w:hAnsi="Times New Roman"/>
                <w:noProof/>
                <w:sz w:val="24"/>
                <w:szCs w:val="24"/>
              </w:rPr>
              <w:t>Examples of current projects</w:t>
            </w:r>
            <w:r>
              <w:rPr>
                <w:rStyle w:val="FootnoteReference"/>
                <w:rFonts w:ascii="Times New Roman" w:hAnsi="Times New Roman"/>
                <w:noProof/>
                <w:sz w:val="24"/>
                <w:szCs w:val="24"/>
              </w:rPr>
              <w:footnoteReference w:id="51"/>
            </w:r>
            <w:r>
              <w:rPr>
                <w:rFonts w:ascii="Times New Roman" w:hAnsi="Times New Roman"/>
                <w:noProof/>
                <w:sz w:val="24"/>
                <w:szCs w:val="24"/>
              </w:rPr>
              <w:t>:</w:t>
            </w:r>
          </w:p>
          <w:p w:rsidR="00046CF8" w:rsidRDefault="00046CF8">
            <w:pPr>
              <w:spacing w:before="0" w:after="0"/>
              <w:ind w:left="720"/>
              <w:jc w:val="both"/>
              <w:rPr>
                <w:rFonts w:ascii="Times New Roman" w:hAnsi="Times New Roman"/>
                <w:noProof/>
                <w:sz w:val="16"/>
                <w:szCs w:val="16"/>
              </w:rPr>
            </w:pPr>
          </w:p>
          <w:p w:rsidR="00046CF8" w:rsidRDefault="003561C2">
            <w:pPr>
              <w:numPr>
                <w:ilvl w:val="0"/>
                <w:numId w:val="5"/>
              </w:numPr>
              <w:spacing w:before="0" w:after="0"/>
              <w:jc w:val="both"/>
              <w:rPr>
                <w:rFonts w:ascii="Times New Roman" w:hAnsi="Times New Roman"/>
                <w:noProof/>
                <w:sz w:val="24"/>
                <w:szCs w:val="24"/>
              </w:rPr>
            </w:pPr>
            <w:r>
              <w:rPr>
                <w:rFonts w:ascii="Times New Roman" w:hAnsi="Times New Roman"/>
                <w:noProof/>
                <w:sz w:val="24"/>
                <w:szCs w:val="24"/>
              </w:rPr>
              <w:t xml:space="preserve">Business development in marginalised and remote communities where a seaweed company has grown from one to </w:t>
            </w:r>
            <w:r>
              <w:rPr>
                <w:rFonts w:ascii="Times New Roman" w:hAnsi="Times New Roman"/>
                <w:noProof/>
                <w:sz w:val="24"/>
                <w:szCs w:val="24"/>
              </w:rPr>
              <w:t>four employees.</w:t>
            </w:r>
          </w:p>
          <w:p w:rsidR="00046CF8" w:rsidRDefault="003561C2">
            <w:pPr>
              <w:numPr>
                <w:ilvl w:val="0"/>
                <w:numId w:val="5"/>
              </w:numPr>
              <w:spacing w:before="0" w:after="0"/>
              <w:jc w:val="both"/>
              <w:rPr>
                <w:rFonts w:ascii="Times New Roman" w:hAnsi="Times New Roman"/>
                <w:noProof/>
                <w:sz w:val="24"/>
                <w:szCs w:val="24"/>
              </w:rPr>
            </w:pPr>
            <w:r>
              <w:rPr>
                <w:rFonts w:ascii="Times New Roman" w:hAnsi="Times New Roman"/>
                <w:noProof/>
                <w:sz w:val="24"/>
                <w:szCs w:val="24"/>
              </w:rPr>
              <w:t>The shells of mussels are no longer considered waste. With the help of the Fisheries Local Action Group (FLAG), local students and teachers are using crushed shells to create useful objects of all sorts, from moulds created by 3D printing.</w:t>
            </w:r>
          </w:p>
          <w:p w:rsidR="00046CF8" w:rsidRDefault="003561C2">
            <w:pPr>
              <w:numPr>
                <w:ilvl w:val="0"/>
                <w:numId w:val="5"/>
              </w:numPr>
              <w:spacing w:before="0" w:after="0"/>
              <w:jc w:val="both"/>
              <w:rPr>
                <w:rFonts w:ascii="Times New Roman" w:hAnsi="Times New Roman"/>
                <w:noProof/>
              </w:rPr>
            </w:pPr>
            <w:r>
              <w:rPr>
                <w:rFonts w:ascii="Times New Roman" w:hAnsi="Times New Roman"/>
                <w:noProof/>
                <w:sz w:val="24"/>
                <w:szCs w:val="24"/>
              </w:rPr>
              <w:t>Oyster farms are regularly affected by toxic phytoplankton, leading to economic losses. In search of a solution, shellfish farmers teamed up with a biotech start-up to test a new, quick and easy way to detect toxic marine microalgae and anticipate its prol</w:t>
            </w:r>
            <w:r>
              <w:rPr>
                <w:rFonts w:ascii="Times New Roman" w:hAnsi="Times New Roman"/>
                <w:noProof/>
                <w:sz w:val="24"/>
                <w:szCs w:val="24"/>
              </w:rPr>
              <w:t>iferation.</w:t>
            </w:r>
          </w:p>
        </w:tc>
      </w:tr>
    </w:tbl>
    <w:p w:rsidR="00046CF8" w:rsidRDefault="00046CF8">
      <w:pPr>
        <w:spacing w:after="0"/>
        <w:jc w:val="both"/>
        <w:rPr>
          <w:rFonts w:ascii="Times New Roman" w:hAnsi="Times New Roman" w:cs="Times New Roman"/>
          <w:noProof/>
          <w:sz w:val="16"/>
          <w:szCs w:val="16"/>
        </w:rPr>
      </w:pPr>
    </w:p>
    <w:p w:rsidR="00046CF8" w:rsidRDefault="003561C2">
      <w:pPr>
        <w:spacing w:after="120"/>
        <w:jc w:val="both"/>
        <w:rPr>
          <w:rFonts w:ascii="Times New Roman" w:hAnsi="Times New Roman" w:cs="Times New Roman"/>
          <w:noProof/>
          <w:sz w:val="24"/>
          <w:szCs w:val="24"/>
        </w:rPr>
      </w:pPr>
      <w:r>
        <w:rPr>
          <w:rFonts w:ascii="Times New Roman" w:hAnsi="Times New Roman" w:cs="Times New Roman"/>
          <w:noProof/>
          <w:sz w:val="24"/>
          <w:szCs w:val="24"/>
        </w:rPr>
        <w:t>Based on available data (that currently does not cover all FLAGs) CLLD covers nearly 250 000 square km and a population of nearly 24 million.</w:t>
      </w:r>
      <w:r>
        <w:rPr>
          <w:noProof/>
        </w:rPr>
        <w:t xml:space="preserve"> </w:t>
      </w:r>
      <w:r>
        <w:rPr>
          <w:rFonts w:ascii="Times New Roman" w:hAnsi="Times New Roman" w:cs="Times New Roman"/>
          <w:noProof/>
          <w:sz w:val="24"/>
          <w:szCs w:val="24"/>
        </w:rPr>
        <w:t>By the end of December 2017, the FLAGs had selected more than 1300 projects for implementation. Seven</w:t>
      </w:r>
      <w:r>
        <w:rPr>
          <w:rFonts w:ascii="Times New Roman" w:hAnsi="Times New Roman" w:cs="Times New Roman"/>
          <w:noProof/>
          <w:sz w:val="24"/>
          <w:szCs w:val="24"/>
        </w:rPr>
        <w:t xml:space="preserve"> years of implementing bottom-up local development in fisheries areas</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has demonstrated that this form of support delivers results. It helps reaching target groups that are hard to reach through traditional, top-down funding schemes, it can foster partners</w:t>
      </w:r>
      <w:r>
        <w:rPr>
          <w:rFonts w:ascii="Times New Roman" w:hAnsi="Times New Roman" w:cs="Times New Roman"/>
          <w:noProof/>
          <w:sz w:val="24"/>
          <w:szCs w:val="24"/>
        </w:rPr>
        <w:t>hips and joint action between different stakeholder groups and the fact that decision-making happens at local level can encourage more flexible and innovative responses to local problems. It furthermore increases the visibility of EU funding at local level</w:t>
      </w:r>
      <w:r>
        <w:rPr>
          <w:rFonts w:ascii="Times New Roman" w:hAnsi="Times New Roman" w:cs="Times New Roman"/>
          <w:noProof/>
          <w:sz w:val="24"/>
          <w:szCs w:val="24"/>
        </w:rPr>
        <w:t xml:space="preserve"> and is increasingly recognised as a valuable opportunity for blue growth sectors, including fisheries sectors to play an active role in local development and its governance issues. Moreover, FLAGs have a potential to help address the challenges faced by t</w:t>
      </w:r>
      <w:r>
        <w:rPr>
          <w:rFonts w:ascii="Times New Roman" w:hAnsi="Times New Roman" w:cs="Times New Roman"/>
          <w:noProof/>
          <w:sz w:val="24"/>
          <w:szCs w:val="24"/>
        </w:rPr>
        <w:t>he SSCF</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xml:space="preserve">. </w:t>
      </w:r>
    </w:p>
    <w:p w:rsidR="00046CF8" w:rsidRDefault="003561C2">
      <w:pPr>
        <w:pStyle w:val="Text1"/>
        <w:ind w:left="0"/>
        <w:rPr>
          <w:noProof/>
        </w:rPr>
      </w:pPr>
      <w:r>
        <w:rPr>
          <w:noProof/>
          <w:u w:val="single"/>
        </w:rPr>
        <w:t>2.1.4</w:t>
      </w:r>
      <w:r>
        <w:rPr>
          <w:noProof/>
          <w:u w:val="single"/>
        </w:rPr>
        <w:tab/>
        <w:t>Strengthening international ocean governance and enabling safe, secure, clean and sustainably managed oceans</w:t>
      </w:r>
      <w:r>
        <w:rPr>
          <w:noProof/>
        </w:rPr>
        <w:t xml:space="preserve"> </w:t>
      </w:r>
    </w:p>
    <w:p w:rsidR="00046CF8" w:rsidRDefault="003561C2">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Over the last years, the European Union has made a number of new commitments at international level:</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spacing w:before="0" w:after="0"/>
              <w:jc w:val="both"/>
              <w:rPr>
                <w:rFonts w:ascii="Times New Roman" w:hAnsi="Times New Roman"/>
                <w:b/>
                <w:noProof/>
                <w:sz w:val="24"/>
                <w:szCs w:val="24"/>
              </w:rPr>
            </w:pPr>
            <w:r>
              <w:rPr>
                <w:rFonts w:ascii="Times New Roman" w:hAnsi="Times New Roman"/>
                <w:b/>
                <w:noProof/>
                <w:sz w:val="24"/>
                <w:szCs w:val="24"/>
              </w:rPr>
              <w:t xml:space="preserve">New commitments at </w:t>
            </w:r>
            <w:r>
              <w:rPr>
                <w:rFonts w:ascii="Times New Roman" w:hAnsi="Times New Roman"/>
                <w:b/>
                <w:noProof/>
                <w:sz w:val="24"/>
                <w:szCs w:val="24"/>
              </w:rPr>
              <w:t>international level</w:t>
            </w:r>
          </w:p>
          <w:p w:rsidR="00046CF8" w:rsidRDefault="00046CF8">
            <w:pPr>
              <w:spacing w:before="0" w:after="0"/>
              <w:jc w:val="both"/>
              <w:rPr>
                <w:rFonts w:ascii="Times New Roman" w:hAnsi="Times New Roman"/>
                <w:noProof/>
              </w:rPr>
            </w:pPr>
          </w:p>
          <w:p w:rsidR="00046CF8" w:rsidRDefault="003561C2">
            <w:pPr>
              <w:numPr>
                <w:ilvl w:val="0"/>
                <w:numId w:val="5"/>
              </w:numPr>
              <w:spacing w:before="0" w:after="0"/>
              <w:jc w:val="both"/>
              <w:rPr>
                <w:rFonts w:ascii="Times New Roman" w:hAnsi="Times New Roman"/>
                <w:noProof/>
                <w:sz w:val="24"/>
                <w:szCs w:val="24"/>
              </w:rPr>
            </w:pPr>
            <w:r>
              <w:rPr>
                <w:rFonts w:ascii="Times New Roman" w:hAnsi="Times New Roman"/>
                <w:noProof/>
                <w:sz w:val="24"/>
                <w:szCs w:val="24"/>
              </w:rPr>
              <w:t>The 2030 Agenda for sustainable development, including Sustainable Development Goal (SDG) 14 "Conserve and sustainably use the oceans, seas and marine resources for sustainable development" – it contains set goals on significantly redu</w:t>
            </w:r>
            <w:r>
              <w:rPr>
                <w:rFonts w:ascii="Times New Roman" w:hAnsi="Times New Roman"/>
                <w:noProof/>
                <w:sz w:val="24"/>
                <w:szCs w:val="24"/>
              </w:rPr>
              <w:t xml:space="preserve">cing marine pollution by 2025, reaching 10% of coastal marine surface as MPAs, protecting access rights of small scale fisheries, sustainably manage marine eco-systems, increased scientific cooperation on ocean acidification, ending Illegal Unreported and </w:t>
            </w:r>
            <w:r>
              <w:rPr>
                <w:rFonts w:ascii="Times New Roman" w:hAnsi="Times New Roman"/>
                <w:noProof/>
                <w:sz w:val="24"/>
                <w:szCs w:val="24"/>
              </w:rPr>
              <w:t>Unregulated fishing, prohibit by 2020 certain forms of fisheries subsidies which contribute to overcapacity and overfishing</w:t>
            </w:r>
            <w:r>
              <w:rPr>
                <w:rStyle w:val="FootnoteReference"/>
                <w:rFonts w:ascii="Times New Roman" w:hAnsi="Times New Roman"/>
                <w:noProof/>
                <w:sz w:val="24"/>
                <w:szCs w:val="24"/>
              </w:rPr>
              <w:footnoteReference w:id="54"/>
            </w:r>
            <w:r>
              <w:rPr>
                <w:rFonts w:ascii="Times New Roman" w:hAnsi="Times New Roman"/>
                <w:noProof/>
                <w:sz w:val="24"/>
                <w:szCs w:val="24"/>
              </w:rPr>
              <w:t>, eliminate subsidies that contribute to Illegal, Unreported and Unregulated fishing and refrain from introducing new such subsidies</w:t>
            </w:r>
            <w:r>
              <w:rPr>
                <w:rFonts w:ascii="Times New Roman" w:hAnsi="Times New Roman"/>
                <w:noProof/>
                <w:sz w:val="24"/>
                <w:szCs w:val="24"/>
              </w:rPr>
              <w:t>, recognizing that appropriate and effective special and differential treatment for developing and least developed countries should be an integral part of the World Trade Organization fisheries subsidies negotiation. ,.</w:t>
            </w:r>
          </w:p>
          <w:p w:rsidR="00046CF8" w:rsidRDefault="003561C2">
            <w:pPr>
              <w:numPr>
                <w:ilvl w:val="0"/>
                <w:numId w:val="5"/>
              </w:numPr>
              <w:spacing w:before="0" w:after="0"/>
              <w:jc w:val="both"/>
              <w:rPr>
                <w:rFonts w:ascii="Times New Roman" w:hAnsi="Times New Roman"/>
                <w:noProof/>
                <w:sz w:val="24"/>
                <w:szCs w:val="24"/>
              </w:rPr>
            </w:pPr>
            <w:r>
              <w:rPr>
                <w:rFonts w:ascii="Times New Roman" w:hAnsi="Times New Roman"/>
                <w:noProof/>
                <w:sz w:val="24"/>
                <w:szCs w:val="24"/>
              </w:rPr>
              <w:t>The FAO Port State Measures Agreemen</w:t>
            </w:r>
            <w:r>
              <w:rPr>
                <w:rFonts w:ascii="Times New Roman" w:hAnsi="Times New Roman"/>
                <w:noProof/>
                <w:sz w:val="24"/>
                <w:szCs w:val="24"/>
              </w:rPr>
              <w:t>t to prevent and eliminate IUU fishing that entered into force in June 2016. The EU is a party to the agreement, which calls under Article 21 of the agreement on measures to build capacity for Least Developed Countries and Small Island Developing States to</w:t>
            </w:r>
            <w:r>
              <w:rPr>
                <w:rFonts w:ascii="Times New Roman" w:hAnsi="Times New Roman"/>
                <w:noProof/>
                <w:sz w:val="24"/>
                <w:szCs w:val="24"/>
              </w:rPr>
              <w:t xml:space="preserve"> aid them in taking adequate port state measures in order to close the net on illicit fishing activities. The EU has also been actively involved in the development of complementary Monitoring Control and Surveillance Operations, as well as complementary me</w:t>
            </w:r>
            <w:r>
              <w:rPr>
                <w:rFonts w:ascii="Times New Roman" w:hAnsi="Times New Roman"/>
                <w:noProof/>
                <w:sz w:val="24"/>
                <w:szCs w:val="24"/>
              </w:rPr>
              <w:t>asures and tools that have been developed recently internationally, such as the FAO Voluntary Guidelines on Catch Documentation Schemes and the Global Record of fishing vessels.</w:t>
            </w:r>
          </w:p>
          <w:p w:rsidR="00046CF8" w:rsidRDefault="003561C2">
            <w:pPr>
              <w:numPr>
                <w:ilvl w:val="0"/>
                <w:numId w:val="5"/>
              </w:numPr>
              <w:spacing w:before="0" w:after="0"/>
              <w:jc w:val="both"/>
              <w:rPr>
                <w:rFonts w:ascii="Times New Roman" w:hAnsi="Times New Roman"/>
                <w:noProof/>
                <w:sz w:val="24"/>
                <w:szCs w:val="24"/>
              </w:rPr>
            </w:pPr>
            <w:r>
              <w:rPr>
                <w:rFonts w:ascii="Times New Roman" w:hAnsi="Times New Roman"/>
                <w:noProof/>
                <w:sz w:val="24"/>
                <w:szCs w:val="24"/>
              </w:rPr>
              <w:t>The EU is a party to the 1982 UN Convention on the Law of the Sea (UNCLOS) and</w:t>
            </w:r>
            <w:r>
              <w:rPr>
                <w:rFonts w:ascii="Times New Roman" w:hAnsi="Times New Roman"/>
                <w:noProof/>
                <w:sz w:val="24"/>
                <w:szCs w:val="24"/>
              </w:rPr>
              <w:t xml:space="preserve"> supports the work of the international bodies the convention and its two implementing agreements have created: The International Tribunal on the Law of the Sea and the International Seabed Authority. It is also a contracting party to a number of Regional </w:t>
            </w:r>
            <w:r>
              <w:rPr>
                <w:rFonts w:ascii="Times New Roman" w:hAnsi="Times New Roman"/>
                <w:noProof/>
                <w:sz w:val="24"/>
                <w:szCs w:val="24"/>
              </w:rPr>
              <w:t>Fisheries Bodies across the world and Regional Seas Conventions in its neighbouring seas. Meanwhile, the EU and its Member States are actively engaged in the negotiations on a third implementing agreement under the UNCLOS on the conservation and sustainabl</w:t>
            </w:r>
            <w:r>
              <w:rPr>
                <w:rFonts w:ascii="Times New Roman" w:hAnsi="Times New Roman"/>
                <w:noProof/>
                <w:sz w:val="24"/>
                <w:szCs w:val="24"/>
              </w:rPr>
              <w:t xml:space="preserve">e use of marine biodiversity in areas beyond national jurisdiction (BBNJ). </w:t>
            </w:r>
          </w:p>
          <w:p w:rsidR="00046CF8" w:rsidRDefault="003561C2">
            <w:pPr>
              <w:numPr>
                <w:ilvl w:val="0"/>
                <w:numId w:val="5"/>
              </w:numPr>
              <w:spacing w:before="0" w:after="0"/>
              <w:jc w:val="both"/>
              <w:rPr>
                <w:rFonts w:ascii="Times New Roman" w:hAnsi="Times New Roman"/>
                <w:noProof/>
                <w:sz w:val="24"/>
                <w:szCs w:val="24"/>
              </w:rPr>
            </w:pPr>
            <w:r>
              <w:rPr>
                <w:rFonts w:ascii="Times New Roman" w:hAnsi="Times New Roman"/>
                <w:noProof/>
                <w:sz w:val="24"/>
                <w:szCs w:val="24"/>
              </w:rPr>
              <w:t xml:space="preserve">The implementation of the Paris Agreement on climate change: which includes the protection of marine and coastal ecosystems including in the vulnerable polar areas, reducing risks </w:t>
            </w:r>
            <w:r>
              <w:rPr>
                <w:rFonts w:ascii="Times New Roman" w:hAnsi="Times New Roman"/>
                <w:noProof/>
                <w:sz w:val="24"/>
                <w:szCs w:val="24"/>
              </w:rPr>
              <w:t>resulting from climatic events, restoring and developing “green-blue infrastructure” and developing renewable marine energy.</w:t>
            </w:r>
          </w:p>
          <w:p w:rsidR="00046CF8" w:rsidRDefault="003561C2">
            <w:pPr>
              <w:numPr>
                <w:ilvl w:val="0"/>
                <w:numId w:val="5"/>
              </w:numPr>
              <w:spacing w:before="0" w:after="0"/>
              <w:jc w:val="both"/>
              <w:rPr>
                <w:rFonts w:eastAsiaTheme="minorHAnsi"/>
                <w:noProof/>
                <w:sz w:val="24"/>
                <w:szCs w:val="24"/>
              </w:rPr>
            </w:pPr>
            <w:r>
              <w:rPr>
                <w:rFonts w:ascii="Times New Roman" w:hAnsi="Times New Roman"/>
                <w:noProof/>
                <w:sz w:val="24"/>
                <w:szCs w:val="24"/>
              </w:rPr>
              <w:t>Strengthening cooperation with key ocean actors in key areas of ocean governance, such as the implementation of ocean-relevant SDGs</w:t>
            </w:r>
            <w:r>
              <w:rPr>
                <w:rFonts w:ascii="Times New Roman" w:hAnsi="Times New Roman"/>
                <w:noProof/>
                <w:sz w:val="24"/>
                <w:szCs w:val="24"/>
              </w:rPr>
              <w:t xml:space="preserve">, capacity building, promoting conservation and sustainable </w:t>
            </w:r>
            <w:r>
              <w:rPr>
                <w:rFonts w:ascii="Times New Roman" w:eastAsia="Helvetica" w:hAnsi="Times New Roman"/>
                <w:noProof/>
                <w:sz w:val="24"/>
                <w:szCs w:val="24"/>
              </w:rPr>
              <w:t>‘blue growth’, international fisheries ma</w:t>
            </w:r>
            <w:r>
              <w:rPr>
                <w:rFonts w:ascii="Times New Roman" w:hAnsi="Times New Roman"/>
                <w:noProof/>
                <w:sz w:val="24"/>
                <w:szCs w:val="24"/>
              </w:rPr>
              <w:t xml:space="preserve">nagement, decent working conditions at sea, the fight against IUU fishing and maritime security. </w:t>
            </w:r>
          </w:p>
          <w:p w:rsidR="00046CF8" w:rsidRDefault="00046CF8">
            <w:pPr>
              <w:spacing w:before="0" w:after="0"/>
              <w:ind w:left="720"/>
              <w:jc w:val="both"/>
              <w:rPr>
                <w:rFonts w:eastAsiaTheme="minorHAnsi"/>
                <w:noProof/>
              </w:rPr>
            </w:pPr>
          </w:p>
        </w:tc>
      </w:tr>
    </w:tbl>
    <w:p w:rsidR="00046CF8" w:rsidRDefault="00046CF8">
      <w:pPr>
        <w:spacing w:after="0" w:line="240" w:lineRule="auto"/>
        <w:jc w:val="both"/>
        <w:rPr>
          <w:rFonts w:ascii="Times New Roman" w:eastAsia="Times New Roman" w:hAnsi="Times New Roman" w:cs="Times New Roman"/>
          <w:noProof/>
          <w:sz w:val="16"/>
          <w:szCs w:val="16"/>
        </w:rPr>
      </w:pPr>
    </w:p>
    <w:p w:rsidR="00046CF8" w:rsidRDefault="003561C2">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However, the current EMFF does not cover or provides </w:t>
      </w:r>
      <w:r>
        <w:rPr>
          <w:rFonts w:ascii="Times New Roman" w:eastAsia="Times New Roman" w:hAnsi="Times New Roman" w:cs="Times New Roman"/>
          <w:noProof/>
          <w:sz w:val="24"/>
          <w:szCs w:val="20"/>
        </w:rPr>
        <w:t>very little funding for these activities and in order to deliver on all new international commitments additional funding is needed. If not delivered, not only the economic, environmental and security interests in relation to oceans, seas and marine resourc</w:t>
      </w:r>
      <w:r>
        <w:rPr>
          <w:rFonts w:ascii="Times New Roman" w:eastAsia="Times New Roman" w:hAnsi="Times New Roman" w:cs="Times New Roman"/>
          <w:noProof/>
          <w:sz w:val="24"/>
          <w:szCs w:val="20"/>
        </w:rPr>
        <w:t>es are threatened but also the role of the Union as a key ocean actor would be undermined and its stated commitment to the delivery of the key global processes like the Agenda 2030, the Paris Agreement, the UN process on establishing a binding instrument f</w:t>
      </w:r>
      <w:r>
        <w:rPr>
          <w:rFonts w:ascii="Times New Roman" w:eastAsia="Times New Roman" w:hAnsi="Times New Roman" w:cs="Times New Roman"/>
          <w:noProof/>
          <w:sz w:val="24"/>
          <w:szCs w:val="20"/>
        </w:rPr>
        <w:t>or BBNJ, the FAO Port State Measures Agreement, its participation in various Regional Fisheries Bodies and Regional Seas Conventions and the WTO negotiations on fisheries subsidies questioned.</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pStyle w:val="Text1"/>
              <w:spacing w:before="0" w:after="0"/>
              <w:ind w:left="0"/>
              <w:rPr>
                <w:noProof/>
                <w:szCs w:val="24"/>
              </w:rPr>
            </w:pPr>
            <w:r>
              <w:rPr>
                <w:noProof/>
                <w:szCs w:val="24"/>
              </w:rPr>
              <w:t>Maritime security is vital to the welfare and prosperity of the</w:t>
            </w:r>
            <w:r>
              <w:rPr>
                <w:noProof/>
                <w:szCs w:val="24"/>
              </w:rPr>
              <w:t xml:space="preserve"> EU and the world. As much as 90% of international trade is seaborne, 50% of the EU population lives in maritime regions and 400 million passengers pass through EU ports and harbours each year. Europeans consistently point to </w:t>
            </w:r>
            <w:r>
              <w:rPr>
                <w:bCs/>
                <w:noProof/>
                <w:szCs w:val="24"/>
              </w:rPr>
              <w:t>security and safety as a top p</w:t>
            </w:r>
            <w:r>
              <w:rPr>
                <w:bCs/>
                <w:noProof/>
                <w:szCs w:val="24"/>
              </w:rPr>
              <w:t>riority</w:t>
            </w:r>
            <w:r>
              <w:rPr>
                <w:b/>
                <w:bCs/>
                <w:noProof/>
                <w:szCs w:val="24"/>
              </w:rPr>
              <w:t xml:space="preserve"> </w:t>
            </w:r>
            <w:r>
              <w:rPr>
                <w:noProof/>
                <w:szCs w:val="24"/>
              </w:rPr>
              <w:t>for their Union</w:t>
            </w:r>
            <w:r>
              <w:rPr>
                <w:rStyle w:val="FootnoteReference"/>
                <w:noProof/>
                <w:szCs w:val="24"/>
              </w:rPr>
              <w:footnoteReference w:id="55"/>
            </w:r>
            <w:r>
              <w:rPr>
                <w:noProof/>
                <w:szCs w:val="24"/>
              </w:rPr>
              <w:t>. At the same time, security risks and threats on our seas and oceans are becoming more and more complex over time and the deteriorating situation in many parts of the EU's neighbourhood in recent years has given rise to new challen</w:t>
            </w:r>
            <w:r>
              <w:rPr>
                <w:noProof/>
                <w:szCs w:val="24"/>
              </w:rPr>
              <w:t xml:space="preserve">ges, notably an increased need for security as pre-condition to the development of the Blue Economy. </w:t>
            </w:r>
          </w:p>
        </w:tc>
      </w:tr>
    </w:tbl>
    <w:p w:rsidR="00046CF8" w:rsidRDefault="00046CF8">
      <w:pPr>
        <w:pStyle w:val="Text1"/>
        <w:spacing w:after="0"/>
        <w:ind w:left="0"/>
        <w:rPr>
          <w:noProof/>
          <w:szCs w:val="24"/>
        </w:rPr>
      </w:pPr>
    </w:p>
    <w:p w:rsidR="00046CF8" w:rsidRDefault="003561C2">
      <w:pPr>
        <w:pStyle w:val="Text1"/>
        <w:ind w:left="0"/>
        <w:rPr>
          <w:noProof/>
        </w:rPr>
      </w:pPr>
      <w:r>
        <w:rPr>
          <w:noProof/>
        </w:rPr>
        <w:t>The European Maritime Security Strategy (EUMSS) and its accompanying Action Plan</w:t>
      </w:r>
      <w:r>
        <w:rPr>
          <w:rStyle w:val="FootnoteReference"/>
          <w:noProof/>
        </w:rPr>
        <w:footnoteReference w:id="56"/>
      </w:r>
      <w:r>
        <w:rPr>
          <w:noProof/>
        </w:rPr>
        <w:t xml:space="preserve"> were issued in 2014 in response to the growing need for maritime secur</w:t>
      </w:r>
      <w:r>
        <w:rPr>
          <w:noProof/>
        </w:rPr>
        <w:t>ity in Europe and overseas. Cross sectoral cooperation between different maritime authorities at European level and increased cooperation at sea internationally, between the EU and its maritime partners, will remain a priority for the future. Particular at</w:t>
      </w:r>
      <w:r>
        <w:rPr>
          <w:noProof/>
        </w:rPr>
        <w:t xml:space="preserve">tention will have to be given to maritime surveillance (CISE) and the protection of critical maritime infrastructure (as ports, lines of communication/transport, offshore installations), critical maritime routes and marine resources (including fisheries). </w:t>
      </w:r>
      <w:r>
        <w:rPr>
          <w:noProof/>
        </w:rPr>
        <w:t xml:space="preserve">Finally, the EU will need to continue to promote targeted responses to threats at sea, both in Europe and globally, and coordinate geographical and sectoral policies in the maritime domain. The interagency cooperation on coast guard functions, established </w:t>
      </w:r>
      <w:r>
        <w:rPr>
          <w:noProof/>
        </w:rPr>
        <w:t>following the revision of the mandates of the EFCA, EMSA and the European Border and Coast Guard Agency (FRONTEX), in line with the EUMSS AP, will be key in this respect.</w:t>
      </w:r>
    </w:p>
    <w:p w:rsidR="00046CF8" w:rsidRDefault="003561C2">
      <w:pPr>
        <w:pStyle w:val="Heading2"/>
        <w:rPr>
          <w:noProof/>
        </w:rPr>
      </w:pPr>
      <w:bookmarkStart w:id="8" w:name="_Toc514503168"/>
      <w:r>
        <w:rPr>
          <w:noProof/>
        </w:rPr>
        <w:t>Objectives of the programmes of the next MFF</w:t>
      </w:r>
      <w:bookmarkEnd w:id="8"/>
    </w:p>
    <w:p w:rsidR="00046CF8" w:rsidRDefault="003561C2">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Treaty of the Functioning of the Eur</w:t>
      </w:r>
      <w:r>
        <w:rPr>
          <w:rFonts w:ascii="Times New Roman" w:hAnsi="Times New Roman" w:cs="Times New Roman"/>
          <w:noProof/>
          <w:sz w:val="24"/>
          <w:szCs w:val="24"/>
        </w:rPr>
        <w:t>opean Union (TFEU) provides the overall legal basis for the CFP. It contains the following provisions:</w:t>
      </w:r>
    </w:p>
    <w:tbl>
      <w:tblPr>
        <w:tblStyle w:val="Highlightbox"/>
        <w:tblW w:w="0" w:type="auto"/>
        <w:tblInd w:w="5" w:type="dxa"/>
        <w:tblLook w:val="04A0" w:firstRow="1" w:lastRow="0" w:firstColumn="1" w:lastColumn="0" w:noHBand="0" w:noVBand="1"/>
      </w:tblPr>
      <w:tblGrid>
        <w:gridCol w:w="8823"/>
      </w:tblGrid>
      <w:tr w:rsidR="00046CF8" w:rsidTr="00046CF8">
        <w:trPr>
          <w:cnfStyle w:val="100000000000" w:firstRow="1" w:lastRow="0" w:firstColumn="0" w:lastColumn="0" w:oddVBand="0" w:evenVBand="0" w:oddHBand="0" w:evenHBand="0" w:firstRowFirstColumn="0" w:firstRowLastColumn="0" w:lastRowFirstColumn="0" w:lastRowLastColumn="0"/>
        </w:trPr>
        <w:tc>
          <w:tcPr>
            <w:tcW w:w="8829" w:type="dxa"/>
          </w:tcPr>
          <w:p w:rsidR="00046CF8" w:rsidRDefault="003561C2">
            <w:pPr>
              <w:pStyle w:val="ListParagraph"/>
              <w:numPr>
                <w:ilvl w:val="0"/>
                <w:numId w:val="6"/>
              </w:numPr>
              <w:spacing w:before="0"/>
              <w:jc w:val="both"/>
              <w:rPr>
                <w:rFonts w:ascii="Times New Roman" w:hAnsi="Times New Roman"/>
                <w:noProof/>
                <w:sz w:val="24"/>
                <w:szCs w:val="24"/>
              </w:rPr>
            </w:pPr>
            <w:r>
              <w:rPr>
                <w:rFonts w:ascii="Times New Roman" w:hAnsi="Times New Roman"/>
                <w:noProof/>
                <w:sz w:val="24"/>
                <w:szCs w:val="24"/>
              </w:rPr>
              <w:t xml:space="preserve">Article 3(1) (d): the Union has exclusive competence in the conservation of marine biological resources under the common fisheries policy. </w:t>
            </w:r>
          </w:p>
          <w:p w:rsidR="00046CF8" w:rsidRDefault="003561C2">
            <w:pPr>
              <w:pStyle w:val="ListParagraph"/>
              <w:numPr>
                <w:ilvl w:val="0"/>
                <w:numId w:val="6"/>
              </w:numPr>
              <w:jc w:val="both"/>
              <w:rPr>
                <w:rFonts w:ascii="Times New Roman" w:hAnsi="Times New Roman"/>
                <w:noProof/>
                <w:sz w:val="24"/>
                <w:szCs w:val="24"/>
              </w:rPr>
            </w:pPr>
            <w:r>
              <w:rPr>
                <w:rFonts w:ascii="Times New Roman" w:hAnsi="Times New Roman"/>
                <w:noProof/>
                <w:sz w:val="24"/>
                <w:szCs w:val="24"/>
              </w:rPr>
              <w:t xml:space="preserve">Article 4(2) </w:t>
            </w:r>
            <w:r>
              <w:rPr>
                <w:rFonts w:ascii="Times New Roman" w:hAnsi="Times New Roman"/>
                <w:noProof/>
                <w:sz w:val="24"/>
                <w:szCs w:val="24"/>
              </w:rPr>
              <w:t>(d): other aspects of fisheries and maritime policy are shared competence between the Union and the Member States.</w:t>
            </w:r>
          </w:p>
          <w:p w:rsidR="00046CF8" w:rsidRDefault="003561C2">
            <w:pPr>
              <w:pStyle w:val="ListParagraph"/>
              <w:numPr>
                <w:ilvl w:val="0"/>
                <w:numId w:val="6"/>
              </w:numPr>
              <w:spacing w:after="0"/>
              <w:jc w:val="both"/>
              <w:rPr>
                <w:rFonts w:ascii="Times New Roman" w:hAnsi="Times New Roman"/>
                <w:noProof/>
                <w:sz w:val="24"/>
                <w:szCs w:val="24"/>
              </w:rPr>
            </w:pPr>
            <w:r>
              <w:rPr>
                <w:rFonts w:ascii="Times New Roman" w:hAnsi="Times New Roman"/>
                <w:noProof/>
                <w:sz w:val="24"/>
                <w:szCs w:val="24"/>
              </w:rPr>
              <w:t>Article 43(2): The European Parliament and the Council, acting in accordance with the ordinary legislative procedure and after consulting the</w:t>
            </w:r>
            <w:r>
              <w:rPr>
                <w:rFonts w:ascii="Times New Roman" w:hAnsi="Times New Roman"/>
                <w:noProof/>
                <w:sz w:val="24"/>
                <w:szCs w:val="24"/>
              </w:rPr>
              <w:t xml:space="preserve"> Economic and Social Committee, shall establish the common fisheries policy.</w:t>
            </w:r>
          </w:p>
        </w:tc>
      </w:tr>
    </w:tbl>
    <w:p w:rsidR="00046CF8" w:rsidRDefault="00046CF8">
      <w:pPr>
        <w:spacing w:after="0"/>
        <w:jc w:val="both"/>
        <w:rPr>
          <w:rFonts w:ascii="Times New Roman" w:hAnsi="Times New Roman" w:cs="Times New Roman"/>
          <w:noProof/>
          <w:sz w:val="20"/>
          <w:szCs w:val="20"/>
        </w:rPr>
      </w:pPr>
    </w:p>
    <w:p w:rsidR="00046CF8" w:rsidRDefault="003561C2">
      <w:pPr>
        <w:spacing w:after="0"/>
        <w:jc w:val="both"/>
        <w:rPr>
          <w:rFonts w:ascii="Times New Roman" w:hAnsi="Times New Roman" w:cs="Times New Roman"/>
          <w:noProof/>
          <w:sz w:val="24"/>
          <w:szCs w:val="24"/>
        </w:rPr>
      </w:pPr>
      <w:r>
        <w:rPr>
          <w:rFonts w:ascii="Times New Roman" w:hAnsi="Times New Roman" w:cs="Times New Roman"/>
          <w:noProof/>
          <w:sz w:val="24"/>
          <w:szCs w:val="24"/>
        </w:rPr>
        <w:t>The baseline scenario is the current EMFF for the 2014-2020 period (EUR 6.4 billion) excluding the resources allocated to the UK (EUR 230 million). This status quo would allow to address the challenges set out in this section. This IA report does not cover</w:t>
      </w:r>
      <w:r>
        <w:rPr>
          <w:rFonts w:ascii="Times New Roman" w:hAnsi="Times New Roman" w:cs="Times New Roman"/>
          <w:noProof/>
          <w:sz w:val="24"/>
          <w:szCs w:val="24"/>
        </w:rPr>
        <w:t xml:space="preserve"> the impacts of Brexit. Such impacts will be considered at a later stage. </w:t>
      </w:r>
    </w:p>
    <w:p w:rsidR="00046CF8" w:rsidRDefault="003561C2">
      <w:pPr>
        <w:spacing w:after="0"/>
        <w:jc w:val="both"/>
        <w:rPr>
          <w:rFonts w:ascii="Times New Roman" w:hAnsi="Times New Roman" w:cs="Times New Roman"/>
          <w:noProof/>
          <w:sz w:val="24"/>
          <w:szCs w:val="24"/>
        </w:rPr>
      </w:pPr>
      <w:r>
        <w:rPr>
          <w:rFonts w:ascii="Times New Roman" w:hAnsi="Times New Roman" w:cs="Times New Roman"/>
          <w:noProof/>
          <w:sz w:val="24"/>
          <w:szCs w:val="24"/>
        </w:rPr>
        <w:t>The objectives for fisheries and maritime policies post-2020 are of four types - policy, general, specific and cross-cutting - and are defined at two levels, policy objectives commo</w:t>
      </w:r>
      <w:r>
        <w:rPr>
          <w:rFonts w:ascii="Times New Roman" w:hAnsi="Times New Roman" w:cs="Times New Roman"/>
          <w:noProof/>
          <w:sz w:val="24"/>
          <w:szCs w:val="24"/>
        </w:rPr>
        <w:t xml:space="preserve">n to all ESI Funds and fund-specific general, specific and cross-cutting objectives </w:t>
      </w:r>
    </w:p>
    <w:p w:rsidR="00046CF8" w:rsidRDefault="003561C2">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Each specific objective is linked to a general objective and is presented as an indent under the general objectives below: </w:t>
      </w:r>
    </w:p>
    <w:p w:rsidR="00046CF8" w:rsidRDefault="00046CF8">
      <w:pPr>
        <w:spacing w:after="0"/>
        <w:jc w:val="both"/>
        <w:rPr>
          <w:rFonts w:ascii="Times New Roman" w:hAnsi="Times New Roman" w:cs="Times New Roman"/>
          <w:noProof/>
          <w:sz w:val="24"/>
          <w:szCs w:val="24"/>
        </w:rPr>
      </w:pPr>
    </w:p>
    <w:p w:rsidR="00046CF8" w:rsidRDefault="003561C2">
      <w:pPr>
        <w:spacing w:after="120"/>
        <w:jc w:val="both"/>
        <w:rPr>
          <w:rFonts w:ascii="Times New Roman" w:hAnsi="Times New Roman" w:cs="Times New Roman"/>
          <w:b/>
          <w:noProof/>
          <w:sz w:val="24"/>
          <w:szCs w:val="24"/>
        </w:rPr>
      </w:pPr>
      <w:r>
        <w:rPr>
          <w:noProof/>
          <w:lang w:eastAsia="en-GB"/>
        </w:rPr>
        <w:drawing>
          <wp:inline distT="0" distB="0" distL="0" distR="0">
            <wp:extent cx="5456255" cy="39138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472451" cy="3925451"/>
                    </a:xfrm>
                    <a:prstGeom prst="rect">
                      <a:avLst/>
                    </a:prstGeom>
                    <a:ln>
                      <a:noFill/>
                    </a:ln>
                    <a:extLst>
                      <a:ext uri="{53640926-AAD7-44D8-BBD7-CCE9431645EC}">
                        <a14:shadowObscured xmlns:a14="http://schemas.microsoft.com/office/drawing/2010/main"/>
                      </a:ext>
                    </a:extLst>
                  </pic:spPr>
                </pic:pic>
              </a:graphicData>
            </a:graphic>
          </wp:inline>
        </w:drawing>
      </w:r>
    </w:p>
    <w:p w:rsidR="00046CF8" w:rsidRDefault="003561C2">
      <w:pPr>
        <w:pStyle w:val="Heading1"/>
        <w:rPr>
          <w:noProof/>
        </w:rPr>
      </w:pPr>
      <w:bookmarkStart w:id="9" w:name="_Toc514503169"/>
      <w:bookmarkStart w:id="10" w:name="_Toc514507416"/>
      <w:r>
        <w:rPr>
          <w:noProof/>
        </w:rPr>
        <w:t>Programme structure and priorities</w:t>
      </w:r>
      <w:bookmarkEnd w:id="9"/>
      <w:bookmarkEnd w:id="10"/>
    </w:p>
    <w:p w:rsidR="00046CF8" w:rsidRDefault="003561C2">
      <w:pPr>
        <w:spacing w:after="120"/>
        <w:jc w:val="both"/>
        <w:rPr>
          <w:rFonts w:ascii="Times New Roman" w:hAnsi="Times New Roman" w:cs="Times New Roman"/>
          <w:noProof/>
          <w:sz w:val="24"/>
          <w:szCs w:val="24"/>
          <w:u w:val="single"/>
        </w:rPr>
      </w:pPr>
      <w:bookmarkStart w:id="11" w:name="_Toc481484466"/>
      <w:bookmarkStart w:id="12" w:name="_Toc502930596"/>
      <w:r>
        <w:rPr>
          <w:rFonts w:ascii="Times New Roman" w:eastAsia="Times New Roman" w:hAnsi="Times New Roman" w:cs="Times New Roman"/>
          <w:noProof/>
          <w:sz w:val="24"/>
          <w:szCs w:val="20"/>
          <w:u w:val="single"/>
        </w:rPr>
        <w:t>3.1</w:t>
      </w:r>
      <w:r>
        <w:rPr>
          <w:rFonts w:ascii="Times New Roman" w:eastAsia="Times New Roman" w:hAnsi="Times New Roman" w:cs="Times New Roman"/>
          <w:noProof/>
          <w:sz w:val="24"/>
          <w:szCs w:val="20"/>
          <w:u w:val="single"/>
        </w:rPr>
        <w:tab/>
        <w:t>Neces</w:t>
      </w:r>
      <w:r>
        <w:rPr>
          <w:rFonts w:ascii="Times New Roman" w:eastAsia="Times New Roman" w:hAnsi="Times New Roman" w:cs="Times New Roman"/>
          <w:noProof/>
          <w:sz w:val="24"/>
          <w:szCs w:val="20"/>
          <w:u w:val="single"/>
        </w:rPr>
        <w:t>sity for EU action</w:t>
      </w:r>
      <w:bookmarkEnd w:id="11"/>
      <w:bookmarkEnd w:id="12"/>
      <w:r>
        <w:rPr>
          <w:rFonts w:ascii="Times New Roman" w:eastAsia="Times New Roman" w:hAnsi="Times New Roman" w:cs="Times New Roman"/>
          <w:noProof/>
          <w:sz w:val="24"/>
          <w:szCs w:val="20"/>
          <w:u w:val="single"/>
        </w:rPr>
        <w:t>:</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CFP is an area of exclusive competence to the EU. Union intervention is therefore necessary as this common policy imposes obligations on the Member States. Financial support to help them meet those obligations is crucial for the att</w:t>
      </w:r>
      <w:r>
        <w:rPr>
          <w:rFonts w:ascii="Times New Roman" w:hAnsi="Times New Roman" w:cs="Times New Roman"/>
          <w:noProof/>
          <w:sz w:val="24"/>
          <w:szCs w:val="24"/>
        </w:rPr>
        <w:t>ainment of the Union's objectives of the policy – the sustainable use of the oceans. Support is needed in areas like adjusting the capacity of our fishing fleets, investing in health and safety on board, developing scientific knowledge and advice on the st</w:t>
      </w:r>
      <w:r>
        <w:rPr>
          <w:rFonts w:ascii="Times New Roman" w:hAnsi="Times New Roman" w:cs="Times New Roman"/>
          <w:noProof/>
          <w:sz w:val="24"/>
          <w:szCs w:val="24"/>
        </w:rPr>
        <w:t xml:space="preserve">ate of the fish stocks and improving controls and inspections at sea and in ports. </w:t>
      </w:r>
    </w:p>
    <w:p w:rsidR="00046CF8" w:rsidRDefault="003561C2">
      <w:pPr>
        <w:keepNext/>
        <w:spacing w:after="240" w:line="240" w:lineRule="auto"/>
        <w:jc w:val="both"/>
        <w:outlineLvl w:val="1"/>
        <w:rPr>
          <w:rFonts w:ascii="Times New Roman" w:eastAsia="Times New Roman" w:hAnsi="Times New Roman" w:cs="Times New Roman"/>
          <w:noProof/>
          <w:sz w:val="24"/>
          <w:szCs w:val="20"/>
        </w:rPr>
      </w:pPr>
      <w:bookmarkStart w:id="13" w:name="_Toc481484467"/>
      <w:bookmarkStart w:id="14" w:name="_Toc502930597"/>
      <w:bookmarkStart w:id="15" w:name="_Toc514503170"/>
      <w:r>
        <w:rPr>
          <w:rFonts w:ascii="Times New Roman" w:eastAsia="Times New Roman" w:hAnsi="Times New Roman" w:cs="Times New Roman"/>
          <w:noProof/>
          <w:sz w:val="24"/>
          <w:szCs w:val="20"/>
          <w:u w:val="single"/>
        </w:rPr>
        <w:t>3.2</w:t>
      </w:r>
      <w:r>
        <w:rPr>
          <w:rFonts w:ascii="Times New Roman" w:eastAsia="Times New Roman" w:hAnsi="Times New Roman" w:cs="Times New Roman"/>
          <w:noProof/>
          <w:sz w:val="24"/>
          <w:szCs w:val="20"/>
          <w:u w:val="single"/>
        </w:rPr>
        <w:tab/>
        <w:t>Added value of EU action</w:t>
      </w:r>
      <w:bookmarkEnd w:id="13"/>
      <w:bookmarkEnd w:id="14"/>
      <w:r>
        <w:rPr>
          <w:rFonts w:ascii="Times New Roman" w:eastAsia="Times New Roman" w:hAnsi="Times New Roman" w:cs="Times New Roman"/>
          <w:noProof/>
          <w:sz w:val="24"/>
          <w:szCs w:val="20"/>
        </w:rPr>
        <w:t>:</w:t>
      </w:r>
      <w:bookmarkEnd w:id="15"/>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overall aim of future support for fisheries and maritime policies is to help delivering the CFP objectives. Achieving sustainable fisherie</w:t>
      </w:r>
      <w:r>
        <w:rPr>
          <w:rFonts w:ascii="Times New Roman" w:hAnsi="Times New Roman" w:cs="Times New Roman"/>
          <w:noProof/>
          <w:sz w:val="24"/>
          <w:szCs w:val="24"/>
        </w:rPr>
        <w:t>s may have social impacts for coastal communities in the short to medium term which needs mitigation through diversification both within and outside the fishing sector by for example encouraging fishers to find employment in expanding maritime economy sect</w:t>
      </w:r>
      <w:r>
        <w:rPr>
          <w:rFonts w:ascii="Times New Roman" w:hAnsi="Times New Roman" w:cs="Times New Roman"/>
          <w:noProof/>
          <w:sz w:val="24"/>
          <w:szCs w:val="24"/>
        </w:rPr>
        <w:t>ors. This is of particular importance to coastal communities depending on fisheries, in particular in areas where the fishing sector still faces serious problems such as the Mediterranean and Black Seas where a policy at EU level can provide real added val</w:t>
      </w:r>
      <w:r>
        <w:rPr>
          <w:rFonts w:ascii="Times New Roman" w:hAnsi="Times New Roman" w:cs="Times New Roman"/>
          <w:noProof/>
          <w:sz w:val="24"/>
          <w:szCs w:val="24"/>
        </w:rPr>
        <w:t>ue, also given the EU exclusive competence on fisheries management. Individual Member States are not in a position to sufficiently address the problems themselves while EU action provides a secure source for stable growth-supporting investment. Many marine</w:t>
      </w:r>
      <w:r>
        <w:rPr>
          <w:rFonts w:ascii="Times New Roman" w:hAnsi="Times New Roman" w:cs="Times New Roman"/>
          <w:noProof/>
          <w:sz w:val="24"/>
          <w:szCs w:val="24"/>
        </w:rPr>
        <w:t xml:space="preserve"> aquaculture sites operate in marine ecosystems which go beyond national borders and the planning of the maritime space requires coordinated planning efforts at EU-level. Control and enforcement as well as data collection and scientific advice are core ele</w:t>
      </w:r>
      <w:r>
        <w:rPr>
          <w:rFonts w:ascii="Times New Roman" w:hAnsi="Times New Roman" w:cs="Times New Roman"/>
          <w:noProof/>
          <w:sz w:val="24"/>
          <w:szCs w:val="24"/>
        </w:rPr>
        <w:t>ments for the effective implementation of the CFP. These activities co-ordinated and co-financed at EU-level represent significant savings and synergies in terms of costs and compliance compared to a model where these activities were to be carried out excl</w:t>
      </w:r>
      <w:r>
        <w:rPr>
          <w:rFonts w:ascii="Times New Roman" w:hAnsi="Times New Roman" w:cs="Times New Roman"/>
          <w:noProof/>
          <w:sz w:val="24"/>
          <w:szCs w:val="24"/>
        </w:rPr>
        <w:t xml:space="preserve">usively by the Member States. </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Maritime policy and the development of the blue economy is to its character cross-sectoral and transnational, e.g. through the development of sea-basin strategies that cover several Member States and appropriate partner count</w:t>
      </w:r>
      <w:r>
        <w:rPr>
          <w:rFonts w:ascii="Times New Roman" w:hAnsi="Times New Roman" w:cs="Times New Roman"/>
          <w:noProof/>
          <w:sz w:val="24"/>
          <w:szCs w:val="24"/>
        </w:rPr>
        <w:t>ries, to gain efficiency in the use of funds, application of rules and involvement of bodies/institutions and reduce fragmentation and duplication of actions. Action at EU-level is likely to produce clear benefits compared to action only at Member State/re</w:t>
      </w:r>
      <w:r>
        <w:rPr>
          <w:rFonts w:ascii="Times New Roman" w:hAnsi="Times New Roman" w:cs="Times New Roman"/>
          <w:noProof/>
          <w:sz w:val="24"/>
          <w:szCs w:val="24"/>
        </w:rPr>
        <w:t>gional level. Marine knowledge assembles data and makes it accessible across the EU, CISE provides a common European maritime surveillance environment, while sharing at EU or sea basin levels coast guard capacities between agencies and Member States increa</w:t>
      </w:r>
      <w:r>
        <w:rPr>
          <w:rFonts w:ascii="Times New Roman" w:hAnsi="Times New Roman" w:cs="Times New Roman"/>
          <w:noProof/>
          <w:sz w:val="24"/>
          <w:szCs w:val="24"/>
        </w:rPr>
        <w:t>se effectiveness and efficiency of operations at sea. Maritime spatial planning is a way to better coordinate the common European maritime space and ensure coherence across borders (within and outside the EU). In blue growth areas such as ocean energy coor</w:t>
      </w:r>
      <w:r>
        <w:rPr>
          <w:rFonts w:ascii="Times New Roman" w:hAnsi="Times New Roman" w:cs="Times New Roman"/>
          <w:noProof/>
          <w:sz w:val="24"/>
          <w:szCs w:val="24"/>
        </w:rPr>
        <w:t>dination of activities related to research but also other non-technological issues at European level accelerates the development of the sector (i.e. achieving the critical mass for investment and developing the market). Funding at EU-level supports the dri</w:t>
      </w:r>
      <w:r>
        <w:rPr>
          <w:rFonts w:ascii="Times New Roman" w:hAnsi="Times New Roman" w:cs="Times New Roman"/>
          <w:noProof/>
          <w:sz w:val="24"/>
          <w:szCs w:val="24"/>
        </w:rPr>
        <w:t>vers of innovation enabling the European maritime industry to grow and thrive.</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line with its international commitment to conserve and sustainably use the oceans, including the objectives under Sustainable Development Agenda 2030, the EU is well-placed t</w:t>
      </w:r>
      <w:r>
        <w:rPr>
          <w:rFonts w:ascii="Times New Roman" w:hAnsi="Times New Roman" w:cs="Times New Roman"/>
          <w:noProof/>
          <w:sz w:val="24"/>
          <w:szCs w:val="24"/>
        </w:rPr>
        <w:t>o shape international ocean governance on the basis of its experience in developing a sustainable approach to ocean management, notably through its environment policy (in particular the MSFD), integrated maritime policy (in particular its MSP Directive), r</w:t>
      </w:r>
      <w:r>
        <w:rPr>
          <w:rFonts w:ascii="Times New Roman" w:hAnsi="Times New Roman" w:cs="Times New Roman"/>
          <w:noProof/>
          <w:sz w:val="24"/>
          <w:szCs w:val="24"/>
        </w:rPr>
        <w:t>eformed common fisheries policy, action against illegal, unregulated and unreported (IUU) fishing, its maritime transport policy and the multiple bilateral partnerships and multilateral agreements it is a party to. The Sustainable Fisheries Partnership Agr</w:t>
      </w:r>
      <w:r>
        <w:rPr>
          <w:rFonts w:ascii="Times New Roman" w:hAnsi="Times New Roman" w:cs="Times New Roman"/>
          <w:noProof/>
          <w:sz w:val="24"/>
          <w:szCs w:val="24"/>
        </w:rPr>
        <w:t>eements with partner countries around the world are key for sustainable food supply, for developing a sustainable blue economy and help to address the issue of migration. The EU maritime security strategy and new border protection policy has identified CIS</w:t>
      </w:r>
      <w:r>
        <w:rPr>
          <w:rFonts w:ascii="Times New Roman" w:hAnsi="Times New Roman" w:cs="Times New Roman"/>
          <w:noProof/>
          <w:sz w:val="24"/>
          <w:szCs w:val="24"/>
        </w:rPr>
        <w:t>E and the cooperation between EFCA, EMSA and the European Border and Coast Guard Agency (FRONTEX) in the form of the European Border and Coast Guard Function as key to deliver on these aims. In all the areas set out above pooling resources at European leve</w:t>
      </w:r>
      <w:r>
        <w:rPr>
          <w:rFonts w:ascii="Times New Roman" w:hAnsi="Times New Roman" w:cs="Times New Roman"/>
          <w:noProof/>
          <w:sz w:val="24"/>
          <w:szCs w:val="24"/>
        </w:rPr>
        <w:t xml:space="preserve">l can deliver results that spending at national level cannot. </w:t>
      </w:r>
    </w:p>
    <w:p w:rsidR="00046CF8" w:rsidRDefault="003561C2">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3.3       Prioritisation of actions</w:t>
      </w:r>
      <w:r>
        <w:rPr>
          <w:rFonts w:ascii="Times New Roman" w:eastAsia="Times New Roman" w:hAnsi="Times New Roman" w:cs="Times New Roman"/>
          <w:noProof/>
          <w:sz w:val="24"/>
          <w:szCs w:val="20"/>
        </w:rPr>
        <w:t>:</w:t>
      </w:r>
    </w:p>
    <w:p w:rsidR="00046CF8" w:rsidRDefault="003561C2">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Below follows an account of the features to be retained by the future fisheries and maritime policies of the Union in view of identified challenges. A full </w:t>
      </w:r>
      <w:r>
        <w:rPr>
          <w:rFonts w:ascii="Times New Roman" w:hAnsi="Times New Roman" w:cs="Times New Roman"/>
          <w:noProof/>
          <w:sz w:val="24"/>
          <w:szCs w:val="24"/>
        </w:rPr>
        <w:t xml:space="preserve">account including discarded features is provided in Annex 4.2 to this IA report.  </w:t>
      </w:r>
    </w:p>
    <w:p w:rsidR="00046CF8" w:rsidRDefault="003561C2">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General Objective 1: Fostering sustainable fisheries and the conservation of marine biological resources  </w:t>
      </w:r>
    </w:p>
    <w:p w:rsidR="00046CF8" w:rsidRDefault="00046CF8">
      <w:pPr>
        <w:spacing w:after="0"/>
        <w:jc w:val="both"/>
        <w:rPr>
          <w:rFonts w:ascii="Times New Roman" w:hAnsi="Times New Roman" w:cs="Times New Roman"/>
          <w:noProof/>
          <w:sz w:val="8"/>
          <w:szCs w:val="8"/>
        </w:rPr>
      </w:pP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shown in previous sections of this IA report, in terms of economic and environmental sustainability the situation facing the fisheries sector today is very different from when the EMFF was designed and although concerns remain for some stocks, segments </w:t>
      </w:r>
      <w:r>
        <w:rPr>
          <w:rFonts w:ascii="Times New Roman" w:hAnsi="Times New Roman" w:cs="Times New Roman"/>
          <w:noProof/>
          <w:sz w:val="24"/>
          <w:szCs w:val="24"/>
        </w:rPr>
        <w:t>(overcapacity) and sea-basins, mainly the Mediterranean, the general outlook for the future is positive. Nevertheless, the CFP needs a dedicated tool for delivering on its prime objectives. This is unlikely to be achieved by any other EU funding source. It</w:t>
      </w:r>
      <w:r>
        <w:rPr>
          <w:rFonts w:ascii="Times New Roman" w:hAnsi="Times New Roman" w:cs="Times New Roman"/>
          <w:noProof/>
          <w:sz w:val="24"/>
          <w:szCs w:val="24"/>
        </w:rPr>
        <w:t xml:space="preserve"> will be necessary to focus support on </w:t>
      </w:r>
      <w:r>
        <w:rPr>
          <w:rFonts w:ascii="Times New Roman" w:hAnsi="Times New Roman" w:cs="Times New Roman"/>
          <w:b/>
          <w:noProof/>
          <w:sz w:val="24"/>
          <w:szCs w:val="24"/>
        </w:rPr>
        <w:t>key enablers</w:t>
      </w:r>
      <w:r>
        <w:rPr>
          <w:rFonts w:ascii="Times New Roman" w:hAnsi="Times New Roman" w:cs="Times New Roman"/>
          <w:noProof/>
          <w:sz w:val="24"/>
          <w:szCs w:val="24"/>
        </w:rPr>
        <w:t xml:space="preserve"> for healthy oceans and prosperous coastal communities. </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preferred model for the future is a more targeted system compared to the current one. Given the challenges to achieve a sustainable exploitation of marine biological resources in line with the conservation objectives of the CFP, future funding should s</w:t>
      </w:r>
      <w:r>
        <w:rPr>
          <w:rFonts w:ascii="Times New Roman" w:hAnsi="Times New Roman" w:cs="Times New Roman"/>
          <w:noProof/>
          <w:sz w:val="24"/>
          <w:szCs w:val="24"/>
        </w:rPr>
        <w:t xml:space="preserve">upport the management of fisheries and fishing fleets. In this context, fleet adaptation measures will remain necessary as regards certain fleet segments or certain sea basins (i.e. the Mediterranean). However, such support needs to be </w:t>
      </w:r>
      <w:r>
        <w:rPr>
          <w:rFonts w:ascii="Times New Roman" w:hAnsi="Times New Roman" w:cs="Times New Roman"/>
          <w:b/>
          <w:noProof/>
          <w:sz w:val="24"/>
          <w:szCs w:val="24"/>
        </w:rPr>
        <w:t xml:space="preserve">tightly targeted to </w:t>
      </w:r>
      <w:r>
        <w:rPr>
          <w:rFonts w:ascii="Times New Roman" w:hAnsi="Times New Roman" w:cs="Times New Roman"/>
          <w:b/>
          <w:noProof/>
          <w:sz w:val="24"/>
          <w:szCs w:val="24"/>
        </w:rPr>
        <w:t>the  conservation and sustainable exploitation of marine biological resources and to a more effective fleet management by Member States</w:t>
      </w:r>
      <w:r>
        <w:rPr>
          <w:rFonts w:ascii="Times New Roman" w:hAnsi="Times New Roman" w:cs="Times New Roman"/>
          <w:noProof/>
          <w:sz w:val="24"/>
          <w:szCs w:val="24"/>
        </w:rPr>
        <w:t>. In this context, certain fleet measures</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may play a specific role. Past experience shows that on the one hand, they nee</w:t>
      </w:r>
      <w:r>
        <w:rPr>
          <w:rFonts w:ascii="Times New Roman" w:hAnsi="Times New Roman" w:cs="Times New Roman"/>
          <w:noProof/>
          <w:sz w:val="24"/>
          <w:szCs w:val="24"/>
        </w:rPr>
        <w:t>d to be carefully circumscribed to avoid negative impacts, and on the other hand, they must be better targeted at reaching EU conservation objectives. Fleet measures would be subject to horizontal conditions set out in the regulation.</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Given the remoteness </w:t>
      </w:r>
      <w:r>
        <w:rPr>
          <w:rFonts w:ascii="Times New Roman" w:hAnsi="Times New Roman" w:cs="Times New Roman"/>
          <w:noProof/>
          <w:sz w:val="24"/>
          <w:szCs w:val="24"/>
        </w:rPr>
        <w:t xml:space="preserve">and specific conditions of the outermost regions there are good reasons to continue compensation but it will be necessary to assess how the cost-effectiveness of the regime could be improved. It will also be necessary to reflect on how to better integrate </w:t>
      </w:r>
      <w:r>
        <w:rPr>
          <w:rFonts w:ascii="Times New Roman" w:hAnsi="Times New Roman" w:cs="Times New Roman"/>
          <w:noProof/>
          <w:sz w:val="24"/>
          <w:szCs w:val="24"/>
        </w:rPr>
        <w:t>the development of the fisheries sector into blue growth strategies.</w:t>
      </w:r>
    </w:p>
    <w:tbl>
      <w:tblPr>
        <w:tblStyle w:val="TableGrid"/>
        <w:tblW w:w="0" w:type="auto"/>
        <w:tblLook w:val="04A0" w:firstRow="1" w:lastRow="0" w:firstColumn="1" w:lastColumn="0" w:noHBand="0" w:noVBand="1"/>
      </w:tblPr>
      <w:tblGrid>
        <w:gridCol w:w="2689"/>
        <w:gridCol w:w="6139"/>
      </w:tblGrid>
      <w:tr w:rsidR="00046CF8">
        <w:tc>
          <w:tcPr>
            <w:tcW w:w="2828" w:type="dxa"/>
          </w:tcPr>
          <w:p w:rsidR="00046CF8" w:rsidRDefault="003561C2">
            <w:pPr>
              <w:jc w:val="both"/>
              <w:rPr>
                <w:i/>
                <w:noProof/>
                <w:sz w:val="24"/>
                <w:szCs w:val="24"/>
              </w:rPr>
            </w:pPr>
            <w:r>
              <w:rPr>
                <w:i/>
                <w:noProof/>
                <w:sz w:val="24"/>
                <w:szCs w:val="24"/>
              </w:rPr>
              <w:t>Specific objective</w:t>
            </w:r>
          </w:p>
        </w:tc>
        <w:tc>
          <w:tcPr>
            <w:tcW w:w="6778" w:type="dxa"/>
          </w:tcPr>
          <w:p w:rsidR="00046CF8" w:rsidRDefault="003561C2">
            <w:pPr>
              <w:jc w:val="both"/>
              <w:rPr>
                <w:i/>
                <w:noProof/>
                <w:sz w:val="24"/>
                <w:szCs w:val="24"/>
              </w:rPr>
            </w:pPr>
            <w:r>
              <w:rPr>
                <w:i/>
                <w:noProof/>
                <w:sz w:val="24"/>
                <w:szCs w:val="24"/>
              </w:rPr>
              <w:t>Features</w:t>
            </w:r>
          </w:p>
        </w:tc>
      </w:tr>
      <w:tr w:rsidR="00046CF8">
        <w:tc>
          <w:tcPr>
            <w:tcW w:w="2828" w:type="dxa"/>
          </w:tcPr>
          <w:p w:rsidR="00046CF8" w:rsidRDefault="003561C2">
            <w:pPr>
              <w:rPr>
                <w:noProof/>
                <w:sz w:val="24"/>
                <w:szCs w:val="24"/>
              </w:rPr>
            </w:pPr>
            <w:r>
              <w:rPr>
                <w:noProof/>
                <w:sz w:val="24"/>
                <w:szCs w:val="24"/>
              </w:rPr>
              <w:t>SO 1:1 Sustainable, competitive and inclusive fisheries</w:t>
            </w:r>
          </w:p>
        </w:tc>
        <w:tc>
          <w:tcPr>
            <w:tcW w:w="6778" w:type="dxa"/>
          </w:tcPr>
          <w:p w:rsidR="00046CF8" w:rsidRDefault="003561C2">
            <w:pPr>
              <w:rPr>
                <w:noProof/>
                <w:sz w:val="24"/>
                <w:szCs w:val="24"/>
              </w:rPr>
            </w:pPr>
            <w:r>
              <w:rPr>
                <w:noProof/>
                <w:sz w:val="24"/>
                <w:szCs w:val="24"/>
              </w:rPr>
              <w:t>A targeted model introducing a new feature compared to the current period. Fleet adaptation measures w</w:t>
            </w:r>
            <w:r>
              <w:rPr>
                <w:noProof/>
                <w:sz w:val="24"/>
                <w:szCs w:val="24"/>
              </w:rPr>
              <w:t xml:space="preserve">ill remain necessary as regards certain fleet segments or certain sea basins (e.g. Mediterranean). However, such support needs to be tightly linked to specific conservation objectives (especially as regional multiannual management plans enter into effect) </w:t>
            </w:r>
            <w:r>
              <w:rPr>
                <w:noProof/>
                <w:sz w:val="24"/>
                <w:szCs w:val="24"/>
              </w:rPr>
              <w:t xml:space="preserve">and to a more effective fleet management by Member States. </w:t>
            </w:r>
          </w:p>
          <w:p w:rsidR="00046CF8" w:rsidRDefault="003561C2">
            <w:pPr>
              <w:rPr>
                <w:noProof/>
                <w:sz w:val="24"/>
                <w:szCs w:val="24"/>
              </w:rPr>
            </w:pPr>
            <w:r>
              <w:rPr>
                <w:noProof/>
                <w:sz w:val="24"/>
                <w:szCs w:val="24"/>
              </w:rPr>
              <w:t>Modernisation of the fleet with regard to innovation, health and safety, energy efficiency and investments on board improving the quality of products.</w:t>
            </w:r>
          </w:p>
          <w:p w:rsidR="00046CF8" w:rsidRDefault="003561C2">
            <w:pPr>
              <w:rPr>
                <w:noProof/>
                <w:sz w:val="24"/>
                <w:szCs w:val="24"/>
              </w:rPr>
            </w:pPr>
            <w:r>
              <w:rPr>
                <w:noProof/>
                <w:sz w:val="24"/>
                <w:szCs w:val="24"/>
              </w:rPr>
              <w:t>Maintaining higher co-financing rates and all</w:t>
            </w:r>
            <w:r>
              <w:rPr>
                <w:noProof/>
                <w:sz w:val="24"/>
                <w:szCs w:val="24"/>
              </w:rPr>
              <w:t>ow higher aid intensity for investments in outermost regions compared to the mainland.</w:t>
            </w:r>
          </w:p>
        </w:tc>
      </w:tr>
      <w:tr w:rsidR="00046CF8">
        <w:tc>
          <w:tcPr>
            <w:tcW w:w="2828" w:type="dxa"/>
          </w:tcPr>
          <w:p w:rsidR="00046CF8" w:rsidRDefault="003561C2">
            <w:pPr>
              <w:rPr>
                <w:noProof/>
                <w:sz w:val="24"/>
                <w:szCs w:val="24"/>
              </w:rPr>
            </w:pPr>
            <w:r>
              <w:rPr>
                <w:noProof/>
                <w:sz w:val="24"/>
                <w:szCs w:val="24"/>
              </w:rPr>
              <w:t>SO 1:2 Sustainable and competitive SSCF</w:t>
            </w:r>
          </w:p>
        </w:tc>
        <w:tc>
          <w:tcPr>
            <w:tcW w:w="6778" w:type="dxa"/>
          </w:tcPr>
          <w:p w:rsidR="00046CF8" w:rsidRDefault="003561C2">
            <w:pPr>
              <w:rPr>
                <w:noProof/>
                <w:sz w:val="24"/>
                <w:szCs w:val="24"/>
              </w:rPr>
            </w:pPr>
            <w:r>
              <w:rPr>
                <w:noProof/>
                <w:sz w:val="24"/>
                <w:szCs w:val="24"/>
              </w:rPr>
              <w:t>Higher intervention rates</w:t>
            </w:r>
          </w:p>
          <w:p w:rsidR="00046CF8" w:rsidRDefault="003561C2">
            <w:pPr>
              <w:rPr>
                <w:noProof/>
                <w:sz w:val="24"/>
                <w:szCs w:val="24"/>
              </w:rPr>
            </w:pPr>
            <w:r>
              <w:rPr>
                <w:noProof/>
                <w:sz w:val="24"/>
                <w:szCs w:val="24"/>
              </w:rPr>
              <w:t>Differentiated areas of support (e.g. certain operations only for small-scale operators)</w:t>
            </w:r>
          </w:p>
          <w:p w:rsidR="00046CF8" w:rsidRDefault="003561C2">
            <w:pPr>
              <w:rPr>
                <w:noProof/>
                <w:sz w:val="24"/>
                <w:szCs w:val="24"/>
              </w:rPr>
            </w:pPr>
            <w:r>
              <w:rPr>
                <w:noProof/>
                <w:sz w:val="24"/>
                <w:szCs w:val="24"/>
              </w:rPr>
              <w:t>Differentiate</w:t>
            </w:r>
            <w:r>
              <w:rPr>
                <w:noProof/>
                <w:sz w:val="24"/>
                <w:szCs w:val="24"/>
              </w:rPr>
              <w:t>d forms of support (e.g. access to grants only for small-scale operators and only financial instruments for other beneficiaries)</w:t>
            </w:r>
          </w:p>
        </w:tc>
      </w:tr>
      <w:tr w:rsidR="00046CF8">
        <w:tc>
          <w:tcPr>
            <w:tcW w:w="2828" w:type="dxa"/>
          </w:tcPr>
          <w:p w:rsidR="00046CF8" w:rsidRDefault="003561C2">
            <w:pPr>
              <w:rPr>
                <w:noProof/>
                <w:sz w:val="24"/>
                <w:szCs w:val="24"/>
              </w:rPr>
            </w:pPr>
            <w:r>
              <w:rPr>
                <w:noProof/>
                <w:sz w:val="24"/>
                <w:szCs w:val="24"/>
              </w:rPr>
              <w:t>SO 1:3 Implementation of the CFP (fisheries control, data)</w:t>
            </w:r>
          </w:p>
        </w:tc>
        <w:tc>
          <w:tcPr>
            <w:tcW w:w="6778" w:type="dxa"/>
          </w:tcPr>
          <w:p w:rsidR="00046CF8" w:rsidRDefault="003561C2">
            <w:pPr>
              <w:rPr>
                <w:noProof/>
                <w:sz w:val="24"/>
                <w:szCs w:val="24"/>
              </w:rPr>
            </w:pPr>
            <w:r>
              <w:rPr>
                <w:noProof/>
                <w:sz w:val="24"/>
                <w:szCs w:val="24"/>
              </w:rPr>
              <w:t>Continue financial support for fisheries control and link it with t</w:t>
            </w:r>
            <w:r>
              <w:rPr>
                <w:noProof/>
                <w:sz w:val="24"/>
                <w:szCs w:val="24"/>
              </w:rPr>
              <w:t xml:space="preserve">he revision of the Control regulation. </w:t>
            </w:r>
          </w:p>
          <w:p w:rsidR="00046CF8" w:rsidRDefault="003561C2">
            <w:pPr>
              <w:rPr>
                <w:noProof/>
                <w:sz w:val="24"/>
                <w:szCs w:val="24"/>
              </w:rPr>
            </w:pPr>
            <w:r>
              <w:rPr>
                <w:noProof/>
                <w:sz w:val="24"/>
                <w:szCs w:val="24"/>
              </w:rPr>
              <w:t>Reinforce the link to maritime surveillance</w:t>
            </w:r>
          </w:p>
          <w:p w:rsidR="00046CF8" w:rsidRDefault="003561C2">
            <w:pPr>
              <w:rPr>
                <w:noProof/>
                <w:sz w:val="24"/>
                <w:szCs w:val="24"/>
              </w:rPr>
            </w:pPr>
            <w:r>
              <w:rPr>
                <w:noProof/>
                <w:sz w:val="24"/>
                <w:szCs w:val="24"/>
              </w:rPr>
              <w:t>Strengthen the collection and processing of marine data in synergy with EMODNET and the MSFD.</w:t>
            </w:r>
          </w:p>
        </w:tc>
      </w:tr>
      <w:tr w:rsidR="00046CF8">
        <w:tc>
          <w:tcPr>
            <w:tcW w:w="2828" w:type="dxa"/>
          </w:tcPr>
          <w:p w:rsidR="00046CF8" w:rsidRDefault="003561C2">
            <w:pPr>
              <w:rPr>
                <w:noProof/>
                <w:sz w:val="24"/>
                <w:szCs w:val="24"/>
              </w:rPr>
            </w:pPr>
            <w:r>
              <w:rPr>
                <w:noProof/>
                <w:sz w:val="24"/>
                <w:szCs w:val="24"/>
              </w:rPr>
              <w:t>SO 1:4 Conservation of marine ecosystems</w:t>
            </w:r>
          </w:p>
        </w:tc>
        <w:tc>
          <w:tcPr>
            <w:tcW w:w="6778" w:type="dxa"/>
          </w:tcPr>
          <w:p w:rsidR="00046CF8" w:rsidRDefault="003561C2">
            <w:pPr>
              <w:rPr>
                <w:noProof/>
                <w:sz w:val="24"/>
                <w:szCs w:val="24"/>
              </w:rPr>
            </w:pPr>
            <w:r>
              <w:rPr>
                <w:noProof/>
                <w:sz w:val="24"/>
                <w:szCs w:val="24"/>
              </w:rPr>
              <w:t>Continue support for biodiversity protection, including support to the management, restoration and monitoring of Natura 2000 sites and other MPAs, to promote more selective fishing gear, to avoid accidental by-catch of species (marine mammals and seabirds)</w:t>
            </w:r>
            <w:r>
              <w:rPr>
                <w:noProof/>
                <w:sz w:val="24"/>
                <w:szCs w:val="24"/>
              </w:rPr>
              <w:t xml:space="preserve"> to continue addressing the issue of collection of marine litter and to support aquaculture providing environmental services. </w:t>
            </w:r>
          </w:p>
          <w:p w:rsidR="00046CF8" w:rsidRDefault="003561C2">
            <w:pPr>
              <w:rPr>
                <w:noProof/>
                <w:sz w:val="24"/>
                <w:szCs w:val="24"/>
              </w:rPr>
            </w:pPr>
            <w:r>
              <w:rPr>
                <w:noProof/>
                <w:sz w:val="24"/>
                <w:szCs w:val="24"/>
              </w:rPr>
              <w:t>Develop cross-cutting indicators for all EU funds for Natura 2000, building on and adapting existing indicators developed under t</w:t>
            </w:r>
            <w:r>
              <w:rPr>
                <w:noProof/>
                <w:sz w:val="24"/>
                <w:szCs w:val="24"/>
              </w:rPr>
              <w:t>he EMFF.</w:t>
            </w:r>
          </w:p>
        </w:tc>
      </w:tr>
    </w:tbl>
    <w:p w:rsidR="00046CF8" w:rsidRDefault="00046CF8">
      <w:pPr>
        <w:spacing w:after="0" w:line="240" w:lineRule="auto"/>
        <w:ind w:left="360"/>
        <w:jc w:val="both"/>
        <w:rPr>
          <w:rFonts w:ascii="Times New Roman" w:hAnsi="Times New Roman" w:cs="Times New Roman"/>
          <w:noProof/>
          <w:sz w:val="20"/>
          <w:szCs w:val="20"/>
          <w:lang w:eastAsia="en-GB"/>
        </w:rPr>
      </w:pPr>
    </w:p>
    <w:p w:rsidR="00046CF8" w:rsidRDefault="003561C2">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General Objective 2: Contributing to food security in the Union through competitive and sustainable aquaculture and markets </w:t>
      </w:r>
    </w:p>
    <w:p w:rsidR="00046CF8" w:rsidRDefault="00046CF8">
      <w:pPr>
        <w:spacing w:after="0"/>
        <w:jc w:val="both"/>
        <w:rPr>
          <w:rFonts w:ascii="Times New Roman" w:hAnsi="Times New Roman" w:cs="Times New Roman"/>
          <w:b/>
          <w:noProof/>
          <w:sz w:val="24"/>
          <w:szCs w:val="24"/>
        </w:rPr>
      </w:pPr>
    </w:p>
    <w:p w:rsidR="00046CF8" w:rsidRDefault="003561C2">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sustainable production of farmed fish offers an alternative source of food security. Aquaculture is part of the </w:t>
      </w:r>
      <w:r>
        <w:rPr>
          <w:rFonts w:ascii="Times New Roman" w:hAnsi="Times New Roman" w:cs="Times New Roman"/>
          <w:noProof/>
          <w:sz w:val="24"/>
          <w:szCs w:val="24"/>
        </w:rPr>
        <w:t>Common Fisheries Policy, and while the EMFF has supported the EU's aquaculture sector with more than 1.2 billion euros of investment, a number of problems remain. The main problems in the aquaculture sector relate to unnecessary complexities in Member Stat</w:t>
      </w:r>
      <w:r>
        <w:rPr>
          <w:rFonts w:ascii="Times New Roman" w:hAnsi="Times New Roman" w:cs="Times New Roman"/>
          <w:noProof/>
          <w:sz w:val="24"/>
          <w:szCs w:val="24"/>
        </w:rPr>
        <w:t>e procedures but also other obstacles remain such as access to funding, access to space and the ability of the sector to improve the image and competitiveness of farmed seafood.</w:t>
      </w:r>
    </w:p>
    <w:p w:rsidR="00046CF8" w:rsidRDefault="00046CF8">
      <w:pPr>
        <w:spacing w:after="0"/>
        <w:jc w:val="both"/>
        <w:rPr>
          <w:rFonts w:ascii="Times New Roman" w:hAnsi="Times New Roman" w:cs="Times New Roman"/>
          <w:noProof/>
          <w:sz w:val="24"/>
          <w:szCs w:val="24"/>
        </w:rPr>
      </w:pPr>
    </w:p>
    <w:p w:rsidR="00046CF8" w:rsidRDefault="003561C2">
      <w:pPr>
        <w:spacing w:after="0"/>
        <w:jc w:val="both"/>
        <w:rPr>
          <w:rFonts w:ascii="Times New Roman" w:hAnsi="Times New Roman" w:cs="Times New Roman"/>
          <w:b/>
          <w:noProof/>
          <w:sz w:val="24"/>
          <w:szCs w:val="24"/>
        </w:rPr>
      </w:pPr>
      <w:r>
        <w:rPr>
          <w:rFonts w:ascii="Times New Roman" w:hAnsi="Times New Roman" w:cs="Times New Roman"/>
          <w:noProof/>
          <w:sz w:val="24"/>
          <w:szCs w:val="24"/>
        </w:rPr>
        <w:t>With regard to support for markets, continued financial support for the organ</w:t>
      </w:r>
      <w:r>
        <w:rPr>
          <w:rFonts w:ascii="Times New Roman" w:hAnsi="Times New Roman" w:cs="Times New Roman"/>
          <w:noProof/>
          <w:sz w:val="24"/>
          <w:szCs w:val="24"/>
        </w:rPr>
        <w:t>isation of the sector and its structure through support to producer organisations (POs) could be justified on the basis of market failure (need to correct monopsony/oligopsony</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and increase producers' bargaining power vis-à-vis the processing industry and </w:t>
      </w:r>
      <w:r>
        <w:rPr>
          <w:rFonts w:ascii="Times New Roman" w:hAnsi="Times New Roman" w:cs="Times New Roman"/>
          <w:noProof/>
          <w:sz w:val="24"/>
          <w:szCs w:val="24"/>
        </w:rPr>
        <w:t>retailers). Such POs have a key role in the implementation of the CFP and the Common Market Organisation. Support should facilitate the creation and restructuring of professional organisations in the meaning of the CMO regulation, the implementation of Pro</w:t>
      </w:r>
      <w:r>
        <w:rPr>
          <w:rFonts w:ascii="Times New Roman" w:hAnsi="Times New Roman" w:cs="Times New Roman"/>
          <w:noProof/>
          <w:sz w:val="24"/>
          <w:szCs w:val="24"/>
        </w:rPr>
        <w:t>duction and Marketing Plans, the improvement in market performance and the provision of market intelligence (EUMOFA).</w:t>
      </w:r>
    </w:p>
    <w:p w:rsidR="00046CF8" w:rsidRDefault="00046CF8">
      <w:pPr>
        <w:spacing w:after="0"/>
        <w:jc w:val="both"/>
        <w:rPr>
          <w:rFonts w:ascii="Times New Roman" w:hAnsi="Times New Roman" w:cs="Times New Roman"/>
          <w:noProof/>
          <w:sz w:val="8"/>
          <w:szCs w:val="8"/>
          <w:u w:val="single"/>
        </w:rPr>
      </w:pPr>
    </w:p>
    <w:tbl>
      <w:tblPr>
        <w:tblStyle w:val="TableGrid"/>
        <w:tblW w:w="0" w:type="auto"/>
        <w:tblLook w:val="04A0" w:firstRow="1" w:lastRow="0" w:firstColumn="1" w:lastColumn="0" w:noHBand="0" w:noVBand="1"/>
      </w:tblPr>
      <w:tblGrid>
        <w:gridCol w:w="2667"/>
        <w:gridCol w:w="6161"/>
      </w:tblGrid>
      <w:tr w:rsidR="00046CF8">
        <w:tc>
          <w:tcPr>
            <w:tcW w:w="2668" w:type="dxa"/>
          </w:tcPr>
          <w:p w:rsidR="00046CF8" w:rsidRDefault="003561C2">
            <w:pPr>
              <w:rPr>
                <w:noProof/>
                <w:sz w:val="24"/>
                <w:szCs w:val="24"/>
              </w:rPr>
            </w:pPr>
            <w:r>
              <w:rPr>
                <w:i/>
                <w:noProof/>
                <w:sz w:val="24"/>
                <w:szCs w:val="24"/>
              </w:rPr>
              <w:t>Specific objective</w:t>
            </w:r>
          </w:p>
        </w:tc>
        <w:tc>
          <w:tcPr>
            <w:tcW w:w="6166" w:type="dxa"/>
          </w:tcPr>
          <w:p w:rsidR="00046CF8" w:rsidRDefault="003561C2">
            <w:pPr>
              <w:rPr>
                <w:noProof/>
                <w:sz w:val="24"/>
                <w:szCs w:val="24"/>
              </w:rPr>
            </w:pPr>
            <w:r>
              <w:rPr>
                <w:i/>
                <w:noProof/>
                <w:sz w:val="24"/>
                <w:szCs w:val="24"/>
              </w:rPr>
              <w:t>Features</w:t>
            </w:r>
          </w:p>
        </w:tc>
      </w:tr>
      <w:tr w:rsidR="00046CF8">
        <w:tc>
          <w:tcPr>
            <w:tcW w:w="2828" w:type="dxa"/>
          </w:tcPr>
          <w:p w:rsidR="00046CF8" w:rsidRDefault="003561C2">
            <w:pPr>
              <w:spacing w:line="276" w:lineRule="auto"/>
              <w:rPr>
                <w:noProof/>
                <w:sz w:val="24"/>
                <w:szCs w:val="24"/>
              </w:rPr>
            </w:pPr>
            <w:r>
              <w:rPr>
                <w:noProof/>
                <w:sz w:val="24"/>
                <w:szCs w:val="24"/>
              </w:rPr>
              <w:t>SO 2:1 Sustainable, innovative and competitive aquaculture</w:t>
            </w:r>
          </w:p>
        </w:tc>
        <w:tc>
          <w:tcPr>
            <w:tcW w:w="6778" w:type="dxa"/>
          </w:tcPr>
          <w:p w:rsidR="00046CF8" w:rsidRDefault="003561C2">
            <w:pPr>
              <w:spacing w:line="276" w:lineRule="auto"/>
              <w:rPr>
                <w:noProof/>
                <w:sz w:val="24"/>
                <w:szCs w:val="24"/>
              </w:rPr>
            </w:pPr>
            <w:r>
              <w:rPr>
                <w:noProof/>
                <w:sz w:val="24"/>
                <w:szCs w:val="24"/>
              </w:rPr>
              <w:t>Target support to productive and innovative inves</w:t>
            </w:r>
            <w:r>
              <w:rPr>
                <w:noProof/>
                <w:sz w:val="24"/>
                <w:szCs w:val="24"/>
              </w:rPr>
              <w:t xml:space="preserve">tments to growth. Support should be provided through financial instruments. </w:t>
            </w:r>
          </w:p>
          <w:p w:rsidR="00046CF8" w:rsidRDefault="003561C2">
            <w:pPr>
              <w:spacing w:line="276" w:lineRule="auto"/>
              <w:rPr>
                <w:noProof/>
                <w:sz w:val="24"/>
                <w:szCs w:val="24"/>
              </w:rPr>
            </w:pPr>
            <w:r>
              <w:rPr>
                <w:noProof/>
                <w:sz w:val="24"/>
                <w:szCs w:val="24"/>
              </w:rPr>
              <w:t>Support on compensatory measures for less profitable aquaculture activities</w:t>
            </w:r>
          </w:p>
          <w:p w:rsidR="00046CF8" w:rsidRDefault="003561C2">
            <w:pPr>
              <w:spacing w:line="276" w:lineRule="auto"/>
              <w:rPr>
                <w:noProof/>
                <w:sz w:val="24"/>
                <w:szCs w:val="24"/>
              </w:rPr>
            </w:pPr>
            <w:r>
              <w:rPr>
                <w:noProof/>
                <w:sz w:val="24"/>
                <w:szCs w:val="24"/>
              </w:rPr>
              <w:t xml:space="preserve">Grants for enabling conditions for aquaculture - including stock insurance schemes - could be </w:t>
            </w:r>
            <w:r>
              <w:rPr>
                <w:noProof/>
                <w:sz w:val="24"/>
                <w:szCs w:val="24"/>
              </w:rPr>
              <w:t>considered as well in addition to covering aquaculture more prominently in local development strategies (CLLD) as an important area for diversification, jobs and growth.</w:t>
            </w:r>
          </w:p>
        </w:tc>
      </w:tr>
      <w:tr w:rsidR="00046CF8">
        <w:tc>
          <w:tcPr>
            <w:tcW w:w="2828" w:type="dxa"/>
          </w:tcPr>
          <w:p w:rsidR="00046CF8" w:rsidRDefault="003561C2">
            <w:pPr>
              <w:spacing w:line="276" w:lineRule="auto"/>
              <w:rPr>
                <w:noProof/>
                <w:sz w:val="24"/>
                <w:szCs w:val="24"/>
              </w:rPr>
            </w:pPr>
            <w:r>
              <w:rPr>
                <w:noProof/>
                <w:sz w:val="24"/>
                <w:szCs w:val="24"/>
              </w:rPr>
              <w:t>SO 2:2 Market organisation</w:t>
            </w:r>
          </w:p>
        </w:tc>
        <w:tc>
          <w:tcPr>
            <w:tcW w:w="6778" w:type="dxa"/>
          </w:tcPr>
          <w:p w:rsidR="00046CF8" w:rsidRDefault="003561C2">
            <w:pPr>
              <w:spacing w:line="276" w:lineRule="auto"/>
              <w:rPr>
                <w:noProof/>
                <w:sz w:val="24"/>
                <w:szCs w:val="24"/>
              </w:rPr>
            </w:pPr>
            <w:r>
              <w:rPr>
                <w:noProof/>
                <w:sz w:val="24"/>
                <w:szCs w:val="24"/>
              </w:rPr>
              <w:t>Financial support for the organisation of the sector and i</w:t>
            </w:r>
            <w:r>
              <w:rPr>
                <w:noProof/>
                <w:sz w:val="24"/>
                <w:szCs w:val="24"/>
              </w:rPr>
              <w:t xml:space="preserve">ts structure through producer organisations (POs) </w:t>
            </w:r>
          </w:p>
        </w:tc>
      </w:tr>
      <w:tr w:rsidR="00046CF8">
        <w:tc>
          <w:tcPr>
            <w:tcW w:w="2828" w:type="dxa"/>
          </w:tcPr>
          <w:p w:rsidR="00046CF8" w:rsidRDefault="003561C2">
            <w:pPr>
              <w:spacing w:line="276" w:lineRule="auto"/>
              <w:rPr>
                <w:noProof/>
                <w:sz w:val="24"/>
                <w:szCs w:val="24"/>
              </w:rPr>
            </w:pPr>
            <w:r>
              <w:rPr>
                <w:noProof/>
                <w:sz w:val="24"/>
                <w:szCs w:val="24"/>
              </w:rPr>
              <w:t>SO 2:3 Quality and sustainability of products</w:t>
            </w:r>
          </w:p>
        </w:tc>
        <w:tc>
          <w:tcPr>
            <w:tcW w:w="6778" w:type="dxa"/>
          </w:tcPr>
          <w:p w:rsidR="00046CF8" w:rsidRDefault="003561C2">
            <w:pPr>
              <w:spacing w:line="276" w:lineRule="auto"/>
              <w:rPr>
                <w:noProof/>
                <w:sz w:val="24"/>
                <w:szCs w:val="24"/>
              </w:rPr>
            </w:pPr>
            <w:r>
              <w:rPr>
                <w:noProof/>
                <w:sz w:val="24"/>
                <w:szCs w:val="24"/>
              </w:rPr>
              <w:t>Keep support for processing but provide it only through financial instruments for all including for SMEs.</w:t>
            </w:r>
          </w:p>
        </w:tc>
      </w:tr>
    </w:tbl>
    <w:p w:rsidR="00046CF8" w:rsidRDefault="00046CF8">
      <w:pPr>
        <w:spacing w:after="0"/>
        <w:jc w:val="both"/>
        <w:rPr>
          <w:rFonts w:ascii="Times New Roman" w:hAnsi="Times New Roman" w:cs="Times New Roman"/>
          <w:b/>
          <w:noProof/>
          <w:sz w:val="24"/>
          <w:szCs w:val="24"/>
        </w:rPr>
      </w:pPr>
    </w:p>
    <w:p w:rsidR="00046CF8" w:rsidRDefault="003561C2">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General Objective 3: Enabling the growth of the su</w:t>
      </w:r>
      <w:r>
        <w:rPr>
          <w:rFonts w:ascii="Times New Roman" w:hAnsi="Times New Roman" w:cs="Times New Roman"/>
          <w:b/>
          <w:noProof/>
          <w:sz w:val="24"/>
          <w:szCs w:val="24"/>
        </w:rPr>
        <w:t xml:space="preserve">stainable blue economy and fostering prosperous coastal communities </w:t>
      </w:r>
    </w:p>
    <w:p w:rsidR="00046CF8" w:rsidRDefault="00046CF8">
      <w:pPr>
        <w:spacing w:after="0"/>
        <w:jc w:val="both"/>
        <w:rPr>
          <w:rFonts w:ascii="Times New Roman" w:hAnsi="Times New Roman" w:cs="Times New Roman"/>
          <w:noProof/>
          <w:sz w:val="8"/>
          <w:szCs w:val="8"/>
        </w:rPr>
      </w:pPr>
    </w:p>
    <w:p w:rsidR="00046CF8" w:rsidRDefault="003561C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If the aim is to really unlock the full potential of the maritime economy, future support would need to be increased compared to current levels. One option could be to focus future funding almost entirely on maritime policy and blue growth and only keep a </w:t>
      </w:r>
      <w:r>
        <w:rPr>
          <w:rFonts w:ascii="Times New Roman" w:hAnsi="Times New Roman" w:cs="Times New Roman"/>
          <w:noProof/>
          <w:sz w:val="24"/>
          <w:szCs w:val="24"/>
        </w:rPr>
        <w:t xml:space="preserve">minor part for data, control and the CLLD-approach. The problem here is that available funding would still not to enough to provide sufficient funding for unlocking the potential of the maritime economy while key objectives of the CFP would risk not to be </w:t>
      </w:r>
      <w:r>
        <w:rPr>
          <w:rFonts w:ascii="Times New Roman" w:hAnsi="Times New Roman" w:cs="Times New Roman"/>
          <w:noProof/>
          <w:sz w:val="24"/>
          <w:szCs w:val="24"/>
        </w:rPr>
        <w:t xml:space="preserve">delivered.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Another option would be a maritime policy with clear focus on providing funding for </w:t>
      </w:r>
      <w:r>
        <w:rPr>
          <w:rFonts w:ascii="Times New Roman" w:hAnsi="Times New Roman" w:cs="Times New Roman"/>
          <w:b/>
          <w:noProof/>
          <w:sz w:val="24"/>
          <w:szCs w:val="24"/>
        </w:rPr>
        <w:t>enabling condition</w:t>
      </w:r>
      <w:r>
        <w:rPr>
          <w:rFonts w:ascii="Times New Roman" w:hAnsi="Times New Roman" w:cs="Times New Roman"/>
          <w:noProof/>
          <w:sz w:val="24"/>
          <w:szCs w:val="24"/>
        </w:rPr>
        <w:t xml:space="preserve">s to facilitate </w:t>
      </w:r>
      <w:r>
        <w:rPr>
          <w:rFonts w:ascii="Times New Roman" w:hAnsi="Times New Roman" w:cs="Times New Roman"/>
          <w:b/>
          <w:noProof/>
          <w:sz w:val="24"/>
          <w:szCs w:val="24"/>
        </w:rPr>
        <w:t>innovation</w:t>
      </w:r>
      <w:r>
        <w:rPr>
          <w:rFonts w:ascii="Times New Roman" w:hAnsi="Times New Roman" w:cs="Times New Roman"/>
          <w:noProof/>
          <w:sz w:val="24"/>
          <w:szCs w:val="24"/>
        </w:rPr>
        <w:t xml:space="preserve"> and market development in the blue economy by </w:t>
      </w:r>
      <w:r>
        <w:rPr>
          <w:rFonts w:ascii="Times New Roman" w:hAnsi="Times New Roman" w:cs="Times New Roman"/>
          <w:b/>
          <w:noProof/>
          <w:sz w:val="24"/>
          <w:szCs w:val="24"/>
        </w:rPr>
        <w:t>addressing market failures</w:t>
      </w:r>
      <w:r>
        <w:rPr>
          <w:rFonts w:ascii="Times New Roman" w:hAnsi="Times New Roman" w:cs="Times New Roman"/>
          <w:noProof/>
          <w:sz w:val="24"/>
          <w:szCs w:val="24"/>
        </w:rPr>
        <w:t>. Support in direct management could be c</w:t>
      </w:r>
      <w:r>
        <w:rPr>
          <w:rFonts w:ascii="Times New Roman" w:hAnsi="Times New Roman" w:cs="Times New Roman"/>
          <w:noProof/>
          <w:sz w:val="24"/>
          <w:szCs w:val="24"/>
        </w:rPr>
        <w:t xml:space="preserve">entred on promoting clean oceans and a blue economy adapted to the consequences of climate change (eg. fight against marine pollution, reduce GHG emissions of maritime equipment, promotion of circular blue economy, reduction of marine litter, promotion of </w:t>
      </w:r>
      <w:r>
        <w:rPr>
          <w:rFonts w:ascii="Times New Roman" w:hAnsi="Times New Roman" w:cs="Times New Roman"/>
          <w:noProof/>
          <w:sz w:val="24"/>
          <w:szCs w:val="24"/>
        </w:rPr>
        <w:t>blue energy). More flexibility could be provided through a wider choice of support mechanisms including financial instruments.</w:t>
      </w:r>
    </w:p>
    <w:p w:rsidR="00046CF8" w:rsidRDefault="003561C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Given that Community-led Local Development is a powerful tool for creating employment and wealth and helps to deliver social and </w:t>
      </w:r>
      <w:r>
        <w:rPr>
          <w:rFonts w:ascii="Times New Roman" w:hAnsi="Times New Roman" w:cs="Times New Roman"/>
          <w:noProof/>
          <w:sz w:val="24"/>
          <w:szCs w:val="24"/>
        </w:rPr>
        <w:t xml:space="preserve">territorial cohesion and taking into account the call from stakeholders and the European Parliament to further strengthen the approach, there are good reasons to continue the approach. </w:t>
      </w:r>
    </w:p>
    <w:tbl>
      <w:tblPr>
        <w:tblStyle w:val="TableGrid"/>
        <w:tblW w:w="0" w:type="auto"/>
        <w:tblLook w:val="04A0" w:firstRow="1" w:lastRow="0" w:firstColumn="1" w:lastColumn="0" w:noHBand="0" w:noVBand="1"/>
      </w:tblPr>
      <w:tblGrid>
        <w:gridCol w:w="2656"/>
        <w:gridCol w:w="6172"/>
      </w:tblGrid>
      <w:tr w:rsidR="00046CF8">
        <w:tc>
          <w:tcPr>
            <w:tcW w:w="2657" w:type="dxa"/>
          </w:tcPr>
          <w:p w:rsidR="00046CF8" w:rsidRDefault="003561C2">
            <w:pPr>
              <w:rPr>
                <w:noProof/>
              </w:rPr>
            </w:pPr>
            <w:r>
              <w:rPr>
                <w:i/>
                <w:noProof/>
                <w:sz w:val="24"/>
                <w:szCs w:val="24"/>
              </w:rPr>
              <w:t>Specific objective</w:t>
            </w:r>
          </w:p>
        </w:tc>
        <w:tc>
          <w:tcPr>
            <w:tcW w:w="6177" w:type="dxa"/>
          </w:tcPr>
          <w:p w:rsidR="00046CF8" w:rsidRDefault="003561C2">
            <w:pPr>
              <w:rPr>
                <w:noProof/>
              </w:rPr>
            </w:pPr>
            <w:r>
              <w:rPr>
                <w:i/>
                <w:noProof/>
                <w:sz w:val="24"/>
                <w:szCs w:val="24"/>
              </w:rPr>
              <w:t>Features</w:t>
            </w:r>
          </w:p>
        </w:tc>
      </w:tr>
      <w:tr w:rsidR="00046CF8">
        <w:tc>
          <w:tcPr>
            <w:tcW w:w="2657" w:type="dxa"/>
          </w:tcPr>
          <w:p w:rsidR="00046CF8" w:rsidRDefault="003561C2">
            <w:pPr>
              <w:rPr>
                <w:noProof/>
                <w:sz w:val="24"/>
                <w:szCs w:val="24"/>
              </w:rPr>
            </w:pPr>
            <w:r>
              <w:rPr>
                <w:noProof/>
                <w:sz w:val="24"/>
                <w:szCs w:val="24"/>
              </w:rPr>
              <w:t xml:space="preserve">SO 3:1 Enabling an innovative, </w:t>
            </w:r>
            <w:r>
              <w:rPr>
                <w:noProof/>
                <w:sz w:val="24"/>
                <w:szCs w:val="24"/>
              </w:rPr>
              <w:t>sustainable and knowledge-based blue economy</w:t>
            </w:r>
          </w:p>
        </w:tc>
        <w:tc>
          <w:tcPr>
            <w:tcW w:w="6177" w:type="dxa"/>
          </w:tcPr>
          <w:p w:rsidR="00046CF8" w:rsidRDefault="003561C2">
            <w:pPr>
              <w:rPr>
                <w:noProof/>
                <w:sz w:val="24"/>
                <w:szCs w:val="24"/>
              </w:rPr>
            </w:pPr>
            <w:r>
              <w:rPr>
                <w:noProof/>
                <w:sz w:val="24"/>
                <w:szCs w:val="24"/>
              </w:rPr>
              <w:t>Focus on providing funding for enabling conditions to facilitate innovation and market development in the blue economy by addressing market failures for the sustainable development of economic activities, safegu</w:t>
            </w:r>
            <w:r>
              <w:rPr>
                <w:noProof/>
                <w:sz w:val="24"/>
                <w:szCs w:val="24"/>
              </w:rPr>
              <w:t xml:space="preserve">ard ecosystems and reinforce security at sea. It also includes enhancing marine and scientific knowledge (e.g. EMODNET and MSFD). </w:t>
            </w:r>
          </w:p>
          <w:p w:rsidR="00046CF8" w:rsidRDefault="003561C2">
            <w:pPr>
              <w:rPr>
                <w:noProof/>
                <w:sz w:val="24"/>
                <w:szCs w:val="24"/>
              </w:rPr>
            </w:pPr>
            <w:r>
              <w:rPr>
                <w:noProof/>
                <w:sz w:val="24"/>
                <w:szCs w:val="24"/>
              </w:rPr>
              <w:t>Outermost regions would be encouraged to draw up maritime sustainable development strategies.</w:t>
            </w:r>
          </w:p>
        </w:tc>
      </w:tr>
      <w:tr w:rsidR="00046CF8">
        <w:tc>
          <w:tcPr>
            <w:tcW w:w="2657" w:type="dxa"/>
          </w:tcPr>
          <w:p w:rsidR="00046CF8" w:rsidRDefault="003561C2">
            <w:pPr>
              <w:rPr>
                <w:noProof/>
                <w:sz w:val="24"/>
                <w:szCs w:val="24"/>
              </w:rPr>
            </w:pPr>
            <w:r>
              <w:rPr>
                <w:noProof/>
                <w:sz w:val="24"/>
                <w:szCs w:val="24"/>
              </w:rPr>
              <w:t>SO 3:2 Prosperous blue coastal</w:t>
            </w:r>
            <w:r>
              <w:rPr>
                <w:noProof/>
                <w:sz w:val="24"/>
                <w:szCs w:val="24"/>
              </w:rPr>
              <w:t xml:space="preserve"> and inland communities</w:t>
            </w:r>
          </w:p>
        </w:tc>
        <w:tc>
          <w:tcPr>
            <w:tcW w:w="6177" w:type="dxa"/>
          </w:tcPr>
          <w:p w:rsidR="00046CF8" w:rsidRDefault="003561C2">
            <w:pPr>
              <w:rPr>
                <w:noProof/>
                <w:sz w:val="24"/>
                <w:szCs w:val="24"/>
              </w:rPr>
            </w:pPr>
            <w:r>
              <w:rPr>
                <w:noProof/>
                <w:sz w:val="24"/>
                <w:szCs w:val="24"/>
              </w:rPr>
              <w:t xml:space="preserve">Broaden the scope of the approach to include maritime policy/blue growth. </w:t>
            </w:r>
          </w:p>
          <w:p w:rsidR="00046CF8" w:rsidRDefault="003561C2">
            <w:pPr>
              <w:rPr>
                <w:noProof/>
                <w:sz w:val="24"/>
                <w:szCs w:val="24"/>
              </w:rPr>
            </w:pPr>
            <w:r>
              <w:rPr>
                <w:noProof/>
                <w:sz w:val="24"/>
                <w:szCs w:val="24"/>
              </w:rPr>
              <w:t xml:space="preserve">Ensuring that a meaningful share of the post-2020 funding is delivered through CLLD. </w:t>
            </w:r>
          </w:p>
        </w:tc>
      </w:tr>
    </w:tbl>
    <w:p w:rsidR="00046CF8" w:rsidRDefault="00046CF8">
      <w:pPr>
        <w:spacing w:after="0"/>
        <w:jc w:val="both"/>
        <w:rPr>
          <w:rFonts w:ascii="Times New Roman" w:hAnsi="Times New Roman" w:cs="Times New Roman"/>
          <w:b/>
          <w:noProof/>
          <w:sz w:val="16"/>
          <w:szCs w:val="16"/>
        </w:rPr>
      </w:pPr>
    </w:p>
    <w:p w:rsidR="00046CF8" w:rsidRDefault="003561C2">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General Objective 4: Strengthening international ocean governance and</w:t>
      </w:r>
      <w:r>
        <w:rPr>
          <w:rFonts w:ascii="Times New Roman" w:hAnsi="Times New Roman" w:cs="Times New Roman"/>
          <w:b/>
          <w:noProof/>
          <w:sz w:val="24"/>
          <w:szCs w:val="24"/>
        </w:rPr>
        <w:t xml:space="preserve"> enabling safe, secure, clean and sustainably managed oceans</w:t>
      </w:r>
    </w:p>
    <w:p w:rsidR="00046CF8" w:rsidRDefault="00046CF8">
      <w:pPr>
        <w:spacing w:after="0"/>
        <w:jc w:val="both"/>
        <w:rPr>
          <w:rFonts w:ascii="Times New Roman" w:hAnsi="Times New Roman" w:cs="Times New Roman"/>
          <w:noProof/>
          <w:sz w:val="8"/>
          <w:szCs w:val="8"/>
        </w:rPr>
      </w:pPr>
    </w:p>
    <w:p w:rsidR="00046CF8" w:rsidRDefault="003561C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Besides voluntary contributions to international organisations (RFMOs, UN organisations), the current EMFF does not allow for interventions at international level and one option could be to keep</w:t>
      </w:r>
      <w:r>
        <w:rPr>
          <w:rFonts w:ascii="Times New Roman" w:hAnsi="Times New Roman" w:cs="Times New Roman"/>
          <w:noProof/>
          <w:sz w:val="24"/>
          <w:szCs w:val="24"/>
        </w:rPr>
        <w:t xml:space="preserve"> it like this also for the future. However, not having any dedicated budget line(s) under the current EMFF could already negatively/seriously affect the implementation process. Moreover, if no specific allocations are provided, it would entail a major risk</w:t>
      </w:r>
      <w:r>
        <w:rPr>
          <w:rFonts w:ascii="Times New Roman" w:hAnsi="Times New Roman" w:cs="Times New Roman"/>
          <w:noProof/>
          <w:sz w:val="24"/>
          <w:szCs w:val="24"/>
        </w:rPr>
        <w:t xml:space="preserve"> for its credibility and efficiency. In addition, the current EMFF is only partially reflecting the new ambitions on international ocean governance and notably its cross-sectoral and holistic scope with the objective to ensure a coordinated/integrated appr</w:t>
      </w:r>
      <w:r>
        <w:rPr>
          <w:rFonts w:ascii="Times New Roman" w:hAnsi="Times New Roman" w:cs="Times New Roman"/>
          <w:noProof/>
          <w:sz w:val="24"/>
          <w:szCs w:val="24"/>
        </w:rPr>
        <w:t xml:space="preserve">oach towards ocean policy making and implementation. </w:t>
      </w:r>
    </w:p>
    <w:p w:rsidR="00046CF8" w:rsidRDefault="003561C2">
      <w:pPr>
        <w:pStyle w:val="Text1"/>
        <w:spacing w:after="120"/>
        <w:ind w:left="0"/>
        <w:rPr>
          <w:noProof/>
        </w:rPr>
      </w:pPr>
      <w:r>
        <w:rPr>
          <w:noProof/>
        </w:rPr>
        <w:t>The Action Plan of the European Maritime Security Strategy (EUMSS)</w:t>
      </w:r>
      <w:r>
        <w:rPr>
          <w:rStyle w:val="FootnoteReference"/>
          <w:noProof/>
        </w:rPr>
        <w:footnoteReference w:id="59"/>
      </w:r>
      <w:r>
        <w:rPr>
          <w:noProof/>
        </w:rPr>
        <w:t xml:space="preserve"> is now under revision to align it with present and upcoming challenges and to continue promoting targeted responses to threats at sea, both in Europe and globally. </w:t>
      </w:r>
    </w:p>
    <w:tbl>
      <w:tblPr>
        <w:tblStyle w:val="TableGrid"/>
        <w:tblW w:w="0" w:type="auto"/>
        <w:tblLook w:val="04A0" w:firstRow="1" w:lastRow="0" w:firstColumn="1" w:lastColumn="0" w:noHBand="0" w:noVBand="1"/>
      </w:tblPr>
      <w:tblGrid>
        <w:gridCol w:w="2600"/>
        <w:gridCol w:w="6228"/>
      </w:tblGrid>
      <w:tr w:rsidR="00046CF8">
        <w:tc>
          <w:tcPr>
            <w:tcW w:w="2602" w:type="dxa"/>
          </w:tcPr>
          <w:p w:rsidR="00046CF8" w:rsidRDefault="003561C2">
            <w:pPr>
              <w:pStyle w:val="Text1"/>
              <w:spacing w:after="0"/>
              <w:ind w:left="0"/>
              <w:jc w:val="left"/>
              <w:rPr>
                <w:noProof/>
              </w:rPr>
            </w:pPr>
            <w:r>
              <w:rPr>
                <w:i/>
                <w:noProof/>
                <w:szCs w:val="24"/>
              </w:rPr>
              <w:t>Specific objective</w:t>
            </w:r>
          </w:p>
        </w:tc>
        <w:tc>
          <w:tcPr>
            <w:tcW w:w="6232" w:type="dxa"/>
          </w:tcPr>
          <w:p w:rsidR="00046CF8" w:rsidRDefault="003561C2">
            <w:pPr>
              <w:pStyle w:val="Text1"/>
              <w:spacing w:after="0"/>
              <w:ind w:left="0"/>
              <w:jc w:val="left"/>
              <w:rPr>
                <w:noProof/>
              </w:rPr>
            </w:pPr>
            <w:r>
              <w:rPr>
                <w:i/>
                <w:noProof/>
                <w:szCs w:val="24"/>
              </w:rPr>
              <w:t>Features</w:t>
            </w:r>
          </w:p>
        </w:tc>
      </w:tr>
      <w:tr w:rsidR="00046CF8">
        <w:tc>
          <w:tcPr>
            <w:tcW w:w="2602" w:type="dxa"/>
          </w:tcPr>
          <w:p w:rsidR="00046CF8" w:rsidRDefault="003561C2">
            <w:pPr>
              <w:pStyle w:val="Text1"/>
              <w:spacing w:after="0"/>
              <w:ind w:left="0"/>
              <w:jc w:val="left"/>
              <w:rPr>
                <w:noProof/>
              </w:rPr>
            </w:pPr>
            <w:r>
              <w:rPr>
                <w:noProof/>
              </w:rPr>
              <w:t>SO 4:1 International ocean governance</w:t>
            </w:r>
          </w:p>
        </w:tc>
        <w:tc>
          <w:tcPr>
            <w:tcW w:w="6232" w:type="dxa"/>
          </w:tcPr>
          <w:p w:rsidR="00046CF8" w:rsidRDefault="003561C2">
            <w:pPr>
              <w:pStyle w:val="Text1"/>
              <w:spacing w:after="0"/>
              <w:ind w:left="0"/>
              <w:jc w:val="left"/>
              <w:rPr>
                <w:noProof/>
              </w:rPr>
            </w:pPr>
            <w:r>
              <w:rPr>
                <w:noProof/>
              </w:rPr>
              <w:t xml:space="preserve">Continue support for </w:t>
            </w:r>
            <w:r>
              <w:rPr>
                <w:noProof/>
              </w:rPr>
              <w:t>international and regional organizations (RFMOs, RSCs)</w:t>
            </w:r>
          </w:p>
          <w:p w:rsidR="00046CF8" w:rsidRDefault="003561C2">
            <w:pPr>
              <w:pStyle w:val="Text1"/>
              <w:spacing w:after="0"/>
              <w:ind w:left="0"/>
              <w:jc w:val="left"/>
              <w:rPr>
                <w:noProof/>
              </w:rPr>
            </w:pPr>
            <w:r>
              <w:rPr>
                <w:noProof/>
              </w:rPr>
              <w:t>Broaden scope of support for international ocean governance through ; development of ocean partnerships with key partners; building capacity for better ocean governance, conservation and restoration of</w:t>
            </w:r>
            <w:r>
              <w:rPr>
                <w:noProof/>
              </w:rPr>
              <w:t xml:space="preserve"> marine biodiversity and sustainable blue economies with key partners, promote MSP worldwide and strengthening; international ocean research and data. </w:t>
            </w:r>
          </w:p>
          <w:p w:rsidR="00046CF8" w:rsidRDefault="003561C2">
            <w:pPr>
              <w:pStyle w:val="Text1"/>
              <w:spacing w:after="0"/>
              <w:ind w:left="0"/>
              <w:jc w:val="left"/>
              <w:rPr>
                <w:noProof/>
              </w:rPr>
            </w:pPr>
            <w:r>
              <w:rPr>
                <w:noProof/>
              </w:rPr>
              <w:t xml:space="preserve">Include support needed to effectively implement the external part of the EU policy to fight against IUU </w:t>
            </w:r>
            <w:r>
              <w:rPr>
                <w:noProof/>
              </w:rPr>
              <w:t>fishing in the form of technical assistance to third countries to implement international obligations (ex. revision of legal frameworks, MCS capacity trainings, correct implementation of the EU catch certification scheme) and operational maintenance/update</w:t>
            </w:r>
            <w:r>
              <w:rPr>
                <w:noProof/>
              </w:rPr>
              <w:t>/development of the IT tool for the EU IUU catch certification scheme.</w:t>
            </w:r>
          </w:p>
        </w:tc>
      </w:tr>
      <w:tr w:rsidR="00046CF8">
        <w:tc>
          <w:tcPr>
            <w:tcW w:w="2602" w:type="dxa"/>
          </w:tcPr>
          <w:p w:rsidR="00046CF8" w:rsidRDefault="003561C2">
            <w:pPr>
              <w:pStyle w:val="Text1"/>
              <w:spacing w:after="0"/>
              <w:ind w:left="0"/>
              <w:jc w:val="left"/>
              <w:rPr>
                <w:noProof/>
              </w:rPr>
            </w:pPr>
            <w:r>
              <w:rPr>
                <w:noProof/>
              </w:rPr>
              <w:t>SO 4:2 Maritime surveillance and coastguards cooperation</w:t>
            </w:r>
          </w:p>
        </w:tc>
        <w:tc>
          <w:tcPr>
            <w:tcW w:w="6232" w:type="dxa"/>
          </w:tcPr>
          <w:p w:rsidR="00046CF8" w:rsidRDefault="003561C2">
            <w:pPr>
              <w:pStyle w:val="Text1"/>
              <w:spacing w:after="0"/>
              <w:ind w:left="0"/>
              <w:jc w:val="left"/>
              <w:rPr>
                <w:noProof/>
              </w:rPr>
            </w:pPr>
            <w:r>
              <w:rPr>
                <w:noProof/>
              </w:rPr>
              <w:t>To promote, in line with the EUMSS Action Plan, enhanced international cooperation on maritime security (including on the fight</w:t>
            </w:r>
            <w:r>
              <w:rPr>
                <w:noProof/>
              </w:rPr>
              <w:t xml:space="preserve"> against IUU), integrated maritime surveillance (particularly CISE), capability development and research &amp; innovation, risk management and assessment as well as dedicated education and training activities in the field of maritime security. </w:t>
            </w:r>
          </w:p>
          <w:p w:rsidR="00046CF8" w:rsidRDefault="003561C2">
            <w:pPr>
              <w:pStyle w:val="Text1"/>
              <w:spacing w:after="0"/>
              <w:ind w:left="0"/>
              <w:jc w:val="left"/>
              <w:rPr>
                <w:noProof/>
              </w:rPr>
            </w:pPr>
            <w:r>
              <w:rPr>
                <w:noProof/>
              </w:rPr>
              <w:t>Include support</w:t>
            </w:r>
            <w:r>
              <w:rPr>
                <w:noProof/>
              </w:rPr>
              <w:t xml:space="preserve"> for interagency cooperation on coast guard functions, established following the revision of the mandates of the EFCA, EMSA and FRONTEX </w:t>
            </w:r>
          </w:p>
        </w:tc>
      </w:tr>
    </w:tbl>
    <w:p w:rsidR="00046CF8" w:rsidRDefault="00046CF8">
      <w:pPr>
        <w:pStyle w:val="Text1"/>
        <w:spacing w:after="0"/>
        <w:ind w:left="0"/>
        <w:rPr>
          <w:noProof/>
        </w:rPr>
      </w:pPr>
    </w:p>
    <w:p w:rsidR="00046CF8" w:rsidRDefault="003561C2">
      <w:pPr>
        <w:pStyle w:val="Text1"/>
        <w:spacing w:after="0"/>
        <w:ind w:left="0"/>
        <w:rPr>
          <w:noProof/>
        </w:rPr>
      </w:pPr>
      <w:r>
        <w:rPr>
          <w:noProof/>
        </w:rPr>
        <w:t>What is new content-wise in comparison with the 2014-2020 period?</w:t>
      </w:r>
    </w:p>
    <w:tbl>
      <w:tblPr>
        <w:tblStyle w:val="TableGrid1"/>
        <w:tblW w:w="8789" w:type="dxa"/>
        <w:tblInd w:w="-34" w:type="dxa"/>
        <w:tblLook w:val="04A0" w:firstRow="1" w:lastRow="0" w:firstColumn="1" w:lastColumn="0" w:noHBand="0" w:noVBand="1"/>
      </w:tblPr>
      <w:tblGrid>
        <w:gridCol w:w="4395"/>
        <w:gridCol w:w="4394"/>
      </w:tblGrid>
      <w:tr w:rsidR="00046CF8">
        <w:tc>
          <w:tcPr>
            <w:tcW w:w="4395" w:type="dxa"/>
            <w:shd w:val="clear" w:color="auto" w:fill="E5DFEC" w:themeFill="accent4" w:themeFillTint="33"/>
          </w:tcPr>
          <w:p w:rsidR="00046CF8" w:rsidRDefault="003561C2">
            <w:pPr>
              <w:rPr>
                <w:rFonts w:ascii="Times New Roman" w:hAnsi="Times New Roman" w:cs="Times New Roman"/>
                <w:b/>
                <w:i/>
                <w:noProof/>
                <w:sz w:val="24"/>
                <w:szCs w:val="24"/>
              </w:rPr>
            </w:pPr>
            <w:r>
              <w:rPr>
                <w:rFonts w:ascii="Times New Roman" w:hAnsi="Times New Roman" w:cs="Times New Roman"/>
                <w:b/>
                <w:i/>
                <w:noProof/>
                <w:sz w:val="24"/>
                <w:szCs w:val="24"/>
              </w:rPr>
              <w:t>2014-2020</w:t>
            </w:r>
          </w:p>
        </w:tc>
        <w:tc>
          <w:tcPr>
            <w:tcW w:w="4394" w:type="dxa"/>
            <w:shd w:val="clear" w:color="auto" w:fill="E5DFEC" w:themeFill="accent4" w:themeFillTint="33"/>
          </w:tcPr>
          <w:p w:rsidR="00046CF8" w:rsidRDefault="003561C2">
            <w:pPr>
              <w:rPr>
                <w:rFonts w:ascii="Times New Roman" w:hAnsi="Times New Roman" w:cs="Times New Roman"/>
                <w:b/>
                <w:i/>
                <w:noProof/>
                <w:sz w:val="24"/>
                <w:szCs w:val="24"/>
              </w:rPr>
            </w:pPr>
            <w:r>
              <w:rPr>
                <w:rFonts w:ascii="Times New Roman" w:hAnsi="Times New Roman" w:cs="Times New Roman"/>
                <w:b/>
                <w:i/>
                <w:noProof/>
                <w:sz w:val="24"/>
                <w:szCs w:val="24"/>
              </w:rPr>
              <w:t>Post-2020</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 xml:space="preserve">Aid intensity for support to SSCF at 80% </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Aid intensity for support to SSCF (including operations related to control and enforcement) at 100%</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Member States with more than 1 000 SSCF vessels should prepare an action plan</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All MS should prepare an action pla</w:t>
            </w:r>
            <w:r>
              <w:rPr>
                <w:rFonts w:ascii="Times New Roman" w:hAnsi="Times New Roman" w:cs="Times New Roman"/>
                <w:noProof/>
                <w:sz w:val="24"/>
                <w:szCs w:val="24"/>
              </w:rPr>
              <w:t xml:space="preserve">n that sets specific milestones and targets in relation to fund-specific indicators </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Aquaculture: Weak link to national strategic plans</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 xml:space="preserve">Aquaculture: Stronger link to national strategic plans </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Aid intensity for delivering on CFP objectives (landing obliga</w:t>
            </w:r>
            <w:r>
              <w:rPr>
                <w:rFonts w:ascii="Times New Roman" w:hAnsi="Times New Roman" w:cs="Times New Roman"/>
                <w:noProof/>
                <w:sz w:val="24"/>
                <w:szCs w:val="24"/>
              </w:rPr>
              <w:t>tion, gear selectivity) at 50%</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Aid intensity for delivering on CFP objectives (landing obligation, gear selectivity) at 75%</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Community-led local development only within fisheries/aquaculture</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Community-led local development extended to the whole blue econom</w:t>
            </w:r>
            <w:r>
              <w:rPr>
                <w:rFonts w:ascii="Times New Roman" w:hAnsi="Times New Roman" w:cs="Times New Roman"/>
                <w:noProof/>
                <w:sz w:val="24"/>
                <w:szCs w:val="24"/>
              </w:rPr>
              <w:t>y</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Very limited support for international cooperation</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Support for international oceans governance included including coastguard cooperation</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 xml:space="preserve">No specific link between the EMFF and the development of the blue economy in outermost regions </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 xml:space="preserve">In outermost </w:t>
            </w:r>
            <w:r>
              <w:rPr>
                <w:rFonts w:ascii="Times New Roman" w:hAnsi="Times New Roman" w:cs="Times New Roman"/>
                <w:noProof/>
                <w:sz w:val="24"/>
                <w:szCs w:val="24"/>
              </w:rPr>
              <w:t>regions MS shall prepare an action plan for the sustainable development of the blue economy</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For maritime policy, only MFSD and CISE in shared management</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 xml:space="preserve">In addition to MSFD and CISE, also support for implementing the MSP Directive, EMODNET and coastguard </w:t>
            </w:r>
            <w:r>
              <w:rPr>
                <w:rFonts w:ascii="Times New Roman" w:hAnsi="Times New Roman" w:cs="Times New Roman"/>
                <w:noProof/>
                <w:sz w:val="24"/>
                <w:szCs w:val="24"/>
              </w:rPr>
              <w:t>cooperation covered by shared management</w:t>
            </w:r>
          </w:p>
        </w:tc>
      </w:tr>
      <w:tr w:rsidR="00046CF8">
        <w:tc>
          <w:tcPr>
            <w:tcW w:w="4395"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 xml:space="preserve">Limited synergies in the field of data and control between fisheries and maritime purposes, data collected and control carried out independently </w:t>
            </w:r>
          </w:p>
        </w:tc>
        <w:tc>
          <w:tcPr>
            <w:tcW w:w="4394" w:type="dxa"/>
            <w:shd w:val="clear" w:color="auto" w:fill="C6D9F1" w:themeFill="text2" w:themeFillTint="33"/>
          </w:tcPr>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Increased synergies</w:t>
            </w:r>
          </w:p>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Fisheries science and marine science: when colle</w:t>
            </w:r>
            <w:r>
              <w:rPr>
                <w:rFonts w:ascii="Times New Roman" w:hAnsi="Times New Roman" w:cs="Times New Roman"/>
                <w:noProof/>
                <w:sz w:val="24"/>
                <w:szCs w:val="24"/>
              </w:rPr>
              <w:t>cting fisheries data also date for EMODET and the MSFD could be collected.</w:t>
            </w:r>
          </w:p>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Fisheries control and coast guard functions: Most surveillance operations at sea are multipurpose and should fit with actual control and security needs in order to gain efficiency a</w:t>
            </w:r>
            <w:r>
              <w:rPr>
                <w:rFonts w:ascii="Times New Roman" w:hAnsi="Times New Roman" w:cs="Times New Roman"/>
                <w:noProof/>
                <w:sz w:val="24"/>
                <w:szCs w:val="24"/>
              </w:rPr>
              <w:t>nd cost-effectiveness</w:t>
            </w:r>
          </w:p>
        </w:tc>
      </w:tr>
    </w:tbl>
    <w:p w:rsidR="00046CF8" w:rsidRDefault="003561C2">
      <w:pPr>
        <w:pStyle w:val="Heading1"/>
        <w:rPr>
          <w:noProof/>
        </w:rPr>
      </w:pPr>
      <w:bookmarkStart w:id="16" w:name="_Toc514503171"/>
      <w:bookmarkStart w:id="17" w:name="_Toc514507417"/>
      <w:r>
        <w:rPr>
          <w:noProof/>
        </w:rPr>
        <w:t>Delivery mechanisms of the intended funding</w:t>
      </w:r>
      <w:bookmarkEnd w:id="16"/>
      <w:bookmarkEnd w:id="17"/>
    </w:p>
    <w:p w:rsidR="00046CF8" w:rsidRDefault="003561C2">
      <w:pPr>
        <w:contextualSpacing/>
        <w:jc w:val="both"/>
        <w:rPr>
          <w:rFonts w:ascii="Times New Roman" w:hAnsi="Times New Roman"/>
          <w:noProof/>
          <w:sz w:val="24"/>
          <w:szCs w:val="24"/>
        </w:rPr>
      </w:pPr>
      <w:r>
        <w:rPr>
          <w:rFonts w:ascii="Times New Roman" w:hAnsi="Times New Roman"/>
          <w:noProof/>
          <w:sz w:val="24"/>
          <w:szCs w:val="24"/>
        </w:rPr>
        <w:t>4.1</w:t>
      </w:r>
      <w:r>
        <w:rPr>
          <w:rFonts w:ascii="Times New Roman" w:hAnsi="Times New Roman"/>
          <w:noProof/>
          <w:sz w:val="24"/>
          <w:szCs w:val="24"/>
        </w:rPr>
        <w:tab/>
        <w:t>What do the evaluations recommend? What conclusions can be drawn on the basis of implementation data?</w:t>
      </w:r>
    </w:p>
    <w:p w:rsidR="00046CF8" w:rsidRDefault="003561C2">
      <w:pPr>
        <w:numPr>
          <w:ilvl w:val="0"/>
          <w:numId w:val="15"/>
        </w:numPr>
        <w:contextualSpacing/>
        <w:jc w:val="both"/>
        <w:rPr>
          <w:rFonts w:ascii="Times New Roman" w:hAnsi="Times New Roman"/>
          <w:noProof/>
          <w:sz w:val="24"/>
          <w:szCs w:val="24"/>
        </w:rPr>
      </w:pPr>
      <w:r>
        <w:rPr>
          <w:rFonts w:ascii="Times New Roman" w:hAnsi="Times New Roman"/>
          <w:noProof/>
          <w:sz w:val="24"/>
          <w:szCs w:val="24"/>
        </w:rPr>
        <w:t xml:space="preserve">The administrative burden associated with the delivery of the EFF was too high. At </w:t>
      </w:r>
      <w:r>
        <w:rPr>
          <w:rFonts w:ascii="Times New Roman" w:hAnsi="Times New Roman"/>
          <w:noProof/>
          <w:sz w:val="24"/>
          <w:szCs w:val="24"/>
        </w:rPr>
        <w:t>the application stage it acted as a disincentive for applying for support and the level of co-financing required was perceived as an issue, in particular for the most fragile categories of stakeholders.</w:t>
      </w:r>
    </w:p>
    <w:p w:rsidR="00046CF8" w:rsidRDefault="003561C2">
      <w:pPr>
        <w:numPr>
          <w:ilvl w:val="0"/>
          <w:numId w:val="15"/>
        </w:numPr>
        <w:contextualSpacing/>
        <w:rPr>
          <w:rFonts w:ascii="Times New Roman" w:hAnsi="Times New Roman"/>
          <w:noProof/>
          <w:sz w:val="24"/>
          <w:szCs w:val="24"/>
        </w:rPr>
      </w:pPr>
      <w:r>
        <w:rPr>
          <w:rFonts w:ascii="Times New Roman" w:hAnsi="Times New Roman"/>
          <w:noProof/>
          <w:sz w:val="24"/>
          <w:szCs w:val="24"/>
        </w:rPr>
        <w:t>Public support should be focussed to ensure greater e</w:t>
      </w:r>
      <w:r>
        <w:rPr>
          <w:rFonts w:ascii="Times New Roman" w:hAnsi="Times New Roman"/>
          <w:noProof/>
          <w:sz w:val="24"/>
          <w:szCs w:val="24"/>
        </w:rPr>
        <w:t>ffectiveness and efficiency.</w:t>
      </w:r>
    </w:p>
    <w:p w:rsidR="00046CF8" w:rsidRDefault="003561C2">
      <w:pPr>
        <w:numPr>
          <w:ilvl w:val="0"/>
          <w:numId w:val="15"/>
        </w:numPr>
        <w:contextualSpacing/>
        <w:jc w:val="both"/>
        <w:rPr>
          <w:rFonts w:ascii="Times New Roman" w:hAnsi="Times New Roman"/>
          <w:noProof/>
          <w:sz w:val="24"/>
          <w:szCs w:val="24"/>
        </w:rPr>
      </w:pPr>
      <w:r>
        <w:rPr>
          <w:rFonts w:ascii="Times New Roman" w:hAnsi="Times New Roman"/>
          <w:noProof/>
          <w:sz w:val="24"/>
          <w:szCs w:val="24"/>
        </w:rPr>
        <w:t>In the EMFF administrative complexities at national level slow down the rate of implementation. In shared management this is for example the case within aquaculture, CLLD, innovation and to a certain extent maritime policy.</w:t>
      </w:r>
    </w:p>
    <w:p w:rsidR="00046CF8" w:rsidRDefault="003561C2">
      <w:pPr>
        <w:numPr>
          <w:ilvl w:val="0"/>
          <w:numId w:val="14"/>
        </w:numPr>
        <w:spacing w:after="0"/>
        <w:contextualSpacing/>
        <w:jc w:val="both"/>
        <w:rPr>
          <w:rFonts w:ascii="Times New Roman" w:hAnsi="Times New Roman"/>
          <w:noProof/>
          <w:sz w:val="24"/>
          <w:szCs w:val="24"/>
        </w:rPr>
      </w:pPr>
      <w:r>
        <w:rPr>
          <w:rFonts w:ascii="Times New Roman" w:hAnsi="Times New Roman"/>
          <w:noProof/>
          <w:sz w:val="24"/>
          <w:szCs w:val="24"/>
        </w:rPr>
        <w:t>The lack of context, result and output indicators in the EFF increased the difficulty of the analysis of its impacts. This was rectified in the EMFF. For the future the common monitoring and evaluation system developed under the EMFF should be kept but sim</w:t>
      </w:r>
      <w:r>
        <w:rPr>
          <w:rFonts w:ascii="Times New Roman" w:hAnsi="Times New Roman"/>
          <w:noProof/>
          <w:sz w:val="24"/>
          <w:szCs w:val="24"/>
        </w:rPr>
        <w:t xml:space="preserve">plified. </w:t>
      </w:r>
    </w:p>
    <w:p w:rsidR="00046CF8" w:rsidRDefault="00046CF8">
      <w:pPr>
        <w:contextualSpacing/>
        <w:jc w:val="both"/>
        <w:rPr>
          <w:rFonts w:ascii="Times New Roman" w:hAnsi="Times New Roman"/>
          <w:noProof/>
          <w:sz w:val="24"/>
          <w:szCs w:val="24"/>
        </w:rPr>
      </w:pPr>
    </w:p>
    <w:p w:rsidR="00046CF8" w:rsidRDefault="003561C2">
      <w:pPr>
        <w:ind w:left="720" w:hanging="720"/>
        <w:contextualSpacing/>
        <w:jc w:val="both"/>
        <w:rPr>
          <w:rFonts w:ascii="Times New Roman" w:hAnsi="Times New Roman"/>
          <w:noProof/>
          <w:sz w:val="24"/>
          <w:szCs w:val="24"/>
        </w:rPr>
      </w:pPr>
      <w:r>
        <w:rPr>
          <w:rFonts w:ascii="Times New Roman" w:hAnsi="Times New Roman"/>
          <w:noProof/>
          <w:sz w:val="24"/>
          <w:szCs w:val="24"/>
        </w:rPr>
        <w:t>4.2</w:t>
      </w:r>
      <w:r>
        <w:rPr>
          <w:rFonts w:ascii="Times New Roman" w:hAnsi="Times New Roman"/>
          <w:noProof/>
          <w:sz w:val="24"/>
          <w:szCs w:val="24"/>
        </w:rPr>
        <w:tab/>
        <w:t xml:space="preserve">What do stakeholders propose? </w:t>
      </w:r>
    </w:p>
    <w:p w:rsidR="00046CF8" w:rsidRDefault="003561C2">
      <w:pPr>
        <w:numPr>
          <w:ilvl w:val="0"/>
          <w:numId w:val="13"/>
        </w:numPr>
        <w:contextualSpacing/>
        <w:jc w:val="both"/>
        <w:rPr>
          <w:rFonts w:ascii="Times New Roman" w:hAnsi="Times New Roman"/>
          <w:noProof/>
          <w:sz w:val="24"/>
          <w:szCs w:val="24"/>
        </w:rPr>
      </w:pPr>
      <w:r>
        <w:rPr>
          <w:rFonts w:ascii="Times New Roman" w:hAnsi="Times New Roman"/>
          <w:noProof/>
          <w:sz w:val="24"/>
          <w:szCs w:val="24"/>
        </w:rPr>
        <w:t>No need for radical changes of the 2014-2020 delivery mechanisms. Stakeholders ask for stability and continuity.</w:t>
      </w:r>
    </w:p>
    <w:p w:rsidR="00046CF8" w:rsidRDefault="003561C2">
      <w:pPr>
        <w:numPr>
          <w:ilvl w:val="0"/>
          <w:numId w:val="13"/>
        </w:numPr>
        <w:contextualSpacing/>
        <w:jc w:val="both"/>
        <w:rPr>
          <w:rFonts w:ascii="Times New Roman" w:hAnsi="Times New Roman"/>
          <w:noProof/>
          <w:sz w:val="24"/>
          <w:szCs w:val="24"/>
        </w:rPr>
      </w:pPr>
      <w:r>
        <w:rPr>
          <w:rFonts w:ascii="Times New Roman" w:hAnsi="Times New Roman"/>
          <w:noProof/>
          <w:sz w:val="24"/>
          <w:szCs w:val="24"/>
        </w:rPr>
        <w:t>However, current delivery mechanisms should be made simpler, more flexible and more focussed on p</w:t>
      </w:r>
      <w:r>
        <w:rPr>
          <w:rFonts w:ascii="Times New Roman" w:hAnsi="Times New Roman"/>
          <w:noProof/>
          <w:sz w:val="24"/>
          <w:szCs w:val="24"/>
        </w:rPr>
        <w:t xml:space="preserve">erformance and success. </w:t>
      </w:r>
    </w:p>
    <w:p w:rsidR="00046CF8" w:rsidRDefault="003561C2">
      <w:pPr>
        <w:numPr>
          <w:ilvl w:val="0"/>
          <w:numId w:val="13"/>
        </w:numPr>
        <w:contextualSpacing/>
        <w:jc w:val="both"/>
        <w:rPr>
          <w:rFonts w:ascii="Times New Roman" w:hAnsi="Times New Roman"/>
          <w:noProof/>
          <w:sz w:val="24"/>
          <w:szCs w:val="24"/>
        </w:rPr>
      </w:pPr>
      <w:r>
        <w:rPr>
          <w:rFonts w:ascii="Times New Roman" w:hAnsi="Times New Roman"/>
          <w:noProof/>
          <w:sz w:val="24"/>
          <w:szCs w:val="24"/>
        </w:rPr>
        <w:t>More specifically, the intervention logic is considered too rigid not allowing Member States to address their own specificities. This could be addressed by getting rid of pre-defined measures, reduce the number of objectives/priori</w:t>
      </w:r>
      <w:r>
        <w:rPr>
          <w:rFonts w:ascii="Times New Roman" w:hAnsi="Times New Roman"/>
          <w:noProof/>
          <w:sz w:val="24"/>
          <w:szCs w:val="24"/>
        </w:rPr>
        <w:t xml:space="preserve">ties and increase the use of financial instruments and standard cost options. </w:t>
      </w:r>
    </w:p>
    <w:p w:rsidR="00046CF8" w:rsidRDefault="003561C2">
      <w:pPr>
        <w:numPr>
          <w:ilvl w:val="0"/>
          <w:numId w:val="13"/>
        </w:numPr>
        <w:contextualSpacing/>
        <w:jc w:val="both"/>
        <w:rPr>
          <w:rFonts w:ascii="Times New Roman" w:hAnsi="Times New Roman"/>
          <w:noProof/>
          <w:sz w:val="24"/>
          <w:szCs w:val="24"/>
        </w:rPr>
      </w:pPr>
      <w:r>
        <w:rPr>
          <w:rFonts w:ascii="Times New Roman" w:hAnsi="Times New Roman"/>
          <w:noProof/>
          <w:sz w:val="24"/>
          <w:szCs w:val="24"/>
        </w:rPr>
        <w:t>Continue the conditional approach by which spending is linked to the delivery of objectives the CFP.</w:t>
      </w:r>
    </w:p>
    <w:p w:rsidR="00046CF8" w:rsidRDefault="00046CF8">
      <w:pPr>
        <w:contextualSpacing/>
        <w:jc w:val="both"/>
        <w:rPr>
          <w:rFonts w:ascii="Times New Roman" w:hAnsi="Times New Roman"/>
          <w:noProof/>
          <w:sz w:val="24"/>
          <w:szCs w:val="24"/>
        </w:rPr>
      </w:pPr>
    </w:p>
    <w:p w:rsidR="00046CF8" w:rsidRDefault="003561C2">
      <w:pPr>
        <w:ind w:left="720" w:hanging="720"/>
        <w:contextualSpacing/>
        <w:jc w:val="both"/>
        <w:rPr>
          <w:rFonts w:ascii="Times New Roman" w:hAnsi="Times New Roman"/>
          <w:noProof/>
          <w:sz w:val="24"/>
          <w:szCs w:val="24"/>
        </w:rPr>
      </w:pPr>
      <w:r>
        <w:rPr>
          <w:rFonts w:ascii="Times New Roman" w:hAnsi="Times New Roman"/>
          <w:noProof/>
          <w:sz w:val="24"/>
          <w:szCs w:val="24"/>
        </w:rPr>
        <w:t>4.3</w:t>
      </w:r>
      <w:r>
        <w:rPr>
          <w:rFonts w:ascii="Times New Roman" w:hAnsi="Times New Roman"/>
          <w:noProof/>
          <w:sz w:val="24"/>
          <w:szCs w:val="24"/>
        </w:rPr>
        <w:tab/>
        <w:t xml:space="preserve">What are the key features of proposed delivery mechanisms post-2020? </w:t>
      </w:r>
      <w:r>
        <w:rPr>
          <w:rFonts w:ascii="Times New Roman" w:hAnsi="Times New Roman"/>
          <w:noProof/>
          <w:sz w:val="24"/>
          <w:szCs w:val="24"/>
        </w:rPr>
        <w:tab/>
      </w:r>
    </w:p>
    <w:p w:rsidR="00046CF8" w:rsidRDefault="003561C2">
      <w:pPr>
        <w:ind w:left="720" w:hanging="720"/>
        <w:contextualSpacing/>
        <w:jc w:val="both"/>
        <w:rPr>
          <w:rFonts w:ascii="Times New Roman" w:hAnsi="Times New Roman"/>
          <w:noProof/>
          <w:sz w:val="24"/>
          <w:szCs w:val="24"/>
        </w:rPr>
      </w:pPr>
      <w:r>
        <w:rPr>
          <w:rFonts w:ascii="Times New Roman" w:hAnsi="Times New Roman"/>
          <w:noProof/>
          <w:sz w:val="24"/>
          <w:szCs w:val="24"/>
        </w:rPr>
        <w:t xml:space="preserve"> (a) Key features at ESI-level </w:t>
      </w:r>
    </w:p>
    <w:p w:rsidR="00046CF8" w:rsidRDefault="003561C2">
      <w:pPr>
        <w:numPr>
          <w:ilvl w:val="0"/>
          <w:numId w:val="13"/>
        </w:numPr>
        <w:contextualSpacing/>
        <w:jc w:val="both"/>
        <w:rPr>
          <w:rFonts w:ascii="Times New Roman" w:hAnsi="Times New Roman"/>
          <w:noProof/>
          <w:sz w:val="24"/>
          <w:szCs w:val="24"/>
        </w:rPr>
      </w:pPr>
      <w:r>
        <w:rPr>
          <w:rFonts w:ascii="Times New Roman" w:hAnsi="Times New Roman"/>
          <w:noProof/>
          <w:sz w:val="24"/>
          <w:szCs w:val="24"/>
        </w:rPr>
        <w:t xml:space="preserve">For shared management, rules applicable to all ESI Funds will be moved to the CPR. Such rules are part of the CPR drafting and are dependent on the ongoing discussions between the ESIF-DGs. </w:t>
      </w:r>
    </w:p>
    <w:p w:rsidR="00046CF8" w:rsidRDefault="003561C2">
      <w:pPr>
        <w:numPr>
          <w:ilvl w:val="0"/>
          <w:numId w:val="13"/>
        </w:numPr>
        <w:contextualSpacing/>
        <w:jc w:val="both"/>
        <w:rPr>
          <w:rFonts w:ascii="Times New Roman" w:hAnsi="Times New Roman"/>
          <w:noProof/>
          <w:sz w:val="24"/>
          <w:szCs w:val="24"/>
        </w:rPr>
      </w:pPr>
      <w:r>
        <w:rPr>
          <w:rFonts w:ascii="Times New Roman" w:hAnsi="Times New Roman"/>
          <w:noProof/>
          <w:sz w:val="24"/>
          <w:szCs w:val="24"/>
        </w:rPr>
        <w:t>Common rules have to be defined i</w:t>
      </w:r>
      <w:r>
        <w:rPr>
          <w:rFonts w:ascii="Times New Roman" w:hAnsi="Times New Roman"/>
          <w:noProof/>
          <w:sz w:val="24"/>
          <w:szCs w:val="24"/>
        </w:rPr>
        <w:t>n such a way that they fit the specificities of each ESIF. Given the small size of fisheries and maritime policies the principle of proportionality</w:t>
      </w:r>
      <w:r>
        <w:rPr>
          <w:rFonts w:ascii="Times New Roman" w:hAnsi="Times New Roman"/>
          <w:b/>
          <w:noProof/>
          <w:sz w:val="24"/>
          <w:szCs w:val="24"/>
        </w:rPr>
        <w:t xml:space="preserve"> </w:t>
      </w:r>
      <w:r>
        <w:rPr>
          <w:rFonts w:ascii="Times New Roman" w:hAnsi="Times New Roman"/>
          <w:noProof/>
          <w:sz w:val="24"/>
          <w:szCs w:val="24"/>
        </w:rPr>
        <w:t>should be applied. For example there is no need for a detailed evaluation plan, no need for a specific netwo</w:t>
      </w:r>
      <w:r>
        <w:rPr>
          <w:rFonts w:ascii="Times New Roman" w:hAnsi="Times New Roman"/>
          <w:noProof/>
          <w:sz w:val="24"/>
          <w:szCs w:val="24"/>
        </w:rPr>
        <w:t>rk of information and communication officers and it should be possible to roll-over the designation of authorities from previous period if no substantial changes are made in the set-up</w:t>
      </w:r>
    </w:p>
    <w:p w:rsidR="00046CF8" w:rsidRDefault="003561C2">
      <w:pPr>
        <w:numPr>
          <w:ilvl w:val="0"/>
          <w:numId w:val="13"/>
        </w:numPr>
        <w:contextualSpacing/>
        <w:rPr>
          <w:rFonts w:ascii="Times New Roman" w:hAnsi="Times New Roman"/>
          <w:noProof/>
          <w:sz w:val="24"/>
          <w:szCs w:val="24"/>
        </w:rPr>
      </w:pPr>
      <w:r>
        <w:rPr>
          <w:rFonts w:ascii="Times New Roman" w:hAnsi="Times New Roman"/>
          <w:noProof/>
          <w:sz w:val="24"/>
          <w:szCs w:val="24"/>
        </w:rPr>
        <w:t>The strong growth potential of the blue economy cannot be born exclusiv</w:t>
      </w:r>
      <w:r>
        <w:rPr>
          <w:rFonts w:ascii="Times New Roman" w:hAnsi="Times New Roman"/>
          <w:noProof/>
          <w:sz w:val="24"/>
          <w:szCs w:val="24"/>
        </w:rPr>
        <w:t>ely by the small Fund for fisheries and maritime policy. The general principle could be that major investments are supported by larger funds such as the ERDF, whereas the EMFF could fund smaller, innovative, added value projects and cooperation not taken o</w:t>
      </w:r>
      <w:r>
        <w:rPr>
          <w:rFonts w:ascii="Times New Roman" w:hAnsi="Times New Roman"/>
          <w:noProof/>
          <w:sz w:val="24"/>
          <w:szCs w:val="24"/>
        </w:rPr>
        <w:t>n by the other funds (e.g. at sea basin and sub-regional levels). Issues related to maritime skills could in principle be covered by the ESF. H2020</w:t>
      </w:r>
    </w:p>
    <w:p w:rsidR="00046CF8" w:rsidRDefault="003561C2">
      <w:pPr>
        <w:numPr>
          <w:ilvl w:val="0"/>
          <w:numId w:val="13"/>
        </w:numPr>
        <w:spacing w:after="0"/>
        <w:contextualSpacing/>
        <w:jc w:val="both"/>
        <w:rPr>
          <w:rFonts w:ascii="Times New Roman" w:hAnsi="Times New Roman"/>
          <w:noProof/>
          <w:sz w:val="24"/>
          <w:szCs w:val="24"/>
        </w:rPr>
      </w:pPr>
      <w:r>
        <w:rPr>
          <w:rFonts w:ascii="Times New Roman" w:hAnsi="Times New Roman"/>
          <w:noProof/>
          <w:sz w:val="24"/>
          <w:szCs w:val="24"/>
        </w:rPr>
        <w:t>Monitoring and reporting on the implementation of sea-basin and macro-regional should be harmonised across E</w:t>
      </w:r>
      <w:r>
        <w:rPr>
          <w:rFonts w:ascii="Times New Roman" w:hAnsi="Times New Roman"/>
          <w:noProof/>
          <w:sz w:val="24"/>
          <w:szCs w:val="24"/>
        </w:rPr>
        <w:t xml:space="preserve">SI Funds. This was not the case during the 2014-2020 period which caused problems when assessing the implementation of such strategies. </w:t>
      </w:r>
    </w:p>
    <w:p w:rsidR="00046CF8" w:rsidRDefault="003561C2">
      <w:pPr>
        <w:numPr>
          <w:ilvl w:val="0"/>
          <w:numId w:val="13"/>
        </w:numPr>
        <w:spacing w:after="0"/>
        <w:contextualSpacing/>
        <w:rPr>
          <w:rFonts w:ascii="Times New Roman" w:hAnsi="Times New Roman"/>
          <w:noProof/>
          <w:sz w:val="24"/>
          <w:szCs w:val="24"/>
        </w:rPr>
      </w:pPr>
      <w:r>
        <w:rPr>
          <w:rFonts w:ascii="Times New Roman" w:hAnsi="Times New Roman"/>
          <w:noProof/>
          <w:sz w:val="24"/>
          <w:szCs w:val="24"/>
        </w:rPr>
        <w:t>Rules at ESIF-level are not enough given that the new fund for fisheries and maritime policies is a prime tool for impl</w:t>
      </w:r>
      <w:r>
        <w:rPr>
          <w:rFonts w:ascii="Times New Roman" w:hAnsi="Times New Roman"/>
          <w:noProof/>
          <w:sz w:val="24"/>
          <w:szCs w:val="24"/>
        </w:rPr>
        <w:t>ementing the CFP. That is why a policy-level legal basis is needed.</w:t>
      </w:r>
    </w:p>
    <w:p w:rsidR="00046CF8" w:rsidRDefault="00046CF8">
      <w:pPr>
        <w:contextualSpacing/>
        <w:jc w:val="both"/>
        <w:rPr>
          <w:rFonts w:ascii="Times New Roman" w:hAnsi="Times New Roman"/>
          <w:noProof/>
          <w:sz w:val="24"/>
          <w:szCs w:val="24"/>
        </w:rPr>
      </w:pPr>
    </w:p>
    <w:p w:rsidR="00046CF8" w:rsidRDefault="003561C2">
      <w:pPr>
        <w:contextualSpacing/>
        <w:jc w:val="both"/>
        <w:rPr>
          <w:rFonts w:ascii="Times New Roman" w:hAnsi="Times New Roman"/>
          <w:noProof/>
          <w:sz w:val="24"/>
          <w:szCs w:val="24"/>
        </w:rPr>
      </w:pPr>
      <w:r>
        <w:rPr>
          <w:rFonts w:ascii="Times New Roman" w:hAnsi="Times New Roman"/>
          <w:noProof/>
          <w:sz w:val="24"/>
          <w:szCs w:val="24"/>
        </w:rPr>
        <w:t>(b) Key features at Policy-level</w:t>
      </w:r>
    </w:p>
    <w:p w:rsidR="00046CF8" w:rsidRDefault="00046CF8">
      <w:pPr>
        <w:contextualSpacing/>
        <w:jc w:val="both"/>
        <w:rPr>
          <w:rFonts w:ascii="Times New Roman" w:hAnsi="Times New Roman"/>
          <w:noProof/>
          <w:sz w:val="24"/>
          <w:szCs w:val="24"/>
        </w:rPr>
      </w:pPr>
    </w:p>
    <w:p w:rsidR="00046CF8" w:rsidRDefault="003561C2">
      <w:pPr>
        <w:contextualSpacing/>
        <w:jc w:val="both"/>
        <w:rPr>
          <w:rFonts w:ascii="Times New Roman" w:hAnsi="Times New Roman"/>
          <w:noProof/>
          <w:sz w:val="24"/>
          <w:szCs w:val="24"/>
        </w:rPr>
      </w:pPr>
      <w:r>
        <w:rPr>
          <w:rFonts w:ascii="Times New Roman" w:hAnsi="Times New Roman"/>
          <w:noProof/>
          <w:sz w:val="24"/>
          <w:szCs w:val="24"/>
        </w:rPr>
        <w:t xml:space="preserve">Making delivery mechanisms simpler and more flexible:  </w:t>
      </w:r>
    </w:p>
    <w:p w:rsidR="00046CF8" w:rsidRDefault="003561C2">
      <w:pPr>
        <w:contextualSpacing/>
        <w:jc w:val="both"/>
        <w:rPr>
          <w:rFonts w:ascii="Times New Roman" w:hAnsi="Times New Roman"/>
          <w:noProof/>
          <w:sz w:val="24"/>
          <w:szCs w:val="24"/>
        </w:rPr>
      </w:pPr>
      <w:r>
        <w:rPr>
          <w:rFonts w:ascii="Times New Roman" w:hAnsi="Times New Roman"/>
          <w:noProof/>
          <w:sz w:val="24"/>
          <w:szCs w:val="24"/>
        </w:rPr>
        <w:t xml:space="preserve">Member States would draw up their operational programme indicating the most appropriate means to </w:t>
      </w:r>
      <w:r>
        <w:rPr>
          <w:rFonts w:ascii="Times New Roman" w:hAnsi="Times New Roman"/>
          <w:noProof/>
          <w:sz w:val="24"/>
          <w:szCs w:val="24"/>
        </w:rPr>
        <w:t xml:space="preserve">achieve the objectives set out in the regulation. The basic principle would be that anything that is not explicitly forbidden in the regulation would be allowed. There would be a list of 'no-go' areas in fisheries policy so as to avoid detrimental impacts </w:t>
      </w:r>
      <w:r>
        <w:rPr>
          <w:rFonts w:ascii="Times New Roman" w:hAnsi="Times New Roman"/>
          <w:noProof/>
          <w:sz w:val="24"/>
          <w:szCs w:val="24"/>
        </w:rPr>
        <w:t>in terms of fisheries conservation (e.g. a general prohibition of investments enhancing fishing capacity) and restrictions for operating costs or where there is no proven market failure. This represents a major shift from current and past funding rules, wh</w:t>
      </w:r>
      <w:r>
        <w:rPr>
          <w:rFonts w:ascii="Times New Roman" w:hAnsi="Times New Roman"/>
          <w:noProof/>
          <w:sz w:val="24"/>
          <w:szCs w:val="24"/>
        </w:rPr>
        <w:t xml:space="preserve">ere eligible investments/measures were spelled out in detail in the regulation and which stakeholders have criticised for being burdensome and inflexible.   </w:t>
      </w:r>
    </w:p>
    <w:p w:rsidR="00046CF8" w:rsidRDefault="00046CF8">
      <w:pPr>
        <w:contextualSpacing/>
        <w:jc w:val="both"/>
        <w:rPr>
          <w:rFonts w:ascii="Times New Roman" w:hAnsi="Times New Roman"/>
          <w:noProof/>
          <w:sz w:val="24"/>
          <w:szCs w:val="24"/>
        </w:rPr>
      </w:pPr>
    </w:p>
    <w:p w:rsidR="00046CF8" w:rsidRDefault="003561C2">
      <w:pPr>
        <w:contextualSpacing/>
        <w:jc w:val="both"/>
        <w:rPr>
          <w:rFonts w:ascii="Times New Roman" w:hAnsi="Times New Roman"/>
          <w:noProof/>
          <w:sz w:val="24"/>
          <w:szCs w:val="24"/>
        </w:rPr>
      </w:pPr>
      <w:r>
        <w:rPr>
          <w:rFonts w:ascii="Times New Roman" w:hAnsi="Times New Roman"/>
          <w:noProof/>
          <w:sz w:val="24"/>
          <w:szCs w:val="24"/>
        </w:rPr>
        <w:t xml:space="preserve">Making delivery mechanisms more focussed on success:  </w:t>
      </w:r>
    </w:p>
    <w:p w:rsidR="00046CF8" w:rsidRDefault="003561C2">
      <w:pPr>
        <w:contextualSpacing/>
        <w:jc w:val="both"/>
        <w:rPr>
          <w:rFonts w:ascii="Times New Roman" w:hAnsi="Times New Roman"/>
          <w:noProof/>
          <w:sz w:val="24"/>
          <w:szCs w:val="24"/>
        </w:rPr>
      </w:pPr>
      <w:r>
        <w:rPr>
          <w:rFonts w:ascii="Times New Roman" w:hAnsi="Times New Roman"/>
          <w:noProof/>
          <w:sz w:val="24"/>
          <w:szCs w:val="24"/>
        </w:rPr>
        <w:t>Building on the Common Monitoring and Evaluation System developed for the 2014-2020 period the future policy will be structured around general and specific objectives. A limited number of key result indicators at ESIF-level and at fund-level are being deve</w:t>
      </w:r>
      <w:r>
        <w:rPr>
          <w:rFonts w:ascii="Times New Roman" w:hAnsi="Times New Roman"/>
          <w:noProof/>
          <w:sz w:val="24"/>
          <w:szCs w:val="24"/>
        </w:rPr>
        <w:t>loped that match the objectives. In the operational programmes Member States set their milestones and targets in relation to these indicators. Success will be measured on the basis of Member States reporting on progress towards these milestones and targets</w:t>
      </w:r>
      <w:r>
        <w:rPr>
          <w:rFonts w:ascii="Times New Roman" w:hAnsi="Times New Roman"/>
          <w:noProof/>
          <w:sz w:val="24"/>
          <w:szCs w:val="24"/>
        </w:rPr>
        <w:t xml:space="preserve">. On this basis, the Commission will carry out an annual performance review allowing for early detection of potential implementation issues and corrective measures. </w:t>
      </w:r>
    </w:p>
    <w:p w:rsidR="00046CF8" w:rsidRDefault="00046CF8">
      <w:pPr>
        <w:contextualSpacing/>
        <w:jc w:val="both"/>
        <w:rPr>
          <w:rFonts w:ascii="Times New Roman" w:hAnsi="Times New Roman"/>
          <w:noProof/>
          <w:sz w:val="24"/>
          <w:szCs w:val="24"/>
        </w:rPr>
      </w:pPr>
    </w:p>
    <w:p w:rsidR="00046CF8" w:rsidRDefault="003561C2">
      <w:pPr>
        <w:contextualSpacing/>
        <w:jc w:val="both"/>
        <w:rPr>
          <w:rFonts w:ascii="Times New Roman" w:hAnsi="Times New Roman"/>
          <w:noProof/>
          <w:sz w:val="24"/>
          <w:szCs w:val="24"/>
        </w:rPr>
      </w:pPr>
      <w:r>
        <w:rPr>
          <w:rFonts w:ascii="Times New Roman" w:hAnsi="Times New Roman"/>
          <w:noProof/>
          <w:sz w:val="24"/>
          <w:szCs w:val="24"/>
        </w:rPr>
        <w:t>For most types of support funding (EU interim payments) would continue to be based on act</w:t>
      </w:r>
      <w:r>
        <w:rPr>
          <w:rFonts w:ascii="Times New Roman" w:hAnsi="Times New Roman"/>
          <w:noProof/>
          <w:sz w:val="24"/>
          <w:szCs w:val="24"/>
        </w:rPr>
        <w:t>ual incurred costs and expenditures certified by Member States (without prejudice to using SCOs). However, in order to ensure the consistency of fleet structural adaptation with conservation objectives, support for the permanent cessation of fishing activi</w:t>
      </w:r>
      <w:r>
        <w:rPr>
          <w:rFonts w:ascii="Times New Roman" w:hAnsi="Times New Roman"/>
          <w:noProof/>
          <w:sz w:val="24"/>
          <w:szCs w:val="24"/>
        </w:rPr>
        <w:t>ties should be implemented only through financing not linked to costs provided for in the Common Provisions Regulation</w:t>
      </w:r>
      <w:r>
        <w:rPr>
          <w:rStyle w:val="FootnoteReference"/>
          <w:rFonts w:ascii="Times New Roman" w:hAnsi="Times New Roman"/>
          <w:noProof/>
          <w:sz w:val="24"/>
          <w:szCs w:val="24"/>
        </w:rPr>
        <w:footnoteReference w:id="60"/>
      </w:r>
      <w:r>
        <w:rPr>
          <w:rFonts w:ascii="Times New Roman" w:hAnsi="Times New Roman"/>
          <w:noProof/>
          <w:sz w:val="24"/>
          <w:szCs w:val="24"/>
        </w:rPr>
        <w:t xml:space="preserve">. This means that for this specific type of support Member States should not be reimbursed by the Commission on the basis of real costs </w:t>
      </w:r>
      <w:r>
        <w:rPr>
          <w:rFonts w:ascii="Times New Roman" w:hAnsi="Times New Roman"/>
          <w:noProof/>
          <w:sz w:val="24"/>
          <w:szCs w:val="24"/>
        </w:rPr>
        <w:t>but on the basis of the fulfilment of conditions or of the achievement of results. For this purpose, the Commission should establish in a delegated act conditions related to the conservation objectives of the CFP, that should be reflected in the operationa</w:t>
      </w:r>
      <w:r>
        <w:rPr>
          <w:rFonts w:ascii="Times New Roman" w:hAnsi="Times New Roman"/>
          <w:noProof/>
          <w:sz w:val="24"/>
          <w:szCs w:val="24"/>
        </w:rPr>
        <w:t>l programmes of the Member States concerned.</w:t>
      </w:r>
    </w:p>
    <w:p w:rsidR="00046CF8" w:rsidRDefault="00046CF8">
      <w:pPr>
        <w:contextualSpacing/>
        <w:jc w:val="both"/>
        <w:rPr>
          <w:rFonts w:ascii="Times New Roman" w:hAnsi="Times New Roman"/>
          <w:noProof/>
          <w:sz w:val="24"/>
          <w:szCs w:val="24"/>
        </w:rPr>
      </w:pPr>
    </w:p>
    <w:p w:rsidR="00046CF8" w:rsidRDefault="003561C2">
      <w:pPr>
        <w:contextualSpacing/>
        <w:jc w:val="both"/>
        <w:rPr>
          <w:rFonts w:ascii="Times New Roman" w:hAnsi="Times New Roman" w:cs="Times New Roman"/>
          <w:noProof/>
          <w:sz w:val="24"/>
          <w:szCs w:val="24"/>
        </w:rPr>
      </w:pPr>
      <w:r>
        <w:rPr>
          <w:rFonts w:ascii="Times New Roman" w:hAnsi="Times New Roman" w:cs="Times New Roman"/>
          <w:noProof/>
          <w:sz w:val="24"/>
          <w:szCs w:val="24"/>
        </w:rPr>
        <w:t>Further flexibility will be provided through:</w:t>
      </w:r>
    </w:p>
    <w:p w:rsidR="00046CF8" w:rsidRDefault="003561C2">
      <w:pPr>
        <w:numPr>
          <w:ilvl w:val="0"/>
          <w:numId w:val="16"/>
        </w:numPr>
        <w:contextualSpacing/>
        <w:jc w:val="both"/>
        <w:rPr>
          <w:rFonts w:ascii="Times New Roman" w:hAnsi="Times New Roman" w:cs="Times New Roman"/>
          <w:noProof/>
          <w:sz w:val="24"/>
          <w:szCs w:val="24"/>
        </w:rPr>
      </w:pPr>
      <w:r>
        <w:rPr>
          <w:rFonts w:ascii="Times New Roman" w:hAnsi="Times New Roman" w:cs="Times New Roman"/>
          <w:noProof/>
          <w:sz w:val="24"/>
          <w:szCs w:val="24"/>
        </w:rPr>
        <w:t>Simplified intervention logic: fewer objectives at ESIF and policy-level</w:t>
      </w:r>
    </w:p>
    <w:p w:rsidR="00046CF8" w:rsidRDefault="003561C2">
      <w:pPr>
        <w:numPr>
          <w:ilvl w:val="0"/>
          <w:numId w:val="16"/>
        </w:numPr>
        <w:contextualSpacing/>
        <w:jc w:val="both"/>
        <w:rPr>
          <w:rFonts w:ascii="Times New Roman" w:hAnsi="Times New Roman" w:cs="Times New Roman"/>
          <w:noProof/>
          <w:sz w:val="24"/>
          <w:szCs w:val="24"/>
        </w:rPr>
      </w:pPr>
      <w:r>
        <w:rPr>
          <w:rFonts w:ascii="Times New Roman" w:hAnsi="Times New Roman" w:cs="Times New Roman"/>
          <w:noProof/>
          <w:sz w:val="24"/>
          <w:szCs w:val="24"/>
        </w:rPr>
        <w:t>Financial instruments: In line with the opinion expressed by the majority of stakeholders</w:t>
      </w:r>
      <w:r>
        <w:rPr>
          <w:rFonts w:ascii="Times New Roman" w:hAnsi="Times New Roman" w:cs="Times New Roman"/>
          <w:noProof/>
          <w:vertAlign w:val="superscript"/>
        </w:rPr>
        <w:footnoteReference w:id="61"/>
      </w:r>
      <w:r>
        <w:rPr>
          <w:rFonts w:ascii="Times New Roman" w:hAnsi="Times New Roman" w:cs="Times New Roman"/>
          <w:noProof/>
          <w:sz w:val="24"/>
          <w:szCs w:val="24"/>
        </w:rPr>
        <w:t xml:space="preserve"> </w:t>
      </w:r>
      <w:r>
        <w:rPr>
          <w:rFonts w:ascii="Times New Roman" w:hAnsi="Times New Roman" w:cs="Times New Roman"/>
          <w:noProof/>
          <w:vertAlign w:val="superscript"/>
        </w:rPr>
        <w:footnoteReference w:id="62"/>
      </w:r>
      <w:r>
        <w:rPr>
          <w:rFonts w:ascii="Times New Roman" w:hAnsi="Times New Roman" w:cs="Times New Roman"/>
          <w:noProof/>
          <w:sz w:val="24"/>
          <w:szCs w:val="24"/>
        </w:rPr>
        <w:t xml:space="preserve"> financial instruments (loans, guarantees) and repayable assistance such as repayable grants</w:t>
      </w:r>
      <w:r>
        <w:rPr>
          <w:rFonts w:ascii="Times New Roman" w:hAnsi="Times New Roman" w:cs="Times New Roman"/>
          <w:noProof/>
          <w:vertAlign w:val="superscript"/>
        </w:rPr>
        <w:footnoteReference w:id="63"/>
      </w:r>
      <w:r>
        <w:rPr>
          <w:rFonts w:ascii="Times New Roman" w:hAnsi="Times New Roman" w:cs="Times New Roman"/>
          <w:noProof/>
          <w:sz w:val="24"/>
          <w:szCs w:val="24"/>
        </w:rPr>
        <w:t xml:space="preserve"> at programme level would play a more prominent role. </w:t>
      </w:r>
    </w:p>
    <w:p w:rsidR="00046CF8" w:rsidRDefault="003561C2">
      <w:pPr>
        <w:numPr>
          <w:ilvl w:val="0"/>
          <w:numId w:val="16"/>
        </w:numPr>
        <w:contextualSpacing/>
        <w:jc w:val="both"/>
        <w:rPr>
          <w:rFonts w:ascii="Times New Roman" w:hAnsi="Times New Roman" w:cs="Times New Roman"/>
          <w:noProof/>
          <w:sz w:val="24"/>
          <w:szCs w:val="24"/>
        </w:rPr>
      </w:pPr>
      <w:r>
        <w:rPr>
          <w:rFonts w:ascii="Times New Roman" w:hAnsi="Times New Roman" w:cs="Times New Roman"/>
          <w:noProof/>
          <w:sz w:val="24"/>
          <w:szCs w:val="24"/>
        </w:rPr>
        <w:t>Simplified cost options: An increased use of Simplified Cost Options (flat rates, lump-sums and unit costs)</w:t>
      </w:r>
      <w:r>
        <w:rPr>
          <w:rFonts w:ascii="Times New Roman" w:hAnsi="Times New Roman" w:cs="Times New Roman"/>
          <w:noProof/>
          <w:sz w:val="24"/>
          <w:szCs w:val="24"/>
        </w:rPr>
        <w:t xml:space="preserve"> would help to reduce the administrative burden at Member State level</w:t>
      </w:r>
      <w:r>
        <w:rPr>
          <w:rFonts w:ascii="Times New Roman" w:hAnsi="Times New Roman" w:cs="Times New Roman"/>
          <w:noProof/>
          <w:vertAlign w:val="superscript"/>
        </w:rPr>
        <w:footnoteReference w:id="64"/>
      </w:r>
      <w:r>
        <w:rPr>
          <w:rFonts w:ascii="Times New Roman" w:hAnsi="Times New Roman" w:cs="Times New Roman"/>
          <w:noProof/>
          <w:sz w:val="24"/>
          <w:szCs w:val="24"/>
        </w:rPr>
        <w:t xml:space="preserve">. </w:t>
      </w:r>
    </w:p>
    <w:p w:rsidR="00046CF8" w:rsidRDefault="003561C2">
      <w:pPr>
        <w:numPr>
          <w:ilvl w:val="0"/>
          <w:numId w:val="16"/>
        </w:numPr>
        <w:contextualSpacing/>
        <w:jc w:val="both"/>
        <w:rPr>
          <w:rFonts w:ascii="Times New Roman" w:hAnsi="Times New Roman" w:cs="Times New Roman"/>
          <w:noProof/>
          <w:sz w:val="24"/>
          <w:szCs w:val="24"/>
        </w:rPr>
      </w:pPr>
      <w:r>
        <w:rPr>
          <w:rFonts w:ascii="Times New Roman" w:hAnsi="Times New Roman" w:cs="Times New Roman"/>
          <w:noProof/>
          <w:sz w:val="24"/>
          <w:szCs w:val="24"/>
        </w:rPr>
        <w:t>Compliance: The compliance mechanism that was introduced through the EMFF 2014-2020 and by which both Member States and operators have to comply with the rules of the CFP from admissi</w:t>
      </w:r>
      <w:r>
        <w:rPr>
          <w:rFonts w:ascii="Times New Roman" w:hAnsi="Times New Roman" w:cs="Times New Roman"/>
          <w:noProof/>
          <w:sz w:val="24"/>
          <w:szCs w:val="24"/>
        </w:rPr>
        <w:t>bility to implementation to be able to get support would be continued.</w:t>
      </w:r>
    </w:p>
    <w:p w:rsidR="00046CF8" w:rsidRDefault="003561C2">
      <w:pPr>
        <w:numPr>
          <w:ilvl w:val="0"/>
          <w:numId w:val="16"/>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Dual management mode: The current dual management mode (shared and direct management) would be kept for the future</w:t>
      </w:r>
      <w:r>
        <w:rPr>
          <w:rFonts w:ascii="Times New Roman" w:hAnsi="Times New Roman" w:cs="Times New Roman"/>
          <w:noProof/>
          <w:sz w:val="24"/>
          <w:szCs w:val="24"/>
          <w:vertAlign w:val="superscript"/>
        </w:rPr>
        <w:footnoteReference w:id="65"/>
      </w:r>
      <w:r>
        <w:rPr>
          <w:rFonts w:ascii="Times New Roman" w:hAnsi="Times New Roman" w:cs="Times New Roman"/>
          <w:noProof/>
          <w:sz w:val="24"/>
          <w:szCs w:val="24"/>
        </w:rPr>
        <w:t xml:space="preserve"> </w:t>
      </w:r>
      <w:r>
        <w:rPr>
          <w:rFonts w:ascii="Times New Roman" w:hAnsi="Times New Roman" w:cs="Times New Roman"/>
          <w:noProof/>
          <w:sz w:val="24"/>
          <w:szCs w:val="24"/>
          <w:vertAlign w:val="superscript"/>
        </w:rPr>
        <w:footnoteReference w:id="66"/>
      </w:r>
      <w:r>
        <w:rPr>
          <w:rFonts w:ascii="Times New Roman" w:hAnsi="Times New Roman" w:cs="Times New Roman"/>
          <w:noProof/>
          <w:sz w:val="24"/>
          <w:szCs w:val="24"/>
        </w:rPr>
        <w:t xml:space="preserve">. </w:t>
      </w:r>
    </w:p>
    <w:p w:rsidR="00046CF8" w:rsidRDefault="00046CF8">
      <w:pPr>
        <w:ind w:left="720"/>
        <w:contextualSpacing/>
        <w:jc w:val="both"/>
        <w:rPr>
          <w:rFonts w:ascii="Times New Roman" w:hAnsi="Times New Roman"/>
          <w:noProof/>
          <w:sz w:val="24"/>
          <w:szCs w:val="24"/>
        </w:rPr>
      </w:pPr>
    </w:p>
    <w:p w:rsidR="00046CF8" w:rsidRDefault="003561C2">
      <w:pPr>
        <w:spacing w:after="0"/>
        <w:contextualSpacing/>
        <w:jc w:val="both"/>
        <w:rPr>
          <w:rFonts w:ascii="Times New Roman" w:hAnsi="Times New Roman"/>
          <w:noProof/>
          <w:sz w:val="24"/>
          <w:szCs w:val="24"/>
        </w:rPr>
      </w:pPr>
      <w:r>
        <w:rPr>
          <w:rFonts w:ascii="Times New Roman" w:hAnsi="Times New Roman"/>
          <w:noProof/>
          <w:sz w:val="24"/>
          <w:szCs w:val="24"/>
        </w:rPr>
        <w:t>4.3</w:t>
      </w:r>
      <w:r>
        <w:rPr>
          <w:rFonts w:ascii="Times New Roman" w:hAnsi="Times New Roman"/>
          <w:noProof/>
          <w:sz w:val="24"/>
          <w:szCs w:val="24"/>
        </w:rPr>
        <w:tab/>
        <w:t>What is new in comparison with the 2014-2020 period?</w:t>
      </w:r>
    </w:p>
    <w:p w:rsidR="00046CF8" w:rsidRDefault="00046CF8">
      <w:pPr>
        <w:spacing w:after="0"/>
        <w:contextualSpacing/>
        <w:jc w:val="both"/>
        <w:rPr>
          <w:rFonts w:ascii="Times New Roman" w:hAnsi="Times New Roman"/>
          <w:noProof/>
          <w:sz w:val="24"/>
          <w:szCs w:val="24"/>
        </w:rPr>
      </w:pPr>
    </w:p>
    <w:p w:rsidR="00046CF8" w:rsidRDefault="003561C2">
      <w:pPr>
        <w:spacing w:after="0"/>
        <w:contextualSpacing/>
        <w:jc w:val="both"/>
        <w:rPr>
          <w:rFonts w:ascii="Times New Roman" w:hAnsi="Times New Roman"/>
          <w:noProof/>
          <w:sz w:val="24"/>
          <w:szCs w:val="24"/>
        </w:rPr>
      </w:pPr>
      <w:r>
        <w:rPr>
          <w:rFonts w:ascii="Times New Roman" w:hAnsi="Times New Roman"/>
          <w:noProof/>
          <w:sz w:val="24"/>
          <w:szCs w:val="24"/>
        </w:rPr>
        <w:t>The ta</w:t>
      </w:r>
      <w:r>
        <w:rPr>
          <w:rFonts w:ascii="Times New Roman" w:hAnsi="Times New Roman"/>
          <w:noProof/>
          <w:sz w:val="24"/>
          <w:szCs w:val="24"/>
        </w:rPr>
        <w:t>ble below shows the areas where new or adapted delivery mechanisms are proposed for the post-2020 period.</w:t>
      </w:r>
    </w:p>
    <w:tbl>
      <w:tblPr>
        <w:tblStyle w:val="TableGrid1"/>
        <w:tblW w:w="8789" w:type="dxa"/>
        <w:tblInd w:w="108" w:type="dxa"/>
        <w:tblLook w:val="04A0" w:firstRow="1" w:lastRow="0" w:firstColumn="1" w:lastColumn="0" w:noHBand="0" w:noVBand="1"/>
      </w:tblPr>
      <w:tblGrid>
        <w:gridCol w:w="3828"/>
        <w:gridCol w:w="4961"/>
      </w:tblGrid>
      <w:tr w:rsidR="00046CF8">
        <w:tc>
          <w:tcPr>
            <w:tcW w:w="3828" w:type="dxa"/>
            <w:shd w:val="clear" w:color="auto" w:fill="E5DFEC" w:themeFill="accent4" w:themeFillTint="33"/>
          </w:tcPr>
          <w:p w:rsidR="00046CF8" w:rsidRDefault="003561C2">
            <w:pPr>
              <w:rPr>
                <w:rFonts w:ascii="Times New Roman" w:hAnsi="Times New Roman" w:cs="Times New Roman"/>
                <w:b/>
                <w:i/>
                <w:noProof/>
              </w:rPr>
            </w:pPr>
            <w:r>
              <w:rPr>
                <w:rFonts w:ascii="Times New Roman" w:hAnsi="Times New Roman" w:cs="Times New Roman"/>
                <w:b/>
                <w:i/>
                <w:noProof/>
              </w:rPr>
              <w:t>2014-2020</w:t>
            </w:r>
          </w:p>
        </w:tc>
        <w:tc>
          <w:tcPr>
            <w:tcW w:w="4961" w:type="dxa"/>
            <w:shd w:val="clear" w:color="auto" w:fill="E5DFEC" w:themeFill="accent4" w:themeFillTint="33"/>
          </w:tcPr>
          <w:p w:rsidR="00046CF8" w:rsidRDefault="003561C2">
            <w:pPr>
              <w:rPr>
                <w:rFonts w:ascii="Times New Roman" w:hAnsi="Times New Roman" w:cs="Times New Roman"/>
                <w:b/>
                <w:i/>
                <w:noProof/>
              </w:rPr>
            </w:pPr>
            <w:r>
              <w:rPr>
                <w:rFonts w:ascii="Times New Roman" w:hAnsi="Times New Roman" w:cs="Times New Roman"/>
                <w:b/>
                <w:i/>
                <w:noProof/>
              </w:rPr>
              <w:t>Post-2020</w:t>
            </w:r>
          </w:p>
        </w:tc>
      </w:tr>
      <w:tr w:rsidR="00046CF8">
        <w:tc>
          <w:tcPr>
            <w:tcW w:w="8789" w:type="dxa"/>
            <w:gridSpan w:val="2"/>
            <w:shd w:val="clear" w:color="auto" w:fill="FFFF00"/>
          </w:tcPr>
          <w:p w:rsidR="00046CF8" w:rsidRDefault="003561C2">
            <w:pPr>
              <w:rPr>
                <w:rFonts w:ascii="Times New Roman" w:hAnsi="Times New Roman" w:cs="Times New Roman"/>
                <w:noProof/>
              </w:rPr>
            </w:pPr>
            <w:r>
              <w:rPr>
                <w:rFonts w:ascii="Times New Roman" w:hAnsi="Times New Roman" w:cs="Times New Roman"/>
                <w:noProof/>
              </w:rPr>
              <w:t>Simplification, flexibility</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4 thematic objectives at ESIF-level, 6 EMFF union priorities</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 xml:space="preserve">2 policy objectives at ESIF-level, 4 </w:t>
            </w:r>
            <w:r>
              <w:rPr>
                <w:rFonts w:ascii="Times New Roman" w:hAnsi="Times New Roman" w:cs="Times New Roman"/>
                <w:noProof/>
              </w:rPr>
              <w:t>EMFF general objectives</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49 pre-defined measures setting out eligibility conditions</w:t>
            </w:r>
          </w:p>
          <w:p w:rsidR="00046CF8" w:rsidRDefault="003561C2">
            <w:pPr>
              <w:rPr>
                <w:rFonts w:ascii="Times New Roman" w:hAnsi="Times New Roman" w:cs="Times New Roman"/>
                <w:noProof/>
              </w:rPr>
            </w:pPr>
            <w:r>
              <w:rPr>
                <w:rFonts w:ascii="Times New Roman" w:hAnsi="Times New Roman" w:cs="Times New Roman"/>
                <w:noProof/>
              </w:rPr>
              <w:t>Only operations that meet the eligibility conditions can be supported</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No measures</w:t>
            </w:r>
          </w:p>
          <w:p w:rsidR="00046CF8" w:rsidRDefault="003561C2">
            <w:pPr>
              <w:rPr>
                <w:rFonts w:ascii="Times New Roman" w:hAnsi="Times New Roman" w:cs="Times New Roman"/>
                <w:noProof/>
              </w:rPr>
            </w:pPr>
            <w:r>
              <w:rPr>
                <w:rFonts w:ascii="Times New Roman" w:hAnsi="Times New Roman" w:cs="Times New Roman"/>
                <w:noProof/>
              </w:rPr>
              <w:t>A few no-go areas set out in the legal basis</w:t>
            </w:r>
          </w:p>
          <w:p w:rsidR="00046CF8" w:rsidRDefault="003561C2">
            <w:pPr>
              <w:rPr>
                <w:rFonts w:ascii="Times New Roman" w:hAnsi="Times New Roman" w:cs="Times New Roman"/>
                <w:noProof/>
              </w:rPr>
            </w:pPr>
            <w:r>
              <w:rPr>
                <w:rFonts w:ascii="Times New Roman" w:hAnsi="Times New Roman" w:cs="Times New Roman"/>
                <w:noProof/>
              </w:rPr>
              <w:t>Everything is eligible that is not covered by</w:t>
            </w:r>
            <w:r>
              <w:rPr>
                <w:rFonts w:ascii="Times New Roman" w:hAnsi="Times New Roman" w:cs="Times New Roman"/>
                <w:noProof/>
              </w:rPr>
              <w:t xml:space="preserve"> the no-go areas</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Limited use of simplified cost options</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Increased use of simplified cost options</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 xml:space="preserve">Limited use of financial instruments: Mandatory for support to processing for non-SMEs  </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 xml:space="preserve">Increased use of financial instruments: Mandatory for support to processing as well as to productive and innovative investments in aquaculture for all types of beneficiaries (including SMEs) </w:t>
            </w:r>
          </w:p>
        </w:tc>
      </w:tr>
      <w:tr w:rsidR="00046CF8">
        <w:tc>
          <w:tcPr>
            <w:tcW w:w="8789" w:type="dxa"/>
            <w:gridSpan w:val="2"/>
            <w:shd w:val="clear" w:color="auto" w:fill="FFFF00"/>
          </w:tcPr>
          <w:p w:rsidR="00046CF8" w:rsidRDefault="003561C2">
            <w:pPr>
              <w:rPr>
                <w:rFonts w:ascii="Times New Roman" w:hAnsi="Times New Roman" w:cs="Times New Roman"/>
                <w:noProof/>
              </w:rPr>
            </w:pPr>
            <w:r>
              <w:rPr>
                <w:rFonts w:ascii="Times New Roman" w:hAnsi="Times New Roman" w:cs="Times New Roman"/>
                <w:noProof/>
              </w:rPr>
              <w:t>Focus on performance and success</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Ex-ante conditionalities at f</w:t>
            </w:r>
            <w:r>
              <w:rPr>
                <w:rFonts w:ascii="Times New Roman" w:hAnsi="Times New Roman" w:cs="Times New Roman"/>
                <w:noProof/>
              </w:rPr>
              <w:t>und-level</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No ex-ante conditionalities at fund-level. Funding conditional upon the compliance of Member States and operators with the objectives and rules of the CFP. Applications from non-compliant operators not  admissible</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All financing based on eligible</w:t>
            </w:r>
            <w:r>
              <w:rPr>
                <w:rFonts w:ascii="Times New Roman" w:hAnsi="Times New Roman" w:cs="Times New Roman"/>
                <w:noProof/>
              </w:rPr>
              <w:t xml:space="preserve"> costs </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Possibility to provide financing not linked to costs in the form of flat rate payments linked to the attainment of milestones and targets</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CMES 2014-2020</w:t>
            </w:r>
          </w:p>
          <w:p w:rsidR="00046CF8" w:rsidRDefault="003561C2">
            <w:pPr>
              <w:rPr>
                <w:rFonts w:ascii="Times New Roman" w:hAnsi="Times New Roman" w:cs="Times New Roman"/>
                <w:noProof/>
              </w:rPr>
            </w:pPr>
            <w:r>
              <w:rPr>
                <w:rFonts w:ascii="Times New Roman" w:hAnsi="Times New Roman" w:cs="Times New Roman"/>
                <w:noProof/>
              </w:rPr>
              <w:t>Common indicators at EMFF-level</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Simplified CMES (fewer indicators)</w:t>
            </w:r>
          </w:p>
          <w:p w:rsidR="00046CF8" w:rsidRDefault="003561C2">
            <w:pPr>
              <w:rPr>
                <w:rFonts w:ascii="Times New Roman" w:hAnsi="Times New Roman" w:cs="Times New Roman"/>
                <w:noProof/>
              </w:rPr>
            </w:pPr>
            <w:r>
              <w:rPr>
                <w:rFonts w:ascii="Times New Roman" w:hAnsi="Times New Roman" w:cs="Times New Roman"/>
                <w:noProof/>
              </w:rPr>
              <w:t xml:space="preserve">Common indicators at </w:t>
            </w:r>
            <w:r>
              <w:rPr>
                <w:rFonts w:ascii="Times New Roman" w:hAnsi="Times New Roman" w:cs="Times New Roman"/>
                <w:noProof/>
              </w:rPr>
              <w:t>ESIF-level and policy-level</w:t>
            </w:r>
          </w:p>
        </w:tc>
      </w:tr>
      <w:tr w:rsidR="00046CF8">
        <w:tc>
          <w:tcPr>
            <w:tcW w:w="8789" w:type="dxa"/>
            <w:gridSpan w:val="2"/>
            <w:shd w:val="clear" w:color="auto" w:fill="FFFF00"/>
          </w:tcPr>
          <w:p w:rsidR="00046CF8" w:rsidRDefault="003561C2">
            <w:pPr>
              <w:rPr>
                <w:rFonts w:ascii="Times New Roman" w:hAnsi="Times New Roman" w:cs="Times New Roman"/>
                <w:noProof/>
              </w:rPr>
            </w:pPr>
            <w:r>
              <w:rPr>
                <w:rFonts w:ascii="Times New Roman" w:hAnsi="Times New Roman" w:cs="Times New Roman"/>
                <w:noProof/>
              </w:rPr>
              <w:t>Synergies with other funds</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The blue economy could be funded through other funds</w:t>
            </w:r>
          </w:p>
        </w:tc>
        <w:tc>
          <w:tcPr>
            <w:tcW w:w="4961"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 xml:space="preserve">A more clear demarcation. Enabling funded through fisheries and maritime policies. Upscaling funded through other funds, notably the ERDF and the </w:t>
            </w:r>
            <w:r>
              <w:rPr>
                <w:rFonts w:ascii="Times New Roman" w:hAnsi="Times New Roman" w:cs="Times New Roman"/>
                <w:noProof/>
              </w:rPr>
              <w:t>research framework programmes</w:t>
            </w:r>
          </w:p>
        </w:tc>
      </w:tr>
    </w:tbl>
    <w:p w:rsidR="00046CF8" w:rsidRDefault="003561C2">
      <w:pPr>
        <w:pStyle w:val="Heading1"/>
        <w:rPr>
          <w:noProof/>
        </w:rPr>
      </w:pPr>
      <w:bookmarkStart w:id="18" w:name="_Toc514503172"/>
      <w:bookmarkStart w:id="19" w:name="_Toc514507418"/>
      <w:r>
        <w:rPr>
          <w:noProof/>
        </w:rPr>
        <w:t>How will performance be monitored and evaluated?</w:t>
      </w:r>
      <w:bookmarkEnd w:id="18"/>
      <w:bookmarkEnd w:id="19"/>
    </w:p>
    <w:p w:rsidR="00046CF8" w:rsidRDefault="003561C2">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5.1</w:t>
      </w:r>
      <w:r>
        <w:rPr>
          <w:rFonts w:ascii="Times New Roman" w:eastAsia="Times New Roman" w:hAnsi="Times New Roman" w:cs="Times New Roman"/>
          <w:noProof/>
          <w:sz w:val="24"/>
          <w:szCs w:val="20"/>
        </w:rPr>
        <w:tab/>
        <w:t xml:space="preserve">What is already available? </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For the 2014-2020 a Common Monitoring and Evaluation System was developed for the EMFF</w:t>
      </w:r>
      <w:r>
        <w:rPr>
          <w:rFonts w:ascii="Times New Roman" w:eastAsia="Times New Roman" w:hAnsi="Times New Roman" w:cs="Times New Roman"/>
          <w:noProof/>
          <w:sz w:val="24"/>
          <w:szCs w:val="20"/>
          <w:vertAlign w:val="superscript"/>
        </w:rPr>
        <w:footnoteReference w:id="67"/>
      </w:r>
      <w:r>
        <w:rPr>
          <w:rFonts w:ascii="Times New Roman" w:eastAsia="Times New Roman" w:hAnsi="Times New Roman" w:cs="Times New Roman"/>
          <w:noProof/>
          <w:sz w:val="24"/>
          <w:szCs w:val="20"/>
        </w:rPr>
        <w:t>. It is built on the following elements:</w:t>
      </w:r>
    </w:p>
    <w:p w:rsidR="00046CF8" w:rsidRDefault="003561C2">
      <w:pPr>
        <w:numPr>
          <w:ilvl w:val="0"/>
          <w:numId w:val="19"/>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An intervention </w:t>
      </w:r>
      <w:r>
        <w:rPr>
          <w:rFonts w:ascii="Times New Roman" w:eastAsia="Times New Roman" w:hAnsi="Times New Roman" w:cs="Times New Roman"/>
          <w:noProof/>
          <w:sz w:val="24"/>
          <w:szCs w:val="20"/>
        </w:rPr>
        <w:t xml:space="preserve">logic showing the interactions between priorities, specific objectives and measures. </w:t>
      </w:r>
    </w:p>
    <w:p w:rsidR="00046CF8" w:rsidRDefault="003561C2">
      <w:pPr>
        <w:numPr>
          <w:ilvl w:val="0"/>
          <w:numId w:val="19"/>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 set of common indicators. </w:t>
      </w:r>
    </w:p>
    <w:p w:rsidR="00046CF8" w:rsidRDefault="003561C2">
      <w:pPr>
        <w:numPr>
          <w:ilvl w:val="0"/>
          <w:numId w:val="19"/>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Cumulative data on operations selected for funding. </w:t>
      </w:r>
    </w:p>
    <w:p w:rsidR="00046CF8" w:rsidRDefault="003561C2">
      <w:pPr>
        <w:numPr>
          <w:ilvl w:val="0"/>
          <w:numId w:val="19"/>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Annual Implementation Report of the Operational Programme. </w:t>
      </w:r>
    </w:p>
    <w:p w:rsidR="00046CF8" w:rsidRDefault="003561C2">
      <w:pPr>
        <w:numPr>
          <w:ilvl w:val="0"/>
          <w:numId w:val="19"/>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Evaluation Plan.</w:t>
      </w:r>
    </w:p>
    <w:p w:rsidR="00046CF8" w:rsidRDefault="003561C2">
      <w:pPr>
        <w:numPr>
          <w:ilvl w:val="0"/>
          <w:numId w:val="19"/>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noProof/>
          <w:sz w:val="24"/>
          <w:szCs w:val="20"/>
        </w:rPr>
        <w:t>ex-ante and ex-post evaluations and all other evaluation activities linked to the EMFF programme.</w:t>
      </w:r>
    </w:p>
    <w:p w:rsidR="00046CF8" w:rsidRDefault="003561C2">
      <w:pPr>
        <w:numPr>
          <w:ilvl w:val="0"/>
          <w:numId w:val="19"/>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performance review.</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First, for the 2014-2020 period a set of common indicators with common definitions were established covering the main characteristics</w:t>
      </w:r>
      <w:r>
        <w:rPr>
          <w:rFonts w:ascii="Times New Roman" w:eastAsia="Times New Roman" w:hAnsi="Times New Roman" w:cs="Times New Roman"/>
          <w:noProof/>
          <w:sz w:val="24"/>
          <w:szCs w:val="20"/>
        </w:rPr>
        <w:t xml:space="preserve"> of the fisheries and aquaculture sector, reflecting the goals of relevant EU policies (CFP, maritime policy) and providing a connection with the EU 2020 strategy. Indicators used serve different purposes: </w:t>
      </w:r>
    </w:p>
    <w:p w:rsidR="00046CF8" w:rsidRDefault="003561C2">
      <w:pPr>
        <w:numPr>
          <w:ilvl w:val="0"/>
          <w:numId w:val="17"/>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Context Indicators (CIs) are linked to the overal</w:t>
      </w:r>
      <w:r>
        <w:rPr>
          <w:rFonts w:ascii="Times New Roman" w:eastAsia="Times New Roman" w:hAnsi="Times New Roman" w:cs="Times New Roman"/>
          <w:noProof/>
          <w:sz w:val="24"/>
          <w:szCs w:val="20"/>
        </w:rPr>
        <w:t>l objectives of the EMFF and establish the baseline at the beginning of the OP implementation. The EMFF uses 25 common CIs.</w:t>
      </w:r>
    </w:p>
    <w:p w:rsidR="00046CF8" w:rsidRDefault="003561C2">
      <w:pPr>
        <w:numPr>
          <w:ilvl w:val="0"/>
          <w:numId w:val="17"/>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Output indicators (OIs) are the direct product of the implemented activities. In the case of the EMFF, they are mostly expressed as </w:t>
      </w:r>
      <w:r>
        <w:rPr>
          <w:rFonts w:ascii="Times New Roman" w:eastAsia="Times New Roman" w:hAnsi="Times New Roman" w:cs="Times New Roman"/>
          <w:noProof/>
          <w:sz w:val="24"/>
          <w:szCs w:val="20"/>
        </w:rPr>
        <w:t xml:space="preserve">a number of operations. The EMFF CMES defines 28 OIs covering the 50 measures. </w:t>
      </w:r>
    </w:p>
    <w:p w:rsidR="00046CF8" w:rsidRDefault="003561C2">
      <w:pPr>
        <w:numPr>
          <w:ilvl w:val="0"/>
          <w:numId w:val="17"/>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Result Indicators (RIs) measure the gross effect of the EMFF. The CMES comprises a set of 28 RIs, some of which are linked to only one EMFF Specific Objective, others to more t</w:t>
      </w:r>
      <w:r>
        <w:rPr>
          <w:rFonts w:ascii="Times New Roman" w:eastAsia="Times New Roman" w:hAnsi="Times New Roman" w:cs="Times New Roman"/>
          <w:noProof/>
          <w:sz w:val="24"/>
          <w:szCs w:val="20"/>
        </w:rPr>
        <w:t>han one</w:t>
      </w:r>
      <w:r>
        <w:rPr>
          <w:rFonts w:ascii="Times New Roman" w:eastAsia="Times New Roman" w:hAnsi="Times New Roman" w:cs="Times New Roman"/>
          <w:noProof/>
          <w:sz w:val="24"/>
          <w:szCs w:val="20"/>
          <w:vertAlign w:val="superscript"/>
        </w:rPr>
        <w:footnoteReference w:id="68"/>
      </w:r>
      <w:r>
        <w:rPr>
          <w:rFonts w:ascii="Times New Roman" w:eastAsia="Times New Roman" w:hAnsi="Times New Roman" w:cs="Times New Roman"/>
          <w:noProof/>
          <w:sz w:val="24"/>
          <w:szCs w:val="20"/>
        </w:rPr>
        <w:t>. MS were free to add specific indicators if they wished.</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Member States are required to report on these indicators.</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Second, we have a system for cumulative data on operations referred to as Infosys</w:t>
      </w:r>
      <w:r>
        <w:rPr>
          <w:rFonts w:ascii="Times New Roman" w:eastAsia="Times New Roman" w:hAnsi="Times New Roman" w:cs="Times New Roman"/>
          <w:noProof/>
          <w:sz w:val="24"/>
          <w:szCs w:val="20"/>
          <w:vertAlign w:val="superscript"/>
        </w:rPr>
        <w:footnoteReference w:id="69"/>
      </w:r>
      <w:r>
        <w:rPr>
          <w:rFonts w:ascii="Times New Roman" w:eastAsia="Times New Roman" w:hAnsi="Times New Roman" w:cs="Times New Roman"/>
          <w:noProof/>
          <w:sz w:val="24"/>
          <w:szCs w:val="20"/>
        </w:rPr>
        <w:t>. As explained in this IA report the mid-term and</w:t>
      </w:r>
      <w:r>
        <w:rPr>
          <w:rFonts w:ascii="Times New Roman" w:eastAsia="Times New Roman" w:hAnsi="Times New Roman" w:cs="Times New Roman"/>
          <w:noProof/>
          <w:sz w:val="24"/>
          <w:szCs w:val="20"/>
        </w:rPr>
        <w:t xml:space="preserve"> ex-post evaluations of the European Fisheries Fund (EFF, 2007-2013) were hampered by the lack of robust monitoring data, making the collection of data challenging. As a response, for the 2014-2020 period, a reporting system was established to address this</w:t>
      </w:r>
      <w:r>
        <w:rPr>
          <w:rFonts w:ascii="Times New Roman" w:eastAsia="Times New Roman" w:hAnsi="Times New Roman" w:cs="Times New Roman"/>
          <w:noProof/>
          <w:sz w:val="24"/>
          <w:szCs w:val="20"/>
        </w:rPr>
        <w:t xml:space="preserve"> shortcoming and provide the Commission with detailed information at the level of every single operation. In concrete terms this means that we have created a database of information at the level of operations that can be used to follow the implementation o</w:t>
      </w:r>
      <w:r>
        <w:rPr>
          <w:rFonts w:ascii="Times New Roman" w:eastAsia="Times New Roman" w:hAnsi="Times New Roman" w:cs="Times New Roman"/>
          <w:noProof/>
          <w:sz w:val="24"/>
          <w:szCs w:val="20"/>
        </w:rPr>
        <w:t xml:space="preserve">f the OPs, carry out specific analysis required by policy-making and ensure that robust data is available for evaluation. </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Infosys reporting describes the progress and achievements at operation level by capturing what is happening on the ground. It pro</w:t>
      </w:r>
      <w:r>
        <w:rPr>
          <w:rFonts w:ascii="Times New Roman" w:eastAsia="Times New Roman" w:hAnsi="Times New Roman" w:cs="Times New Roman"/>
          <w:noProof/>
          <w:sz w:val="24"/>
          <w:szCs w:val="20"/>
        </w:rPr>
        <w:t>vides key information about the beneficiary (e.g. size of enterprise, gender) and the operation (type of activities, budget, number of fishers concerned, total area concerned, etc.). In order to limit the administrative burden on Managing Authorities and o</w:t>
      </w:r>
      <w:r>
        <w:rPr>
          <w:rFonts w:ascii="Times New Roman" w:eastAsia="Times New Roman" w:hAnsi="Times New Roman" w:cs="Times New Roman"/>
          <w:noProof/>
          <w:sz w:val="24"/>
          <w:szCs w:val="20"/>
        </w:rPr>
        <w:t>n beneficiaries, most of the data requested by the Infosys is already stored in national databases set up to comply with the minimum data to be recorded and stored for each operation. Member States are required to provide Infosys data annually.</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Third, the </w:t>
      </w:r>
      <w:r>
        <w:rPr>
          <w:rFonts w:ascii="Times New Roman" w:eastAsia="Times New Roman" w:hAnsi="Times New Roman" w:cs="Times New Roman"/>
          <w:noProof/>
          <w:sz w:val="24"/>
          <w:szCs w:val="20"/>
        </w:rPr>
        <w:t>CPR lays down the general rules for evaluation in all the ESI funds, whilst the EMFF Regulation specifies that the Member States have to conduct an ex-ante evaluation and further evaluations during the implementation period. The Commission has to conduct a</w:t>
      </w:r>
      <w:r>
        <w:rPr>
          <w:rFonts w:ascii="Times New Roman" w:eastAsia="Times New Roman" w:hAnsi="Times New Roman" w:cs="Times New Roman"/>
          <w:noProof/>
          <w:sz w:val="24"/>
          <w:szCs w:val="20"/>
        </w:rPr>
        <w:t xml:space="preserve">n ex-post evaluation, to be completed by the end of 2024. The ex-ante evaluation is the only evaluation undertaken so far by the Member States. </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5.2</w:t>
      </w:r>
      <w:r>
        <w:rPr>
          <w:rFonts w:ascii="Times New Roman" w:eastAsia="Times New Roman" w:hAnsi="Times New Roman" w:cs="Times New Roman"/>
          <w:noProof/>
          <w:sz w:val="24"/>
          <w:szCs w:val="20"/>
        </w:rPr>
        <w:tab/>
        <w:t>What do we want to develop for the future?</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For the future we would like to build on the model developed dur</w:t>
      </w:r>
      <w:r>
        <w:rPr>
          <w:rFonts w:ascii="Times New Roman" w:eastAsia="Times New Roman" w:hAnsi="Times New Roman" w:cs="Times New Roman"/>
          <w:noProof/>
          <w:sz w:val="24"/>
          <w:szCs w:val="20"/>
        </w:rPr>
        <w:t>ing 2014-2020. It is essential that this existing, functioning monitoring and evaluation system remains in place. The focus will be on evolution and simplification. The number of indicators will be reduced, indicators should be more operational (i.e. close</w:t>
      </w:r>
      <w:r>
        <w:rPr>
          <w:rFonts w:ascii="Times New Roman" w:eastAsia="Times New Roman" w:hAnsi="Times New Roman" w:cs="Times New Roman"/>
          <w:noProof/>
          <w:sz w:val="24"/>
          <w:szCs w:val="20"/>
        </w:rPr>
        <w:t xml:space="preserve"> to the operations and easy to report on) and methodological guidance would be provided to Member States prior to programming</w:t>
      </w:r>
      <w:r>
        <w:rPr>
          <w:rStyle w:val="FootnoteReference"/>
          <w:rFonts w:ascii="Times New Roman" w:eastAsia="Times New Roman" w:hAnsi="Times New Roman" w:cs="Times New Roman"/>
          <w:noProof/>
          <w:sz w:val="24"/>
          <w:szCs w:val="20"/>
        </w:rPr>
        <w:footnoteReference w:id="70"/>
      </w:r>
      <w:r>
        <w:rPr>
          <w:rFonts w:ascii="Times New Roman" w:eastAsia="Times New Roman" w:hAnsi="Times New Roman" w:cs="Times New Roman"/>
          <w:noProof/>
          <w:sz w:val="24"/>
          <w:szCs w:val="20"/>
        </w:rPr>
        <w:t xml:space="preserve">. </w:t>
      </w:r>
    </w:p>
    <w:p w:rsidR="00046CF8" w:rsidRDefault="003561C2">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specific indicators at fund-level should be few, simple and defined prior to programming. For the future the aim is to have</w:t>
      </w:r>
      <w:r>
        <w:rPr>
          <w:rFonts w:ascii="Times New Roman" w:eastAsia="Times New Roman" w:hAnsi="Times New Roman" w:cs="Times New Roman"/>
          <w:noProof/>
          <w:sz w:val="24"/>
          <w:szCs w:val="20"/>
        </w:rPr>
        <w:t xml:space="preserve"> a maximum of 10 result indicators at policy-area level. These indicators would cover the following: </w:t>
      </w:r>
    </w:p>
    <w:tbl>
      <w:tblPr>
        <w:tblStyle w:val="TableGrid1"/>
        <w:tblW w:w="0" w:type="auto"/>
        <w:tblLook w:val="04A0" w:firstRow="1" w:lastRow="0" w:firstColumn="1" w:lastColumn="0" w:noHBand="0" w:noVBand="1"/>
      </w:tblPr>
      <w:tblGrid>
        <w:gridCol w:w="4412"/>
        <w:gridCol w:w="4416"/>
      </w:tblGrid>
      <w:tr w:rsidR="00046CF8">
        <w:tc>
          <w:tcPr>
            <w:tcW w:w="4644" w:type="dxa"/>
            <w:shd w:val="clear" w:color="auto" w:fill="FFFF00"/>
          </w:tcPr>
          <w:p w:rsidR="00046CF8" w:rsidRDefault="003561C2">
            <w:pPr>
              <w:jc w:val="both"/>
              <w:rPr>
                <w:rFonts w:ascii="Times New Roman" w:hAnsi="Times New Roman" w:cs="Times New Roman"/>
                <w:b/>
                <w:noProof/>
                <w:sz w:val="24"/>
                <w:szCs w:val="24"/>
              </w:rPr>
            </w:pPr>
            <w:r>
              <w:rPr>
                <w:rFonts w:ascii="Times New Roman" w:hAnsi="Times New Roman" w:cs="Times New Roman"/>
                <w:b/>
                <w:noProof/>
                <w:sz w:val="24"/>
                <w:szCs w:val="24"/>
              </w:rPr>
              <w:t>PRIORITY</w:t>
            </w:r>
          </w:p>
        </w:tc>
        <w:tc>
          <w:tcPr>
            <w:tcW w:w="4644" w:type="dxa"/>
            <w:shd w:val="clear" w:color="auto" w:fill="FFFF00"/>
          </w:tcPr>
          <w:p w:rsidR="00046CF8" w:rsidRDefault="003561C2">
            <w:pPr>
              <w:jc w:val="both"/>
              <w:rPr>
                <w:rFonts w:ascii="Times New Roman" w:hAnsi="Times New Roman" w:cs="Times New Roman"/>
                <w:b/>
                <w:noProof/>
                <w:sz w:val="24"/>
                <w:szCs w:val="24"/>
              </w:rPr>
            </w:pPr>
            <w:r>
              <w:rPr>
                <w:rFonts w:ascii="Times New Roman" w:hAnsi="Times New Roman" w:cs="Times New Roman"/>
                <w:b/>
                <w:noProof/>
                <w:sz w:val="24"/>
                <w:szCs w:val="24"/>
              </w:rPr>
              <w:t>INDICATOR</w:t>
            </w:r>
          </w:p>
        </w:tc>
      </w:tr>
      <w:tr w:rsidR="00046CF8">
        <w:trPr>
          <w:trHeight w:val="54"/>
        </w:trPr>
        <w:tc>
          <w:tcPr>
            <w:tcW w:w="4644" w:type="dxa"/>
            <w:vMerge w:val="restart"/>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Fostering sustainable fisheries and the conservation of marine biological resources</w:t>
            </w: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Evolution of volume of landings stemming from </w:t>
            </w:r>
            <w:r>
              <w:rPr>
                <w:rFonts w:ascii="Times New Roman" w:hAnsi="Times New Roman" w:cs="Times New Roman"/>
                <w:noProof/>
                <w:sz w:val="24"/>
                <w:szCs w:val="24"/>
              </w:rPr>
              <w:t>stocks assessed at MSY</w:t>
            </w:r>
          </w:p>
        </w:tc>
      </w:tr>
      <w:tr w:rsidR="00046CF8">
        <w:trPr>
          <w:trHeight w:val="51"/>
        </w:trPr>
        <w:tc>
          <w:tcPr>
            <w:tcW w:w="4644" w:type="dxa"/>
            <w:vMerge/>
            <w:shd w:val="clear" w:color="auto" w:fill="B6DDE8" w:themeFill="accent5" w:themeFillTint="66"/>
          </w:tcPr>
          <w:p w:rsidR="00046CF8" w:rsidRDefault="00046CF8">
            <w:pPr>
              <w:jc w:val="both"/>
              <w:rPr>
                <w:rFonts w:ascii="Times New Roman" w:hAnsi="Times New Roman" w:cs="Times New Roman"/>
                <w:noProof/>
                <w:sz w:val="24"/>
                <w:szCs w:val="24"/>
              </w:rPr>
            </w:pP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Evolution in profitability of the Union fishing fleet</w:t>
            </w:r>
          </w:p>
        </w:tc>
      </w:tr>
      <w:tr w:rsidR="00046CF8">
        <w:trPr>
          <w:trHeight w:val="51"/>
        </w:trPr>
        <w:tc>
          <w:tcPr>
            <w:tcW w:w="4644" w:type="dxa"/>
            <w:vMerge/>
            <w:shd w:val="clear" w:color="auto" w:fill="B6DDE8" w:themeFill="accent5" w:themeFillTint="66"/>
          </w:tcPr>
          <w:p w:rsidR="00046CF8" w:rsidRDefault="00046CF8">
            <w:pPr>
              <w:jc w:val="both"/>
              <w:rPr>
                <w:rFonts w:ascii="Times New Roman" w:hAnsi="Times New Roman" w:cs="Times New Roman"/>
                <w:noProof/>
                <w:sz w:val="24"/>
                <w:szCs w:val="24"/>
              </w:rPr>
            </w:pP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Surface (ha) of Natura 2000 sites, and other MPAs under the MSFD, covered by protection, maintenance and restoration measures</w:t>
            </w:r>
          </w:p>
        </w:tc>
      </w:tr>
      <w:tr w:rsidR="00046CF8">
        <w:trPr>
          <w:trHeight w:val="51"/>
        </w:trPr>
        <w:tc>
          <w:tcPr>
            <w:tcW w:w="4644" w:type="dxa"/>
            <w:vMerge/>
            <w:shd w:val="clear" w:color="auto" w:fill="B6DDE8" w:themeFill="accent5" w:themeFillTint="66"/>
          </w:tcPr>
          <w:p w:rsidR="00046CF8" w:rsidRDefault="00046CF8">
            <w:pPr>
              <w:jc w:val="both"/>
              <w:rPr>
                <w:rFonts w:ascii="Times New Roman" w:hAnsi="Times New Roman" w:cs="Times New Roman"/>
                <w:noProof/>
                <w:sz w:val="24"/>
                <w:szCs w:val="24"/>
              </w:rPr>
            </w:pP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Percentage of fishing vessels equipped with </w:t>
            </w:r>
            <w:r>
              <w:rPr>
                <w:rFonts w:ascii="Times New Roman" w:hAnsi="Times New Roman" w:cs="Times New Roman"/>
                <w:noProof/>
                <w:sz w:val="24"/>
                <w:szCs w:val="24"/>
              </w:rPr>
              <w:t>electronic position and catch reporting device</w:t>
            </w:r>
          </w:p>
        </w:tc>
      </w:tr>
      <w:tr w:rsidR="00046CF8">
        <w:trPr>
          <w:trHeight w:val="104"/>
        </w:trPr>
        <w:tc>
          <w:tcPr>
            <w:tcW w:w="4644" w:type="dxa"/>
            <w:vMerge w:val="restart"/>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Contributing to food security in the Union through competitive and sustainable aquaculture and markets</w:t>
            </w: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Evolution in the value and volume of aquaculture production in the Union</w:t>
            </w:r>
          </w:p>
        </w:tc>
      </w:tr>
      <w:tr w:rsidR="00046CF8">
        <w:trPr>
          <w:trHeight w:val="103"/>
        </w:trPr>
        <w:tc>
          <w:tcPr>
            <w:tcW w:w="4644" w:type="dxa"/>
            <w:vMerge/>
            <w:shd w:val="clear" w:color="auto" w:fill="B6DDE8" w:themeFill="accent5" w:themeFillTint="66"/>
          </w:tcPr>
          <w:p w:rsidR="00046CF8" w:rsidRDefault="00046CF8">
            <w:pPr>
              <w:jc w:val="both"/>
              <w:rPr>
                <w:rFonts w:ascii="Times New Roman" w:hAnsi="Times New Roman" w:cs="Times New Roman"/>
                <w:noProof/>
                <w:sz w:val="24"/>
                <w:szCs w:val="24"/>
              </w:rPr>
            </w:pP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Evolution in the value and vol</w:t>
            </w:r>
            <w:r>
              <w:rPr>
                <w:rFonts w:ascii="Times New Roman" w:hAnsi="Times New Roman" w:cs="Times New Roman"/>
                <w:noProof/>
                <w:sz w:val="24"/>
                <w:szCs w:val="24"/>
              </w:rPr>
              <w:t>ume of landings</w:t>
            </w:r>
          </w:p>
        </w:tc>
      </w:tr>
      <w:tr w:rsidR="00046CF8">
        <w:trPr>
          <w:trHeight w:val="104"/>
        </w:trPr>
        <w:tc>
          <w:tcPr>
            <w:tcW w:w="4644" w:type="dxa"/>
            <w:vMerge w:val="restart"/>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Enabling the growth of a sustainable blue economy and fostering prosperous coastal communities</w:t>
            </w: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Evolution of GDP in maritime NUTS 3 regions</w:t>
            </w:r>
          </w:p>
        </w:tc>
      </w:tr>
      <w:tr w:rsidR="00046CF8">
        <w:trPr>
          <w:trHeight w:val="103"/>
        </w:trPr>
        <w:tc>
          <w:tcPr>
            <w:tcW w:w="4644" w:type="dxa"/>
            <w:vMerge/>
            <w:shd w:val="clear" w:color="auto" w:fill="B6DDE8" w:themeFill="accent5" w:themeFillTint="66"/>
          </w:tcPr>
          <w:p w:rsidR="00046CF8" w:rsidRDefault="00046CF8">
            <w:pPr>
              <w:jc w:val="both"/>
              <w:rPr>
                <w:rFonts w:ascii="Times New Roman" w:hAnsi="Times New Roman" w:cs="Times New Roman"/>
                <w:noProof/>
                <w:sz w:val="24"/>
                <w:szCs w:val="24"/>
              </w:rPr>
            </w:pPr>
          </w:p>
        </w:tc>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Evolution in the number of jobs (in FTE) in the blue economy</w:t>
            </w:r>
          </w:p>
        </w:tc>
      </w:tr>
      <w:tr w:rsidR="00046CF8">
        <w:trPr>
          <w:trHeight w:val="1095"/>
        </w:trPr>
        <w:tc>
          <w:tcPr>
            <w:tcW w:w="4644" w:type="dxa"/>
            <w:shd w:val="clear" w:color="auto" w:fill="B6DDE8" w:themeFill="accent5" w:themeFillTint="66"/>
          </w:tcPr>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Strengthening international ocean </w:t>
            </w:r>
            <w:r>
              <w:rPr>
                <w:rFonts w:ascii="Times New Roman" w:hAnsi="Times New Roman" w:cs="Times New Roman"/>
                <w:noProof/>
                <w:sz w:val="24"/>
                <w:szCs w:val="24"/>
              </w:rPr>
              <w:t>governance and enabling safe, secure, clean and sustainably managed seas and oceans</w:t>
            </w:r>
          </w:p>
        </w:tc>
        <w:tc>
          <w:tcPr>
            <w:tcW w:w="4644" w:type="dxa"/>
            <w:shd w:val="clear" w:color="auto" w:fill="B6DDE8" w:themeFill="accent5" w:themeFillTint="66"/>
          </w:tcPr>
          <w:p w:rsidR="00046CF8" w:rsidRDefault="003561C2">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Number of shared operations contributing to the European cooperation on coastguard functions</w:t>
            </w:r>
          </w:p>
        </w:tc>
      </w:tr>
    </w:tbl>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addition, indicators at the level of operational programmes are under </w:t>
      </w:r>
      <w:r>
        <w:rPr>
          <w:rFonts w:ascii="Times New Roman" w:eastAsia="Times New Roman" w:hAnsi="Times New Roman" w:cs="Times New Roman"/>
          <w:noProof/>
          <w:sz w:val="24"/>
          <w:szCs w:val="20"/>
        </w:rPr>
        <w:t>development.</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All indicators - including methodological guidance on definitions - will be defined and elaborated prior by the Commission to programming.</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For the future we would also like to keep the Infosys. The basic requirement will be that Member States </w:t>
      </w:r>
      <w:r>
        <w:rPr>
          <w:rFonts w:ascii="Times New Roman" w:eastAsia="Times New Roman" w:hAnsi="Times New Roman" w:cs="Times New Roman"/>
          <w:noProof/>
          <w:sz w:val="24"/>
          <w:szCs w:val="20"/>
        </w:rPr>
        <w:t>annually provide cumulative data on operations selected for funding until the end of the previous year. They will provide data on each operation (type of investments, area covered, number of employees benefitting from the operation etc) including key chara</w:t>
      </w:r>
      <w:r>
        <w:rPr>
          <w:rFonts w:ascii="Times New Roman" w:eastAsia="Times New Roman" w:hAnsi="Times New Roman" w:cs="Times New Roman"/>
          <w:noProof/>
          <w:sz w:val="24"/>
          <w:szCs w:val="20"/>
        </w:rPr>
        <w:t xml:space="preserve">cteristics of the beneficiaries. </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5.3</w:t>
      </w:r>
      <w:r>
        <w:rPr>
          <w:rFonts w:ascii="Times New Roman" w:eastAsia="Times New Roman" w:hAnsi="Times New Roman" w:cs="Times New Roman"/>
          <w:noProof/>
          <w:sz w:val="24"/>
          <w:szCs w:val="20"/>
        </w:rPr>
        <w:tab/>
        <w:t>What requirements are being proposed for evaluation? What data is available?</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All key requirements on evaluation will be put in the CPR and will be common to all ESI Funds. It will not be obligatory for Member States to</w:t>
      </w:r>
      <w:r>
        <w:rPr>
          <w:rFonts w:ascii="Times New Roman" w:eastAsia="Times New Roman" w:hAnsi="Times New Roman" w:cs="Times New Roman"/>
          <w:noProof/>
          <w:sz w:val="24"/>
          <w:szCs w:val="20"/>
        </w:rPr>
        <w:t xml:space="preserve"> carry out an ex-post evaluation as experience from current and previous periods show that these evaluations have been of limited value. Member States will be required to carry out evaluations during the programming period. Such evaluations shall help to i</w:t>
      </w:r>
      <w:r>
        <w:rPr>
          <w:rFonts w:ascii="Times New Roman" w:eastAsia="Times New Roman" w:hAnsi="Times New Roman" w:cs="Times New Roman"/>
          <w:noProof/>
          <w:sz w:val="24"/>
          <w:szCs w:val="20"/>
        </w:rPr>
        <w:t xml:space="preserve">mprove the quality of the design and implementation of programmes, as well as to assess their effectiveness, efficiency, relevance, coherence, EU added value and impact in relation to their contribution to the priorities of the European Union. </w:t>
      </w: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principl</w:t>
      </w:r>
      <w:r>
        <w:rPr>
          <w:rFonts w:ascii="Times New Roman" w:eastAsia="Times New Roman" w:hAnsi="Times New Roman" w:cs="Times New Roman"/>
          <w:noProof/>
          <w:sz w:val="24"/>
          <w:szCs w:val="20"/>
        </w:rPr>
        <w:t xml:space="preserve">e the evaluations to be made by Member States will cover the following elements:  </w:t>
      </w:r>
    </w:p>
    <w:p w:rsidR="00046CF8" w:rsidRDefault="003561C2">
      <w:pPr>
        <w:numPr>
          <w:ilvl w:val="0"/>
          <w:numId w:val="18"/>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Process evaluation covering the effectiveness and efficiency of partner involvement, OP implementation and communication</w:t>
      </w:r>
    </w:p>
    <w:p w:rsidR="00046CF8" w:rsidRDefault="003561C2">
      <w:pPr>
        <w:numPr>
          <w:ilvl w:val="0"/>
          <w:numId w:val="18"/>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Effectiveness evaluation at specific objective level</w:t>
      </w:r>
      <w:r>
        <w:rPr>
          <w:rFonts w:ascii="Times New Roman" w:eastAsia="Times New Roman" w:hAnsi="Times New Roman" w:cs="Times New Roman"/>
          <w:noProof/>
          <w:sz w:val="24"/>
          <w:szCs w:val="20"/>
        </w:rPr>
        <w:t xml:space="preserve"> focussing on how well the operational programme is being implemented</w:t>
      </w:r>
    </w:p>
    <w:p w:rsidR="00046CF8" w:rsidRDefault="003561C2">
      <w:pPr>
        <w:numPr>
          <w:ilvl w:val="0"/>
          <w:numId w:val="18"/>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Impact evaluation at general objective level. It should demonstrate how much the operational programmes have contributed to change in the sector and in society as a whole in line with th</w:t>
      </w:r>
      <w:r>
        <w:rPr>
          <w:rFonts w:ascii="Times New Roman" w:eastAsia="Times New Roman" w:hAnsi="Times New Roman" w:cs="Times New Roman"/>
          <w:noProof/>
          <w:sz w:val="24"/>
          <w:szCs w:val="20"/>
        </w:rPr>
        <w:t xml:space="preserve">e general objectives.  </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Member States will have to ensure that procedures are in place to produce and collect the data necessary for evaluations, including data related to common and programme-specific indicators. The Commission will carry out the ex post</w:t>
      </w:r>
      <w:r>
        <w:rPr>
          <w:rFonts w:ascii="Times New Roman" w:eastAsia="Times New Roman" w:hAnsi="Times New Roman" w:cs="Times New Roman"/>
          <w:noProof/>
          <w:sz w:val="24"/>
          <w:szCs w:val="20"/>
        </w:rPr>
        <w:t xml:space="preserve"> evaluation.</w:t>
      </w:r>
    </w:p>
    <w:p w:rsidR="00046CF8" w:rsidRDefault="003561C2">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addition to the ongoing evaluation set out above, each Member State will have to submit to the Commission an annual performance report. This report should describe the achievement of milestones and targets and it will be examined by the Com</w:t>
      </w:r>
      <w:r>
        <w:rPr>
          <w:rFonts w:ascii="Times New Roman" w:eastAsia="Times New Roman" w:hAnsi="Times New Roman" w:cs="Times New Roman"/>
          <w:noProof/>
          <w:sz w:val="24"/>
          <w:szCs w:val="20"/>
        </w:rPr>
        <w:t>mission who will submit its observations to the concerned Member State. Moreover, the Commission will carry out a mid-term assessment to examine the effectiveness, efficiency, relevance, coherence and EU added value by the end of 2025. Taken together the p</w:t>
      </w:r>
      <w:r>
        <w:rPr>
          <w:rFonts w:ascii="Times New Roman" w:eastAsia="Times New Roman" w:hAnsi="Times New Roman" w:cs="Times New Roman"/>
          <w:noProof/>
          <w:sz w:val="24"/>
          <w:szCs w:val="20"/>
        </w:rPr>
        <w:t xml:space="preserve">rovisions above should be sufficient to ensure that evidence is available at the time of revising the spending programme for the period post-2027. </w:t>
      </w: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Availability of data for evaluation purposes:</w:t>
      </w:r>
    </w:p>
    <w:p w:rsidR="00046CF8" w:rsidRDefault="003561C2">
      <w:pPr>
        <w:numPr>
          <w:ilvl w:val="0"/>
          <w:numId w:val="20"/>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Infosys data will be used for evaluations. </w:t>
      </w:r>
    </w:p>
    <w:p w:rsidR="00046CF8" w:rsidRDefault="003561C2">
      <w:pPr>
        <w:numPr>
          <w:ilvl w:val="0"/>
          <w:numId w:val="20"/>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addition, data </w:t>
      </w:r>
      <w:r>
        <w:rPr>
          <w:rFonts w:ascii="Times New Roman" w:eastAsia="Times New Roman" w:hAnsi="Times New Roman" w:cs="Times New Roman"/>
          <w:noProof/>
          <w:sz w:val="24"/>
          <w:szCs w:val="20"/>
        </w:rPr>
        <w:t>from the Data Collection Framework</w:t>
      </w:r>
      <w:r>
        <w:rPr>
          <w:rFonts w:ascii="Times New Roman" w:eastAsia="Times New Roman" w:hAnsi="Times New Roman" w:cs="Times New Roman"/>
          <w:noProof/>
          <w:sz w:val="24"/>
          <w:szCs w:val="20"/>
          <w:vertAlign w:val="superscript"/>
        </w:rPr>
        <w:footnoteReference w:id="71"/>
      </w:r>
      <w:r>
        <w:rPr>
          <w:rFonts w:ascii="Times New Roman" w:eastAsia="Times New Roman" w:hAnsi="Times New Roman" w:cs="Times New Roman"/>
          <w:noProof/>
          <w:sz w:val="24"/>
          <w:szCs w:val="20"/>
        </w:rPr>
        <w:t xml:space="preserve"> will be used. This is data the Member States are collecting and which is assembled and stored by the JRC </w:t>
      </w:r>
    </w:p>
    <w:p w:rsidR="00046CF8" w:rsidRDefault="003561C2">
      <w:pPr>
        <w:numPr>
          <w:ilvl w:val="0"/>
          <w:numId w:val="20"/>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Also data from the European Market Observatory for Fisheries and Aquaculture (EUMOFA) will be used. EUMOFA</w:t>
      </w:r>
      <w:r>
        <w:rPr>
          <w:rFonts w:ascii="Times New Roman" w:eastAsia="Times New Roman" w:hAnsi="Times New Roman" w:cs="Times New Roman"/>
          <w:noProof/>
          <w:sz w:val="24"/>
          <w:szCs w:val="20"/>
          <w:vertAlign w:val="superscript"/>
        </w:rPr>
        <w:footnoteReference w:id="72"/>
      </w:r>
      <w:r>
        <w:rPr>
          <w:rFonts w:ascii="Times New Roman" w:eastAsia="Times New Roman" w:hAnsi="Times New Roman" w:cs="Times New Roman"/>
          <w:noProof/>
          <w:sz w:val="24"/>
          <w:szCs w:val="20"/>
        </w:rPr>
        <w:t xml:space="preserve"> operates a consolidated database of aggregated and harmonised data. </w:t>
      </w:r>
    </w:p>
    <w:p w:rsidR="00046CF8" w:rsidRDefault="003561C2">
      <w:pPr>
        <w:numPr>
          <w:ilvl w:val="0"/>
          <w:numId w:val="20"/>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EUROSTAT data will be used wherever available</w:t>
      </w:r>
    </w:p>
    <w:p w:rsidR="00046CF8" w:rsidRDefault="003561C2">
      <w:pPr>
        <w:spacing w:after="240" w:line="240" w:lineRule="auto"/>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 </w:t>
      </w:r>
    </w:p>
    <w:p w:rsidR="00046CF8" w:rsidRDefault="003561C2">
      <w:pPr>
        <w:spacing w:after="0"/>
        <w:jc w:val="both"/>
        <w:rPr>
          <w:rFonts w:ascii="Times New Roman" w:hAnsi="Times New Roman"/>
          <w:noProof/>
          <w:sz w:val="24"/>
          <w:szCs w:val="24"/>
        </w:rPr>
      </w:pPr>
      <w:r>
        <w:rPr>
          <w:rFonts w:ascii="Times New Roman" w:hAnsi="Times New Roman"/>
          <w:noProof/>
          <w:sz w:val="24"/>
          <w:szCs w:val="24"/>
        </w:rPr>
        <w:t>The table below summarises the requirements on monitoring and evaluation during the 2014-2020 period and the post-2020 period:</w:t>
      </w:r>
    </w:p>
    <w:tbl>
      <w:tblPr>
        <w:tblStyle w:val="TableGrid1"/>
        <w:tblW w:w="8647" w:type="dxa"/>
        <w:tblInd w:w="108" w:type="dxa"/>
        <w:tblLook w:val="04A0" w:firstRow="1" w:lastRow="0" w:firstColumn="1" w:lastColumn="0" w:noHBand="0" w:noVBand="1"/>
      </w:tblPr>
      <w:tblGrid>
        <w:gridCol w:w="3828"/>
        <w:gridCol w:w="4819"/>
      </w:tblGrid>
      <w:tr w:rsidR="00046CF8">
        <w:tc>
          <w:tcPr>
            <w:tcW w:w="3828" w:type="dxa"/>
            <w:shd w:val="clear" w:color="auto" w:fill="E5DFEC" w:themeFill="accent4" w:themeFillTint="33"/>
          </w:tcPr>
          <w:p w:rsidR="00046CF8" w:rsidRDefault="003561C2">
            <w:pPr>
              <w:rPr>
                <w:rFonts w:ascii="Times New Roman" w:hAnsi="Times New Roman" w:cs="Times New Roman"/>
                <w:b/>
                <w:i/>
                <w:noProof/>
              </w:rPr>
            </w:pPr>
            <w:r>
              <w:rPr>
                <w:rFonts w:ascii="Times New Roman" w:hAnsi="Times New Roman" w:cs="Times New Roman"/>
                <w:b/>
                <w:i/>
                <w:noProof/>
              </w:rPr>
              <w:t>2014-2020</w:t>
            </w:r>
          </w:p>
        </w:tc>
        <w:tc>
          <w:tcPr>
            <w:tcW w:w="4819" w:type="dxa"/>
            <w:shd w:val="clear" w:color="auto" w:fill="E5DFEC" w:themeFill="accent4" w:themeFillTint="33"/>
          </w:tcPr>
          <w:p w:rsidR="00046CF8" w:rsidRDefault="003561C2">
            <w:pPr>
              <w:rPr>
                <w:rFonts w:ascii="Times New Roman" w:hAnsi="Times New Roman" w:cs="Times New Roman"/>
                <w:b/>
                <w:i/>
                <w:noProof/>
              </w:rPr>
            </w:pPr>
            <w:r>
              <w:rPr>
                <w:rFonts w:ascii="Times New Roman" w:hAnsi="Times New Roman" w:cs="Times New Roman"/>
                <w:b/>
                <w:i/>
                <w:noProof/>
              </w:rPr>
              <w:t>Post-2020</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CMES 2014-2020</w:t>
            </w:r>
          </w:p>
          <w:p w:rsidR="00046CF8" w:rsidRDefault="003561C2">
            <w:pPr>
              <w:rPr>
                <w:rFonts w:ascii="Times New Roman" w:hAnsi="Times New Roman" w:cs="Times New Roman"/>
                <w:noProof/>
              </w:rPr>
            </w:pPr>
            <w:r>
              <w:rPr>
                <w:rFonts w:ascii="Times New Roman" w:hAnsi="Times New Roman" w:cs="Times New Roman"/>
                <w:noProof/>
              </w:rPr>
              <w:t>Common indicators at EMFF-level</w:t>
            </w:r>
          </w:p>
        </w:tc>
        <w:tc>
          <w:tcPr>
            <w:tcW w:w="4819"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Simplified CMES (fewer indicators)</w:t>
            </w:r>
          </w:p>
          <w:p w:rsidR="00046CF8" w:rsidRDefault="003561C2">
            <w:pPr>
              <w:rPr>
                <w:rFonts w:ascii="Times New Roman" w:hAnsi="Times New Roman" w:cs="Times New Roman"/>
                <w:noProof/>
              </w:rPr>
            </w:pPr>
            <w:r>
              <w:rPr>
                <w:rFonts w:ascii="Times New Roman" w:hAnsi="Times New Roman" w:cs="Times New Roman"/>
                <w:noProof/>
              </w:rPr>
              <w:t>Common indicators at ESIF-level and policy-level</w:t>
            </w:r>
          </w:p>
        </w:tc>
      </w:tr>
      <w:tr w:rsidR="00046CF8">
        <w:tc>
          <w:tcPr>
            <w:tcW w:w="3828"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Infosys 2014-2020</w:t>
            </w:r>
          </w:p>
        </w:tc>
        <w:tc>
          <w:tcPr>
            <w:tcW w:w="4819" w:type="dxa"/>
            <w:shd w:val="clear" w:color="auto" w:fill="B6DDE8" w:themeFill="accent5" w:themeFillTint="66"/>
          </w:tcPr>
          <w:p w:rsidR="00046CF8" w:rsidRDefault="003561C2">
            <w:pPr>
              <w:rPr>
                <w:rFonts w:ascii="Times New Roman" w:hAnsi="Times New Roman" w:cs="Times New Roman"/>
                <w:noProof/>
              </w:rPr>
            </w:pPr>
            <w:r>
              <w:rPr>
                <w:rFonts w:ascii="Times New Roman" w:hAnsi="Times New Roman" w:cs="Times New Roman"/>
                <w:noProof/>
              </w:rPr>
              <w:t>Infosys post-2020</w:t>
            </w:r>
          </w:p>
        </w:tc>
      </w:tr>
      <w:tr w:rsidR="00046CF8">
        <w:tc>
          <w:tcPr>
            <w:tcW w:w="3828" w:type="dxa"/>
            <w:shd w:val="clear" w:color="auto" w:fill="B6DDE8" w:themeFill="accent5" w:themeFillTint="66"/>
          </w:tcPr>
          <w:p w:rsidR="00046CF8" w:rsidRDefault="003561C2">
            <w:pPr>
              <w:rPr>
                <w:rFonts w:ascii="Times New Roman" w:hAnsi="Times New Roman" w:cs="Times New Roman"/>
                <w:i/>
                <w:noProof/>
              </w:rPr>
            </w:pPr>
            <w:r>
              <w:rPr>
                <w:rFonts w:ascii="Times New Roman" w:hAnsi="Times New Roman" w:cs="Times New Roman"/>
                <w:i/>
                <w:noProof/>
              </w:rPr>
              <w:t>CPR requirements:</w:t>
            </w:r>
          </w:p>
          <w:p w:rsidR="00046CF8" w:rsidRDefault="003561C2">
            <w:pPr>
              <w:rPr>
                <w:rFonts w:ascii="Times New Roman" w:hAnsi="Times New Roman" w:cs="Times New Roman"/>
                <w:noProof/>
              </w:rPr>
            </w:pPr>
            <w:r>
              <w:rPr>
                <w:rFonts w:ascii="Times New Roman" w:hAnsi="Times New Roman" w:cs="Times New Roman"/>
                <w:noProof/>
              </w:rPr>
              <w:t>Ex-ante evaluation to be done by MS</w:t>
            </w:r>
          </w:p>
          <w:p w:rsidR="00046CF8" w:rsidRDefault="003561C2">
            <w:pPr>
              <w:rPr>
                <w:rFonts w:ascii="Times New Roman" w:hAnsi="Times New Roman" w:cs="Times New Roman"/>
                <w:noProof/>
              </w:rPr>
            </w:pPr>
            <w:r>
              <w:rPr>
                <w:rFonts w:ascii="Times New Roman" w:hAnsi="Times New Roman" w:cs="Times New Roman"/>
                <w:noProof/>
              </w:rPr>
              <w:t xml:space="preserve">Evaluation during the </w:t>
            </w:r>
            <w:r>
              <w:rPr>
                <w:rFonts w:ascii="Times New Roman" w:hAnsi="Times New Roman" w:cs="Times New Roman"/>
                <w:noProof/>
              </w:rPr>
              <w:t xml:space="preserve">programming period to be done by MS. At least once during the programming period an evaluation shall assess how ESI Fund support has contributed to the objectives </w:t>
            </w:r>
          </w:p>
          <w:p w:rsidR="00046CF8" w:rsidRDefault="003561C2">
            <w:pPr>
              <w:rPr>
                <w:rFonts w:ascii="Times New Roman" w:hAnsi="Times New Roman" w:cs="Times New Roman"/>
                <w:noProof/>
              </w:rPr>
            </w:pPr>
            <w:r>
              <w:rPr>
                <w:rFonts w:ascii="Times New Roman" w:hAnsi="Times New Roman" w:cs="Times New Roman"/>
                <w:noProof/>
              </w:rPr>
              <w:t>Ex-post evaluation to be done by COM</w:t>
            </w:r>
          </w:p>
          <w:p w:rsidR="00046CF8" w:rsidRDefault="003561C2">
            <w:pPr>
              <w:rPr>
                <w:rFonts w:ascii="Times New Roman" w:hAnsi="Times New Roman" w:cs="Times New Roman"/>
                <w:noProof/>
              </w:rPr>
            </w:pPr>
            <w:r>
              <w:rPr>
                <w:rFonts w:ascii="Times New Roman" w:hAnsi="Times New Roman" w:cs="Times New Roman"/>
                <w:noProof/>
              </w:rPr>
              <w:t xml:space="preserve">Synthesis at Union level of the ex-post evaluation by </w:t>
            </w:r>
            <w:r>
              <w:rPr>
                <w:rFonts w:ascii="Times New Roman" w:hAnsi="Times New Roman" w:cs="Times New Roman"/>
                <w:noProof/>
              </w:rPr>
              <w:t>the COM</w:t>
            </w:r>
          </w:p>
        </w:tc>
        <w:tc>
          <w:tcPr>
            <w:tcW w:w="4819" w:type="dxa"/>
            <w:shd w:val="clear" w:color="auto" w:fill="B6DDE8" w:themeFill="accent5" w:themeFillTint="66"/>
          </w:tcPr>
          <w:p w:rsidR="00046CF8" w:rsidRDefault="003561C2">
            <w:pPr>
              <w:rPr>
                <w:rFonts w:ascii="Times New Roman" w:hAnsi="Times New Roman" w:cs="Times New Roman"/>
                <w:i/>
                <w:noProof/>
              </w:rPr>
            </w:pPr>
            <w:r>
              <w:rPr>
                <w:rFonts w:ascii="Times New Roman" w:hAnsi="Times New Roman" w:cs="Times New Roman"/>
                <w:i/>
                <w:noProof/>
              </w:rPr>
              <w:t>CPR requirements:</w:t>
            </w:r>
          </w:p>
          <w:p w:rsidR="00046CF8" w:rsidRDefault="00046CF8">
            <w:pPr>
              <w:rPr>
                <w:rFonts w:ascii="Times New Roman" w:hAnsi="Times New Roman" w:cs="Times New Roman"/>
                <w:noProof/>
              </w:rPr>
            </w:pPr>
          </w:p>
          <w:p w:rsidR="00046CF8" w:rsidRDefault="003561C2">
            <w:pPr>
              <w:rPr>
                <w:rFonts w:ascii="Times New Roman" w:hAnsi="Times New Roman" w:cs="Times New Roman"/>
                <w:noProof/>
              </w:rPr>
            </w:pPr>
            <w:r>
              <w:rPr>
                <w:rFonts w:ascii="Times New Roman" w:hAnsi="Times New Roman" w:cs="Times New Roman"/>
                <w:noProof/>
              </w:rPr>
              <w:t xml:space="preserve">Evaluation during the programming period to be done by MS. </w:t>
            </w:r>
          </w:p>
          <w:p w:rsidR="00046CF8" w:rsidRDefault="003561C2">
            <w:pPr>
              <w:rPr>
                <w:rFonts w:ascii="Times New Roman" w:hAnsi="Times New Roman" w:cs="Times New Roman"/>
                <w:noProof/>
              </w:rPr>
            </w:pPr>
            <w:r>
              <w:rPr>
                <w:rFonts w:ascii="Times New Roman" w:hAnsi="Times New Roman" w:cs="Times New Roman"/>
                <w:noProof/>
              </w:rPr>
              <w:t>Ex-post evaluation to be done by COM</w:t>
            </w:r>
          </w:p>
          <w:p w:rsidR="00046CF8" w:rsidRDefault="003561C2">
            <w:pPr>
              <w:rPr>
                <w:rFonts w:ascii="Times New Roman" w:hAnsi="Times New Roman" w:cs="Times New Roman"/>
                <w:noProof/>
              </w:rPr>
            </w:pPr>
            <w:r>
              <w:rPr>
                <w:rFonts w:ascii="Times New Roman" w:hAnsi="Times New Roman" w:cs="Times New Roman"/>
                <w:noProof/>
              </w:rPr>
              <w:t>Mid-term assessment to be done by COM by the end of 2025</w:t>
            </w:r>
          </w:p>
          <w:p w:rsidR="00046CF8" w:rsidRDefault="003561C2">
            <w:pPr>
              <w:rPr>
                <w:rFonts w:ascii="Times New Roman" w:hAnsi="Times New Roman" w:cs="Times New Roman"/>
                <w:noProof/>
              </w:rPr>
            </w:pPr>
            <w:r>
              <w:rPr>
                <w:rFonts w:ascii="Times New Roman" w:hAnsi="Times New Roman" w:cs="Times New Roman"/>
                <w:noProof/>
              </w:rPr>
              <w:t>Synthesis at Union level of the ex-post evaluation by the COM</w:t>
            </w:r>
          </w:p>
        </w:tc>
      </w:tr>
      <w:tr w:rsidR="00046CF8">
        <w:tc>
          <w:tcPr>
            <w:tcW w:w="3828" w:type="dxa"/>
            <w:shd w:val="clear" w:color="auto" w:fill="B6DDE8" w:themeFill="accent5" w:themeFillTint="66"/>
          </w:tcPr>
          <w:p w:rsidR="00046CF8" w:rsidRDefault="003561C2">
            <w:pPr>
              <w:rPr>
                <w:rFonts w:ascii="Times New Roman" w:hAnsi="Times New Roman" w:cs="Times New Roman"/>
                <w:i/>
                <w:noProof/>
              </w:rPr>
            </w:pPr>
            <w:r>
              <w:rPr>
                <w:rFonts w:ascii="Times New Roman" w:hAnsi="Times New Roman" w:cs="Times New Roman"/>
                <w:i/>
                <w:noProof/>
              </w:rPr>
              <w:t>Policy-level</w:t>
            </w:r>
            <w:r>
              <w:rPr>
                <w:rFonts w:ascii="Times New Roman" w:hAnsi="Times New Roman" w:cs="Times New Roman"/>
                <w:i/>
                <w:noProof/>
              </w:rPr>
              <w:t xml:space="preserve"> requirements:</w:t>
            </w:r>
          </w:p>
          <w:p w:rsidR="00046CF8" w:rsidRDefault="003561C2">
            <w:pPr>
              <w:rPr>
                <w:rFonts w:ascii="Times New Roman" w:hAnsi="Times New Roman" w:cs="Times New Roman"/>
                <w:noProof/>
              </w:rPr>
            </w:pPr>
            <w:r>
              <w:rPr>
                <w:rFonts w:ascii="Times New Roman" w:hAnsi="Times New Roman" w:cs="Times New Roman"/>
                <w:noProof/>
              </w:rPr>
              <w:t>Ex-ante evaluation to be done by MS</w:t>
            </w:r>
          </w:p>
          <w:p w:rsidR="00046CF8" w:rsidRDefault="003561C2">
            <w:pPr>
              <w:rPr>
                <w:rFonts w:ascii="Times New Roman" w:hAnsi="Times New Roman" w:cs="Times New Roman"/>
                <w:noProof/>
              </w:rPr>
            </w:pPr>
            <w:r>
              <w:rPr>
                <w:rFonts w:ascii="Times New Roman" w:hAnsi="Times New Roman" w:cs="Times New Roman"/>
                <w:noProof/>
              </w:rPr>
              <w:t>Ex-post evaluation to be done by COM</w:t>
            </w:r>
          </w:p>
          <w:p w:rsidR="00046CF8" w:rsidRDefault="003561C2">
            <w:pPr>
              <w:rPr>
                <w:rFonts w:ascii="Times New Roman" w:hAnsi="Times New Roman" w:cs="Times New Roman"/>
                <w:noProof/>
              </w:rPr>
            </w:pPr>
            <w:r>
              <w:rPr>
                <w:rFonts w:ascii="Times New Roman" w:hAnsi="Times New Roman" w:cs="Times New Roman"/>
                <w:noProof/>
              </w:rPr>
              <w:t xml:space="preserve">Synthesis at Union level of the ex-post evaluation by the COM </w:t>
            </w:r>
          </w:p>
        </w:tc>
        <w:tc>
          <w:tcPr>
            <w:tcW w:w="4819" w:type="dxa"/>
            <w:shd w:val="clear" w:color="auto" w:fill="B6DDE8" w:themeFill="accent5" w:themeFillTint="66"/>
          </w:tcPr>
          <w:p w:rsidR="00046CF8" w:rsidRDefault="003561C2">
            <w:pPr>
              <w:rPr>
                <w:rFonts w:ascii="Times New Roman" w:hAnsi="Times New Roman" w:cs="Times New Roman"/>
                <w:i/>
                <w:noProof/>
              </w:rPr>
            </w:pPr>
            <w:r>
              <w:rPr>
                <w:rFonts w:ascii="Times New Roman" w:hAnsi="Times New Roman" w:cs="Times New Roman"/>
                <w:i/>
                <w:noProof/>
              </w:rPr>
              <w:t>Policy-level requirements:</w:t>
            </w:r>
          </w:p>
          <w:p w:rsidR="00046CF8" w:rsidRDefault="003561C2">
            <w:pPr>
              <w:rPr>
                <w:rFonts w:ascii="Times New Roman" w:hAnsi="Times New Roman" w:cs="Times New Roman"/>
                <w:noProof/>
              </w:rPr>
            </w:pPr>
            <w:r>
              <w:rPr>
                <w:rFonts w:ascii="Times New Roman" w:hAnsi="Times New Roman" w:cs="Times New Roman"/>
                <w:noProof/>
              </w:rPr>
              <w:t>None. All requirements moved to the CPR and common to all ESI Funds.</w:t>
            </w:r>
          </w:p>
        </w:tc>
      </w:tr>
    </w:tbl>
    <w:p w:rsidR="00046CF8" w:rsidRDefault="00046CF8">
      <w:pPr>
        <w:spacing w:after="0"/>
        <w:jc w:val="both"/>
        <w:rPr>
          <w:rFonts w:ascii="Times New Roman" w:hAnsi="Times New Roman" w:cs="Times New Roman"/>
          <w:noProof/>
          <w:sz w:val="20"/>
          <w:szCs w:val="20"/>
        </w:rPr>
      </w:pPr>
    </w:p>
    <w:p w:rsidR="00046CF8" w:rsidRDefault="003561C2">
      <w:pPr>
        <w:rPr>
          <w:rFonts w:ascii="Times New Roman" w:hAnsi="Times New Roman" w:cs="Times New Roman"/>
          <w:noProof/>
          <w:sz w:val="20"/>
          <w:szCs w:val="20"/>
        </w:rPr>
      </w:pPr>
      <w:r>
        <w:rPr>
          <w:rFonts w:ascii="Times New Roman" w:hAnsi="Times New Roman" w:cs="Times New Roman"/>
          <w:noProof/>
          <w:sz w:val="20"/>
          <w:szCs w:val="20"/>
        </w:rPr>
        <w:br w:type="page"/>
      </w:r>
    </w:p>
    <w:p w:rsidR="00046CF8" w:rsidRDefault="003561C2">
      <w:pPr>
        <w:pStyle w:val="Heading1"/>
        <w:numPr>
          <w:ilvl w:val="0"/>
          <w:numId w:val="0"/>
        </w:numPr>
        <w:spacing w:after="0"/>
        <w:ind w:left="480"/>
        <w:rPr>
          <w:noProof/>
          <w:lang w:eastAsia="en-GB"/>
        </w:rPr>
      </w:pPr>
      <w:bookmarkStart w:id="20" w:name="_Toc514507419"/>
      <w:r>
        <w:rPr>
          <w:noProof/>
          <w:lang w:eastAsia="en-GB"/>
        </w:rPr>
        <w:t>Annex</w:t>
      </w:r>
      <w:r>
        <w:rPr>
          <w:noProof/>
          <w:lang w:eastAsia="en-GB"/>
        </w:rPr>
        <w:t xml:space="preserve"> 1: Procedural information</w:t>
      </w:r>
      <w:bookmarkEnd w:id="20"/>
    </w:p>
    <w:p w:rsidR="00046CF8" w:rsidRDefault="00046CF8">
      <w:pPr>
        <w:spacing w:after="0"/>
        <w:rPr>
          <w:noProof/>
          <w:lang w:eastAsia="en-GB"/>
        </w:rPr>
      </w:pPr>
    </w:p>
    <w:p w:rsidR="00046CF8" w:rsidRDefault="003561C2">
      <w:pPr>
        <w:pStyle w:val="ListParagraph"/>
        <w:numPr>
          <w:ilvl w:val="0"/>
          <w:numId w:val="43"/>
        </w:numPr>
        <w:spacing w:after="240" w:line="240" w:lineRule="auto"/>
        <w:jc w:val="both"/>
        <w:rPr>
          <w:rFonts w:ascii="Times New Roman" w:hAnsi="Times New Roman" w:cs="Times New Roman"/>
          <w:noProof/>
          <w:sz w:val="24"/>
          <w:szCs w:val="24"/>
        </w:rPr>
      </w:pPr>
      <w:bookmarkStart w:id="21" w:name="_Toc471997754"/>
      <w:r>
        <w:rPr>
          <w:rFonts w:ascii="Times New Roman" w:hAnsi="Times New Roman" w:cs="Times New Roman"/>
          <w:noProof/>
          <w:sz w:val="24"/>
          <w:szCs w:val="24"/>
        </w:rPr>
        <w:t>Organisation and timing</w:t>
      </w:r>
    </w:p>
    <w:bookmarkEnd w:id="21"/>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Directorate-General for for Maritime Affairs and Fisheries (DG MARE) is the lead service for the preparation of the initiative and the work on the impact assessment.</w:t>
      </w:r>
      <w:bookmarkStart w:id="22" w:name="_Toc471997755"/>
    </w:p>
    <w:bookmarkEnd w:id="22"/>
    <w:p w:rsidR="00046CF8" w:rsidRDefault="003561C2">
      <w:pPr>
        <w:pStyle w:val="ListParagraph"/>
        <w:spacing w:before="120" w:after="120"/>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DG MARE has used the new template </w:t>
      </w:r>
      <w:r>
        <w:rPr>
          <w:rFonts w:ascii="Times New Roman" w:hAnsi="Times New Roman" w:cs="Times New Roman"/>
          <w:noProof/>
          <w:sz w:val="24"/>
          <w:szCs w:val="24"/>
        </w:rPr>
        <w:t xml:space="preserve">for impact assessments supporting programme proposals of the next Multi-annual Financial Framework </w:t>
      </w:r>
      <w:r>
        <w:rPr>
          <w:rFonts w:ascii="Times New Roman" w:hAnsi="Times New Roman" w:cs="Times New Roman"/>
          <w:noProof/>
          <w:color w:val="000000"/>
          <w:sz w:val="24"/>
          <w:szCs w:val="24"/>
        </w:rPr>
        <w:t xml:space="preserve">as sent in ARES on 15/01/18 (Ares(2018)239380). </w:t>
      </w:r>
    </w:p>
    <w:p w:rsidR="00046CF8" w:rsidRDefault="003561C2">
      <w:pPr>
        <w:pStyle w:val="ListParagraph"/>
        <w:spacing w:before="120" w:after="120"/>
        <w:ind w:left="0"/>
        <w:contextualSpacing w:val="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An </w:t>
      </w:r>
      <w:r>
        <w:rPr>
          <w:rFonts w:ascii="Times New Roman" w:hAnsi="Times New Roman" w:cs="Times New Roman"/>
          <w:noProof/>
          <w:color w:val="000000"/>
          <w:sz w:val="24"/>
          <w:szCs w:val="24"/>
        </w:rPr>
        <w:t xml:space="preserve">inter-service steering group (ISSG), chaired by the Secretariat-General, was set up in January 2018 with </w:t>
      </w:r>
      <w:r>
        <w:rPr>
          <w:rFonts w:ascii="Times New Roman" w:hAnsi="Times New Roman" w:cs="Times New Roman"/>
          <w:noProof/>
          <w:color w:val="000000"/>
          <w:sz w:val="24"/>
          <w:szCs w:val="24"/>
        </w:rPr>
        <w:t xml:space="preserve">the invitations sent out to the following Commission Directorates-General: Legal Service; DG Competition; DG Employment, Social Affairs and Inclusion; DG Energy; DG Neighbourhood and Enlargement Negotiations; DG Economic and Financial Affairs; DG </w:t>
      </w:r>
      <w:r>
        <w:rPr>
          <w:rFonts w:ascii="Times New Roman" w:hAnsi="Times New Roman" w:cs="Times New Roman"/>
          <w:noProof/>
          <w:sz w:val="24"/>
          <w:szCs w:val="24"/>
        </w:rPr>
        <w:t>for Mobil</w:t>
      </w:r>
      <w:r>
        <w:rPr>
          <w:rFonts w:ascii="Times New Roman" w:hAnsi="Times New Roman" w:cs="Times New Roman"/>
          <w:noProof/>
          <w:sz w:val="24"/>
          <w:szCs w:val="24"/>
        </w:rPr>
        <w:t xml:space="preserve">ity and Transport; DG </w:t>
      </w:r>
      <w:r>
        <w:rPr>
          <w:rFonts w:ascii="Times New Roman" w:hAnsi="Times New Roman" w:cs="Times New Roman"/>
          <w:noProof/>
          <w:color w:val="000000"/>
          <w:sz w:val="24"/>
          <w:szCs w:val="24"/>
        </w:rPr>
        <w:t xml:space="preserve">Environment; </w:t>
      </w:r>
      <w:r>
        <w:rPr>
          <w:rFonts w:ascii="Times New Roman" w:hAnsi="Times New Roman" w:cs="Times New Roman"/>
          <w:noProof/>
          <w:sz w:val="24"/>
          <w:szCs w:val="24"/>
        </w:rPr>
        <w:t>DG</w:t>
      </w:r>
      <w:r>
        <w:rPr>
          <w:rFonts w:ascii="Times New Roman" w:hAnsi="Times New Roman" w:cs="Times New Roman"/>
          <w:noProof/>
          <w:color w:val="000000"/>
          <w:sz w:val="24"/>
          <w:szCs w:val="24"/>
        </w:rPr>
        <w:t xml:space="preserve"> Climate Action; </w:t>
      </w:r>
      <w:r>
        <w:rPr>
          <w:rFonts w:ascii="Times New Roman" w:hAnsi="Times New Roman" w:cs="Times New Roman"/>
          <w:noProof/>
          <w:sz w:val="24"/>
          <w:szCs w:val="24"/>
        </w:rPr>
        <w:t xml:space="preserve">DG </w:t>
      </w:r>
      <w:r>
        <w:rPr>
          <w:rFonts w:ascii="Times New Roman" w:hAnsi="Times New Roman" w:cs="Times New Roman"/>
          <w:noProof/>
          <w:color w:val="000000"/>
          <w:sz w:val="24"/>
          <w:szCs w:val="24"/>
        </w:rPr>
        <w:t>Taxation and Customs Union; DG Regional and Urban Policy; DG Health and Food Safety; DG Agriculture and Rural Development; DG Communication; DG Communication Networks, Content and Technology; DG Fina</w:t>
      </w:r>
      <w:r>
        <w:rPr>
          <w:rFonts w:ascii="Times New Roman" w:hAnsi="Times New Roman" w:cs="Times New Roman"/>
          <w:noProof/>
          <w:color w:val="000000"/>
          <w:sz w:val="24"/>
          <w:szCs w:val="24"/>
        </w:rPr>
        <w:t>ncial Stability, Financial Services and Capital Markets Union; DG Trade; DG International Cooperation and Development; DG Internal Market, Industry, Entrepreneurship and SMEs; DG Budget; DG Research and Innovation; DG Informatics; DG Human Resources and Se</w:t>
      </w:r>
      <w:r>
        <w:rPr>
          <w:rFonts w:ascii="Times New Roman" w:hAnsi="Times New Roman" w:cs="Times New Roman"/>
          <w:noProof/>
          <w:color w:val="000000"/>
          <w:sz w:val="24"/>
          <w:szCs w:val="24"/>
        </w:rPr>
        <w:t xml:space="preserve">curity; Joint Research Centre; Eurostat and the Internal Audit Service. Invitation was also sent to the European External Action Service. </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first ISSG meeting dedicated to the preparation of the fisheries and maritime policies post-2020 was held on 2</w:t>
      </w:r>
      <w:r>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w:t>
      </w:r>
      <w:r>
        <w:rPr>
          <w:rFonts w:ascii="Times New Roman" w:hAnsi="Times New Roman" w:cs="Times New Roman"/>
          <w:noProof/>
          <w:sz w:val="24"/>
          <w:szCs w:val="24"/>
        </w:rPr>
        <w:t>February 2018. The first meeting was dedicated to the discussion of the inception impact assessment and the draft impact assessment. The second meeting of the ISSG was held on 23</w:t>
      </w:r>
      <w:r>
        <w:rPr>
          <w:rFonts w:ascii="Times New Roman" w:hAnsi="Times New Roman" w:cs="Times New Roman"/>
          <w:noProof/>
          <w:sz w:val="24"/>
          <w:szCs w:val="24"/>
          <w:vertAlign w:val="superscript"/>
        </w:rPr>
        <w:t xml:space="preserve">rd </w:t>
      </w:r>
      <w:r>
        <w:rPr>
          <w:rFonts w:ascii="Times New Roman" w:hAnsi="Times New Roman" w:cs="Times New Roman"/>
          <w:noProof/>
          <w:sz w:val="24"/>
          <w:szCs w:val="24"/>
        </w:rPr>
        <w:t>February and covered the complete draft IA report including the annexes.</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w:t>
      </w:r>
      <w:r>
        <w:rPr>
          <w:rFonts w:ascii="Times New Roman" w:hAnsi="Times New Roman" w:cs="Times New Roman"/>
          <w:noProof/>
          <w:sz w:val="24"/>
          <w:szCs w:val="24"/>
        </w:rPr>
        <w:t xml:space="preserve">e formal presentation of the Impact Assessment to the RSB is planned for 11 April 2018 with the opinion from the RSB planned for 13 April 2018. Afterwards, the inter-service consultation will be launched for two weeks (16 – 27 April 2018). </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adoption of</w:t>
      </w:r>
      <w:r>
        <w:rPr>
          <w:rFonts w:ascii="Times New Roman" w:hAnsi="Times New Roman" w:cs="Times New Roman"/>
          <w:noProof/>
          <w:sz w:val="24"/>
          <w:szCs w:val="24"/>
        </w:rPr>
        <w:t xml:space="preserve"> the MFF is foreseen for the beginning of May 2018 and the EMFF legislative proposal will follow afterwards. </w:t>
      </w:r>
    </w:p>
    <w:p w:rsidR="00046CF8" w:rsidRDefault="003561C2">
      <w:pPr>
        <w:pStyle w:val="ListBullet"/>
        <w:numPr>
          <w:ilvl w:val="0"/>
          <w:numId w:val="0"/>
        </w:numPr>
        <w:rPr>
          <w:noProof/>
          <w:szCs w:val="24"/>
        </w:rPr>
      </w:pPr>
      <w:r>
        <w:rPr>
          <w:noProof/>
          <w:szCs w:val="24"/>
        </w:rPr>
        <w:t xml:space="preserve">DG MARE will also start preparing the outreach once the new EMFF is adopted. A first presentation and discussion could take place in the informal </w:t>
      </w:r>
      <w:r>
        <w:rPr>
          <w:noProof/>
          <w:szCs w:val="24"/>
        </w:rPr>
        <w:t xml:space="preserve">DG meetings planned by the AT Presidency in early July. </w:t>
      </w:r>
    </w:p>
    <w:p w:rsidR="00046CF8" w:rsidRDefault="003561C2">
      <w:pPr>
        <w:pStyle w:val="ListParagraph"/>
        <w:numPr>
          <w:ilvl w:val="0"/>
          <w:numId w:val="43"/>
        </w:numPr>
        <w:spacing w:after="240" w:line="240" w:lineRule="auto"/>
        <w:jc w:val="both"/>
        <w:rPr>
          <w:rFonts w:ascii="Times New Roman" w:hAnsi="Times New Roman" w:cs="Times New Roman"/>
          <w:noProof/>
          <w:sz w:val="24"/>
          <w:szCs w:val="24"/>
        </w:rPr>
      </w:pPr>
      <w:bookmarkStart w:id="23" w:name="_Toc471997757"/>
      <w:r>
        <w:rPr>
          <w:rFonts w:ascii="Times New Roman" w:hAnsi="Times New Roman" w:cs="Times New Roman"/>
          <w:noProof/>
          <w:sz w:val="24"/>
          <w:szCs w:val="24"/>
        </w:rPr>
        <w:t>Consultation of the RSB</w:t>
      </w:r>
      <w:bookmarkEnd w:id="23"/>
    </w:p>
    <w:p w:rsidR="00046CF8" w:rsidRDefault="003561C2">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DG MARE held an upstream meeting with the Regulatory Scrutiny Board (RSB) and the SG on 19 January, with the participation of DG BUDG and JRC. The purpose of the meeting was t</w:t>
      </w:r>
      <w:r>
        <w:rPr>
          <w:rFonts w:ascii="Times New Roman" w:eastAsia="Times New Roman" w:hAnsi="Times New Roman" w:cs="Times New Roman"/>
          <w:noProof/>
          <w:sz w:val="24"/>
          <w:szCs w:val="24"/>
        </w:rPr>
        <w:t xml:space="preserve">o clarify expectations for the Impact Assessment for post-2020 EMFF, in particular in light of the revised template circulated by the SG. </w:t>
      </w:r>
    </w:p>
    <w:p w:rsidR="00046CF8" w:rsidRDefault="003561C2">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RSB acknowledged the challenge of the exercise when a number of important political decisions still need to be taken.</w:t>
      </w:r>
      <w:r>
        <w:rPr>
          <w:rFonts w:ascii="Times New Roman" w:eastAsia="Times New Roman" w:hAnsi="Times New Roman" w:cs="Times New Roman"/>
          <w:noProof/>
          <w:sz w:val="24"/>
          <w:szCs w:val="24"/>
        </w:rPr>
        <w:t xml:space="preserve"> RSB noted that any political guidance included in the future MFF framework including on the future funding structure should be the starting point from this assumption.</w:t>
      </w:r>
    </w:p>
    <w:p w:rsidR="00046CF8" w:rsidRDefault="003561C2">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RSB informed that the reference point should be the annual average amount of the curren</w:t>
      </w:r>
      <w:r>
        <w:rPr>
          <w:rFonts w:ascii="Times New Roman" w:eastAsia="Times New Roman" w:hAnsi="Times New Roman" w:cs="Times New Roman"/>
          <w:noProof/>
          <w:sz w:val="24"/>
          <w:szCs w:val="24"/>
        </w:rPr>
        <w:t xml:space="preserve">t MFF. In case there are significant changes in later decisions on the MFF, the IA might have to be adjusted. It also has to be complemented at a later stage in order to include the budget because of the requirements of the Financial Regulation. </w:t>
      </w:r>
    </w:p>
    <w:p w:rsidR="00046CF8" w:rsidRDefault="003561C2">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RSB a</w:t>
      </w:r>
      <w:r>
        <w:rPr>
          <w:rFonts w:ascii="Times New Roman" w:eastAsia="Times New Roman" w:hAnsi="Times New Roman" w:cs="Times New Roman"/>
          <w:noProof/>
          <w:sz w:val="24"/>
          <w:szCs w:val="24"/>
        </w:rPr>
        <w:t>nd the SG informed DG MARE that there is no more need to present three budgetary options</w:t>
      </w:r>
      <w:r>
        <w:rPr>
          <w:rStyle w:val="FootnoteReference"/>
          <w:rFonts w:ascii="Times New Roman" w:hAnsi="Times New Roman" w:cs="Times New Roman"/>
          <w:noProof/>
          <w:sz w:val="24"/>
          <w:szCs w:val="24"/>
        </w:rPr>
        <w:footnoteReference w:id="73"/>
      </w:r>
      <w:r>
        <w:rPr>
          <w:rFonts w:ascii="Times New Roman" w:eastAsia="Times New Roman" w:hAnsi="Times New Roman" w:cs="Times New Roman"/>
          <w:noProof/>
          <w:sz w:val="24"/>
          <w:szCs w:val="24"/>
        </w:rPr>
        <w:t xml:space="preserve"> and compare them but to assess the impact of the changes compared to the current situation. A date will be booked with the RSB between 11 and 13 April for the present</w:t>
      </w:r>
      <w:r>
        <w:rPr>
          <w:rFonts w:ascii="Times New Roman" w:eastAsia="Times New Roman" w:hAnsi="Times New Roman" w:cs="Times New Roman"/>
          <w:noProof/>
          <w:sz w:val="24"/>
          <w:szCs w:val="24"/>
        </w:rPr>
        <w:t>ation of the Impact Assessment to the Board.</w:t>
      </w:r>
    </w:p>
    <w:p w:rsidR="00046CF8" w:rsidRDefault="003561C2">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board made the </w:t>
      </w:r>
      <w:r>
        <w:rPr>
          <w:rFonts w:ascii="Times New Roman" w:eastAsia="Times New Roman" w:hAnsi="Times New Roman" w:cs="Times New Roman"/>
          <w:noProof/>
          <w:sz w:val="24"/>
          <w:szCs w:val="24"/>
          <w:u w:val="single"/>
        </w:rPr>
        <w:t>following recommendations</w:t>
      </w:r>
      <w:r>
        <w:rPr>
          <w:rFonts w:ascii="Times New Roman" w:eastAsia="Times New Roman" w:hAnsi="Times New Roman" w:cs="Times New Roman"/>
          <w:noProof/>
          <w:sz w:val="24"/>
          <w:szCs w:val="24"/>
        </w:rPr>
        <w:t xml:space="preserve"> which have all been addressed in the revised IA report: </w:t>
      </w:r>
    </w:p>
    <w:p w:rsidR="00046CF8" w:rsidRDefault="00046CF8">
      <w:pPr>
        <w:spacing w:after="120" w:line="240" w:lineRule="auto"/>
        <w:jc w:val="both"/>
        <w:rPr>
          <w:rFonts w:ascii="Times New Roman" w:eastAsia="Times New Roman" w:hAnsi="Times New Roman" w:cs="Times New Roman"/>
          <w:noProof/>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046CF8">
        <w:tc>
          <w:tcPr>
            <w:tcW w:w="5387" w:type="dxa"/>
            <w:shd w:val="clear" w:color="auto" w:fill="auto"/>
          </w:tcPr>
          <w:p w:rsidR="00046CF8" w:rsidRDefault="003561C2">
            <w:pPr>
              <w:spacing w:after="120"/>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RSB recommendations</w:t>
            </w:r>
          </w:p>
        </w:tc>
        <w:tc>
          <w:tcPr>
            <w:tcW w:w="3685" w:type="dxa"/>
            <w:shd w:val="clear" w:color="auto" w:fill="auto"/>
          </w:tcPr>
          <w:p w:rsidR="00046CF8" w:rsidRDefault="003561C2">
            <w:pPr>
              <w:spacing w:after="120"/>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IA report</w:t>
            </w:r>
          </w:p>
        </w:tc>
      </w:tr>
      <w:tr w:rsidR="00046CF8">
        <w:tc>
          <w:tcPr>
            <w:tcW w:w="5387" w:type="dxa"/>
            <w:shd w:val="clear" w:color="auto" w:fill="DBE5F1"/>
          </w:tcPr>
          <w:p w:rsidR="00046CF8" w:rsidRDefault="003561C2">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(1) The IA has to start from the decisions that remain to be taken and that are not in the MFF communication. The DG has to look at options if there are still options left after the MFF Communication. These should mainly to assess the changes compared to t</w:t>
            </w:r>
            <w:r>
              <w:rPr>
                <w:rFonts w:ascii="Times New Roman" w:eastAsia="Calibri" w:hAnsi="Times New Roman" w:cs="Times New Roman"/>
                <w:noProof/>
                <w:sz w:val="24"/>
                <w:szCs w:val="24"/>
              </w:rPr>
              <w:t xml:space="preserve">he current programmes. They should focus on both on the overall programme priorities and structure, and on the implementation methods and delivery mechanisms.  </w:t>
            </w:r>
          </w:p>
        </w:tc>
        <w:tc>
          <w:tcPr>
            <w:tcW w:w="3685" w:type="dxa"/>
            <w:shd w:val="clear" w:color="auto" w:fill="DBE5F1"/>
          </w:tcPr>
          <w:p w:rsidR="00046CF8" w:rsidRDefault="003561C2">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Addressed in the IA.</w:t>
            </w:r>
          </w:p>
        </w:tc>
      </w:tr>
      <w:tr w:rsidR="00046CF8">
        <w:tc>
          <w:tcPr>
            <w:tcW w:w="5387" w:type="dxa"/>
            <w:shd w:val="clear" w:color="auto" w:fill="auto"/>
          </w:tcPr>
          <w:p w:rsidR="00046CF8" w:rsidRDefault="003561C2">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(2) The IA should address the cross-cutting issues of the new MFF exercis</w:t>
            </w:r>
            <w:r>
              <w:rPr>
                <w:rFonts w:ascii="Times New Roman" w:eastAsia="Calibri" w:hAnsi="Times New Roman" w:cs="Times New Roman"/>
                <w:noProof/>
                <w:sz w:val="24"/>
                <w:szCs w:val="24"/>
              </w:rPr>
              <w:t>e, flexibility, coherence and performance, as well as the scope of the actions. On this, the DG may have to look at various options. Such options can discuss various ways of funding, including funding outside of the MFF and financial instruments. The DG re</w:t>
            </w:r>
            <w:r>
              <w:rPr>
                <w:rFonts w:ascii="Times New Roman" w:eastAsia="Calibri" w:hAnsi="Times New Roman" w:cs="Times New Roman"/>
                <w:noProof/>
                <w:sz w:val="24"/>
                <w:szCs w:val="24"/>
              </w:rPr>
              <w:t>sponded that they aim to move towards simplification and more result-based management. RSB emphasised that flexibility always has pros and cons and that the DG needs to outline these transparently.</w:t>
            </w:r>
          </w:p>
        </w:tc>
        <w:tc>
          <w:tcPr>
            <w:tcW w:w="3685" w:type="dxa"/>
            <w:shd w:val="clear" w:color="auto" w:fill="auto"/>
          </w:tcPr>
          <w:p w:rsidR="00046CF8" w:rsidRDefault="003561C2">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Addressed in the IA.</w:t>
            </w:r>
          </w:p>
        </w:tc>
      </w:tr>
      <w:tr w:rsidR="00046CF8">
        <w:tc>
          <w:tcPr>
            <w:tcW w:w="5387" w:type="dxa"/>
            <w:shd w:val="clear" w:color="auto" w:fill="DBE5F1"/>
          </w:tcPr>
          <w:p w:rsidR="00046CF8" w:rsidRDefault="003561C2">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(3) RSB explained that if the DG bel</w:t>
            </w:r>
            <w:r>
              <w:rPr>
                <w:rFonts w:ascii="Times New Roman" w:eastAsia="Calibri" w:hAnsi="Times New Roman" w:cs="Times New Roman"/>
                <w:noProof/>
                <w:sz w:val="24"/>
                <w:szCs w:val="24"/>
              </w:rPr>
              <w:t>ieves there is a minimum critical mass of the funding that is necessary to deliver the key objectives, they should outline this in the IA.</w:t>
            </w:r>
          </w:p>
        </w:tc>
        <w:tc>
          <w:tcPr>
            <w:tcW w:w="3685" w:type="dxa"/>
            <w:shd w:val="clear" w:color="auto" w:fill="DBE5F1"/>
          </w:tcPr>
          <w:p w:rsidR="00046CF8" w:rsidRDefault="003561C2">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Not applicable. </w:t>
            </w:r>
          </w:p>
        </w:tc>
      </w:tr>
      <w:tr w:rsidR="00046CF8">
        <w:tc>
          <w:tcPr>
            <w:tcW w:w="5387" w:type="dxa"/>
            <w:shd w:val="clear" w:color="auto" w:fill="auto"/>
          </w:tcPr>
          <w:p w:rsidR="00046CF8" w:rsidRDefault="003561C2">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(4) RSB indicated that new priorities or changes in the focus of the policies would need to be reflected in the first block of the impact assessment on the structure of the programme. It emphasised that the synergies with other policies have to be more exp</w:t>
            </w:r>
            <w:r>
              <w:rPr>
                <w:rFonts w:ascii="Times New Roman" w:eastAsia="Calibri" w:hAnsi="Times New Roman" w:cs="Times New Roman"/>
                <w:noProof/>
                <w:sz w:val="24"/>
                <w:szCs w:val="24"/>
              </w:rPr>
              <w:t xml:space="preserve">licit, as the evaluation concluded. </w:t>
            </w:r>
          </w:p>
        </w:tc>
        <w:tc>
          <w:tcPr>
            <w:tcW w:w="3685" w:type="dxa"/>
            <w:shd w:val="clear" w:color="auto" w:fill="auto"/>
          </w:tcPr>
          <w:p w:rsidR="00046CF8" w:rsidRDefault="003561C2">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Addressed in the IA.</w:t>
            </w:r>
          </w:p>
        </w:tc>
      </w:tr>
      <w:tr w:rsidR="00046CF8">
        <w:tc>
          <w:tcPr>
            <w:tcW w:w="5387" w:type="dxa"/>
            <w:shd w:val="clear" w:color="auto" w:fill="DBE5F1"/>
          </w:tcPr>
          <w:p w:rsidR="00046CF8" w:rsidRDefault="003561C2">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(5) RSB explained that the assessment of impacts should focus on the implications of the new features and not the overall impact of the funding itself: what the DG expects the programme will delive</w:t>
            </w:r>
            <w:r>
              <w:rPr>
                <w:rFonts w:ascii="Times New Roman" w:eastAsia="Calibri" w:hAnsi="Times New Roman" w:cs="Times New Roman"/>
                <w:noProof/>
                <w:sz w:val="24"/>
                <w:szCs w:val="24"/>
              </w:rPr>
              <w:t xml:space="preserve">r following the changes. The impact section needs to analyse the effects of various changes on national administration (burden), the fishery business, and more. </w:t>
            </w:r>
          </w:p>
        </w:tc>
        <w:tc>
          <w:tcPr>
            <w:tcW w:w="3685" w:type="dxa"/>
            <w:shd w:val="clear" w:color="auto" w:fill="DBE5F1"/>
          </w:tcPr>
          <w:p w:rsidR="00046CF8" w:rsidRDefault="003561C2">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Addressed in the IA.</w:t>
            </w:r>
          </w:p>
        </w:tc>
      </w:tr>
      <w:tr w:rsidR="00046CF8">
        <w:tc>
          <w:tcPr>
            <w:tcW w:w="5387" w:type="dxa"/>
            <w:shd w:val="clear" w:color="auto" w:fill="auto"/>
          </w:tcPr>
          <w:p w:rsidR="00046CF8" w:rsidRDefault="003561C2">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(6) RSB emphasised that the IA has to be linked to evaluation results and future challenges. It asked for absolute clarity in the IA on the sources of the lessons learned for the future, if these are previous evaluations, ongoing evaluations and/or consult</w:t>
            </w:r>
            <w:r>
              <w:rPr>
                <w:rFonts w:ascii="Times New Roman" w:eastAsia="Calibri" w:hAnsi="Times New Roman" w:cs="Times New Roman"/>
                <w:noProof/>
                <w:sz w:val="24"/>
                <w:szCs w:val="24"/>
              </w:rPr>
              <w:t xml:space="preserve">ation efforts. </w:t>
            </w:r>
          </w:p>
        </w:tc>
        <w:tc>
          <w:tcPr>
            <w:tcW w:w="3685" w:type="dxa"/>
            <w:shd w:val="clear" w:color="auto" w:fill="auto"/>
          </w:tcPr>
          <w:p w:rsidR="00046CF8" w:rsidRDefault="003561C2">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Addressed in the IA.</w:t>
            </w:r>
          </w:p>
        </w:tc>
      </w:tr>
      <w:tr w:rsidR="00046CF8">
        <w:tc>
          <w:tcPr>
            <w:tcW w:w="5387" w:type="dxa"/>
            <w:shd w:val="clear" w:color="auto" w:fill="DBE5F1"/>
          </w:tcPr>
          <w:p w:rsidR="00046CF8" w:rsidRDefault="003561C2">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(7) RSB mentioned in this context that evaluations of the MFF of the previous period are often based on very little evidence, mainly on stakeholder views. For this reason, strong monitoring and evaluation provisions ar</w:t>
            </w:r>
            <w:r>
              <w:rPr>
                <w:rFonts w:ascii="Times New Roman" w:eastAsia="Calibri" w:hAnsi="Times New Roman" w:cs="Times New Roman"/>
                <w:noProof/>
                <w:sz w:val="24"/>
                <w:szCs w:val="24"/>
              </w:rPr>
              <w:t>e of high importance for the new impact assessment. These provisions have to be very specific, not only on types of indicators, but also on realistic methods of data collection. The DG furthermore needs to identify how they are going to measure the success</w:t>
            </w:r>
            <w:r>
              <w:rPr>
                <w:rFonts w:ascii="Times New Roman" w:eastAsia="Calibri" w:hAnsi="Times New Roman" w:cs="Times New Roman"/>
                <w:noProof/>
                <w:sz w:val="24"/>
                <w:szCs w:val="24"/>
              </w:rPr>
              <w:t xml:space="preserve"> of the policy. This is where they will have to think of the indicators for the overall impact of the policy.</w:t>
            </w:r>
          </w:p>
        </w:tc>
        <w:tc>
          <w:tcPr>
            <w:tcW w:w="3685" w:type="dxa"/>
            <w:shd w:val="clear" w:color="auto" w:fill="DBE5F1"/>
          </w:tcPr>
          <w:p w:rsidR="00046CF8" w:rsidRDefault="003561C2">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Addressed in the IA.</w:t>
            </w:r>
          </w:p>
        </w:tc>
      </w:tr>
    </w:tbl>
    <w:p w:rsidR="00046CF8" w:rsidRDefault="00046CF8">
      <w:pPr>
        <w:spacing w:after="120"/>
        <w:jc w:val="both"/>
        <w:rPr>
          <w:rFonts w:ascii="Times New Roman" w:eastAsia="Times New Roman" w:hAnsi="Times New Roman" w:cs="Times New Roman"/>
          <w:noProof/>
          <w:sz w:val="24"/>
          <w:szCs w:val="24"/>
        </w:rPr>
      </w:pPr>
    </w:p>
    <w:p w:rsidR="00046CF8" w:rsidRDefault="003561C2">
      <w:pPr>
        <w:pStyle w:val="ListParagraph"/>
        <w:numPr>
          <w:ilvl w:val="0"/>
          <w:numId w:val="44"/>
        </w:numPr>
        <w:spacing w:after="240" w:line="240" w:lineRule="auto"/>
        <w:jc w:val="both"/>
        <w:rPr>
          <w:rFonts w:ascii="Times New Roman" w:hAnsi="Times New Roman" w:cs="Times New Roman"/>
          <w:noProof/>
          <w:sz w:val="24"/>
          <w:szCs w:val="24"/>
        </w:rPr>
      </w:pPr>
      <w:bookmarkStart w:id="24" w:name="_Toc471997758"/>
      <w:r>
        <w:rPr>
          <w:rFonts w:ascii="Times New Roman" w:hAnsi="Times New Roman" w:cs="Times New Roman"/>
          <w:noProof/>
          <w:sz w:val="24"/>
          <w:szCs w:val="24"/>
        </w:rPr>
        <w:t>Evidence, sources and quality</w:t>
      </w:r>
      <w:bookmarkEnd w:id="24"/>
    </w:p>
    <w:p w:rsidR="00046CF8" w:rsidRDefault="00046CF8">
      <w:pPr>
        <w:pStyle w:val="ListParagraph"/>
        <w:spacing w:after="240" w:line="240" w:lineRule="auto"/>
        <w:ind w:left="1200"/>
        <w:jc w:val="both"/>
        <w:rPr>
          <w:rFonts w:ascii="Times New Roman" w:hAnsi="Times New Roman" w:cs="Times New Roman"/>
          <w:noProof/>
          <w:sz w:val="24"/>
          <w:szCs w:val="24"/>
        </w:rPr>
      </w:pPr>
    </w:p>
    <w:p w:rsidR="00046CF8" w:rsidRDefault="003561C2">
      <w:pPr>
        <w:pStyle w:val="ListParagraph"/>
        <w:spacing w:before="120"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problem definition was based on numerous consultation activities carried out by the Commission as well as using external expertise (ex-post evaluation of the EFF prepared by an external contractor), complemented by additional analysis of available repo</w:t>
      </w:r>
      <w:r>
        <w:rPr>
          <w:rFonts w:ascii="Times New Roman" w:hAnsi="Times New Roman" w:cs="Times New Roman"/>
          <w:noProof/>
          <w:sz w:val="24"/>
          <w:szCs w:val="24"/>
        </w:rPr>
        <w:t xml:space="preserve">rts and studies. Regarding the post-2020 evaluation, the evidence was based on information gathered in particular in the framework of the EMFF Tallinn conference and the ex-post evaluation of the EFF. The Assessment report builds also on the contributions </w:t>
      </w:r>
      <w:r>
        <w:rPr>
          <w:rFonts w:ascii="Times New Roman" w:hAnsi="Times New Roman" w:cs="Times New Roman"/>
          <w:noProof/>
          <w:sz w:val="24"/>
          <w:szCs w:val="24"/>
        </w:rPr>
        <w:t xml:space="preserve">from Member States and other relevant stakeholders such as Advisory Councils, Social partners, NGOs, Industry etc. </w:t>
      </w:r>
    </w:p>
    <w:p w:rsidR="00046CF8" w:rsidRDefault="003561C2">
      <w:pPr>
        <w:pStyle w:val="ListParagraph"/>
        <w:spacing w:before="120"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Also, a great number of studies and reports both from experts and academia, have been used in the Impact Assessment exercise. In order to co</w:t>
      </w:r>
      <w:r>
        <w:rPr>
          <w:rFonts w:ascii="Times New Roman" w:hAnsi="Times New Roman" w:cs="Times New Roman"/>
          <w:noProof/>
          <w:sz w:val="24"/>
          <w:szCs w:val="24"/>
        </w:rPr>
        <w:t>mplement the internal COM studies, reports and notes, DG MARE has also used various studies and reports from the European Parliament and a number of studies done by DG REGIO. Internal consultations in DG MARE have also been carried out and written contribu</w:t>
      </w:r>
      <w:r>
        <w:rPr>
          <w:rFonts w:ascii="Times New Roman" w:hAnsi="Times New Roman" w:cs="Times New Roman"/>
          <w:noProof/>
          <w:sz w:val="24"/>
          <w:szCs w:val="24"/>
        </w:rPr>
        <w:t>tions received internally have been analysed.</w:t>
      </w:r>
    </w:p>
    <w:p w:rsidR="00046CF8" w:rsidRDefault="003561C2">
      <w:pPr>
        <w:rPr>
          <w:noProof/>
        </w:rPr>
      </w:pPr>
      <w:r>
        <w:rPr>
          <w:b/>
          <w:bCs/>
          <w:noProof/>
        </w:rPr>
        <w:br w:type="page"/>
      </w:r>
    </w:p>
    <w:tbl>
      <w:tblPr>
        <w:tblStyle w:val="ColorfulGrid-Accent1"/>
        <w:tblpPr w:leftFromText="180" w:rightFromText="180" w:horzAnchor="margin" w:tblpXSpec="center" w:tblpY="439"/>
        <w:tblW w:w="11590" w:type="dxa"/>
        <w:tblLayout w:type="fixed"/>
        <w:tblLook w:val="04A0" w:firstRow="1" w:lastRow="0" w:firstColumn="1" w:lastColumn="0" w:noHBand="0" w:noVBand="1"/>
      </w:tblPr>
      <w:tblGrid>
        <w:gridCol w:w="3510"/>
        <w:gridCol w:w="4536"/>
        <w:gridCol w:w="3544"/>
      </w:tblGrid>
      <w:tr w:rsidR="00046CF8" w:rsidTr="00046CF8">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1590" w:type="dxa"/>
            <w:gridSpan w:val="3"/>
            <w:tcBorders>
              <w:top w:val="nil"/>
            </w:tcBorders>
          </w:tcPr>
          <w:p w:rsidR="00046CF8" w:rsidRDefault="003561C2">
            <w:pPr>
              <w:jc w:val="center"/>
              <w:rPr>
                <w:rFonts w:ascii="Times New Roman" w:hAnsi="Times New Roman" w:cs="Times New Roman"/>
                <w:noProof/>
                <w:color w:val="000000" w:themeColor="text1"/>
                <w:sz w:val="16"/>
                <w:szCs w:val="16"/>
              </w:rPr>
            </w:pPr>
            <w:r>
              <w:rPr>
                <w:rFonts w:ascii="Times New Roman" w:hAnsi="Times New Roman" w:cs="Times New Roman"/>
                <w:noProof/>
                <w:color w:val="000000" w:themeColor="text1"/>
              </w:rPr>
              <w:t>LIST OF SOURCES</w:t>
            </w:r>
          </w:p>
        </w:tc>
      </w:tr>
      <w:tr w:rsidR="00046CF8" w:rsidTr="00046CF8">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b/>
                <w:noProof/>
              </w:rPr>
            </w:pPr>
            <w:r>
              <w:rPr>
                <w:rFonts w:cs="Arial"/>
                <w:noProof/>
              </w:rPr>
              <w:t>Ex-post Evaluation of the European Fisheries Fund (EFF), Staff Working Document, European Commission</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rPr>
            </w:pPr>
            <w:r>
              <w:rPr>
                <w:rFonts w:cs="Arial"/>
                <w:noProof/>
                <w:sz w:val="20"/>
                <w:szCs w:val="20"/>
              </w:rPr>
              <w:t>SWD(2017) 274 final, July 2017</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https://ec.europa.eu/newsroom/document.cfm?doc_id=45977</w:t>
            </w:r>
          </w:p>
        </w:tc>
      </w:tr>
      <w:tr w:rsidR="00046CF8" w:rsidTr="00046CF8">
        <w:trPr>
          <w:trHeight w:val="595"/>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Report on the Blue Growth Strategy: Towards more sustainable growth and jobs in the blue economy</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rPr>
              <w:t>SWD(2017) 128 final, March 2017</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https://ec.europa.eu/maritimeaffairs/sites/maritimeaffairs/files/swd-2017-128_en.pdf </w:t>
            </w:r>
          </w:p>
        </w:tc>
      </w:tr>
      <w:tr w:rsidR="00046CF8" w:rsidTr="00046CF8">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rPr>
              <w:t>Study on costs, benefits and nature of a</w:t>
            </w:r>
            <w:r>
              <w:rPr>
                <w:rFonts w:cs="Arial"/>
                <w:noProof/>
              </w:rPr>
              <w:t>n extended European Ocean Observing System</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rPr>
            </w:pPr>
            <w:r>
              <w:rPr>
                <w:rFonts w:cs="Arial"/>
                <w:noProof/>
                <w:sz w:val="20"/>
                <w:szCs w:val="20"/>
              </w:rPr>
              <w:t>European Commission, January 2018</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https://webgate.ec.europa.eu/maritimeforum/en/node/4119</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Study on the economic importance of activities ancillary to fishing in the EU</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rPr>
              <w:t>European Commission, March 2016</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rPr>
              <w:t>https://publ</w:t>
            </w:r>
            <w:r>
              <w:rPr>
                <w:rFonts w:cs="Arial"/>
                <w:noProof/>
                <w:sz w:val="16"/>
                <w:szCs w:val="16"/>
              </w:rPr>
              <w:t>ications.europa.eu/en/publication-detail/-/publication/07f9aa31-9aa6-11e6-868c-01aa75ed71a1</w:t>
            </w:r>
          </w:p>
        </w:tc>
      </w:tr>
      <w:tr w:rsidR="00046CF8" w:rsidTr="00046CF8">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Study on the employment of non-local labour in the fisheries sector</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rPr>
              <w:t>European Commission, June 2016</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rPr>
              <w:t>https://publications.europa.eu/en/publication-detail/-/publication/323daeca-9ab5-11e6-868c-01aa75ed71a1/language-en</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Study on the subsidies to the fisheries, aquaculture, and marketing and processing subsectors in major fishing nations beyond the EU</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rPr>
              <w:t>Europe</w:t>
            </w:r>
            <w:r>
              <w:rPr>
                <w:rFonts w:cs="Arial"/>
                <w:noProof/>
                <w:sz w:val="20"/>
                <w:szCs w:val="20"/>
              </w:rPr>
              <w:t>an Commission, January 2017</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rPr>
              <w:t>https://publications.europa.eu/en/publication-detail/-/publication/45f78bf8-d24b-11e6-ad7c-01aa75ed71a1</w:t>
            </w:r>
          </w:p>
        </w:tc>
      </w:tr>
      <w:tr w:rsidR="00046CF8" w:rsidTr="00046CF8">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Study on the implementation of Axis 4 of the EFF</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rPr>
              <w:t>European Commission, July 2014</w:t>
            </w:r>
          </w:p>
        </w:tc>
        <w:tc>
          <w:tcPr>
            <w:tcW w:w="3544" w:type="dxa"/>
          </w:tcPr>
          <w:p w:rsidR="00046CF8" w:rsidRDefault="003561C2">
            <w:pPr>
              <w:spacing w:before="60" w:after="60"/>
              <w:jc w:val="both"/>
              <w:cnfStyle w:val="000000100000" w:firstRow="0" w:lastRow="0" w:firstColumn="0" w:lastColumn="0" w:oddVBand="0" w:evenVBand="0" w:oddHBand="1" w:evenHBand="0" w:firstRowFirstColumn="0" w:firstRowLastColumn="0" w:lastRowFirstColumn="0" w:lastRowLastColumn="0"/>
              <w:rPr>
                <w:rFonts w:cs="Arial"/>
                <w:noProof/>
                <w:sz w:val="16"/>
                <w:szCs w:val="16"/>
              </w:rPr>
            </w:pPr>
            <w:r>
              <w:rPr>
                <w:rFonts w:cs="Arial"/>
                <w:noProof/>
                <w:sz w:val="16"/>
                <w:szCs w:val="16"/>
              </w:rPr>
              <w:t xml:space="preserve">https://ec.europa.eu/fisheries/documentation/studies/axis-4_en </w:t>
            </w:r>
          </w:p>
          <w:p w:rsidR="00046CF8" w:rsidRDefault="00046CF8">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Retrospective evaluation of scrapping and temporary cessation measures in the EFF</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rPr>
              <w:t>European Commission, December 2013</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https://ec.europa.eu/fisheries/documentation/studies/cessation_fr</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Scopin</w:t>
            </w:r>
            <w:r>
              <w:rPr>
                <w:rFonts w:cs="Arial"/>
                <w:noProof/>
              </w:rPr>
              <w:t>g study for the use of financial instruments under the EMFF and related advisory support activities</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rPr>
              <w:t>Fi-Compass, European Commission, June 2015</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https://www.fi-compass.eu/publication/manuals/manual-scoping-study-use-financial-instruments-under-emff-and-related-advisory   </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Interim assessment of the implementation of Production and Marketing Plans pursuant to the CMO Regulation and the EMFF Regulati</w:t>
            </w:r>
            <w:r>
              <w:rPr>
                <w:rFonts w:cs="Arial"/>
                <w:noProof/>
              </w:rPr>
              <w:t>on</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rPr>
              <w:t>European Commission, January 2017</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rPr>
              <w:t>https://publications.europa.eu/en/publication-detail/-/publication/15571c4b-e137-11e6-ad7c-01aa75ed71a1</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Ad hoc expert report providing information on present and future EMFF support to Small-scale Coastal Fisheries thr</w:t>
            </w:r>
            <w:r>
              <w:rPr>
                <w:rFonts w:cs="Arial"/>
                <w:noProof/>
              </w:rPr>
              <w:t>ough FLAGs</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rPr>
              <w:t>FARNET, July 2017</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rPr>
              <w:t>https://webgate.ec.europa.eu/fpfis/cms/farnet2/library/technical-report/providing-information-present-and-future-emff-support-small-scale-coastal_en</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Realising the potential of the Outermost Regions for sustainable Blue Growth</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rPr>
              <w:t>ARES(2017)4618231, September 2017</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rPr>
              <w:t xml:space="preserve">http://ec.europa.eu/regional_policy/en/information/publications/reports/2017/realising-the-potential-of-the-outermost-regions-for-sustainable-blue-growth </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lang w:eastAsia="en-GB"/>
              </w:rPr>
              <w:t>Note to Management: 2017 Annual Economic Report of EU fleets: Main</w:t>
            </w:r>
            <w:r>
              <w:rPr>
                <w:rFonts w:cs="Arial"/>
                <w:noProof/>
                <w:lang w:eastAsia="en-GB"/>
              </w:rPr>
              <w:t xml:space="preserve"> results</w:t>
            </w:r>
          </w:p>
        </w:tc>
        <w:tc>
          <w:tcPr>
            <w:tcW w:w="4536" w:type="dxa"/>
          </w:tcPr>
          <w:p w:rsidR="00046CF8" w:rsidRDefault="003561C2">
            <w:pPr>
              <w:tabs>
                <w:tab w:val="left" w:pos="1500"/>
              </w:tabs>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ARES(2017)4630815, September 2017</w:t>
            </w:r>
          </w:p>
        </w:tc>
        <w:tc>
          <w:tcPr>
            <w:tcW w:w="3544" w:type="dxa"/>
          </w:tcPr>
          <w:p w:rsidR="00046CF8" w:rsidRDefault="00046CF8">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 xml:space="preserve">Presentation on Study on the employment on non-local labour in the fisheries sector, </w:t>
            </w:r>
          </w:p>
        </w:tc>
        <w:tc>
          <w:tcPr>
            <w:tcW w:w="4536" w:type="dxa"/>
          </w:tcPr>
          <w:p w:rsidR="00046CF8" w:rsidRDefault="003561C2">
            <w:pPr>
              <w:tabs>
                <w:tab w:val="left" w:pos="1500"/>
              </w:tabs>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lang w:eastAsia="en-GB"/>
              </w:rPr>
              <w:t>Dir A, Unit A4 (DG MARE), March 2017</w:t>
            </w:r>
          </w:p>
        </w:tc>
        <w:tc>
          <w:tcPr>
            <w:tcW w:w="3544" w:type="dxa"/>
          </w:tcPr>
          <w:p w:rsidR="00046CF8" w:rsidRDefault="00046CF8">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lang w:eastAsia="en-GB"/>
              </w:rPr>
              <w:t>The Economic Performance of the EU Fish Processing Industry (STECF-14-21)</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lang w:eastAsia="en-GB"/>
              </w:rPr>
              <w:t xml:space="preserve">Joint </w:t>
            </w:r>
            <w:r>
              <w:rPr>
                <w:rFonts w:cs="Arial"/>
                <w:noProof/>
                <w:sz w:val="20"/>
                <w:szCs w:val="20"/>
                <w:lang w:eastAsia="en-GB"/>
              </w:rPr>
              <w:t>Research Centre (JRC), November 2014</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lang w:eastAsia="en-GB"/>
              </w:rPr>
              <w:t>https://stecf.jrc.ec.europa.eu/reports/economic/-/asset_publisher/d7Ie/document/id/932642</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lang w:eastAsia="en-GB"/>
              </w:rPr>
              <w:t>The 2017 Annual Economic report on the EU Fishing Fleet (STECF-17-12)</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lang w:eastAsia="en-GB"/>
              </w:rPr>
              <w:t>Joint Research Centre (JRC), 2017</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lang w:eastAsia="en-GB"/>
              </w:rPr>
              <w:t>https://ec.europa.eu/jrc</w:t>
            </w:r>
            <w:r>
              <w:rPr>
                <w:rFonts w:cs="Arial"/>
                <w:noProof/>
                <w:sz w:val="16"/>
                <w:szCs w:val="16"/>
                <w:lang w:eastAsia="en-GB"/>
              </w:rPr>
              <w:t xml:space="preserve">/en/publication/eur-scientific-and-technical-research-reports/2017-annual-economic-report-eu-fishing-fleet-stecf-17-12  </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International ocean governance: an agenda for the future of our oceans</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SWD(2016) 352 final, November 2016</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https://ec.europa.eu/maritimeaffairs/sites/maritimeaffairs/files/join-2016-49_en.pdf </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European Union Maritime Security Strategy</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European Commission, EEAS, June 2014</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http://register.consilium.europa.eu/doc/srv?l=EN&amp;f=ST%2011205%202014%20INIT </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1</w:t>
            </w:r>
            <w:r>
              <w:rPr>
                <w:noProof/>
                <w:vertAlign w:val="superscript"/>
              </w:rPr>
              <w:t>st</w:t>
            </w:r>
            <w:r>
              <w:rPr>
                <w:noProof/>
              </w:rPr>
              <w:t xml:space="preserve"> Report o</w:t>
            </w:r>
            <w:r>
              <w:rPr>
                <w:noProof/>
              </w:rPr>
              <w:t>n the  Implementation of the EU Maritime Security Strategy Action Plan</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SWD(2016)217, June 2016</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https://ec.europa.eu/maritimeaffairs/sites/maritimeaffairs/files/docs/body/swd-2016-217_en.pdf </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2</w:t>
            </w:r>
            <w:r>
              <w:rPr>
                <w:noProof/>
                <w:vertAlign w:val="superscript"/>
              </w:rPr>
              <w:t>nd</w:t>
            </w:r>
            <w:r>
              <w:rPr>
                <w:noProof/>
              </w:rPr>
              <w:t xml:space="preserve"> Report on the  Implementation of the EU Maritime Security St</w:t>
            </w:r>
            <w:r>
              <w:rPr>
                <w:noProof/>
              </w:rPr>
              <w:t>rategy Action Plan</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SWD(2017)238, June 2017</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https://ec.europa.eu/maritimeaffairs/sites/maritimeaffairs/files/swd-2017-238_en.pdf </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White paper on the Future of Europe, Reflections and Scenarios for the EU27 by 2025</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rPr>
              <w:t>COM(2017)2025, March 2017</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rPr>
              <w:t>http://eur-lex.e</w:t>
            </w:r>
            <w:r>
              <w:rPr>
                <w:rFonts w:cs="Arial"/>
                <w:noProof/>
                <w:sz w:val="16"/>
                <w:szCs w:val="16"/>
              </w:rPr>
              <w:t>uropa.eu/content/news/white_paper.html</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 xml:space="preserve">Study: EU Organic Aquaculture: economic performance and market perspectives  </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European Commission,  January 2017</w:t>
            </w:r>
          </w:p>
        </w:tc>
        <w:tc>
          <w:tcPr>
            <w:tcW w:w="3544" w:type="dxa"/>
          </w:tcPr>
          <w:p w:rsidR="00046CF8" w:rsidRDefault="00046CF8">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 xml:space="preserve">Interim evaluation of the implementation of the direct management component of the European Maritime and Fisheries Fund (EMFF) Regulation </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(launched by end 2017, interim report foreseen by March 2018)</w:t>
            </w:r>
          </w:p>
        </w:tc>
        <w:tc>
          <w:tcPr>
            <w:tcW w:w="3544" w:type="dxa"/>
          </w:tcPr>
          <w:p w:rsidR="00046CF8" w:rsidRDefault="00046CF8">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Study on the ownership and exclusive rights of fisher</w:t>
            </w:r>
            <w:r>
              <w:rPr>
                <w:noProof/>
              </w:rPr>
              <w:t xml:space="preserve">ies means of production </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(launched in early 2017)</w:t>
            </w:r>
          </w:p>
        </w:tc>
        <w:tc>
          <w:tcPr>
            <w:tcW w:w="3544" w:type="dxa"/>
          </w:tcPr>
          <w:p w:rsidR="00046CF8" w:rsidRDefault="00046CF8">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Declaration of the European Ministers responsible for the Integrated Maritime Policy on Blue Growth</w:t>
            </w:r>
          </w:p>
        </w:tc>
        <w:tc>
          <w:tcPr>
            <w:tcW w:w="4536" w:type="dxa"/>
          </w:tcPr>
          <w:p w:rsidR="00046CF8" w:rsidRDefault="003561C2">
            <w:pPr>
              <w:tabs>
                <w:tab w:val="left" w:pos="1500"/>
              </w:tabs>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Council of the European Union, April 2017 (ST 8037/17)</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lang w:eastAsia="en-GB"/>
              </w:rPr>
              <w:t>https://encrypted.google.com/url?sa=t&amp;rct=j&amp;q=&amp;es</w:t>
            </w:r>
            <w:r>
              <w:rPr>
                <w:rFonts w:cs="Arial"/>
                <w:noProof/>
                <w:sz w:val="16"/>
                <w:szCs w:val="16"/>
                <w:lang w:eastAsia="en-GB"/>
              </w:rPr>
              <w:t xml:space="preserve">rc=s&amp;source=web&amp;cd=1&amp;ved=0ahUKEwiI_Z3T05jZAhXP_aQKHVmNBRAQFggnMAA&amp;url=http%3A%2F%2Fdata.consilium.europa.eu%2Fdoc%2Fdocument%2FST-8037-2017-INIT%2Fen%2Fpdf&amp;usg=AOvVaw2q5_E06sW6mtOEr2rQdxQV </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 xml:space="preserve">State of execution of total payments and the level of the 'reste </w:t>
            </w:r>
            <w:r>
              <w:rPr>
                <w:noProof/>
              </w:rPr>
              <w:t>à liquider' (RAL) for Heading 1b (programmes 2007-2013) - Designation of managing authorities and state of execution of interim payments of 2014-2020 ESIF Operational Programmes (Status as of 31 May 2017)</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Council of the European Union, Budget Committee, Ju</w:t>
            </w:r>
            <w:r>
              <w:rPr>
                <w:noProof/>
                <w:sz w:val="20"/>
                <w:szCs w:val="20"/>
              </w:rPr>
              <w:t>ne 2017, WK 6574/2017</w:t>
            </w:r>
          </w:p>
        </w:tc>
        <w:tc>
          <w:tcPr>
            <w:tcW w:w="3544" w:type="dxa"/>
          </w:tcPr>
          <w:p w:rsidR="00046CF8" w:rsidRDefault="00046CF8">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How subsidies affect the economic viability of small-scale fisheries,</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rPr>
              <w:t>Marine Policy 82 (2017) 114–121, May 2017</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rPr>
              <w:t>https://www.sciencedirect.com/science/article/pii/S0308597X1730177X</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Industrial Fleet vs Artisanal Fleet, Myths and Real</w:t>
            </w:r>
            <w:r>
              <w:rPr>
                <w:rFonts w:cs="Arial"/>
                <w:noProof/>
              </w:rPr>
              <w:t>ities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lang w:eastAsia="en-GB"/>
              </w:rPr>
              <w:t>CACT-ARVI, May 2017</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www.arvi.org/publicaciones/IndustrialFleet_vs_ArtisanalFleet.pdf </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lang w:val="fr-BE"/>
              </w:rPr>
            </w:pPr>
            <w:r>
              <w:rPr>
                <w:rFonts w:cs="Arial"/>
                <w:noProof/>
                <w:lang w:val="fr-BE" w:eastAsia="en-GB"/>
              </w:rPr>
              <w:t>Etude: Dispositifs assurantiels dans les secteurs de la pêche et de l'aquaculture</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lang w:val="fr-BE"/>
              </w:rPr>
            </w:pPr>
            <w:r>
              <w:rPr>
                <w:rFonts w:cs="Arial"/>
                <w:noProof/>
                <w:sz w:val="20"/>
                <w:szCs w:val="20"/>
                <w:lang w:val="fr-BE" w:eastAsia="en-GB"/>
              </w:rPr>
              <w:t>Direction des Pêches Maritimes et de l'Aquaculture, Septembre 2015</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lang w:val="fr-BE"/>
              </w:rPr>
            </w:pPr>
            <w:r>
              <w:rPr>
                <w:noProof/>
                <w:sz w:val="16"/>
                <w:szCs w:val="16"/>
                <w:lang w:val="fr-BE"/>
              </w:rPr>
              <w:t>http://www.oceanic-dev.com/etude-des-systemes-assurantiels-peche-et-aquaculture-prevus-dans-le-cadre-du-feamp-dpma/</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8046" w:type="dxa"/>
            <w:gridSpan w:val="2"/>
            <w:shd w:val="clear" w:color="auto" w:fill="1F497D" w:themeFill="text2"/>
          </w:tcPr>
          <w:p w:rsidR="00046CF8" w:rsidRDefault="003561C2">
            <w:pPr>
              <w:autoSpaceDE w:val="0"/>
              <w:autoSpaceDN w:val="0"/>
              <w:adjustRightInd w:val="0"/>
              <w:jc w:val="center"/>
              <w:rPr>
                <w:rFonts w:cs="Verdana"/>
                <w:noProof/>
                <w:sz w:val="24"/>
                <w:szCs w:val="24"/>
              </w:rPr>
            </w:pPr>
            <w:r>
              <w:rPr>
                <w:b/>
                <w:noProof/>
                <w:sz w:val="24"/>
                <w:szCs w:val="24"/>
              </w:rPr>
              <w:t>Studies, Reports and Analysis from the European Parliament:</w:t>
            </w:r>
          </w:p>
        </w:tc>
        <w:tc>
          <w:tcPr>
            <w:tcW w:w="3544" w:type="dxa"/>
            <w:shd w:val="clear" w:color="auto" w:fill="1F497D" w:themeFill="text2"/>
          </w:tcPr>
          <w:p w:rsidR="00046CF8" w:rsidRDefault="00046CF8">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noProof/>
              </w:rPr>
              <w:t>In-depth analysis: Fisheries in Madeira</w:t>
            </w:r>
          </w:p>
        </w:tc>
        <w:tc>
          <w:tcPr>
            <w:tcW w:w="4536" w:type="dxa"/>
          </w:tcPr>
          <w:p w:rsidR="00046CF8" w:rsidRDefault="003561C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Verdana"/>
                <w:noProof/>
                <w:color w:val="auto"/>
                <w:sz w:val="20"/>
                <w:szCs w:val="20"/>
              </w:rPr>
            </w:pPr>
            <w:r>
              <w:rPr>
                <w:rFonts w:cs="Verdana"/>
                <w:noProof/>
                <w:color w:val="auto"/>
                <w:sz w:val="20"/>
                <w:szCs w:val="20"/>
              </w:rPr>
              <w:t xml:space="preserve">European Parliament, Research for </w:t>
            </w:r>
            <w:r>
              <w:rPr>
                <w:rFonts w:cs="Verdana"/>
                <w:noProof/>
                <w:color w:val="auto"/>
                <w:sz w:val="20"/>
                <w:szCs w:val="20"/>
              </w:rPr>
              <w:t>PECH Committee, DG for Internal Policies, Policy Department for Structural and Cohesion Policies, May 2017 (PE 601.978)</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https://publications.europa.eu/en/publication-detail/-/publication/f1bb3739-5498-11e7-a5ca-01aa75ed71a1/language-en/format-PDF </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In-depth analysis: Fisheries in Germany</w:t>
            </w:r>
          </w:p>
        </w:tc>
        <w:tc>
          <w:tcPr>
            <w:tcW w:w="4536" w:type="dxa"/>
          </w:tcPr>
          <w:p w:rsidR="00046CF8" w:rsidRDefault="00356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Verdana"/>
                <w:noProof/>
                <w:color w:val="auto"/>
                <w:sz w:val="20"/>
                <w:szCs w:val="20"/>
              </w:rPr>
            </w:pPr>
            <w:r>
              <w:rPr>
                <w:rFonts w:cs="Verdana"/>
                <w:noProof/>
                <w:color w:val="auto"/>
                <w:sz w:val="20"/>
                <w:szCs w:val="20"/>
              </w:rPr>
              <w:t>European Parliament, DG for Internal Policies, Policy Department for Structural and Cohesion Policies, February 2014 (PE 514.010)</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rPr>
              <w:t>http://www.europarl.europa.eu/thinktank/en/search.html?authors=118465</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In-depth analys</w:t>
            </w:r>
            <w:r>
              <w:rPr>
                <w:rFonts w:cs="Arial"/>
                <w:noProof/>
              </w:rPr>
              <w:t>is: Best Practice in the Use of Rights-based Management to Reduce Discards in Mixed Fisheries</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rPr>
              <w:t>European Parliament,</w:t>
            </w:r>
            <w:r>
              <w:rPr>
                <w:noProof/>
                <w:sz w:val="20"/>
                <w:szCs w:val="20"/>
              </w:rPr>
              <w:t xml:space="preserve"> </w:t>
            </w:r>
            <w:r>
              <w:rPr>
                <w:rFonts w:cs="Arial"/>
                <w:noProof/>
                <w:sz w:val="20"/>
                <w:szCs w:val="20"/>
                <w:lang w:eastAsia="en-GB"/>
              </w:rPr>
              <w:t>DG for Internal Policies</w:t>
            </w:r>
            <w:r>
              <w:rPr>
                <w:rFonts w:cs="Arial"/>
                <w:noProof/>
                <w:sz w:val="20"/>
                <w:szCs w:val="20"/>
              </w:rPr>
              <w:t>, Policy Department for Structural and Cohesion Policies, March 2014 (PE 529.054)</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rPr>
              <w:t>https://publications.europa.eu/en/publication-detail/-/publication/ed4de31b-56f7-4bb8-9366-492b0a8ce49f/language-en</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In-depth analysis: The Obligation to Land All Catches – Consequences for the Mediterranean</w:t>
            </w:r>
          </w:p>
        </w:tc>
        <w:tc>
          <w:tcPr>
            <w:tcW w:w="4536" w:type="dxa"/>
          </w:tcPr>
          <w:p w:rsidR="00046CF8" w:rsidRDefault="00356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Verdana"/>
                <w:noProof/>
                <w:color w:val="000081"/>
                <w:sz w:val="20"/>
                <w:szCs w:val="20"/>
              </w:rPr>
            </w:pPr>
            <w:r>
              <w:rPr>
                <w:rFonts w:cs="Arial"/>
                <w:noProof/>
                <w:sz w:val="20"/>
                <w:szCs w:val="20"/>
              </w:rPr>
              <w:t>European Parliament,</w:t>
            </w:r>
            <w:r>
              <w:rPr>
                <w:noProof/>
                <w:sz w:val="20"/>
                <w:szCs w:val="20"/>
              </w:rPr>
              <w:t xml:space="preserve"> </w:t>
            </w:r>
            <w:r>
              <w:rPr>
                <w:rFonts w:cs="Arial"/>
                <w:noProof/>
                <w:sz w:val="20"/>
                <w:szCs w:val="20"/>
                <w:lang w:eastAsia="en-GB"/>
              </w:rPr>
              <w:t>DG for Internal Policies</w:t>
            </w:r>
            <w:r>
              <w:rPr>
                <w:rFonts w:cs="Arial"/>
                <w:noProof/>
                <w:sz w:val="20"/>
                <w:szCs w:val="20"/>
              </w:rPr>
              <w:t>, P</w:t>
            </w:r>
            <w:r>
              <w:rPr>
                <w:rFonts w:cs="Arial"/>
                <w:noProof/>
                <w:sz w:val="20"/>
                <w:szCs w:val="20"/>
              </w:rPr>
              <w:t>olicy Department for Structural and Cohesion Policies, March 2014 (PE 529.055)</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rPr>
              <w:t>https://publications.europa.eu/en/publication-detail/-/publication/9bf6e304-6e29-4984-a039-35b45ebc1ade/language-en</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Study: Illegal, Unreported and Unregulated fishing: Sanction</w:t>
            </w:r>
            <w:r>
              <w:rPr>
                <w:rFonts w:cs="Arial"/>
                <w:noProof/>
              </w:rPr>
              <w:t>s in the EU</w:t>
            </w:r>
          </w:p>
        </w:tc>
        <w:tc>
          <w:tcPr>
            <w:tcW w:w="4536" w:type="dxa"/>
          </w:tcPr>
          <w:p w:rsidR="00046CF8" w:rsidRDefault="00356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noProof/>
                <w:sz w:val="20"/>
                <w:szCs w:val="20"/>
              </w:rPr>
            </w:pPr>
            <w:r>
              <w:rPr>
                <w:rFonts w:cs="Arial"/>
                <w:noProof/>
                <w:sz w:val="20"/>
                <w:szCs w:val="20"/>
                <w:lang w:eastAsia="en-GB"/>
              </w:rPr>
              <w:t>European Parliament, DG for Internal Policies, Policy Department Structural and Cohesion Policies – Fisheries, July 2014 (PE 529.069)</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lang w:eastAsia="en-GB"/>
              </w:rPr>
              <w:t>http://www.europarl.europa.eu/thinktank/en/document.html?reference=IPOL_STU(2014)529069</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Study</w:t>
            </w:r>
            <w:r>
              <w:rPr>
                <w:rFonts w:cs="Arial"/>
                <w:noProof/>
                <w:lang w:eastAsia="en-GB"/>
              </w:rPr>
              <w:t xml:space="preserve">: The Long-Term </w:t>
            </w:r>
            <w:r>
              <w:rPr>
                <w:rFonts w:cs="Arial"/>
                <w:noProof/>
                <w:lang w:eastAsia="en-GB"/>
              </w:rPr>
              <w:t>Economic and Ecologic Impact of larger Sustainable Aquaculture</w:t>
            </w:r>
          </w:p>
        </w:tc>
        <w:tc>
          <w:tcPr>
            <w:tcW w:w="4536" w:type="dxa"/>
          </w:tcPr>
          <w:p w:rsidR="00046CF8" w:rsidRDefault="00356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Verdana"/>
                <w:noProof/>
                <w:sz w:val="20"/>
                <w:szCs w:val="20"/>
              </w:rPr>
            </w:pPr>
            <w:r>
              <w:rPr>
                <w:rFonts w:cs="Arial"/>
                <w:noProof/>
                <w:sz w:val="20"/>
                <w:szCs w:val="20"/>
                <w:lang w:eastAsia="en-GB"/>
              </w:rPr>
              <w:t>European Parliament, DG for Internal Policies, Policy Department Structural and Cohesion Policies – Fisheries, October 2014, (PE 529.084)</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lang w:eastAsia="en-GB"/>
              </w:rPr>
              <w:t>http://www.europarl.europa.eu/thinktank/en/document.htm</w:t>
            </w:r>
            <w:r>
              <w:rPr>
                <w:rFonts w:cs="Arial"/>
                <w:noProof/>
                <w:sz w:val="16"/>
                <w:szCs w:val="16"/>
                <w:lang w:eastAsia="en-GB"/>
              </w:rPr>
              <w:t>l?reference=IPOL_STU%282014%29529084</w:t>
            </w:r>
          </w:p>
        </w:tc>
      </w:tr>
      <w:tr w:rsidR="00046CF8" w:rsidTr="00046CF8">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b/>
                <w:noProof/>
              </w:rPr>
            </w:pPr>
            <w:r>
              <w:rPr>
                <w:rFonts w:cs="Arial"/>
                <w:noProof/>
              </w:rPr>
              <w:t>Study</w:t>
            </w:r>
            <w:r>
              <w:rPr>
                <w:rFonts w:cs="Arial"/>
                <w:noProof/>
                <w:lang w:eastAsia="en-GB"/>
              </w:rPr>
              <w:t xml:space="preserve">: </w:t>
            </w:r>
            <w:r>
              <w:rPr>
                <w:rFonts w:cs="Arial"/>
                <w:noProof/>
              </w:rPr>
              <w:t>Fisheries in Azores</w:t>
            </w:r>
          </w:p>
        </w:tc>
        <w:tc>
          <w:tcPr>
            <w:tcW w:w="4536" w:type="dxa"/>
          </w:tcPr>
          <w:p w:rsidR="00046CF8" w:rsidRDefault="00356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noProof/>
                <w:sz w:val="20"/>
                <w:szCs w:val="20"/>
              </w:rPr>
            </w:pPr>
            <w:r>
              <w:rPr>
                <w:rFonts w:cs="Arial"/>
                <w:noProof/>
                <w:sz w:val="20"/>
                <w:szCs w:val="20"/>
                <w:lang w:eastAsia="en-GB"/>
              </w:rPr>
              <w:t>European Parliament, DG for Internal Policies, Policy Department Structural and Cohesion Policies – Fisheries, February 2015, (PE 540.355)</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lang w:eastAsia="en-GB"/>
              </w:rPr>
              <w:t>http://www.europarl.europa.eu/thinktank/en/document.</w:t>
            </w:r>
            <w:r>
              <w:rPr>
                <w:rFonts w:cs="Arial"/>
                <w:noProof/>
                <w:sz w:val="16"/>
                <w:szCs w:val="16"/>
                <w:lang w:eastAsia="en-GB"/>
              </w:rPr>
              <w:t>html?reference=IPOL_STU(2015)540355</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rPr>
              <w:t>Study</w:t>
            </w:r>
            <w:r>
              <w:rPr>
                <w:rFonts w:cs="Arial"/>
                <w:noProof/>
                <w:lang w:eastAsia="en-GB"/>
              </w:rPr>
              <w:t xml:space="preserve">: </w:t>
            </w:r>
            <w:r>
              <w:rPr>
                <w:rFonts w:cs="Arial"/>
                <w:noProof/>
              </w:rPr>
              <w:t>Small-scale Fisheries and the Zero Discard Target</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lang w:eastAsia="en-GB"/>
              </w:rPr>
              <w:t>European Parliament, DG for Internal Policies, Policy Department Structural and Cohesion Policies – Fisheries, March 2015 (PE 540.360)</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http://www.europarl.europa.eu/thinktank/fr/document.html?reference=IPOL_STU(2015)540360</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noProof/>
              </w:rPr>
            </w:pPr>
            <w:r>
              <w:rPr>
                <w:rFonts w:cs="Arial"/>
                <w:noProof/>
                <w:lang w:eastAsia="en-GB"/>
              </w:rPr>
              <w:t>Study: The Future of the Almadraba sector – Traditional Tuna Fishing Methods in the EU</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20"/>
                <w:szCs w:val="20"/>
              </w:rPr>
            </w:pPr>
            <w:r>
              <w:rPr>
                <w:rFonts w:cs="Arial"/>
                <w:noProof/>
                <w:sz w:val="20"/>
                <w:szCs w:val="20"/>
                <w:lang w:eastAsia="en-GB"/>
              </w:rPr>
              <w:t xml:space="preserve">European Parliament, DG for Internal Policies, Policy Department Structural and </w:t>
            </w:r>
            <w:r>
              <w:rPr>
                <w:rFonts w:cs="Arial"/>
                <w:noProof/>
                <w:sz w:val="20"/>
                <w:szCs w:val="20"/>
                <w:lang w:eastAsia="en-GB"/>
              </w:rPr>
              <w:t>Cohesion Policies – Fisheries, April 2015, (PE 540.367)</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lang w:eastAsia="en-GB"/>
              </w:rPr>
              <w:t>http://www.europarl.europa.eu/thinktank/en/document.html?reference=IPOL_STU(2015)540367</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b/>
                <w:noProof/>
              </w:rPr>
            </w:pPr>
            <w:r>
              <w:rPr>
                <w:rFonts w:cs="Arial"/>
                <w:noProof/>
                <w:lang w:eastAsia="en-GB"/>
              </w:rPr>
              <w:t>Study: Pelagic Fisheries and the Canning Industry in Outermost Regions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20"/>
                <w:szCs w:val="20"/>
              </w:rPr>
            </w:pPr>
            <w:r>
              <w:rPr>
                <w:rFonts w:cs="Arial"/>
                <w:noProof/>
                <w:sz w:val="20"/>
                <w:szCs w:val="20"/>
                <w:lang w:eastAsia="en-GB"/>
              </w:rPr>
              <w:t>European Parliament, DG for Internal Pol</w:t>
            </w:r>
            <w:r>
              <w:rPr>
                <w:rFonts w:cs="Arial"/>
                <w:noProof/>
                <w:sz w:val="20"/>
                <w:szCs w:val="20"/>
                <w:lang w:eastAsia="en-GB"/>
              </w:rPr>
              <w:t>icies, Policy Department Structural and Cohesion Policies – Fisheries, June 2015, (PE 563.378)</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noProof/>
                <w:sz w:val="16"/>
                <w:szCs w:val="16"/>
              </w:rPr>
            </w:pPr>
            <w:r>
              <w:rPr>
                <w:rFonts w:cs="Arial"/>
                <w:noProof/>
                <w:sz w:val="16"/>
                <w:szCs w:val="16"/>
                <w:lang w:eastAsia="en-GB"/>
              </w:rPr>
              <w:t>http://www.europarl.europa.eu/thinktank/en/document.html?reference=IPOL_STU(2015)563378</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lang w:eastAsia="en-GB"/>
              </w:rPr>
              <w:t xml:space="preserve">Study: Fisheries Management and the Arctic in the Context of Climate </w:t>
            </w:r>
            <w:r>
              <w:rPr>
                <w:rFonts w:cs="Arial"/>
                <w:noProof/>
                <w:lang w:eastAsia="en-GB"/>
              </w:rPr>
              <w:t>Change</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June 2015, (PE 563.380)</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noProof/>
                <w:sz w:val="16"/>
                <w:szCs w:val="16"/>
              </w:rPr>
            </w:pPr>
            <w:r>
              <w:rPr>
                <w:rFonts w:cs="Arial"/>
                <w:noProof/>
                <w:sz w:val="16"/>
                <w:szCs w:val="16"/>
                <w:lang w:eastAsia="en-GB"/>
              </w:rPr>
              <w:t>http://www.europarl.europa.eu/thinktank/en/document.html?reference=IPOL_STU%282015%29563380</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The Landing Ob</w:t>
            </w:r>
            <w:r>
              <w:rPr>
                <w:rFonts w:cs="Arial"/>
                <w:noProof/>
                <w:lang w:eastAsia="en-GB"/>
              </w:rPr>
              <w:t>ligation and its implications on the Control of Fisheries,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September 2015 (PE 563.381)</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w:t>
            </w:r>
            <w:r>
              <w:rPr>
                <w:rFonts w:cs="Arial"/>
                <w:noProof/>
                <w:sz w:val="16"/>
                <w:szCs w:val="16"/>
                <w:lang w:eastAsia="en-GB"/>
              </w:rPr>
              <w:t>eference=IPOL_STU(2015)563381</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Options of handling Choke Species in the view of the EU landing obligation – The Baltic Plaice example</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Research for PECH Committee, European Parliament, DG for Internal Policies, Policy Department Structural and Cohesi</w:t>
            </w:r>
            <w:r>
              <w:rPr>
                <w:rFonts w:cs="Arial"/>
                <w:noProof/>
                <w:sz w:val="20"/>
                <w:szCs w:val="20"/>
                <w:lang w:eastAsia="en-GB"/>
              </w:rPr>
              <w:t>on Policies – Fisheries, December 2015 (PE 563.399)</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http://www.europarl.europa.eu/thinktank/en/document.html?reference=IPOL_STU%282015%29563399</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Workshop on a new Technical Measures Framework for the new Common Fisheries Policy</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 xml:space="preserve">European Parliament, </w:t>
            </w:r>
            <w:r>
              <w:rPr>
                <w:rFonts w:cs="Arial"/>
                <w:noProof/>
                <w:sz w:val="20"/>
                <w:szCs w:val="20"/>
                <w:lang w:eastAsia="en-GB"/>
              </w:rPr>
              <w:t>DG for Internal Policies, Policy Department Structural and Cohesion Policies – Fisheries, October 2015 (PE 563.403)</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http://www.europarl.europa.eu/thinktank/en/document.html?reference=IPOL_STU%282015%29563403</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 xml:space="preserve">Study: Sardine Fisheries: Resource Assessment </w:t>
            </w:r>
            <w:r>
              <w:rPr>
                <w:rFonts w:cs="Arial"/>
                <w:noProof/>
                <w:lang w:eastAsia="en-GB"/>
              </w:rPr>
              <w:t>and Social and Economic Situation</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Research for PECH Committee, European Parliament, DG for Internal Policies, Policy Department Structural and Cohesion Policies – Fisheries, November 2015 (PE 563.412)</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http://www.europarl.europa.eu/thinktank/fr/document.htm</w:t>
            </w:r>
            <w:r>
              <w:rPr>
                <w:rFonts w:cs="Arial"/>
                <w:noProof/>
                <w:sz w:val="16"/>
                <w:szCs w:val="16"/>
                <w:lang w:eastAsia="en-GB"/>
              </w:rPr>
              <w:t>l?reference=IPOL_STU(2015)563412</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The Clam Fisheries Sector in the EU – The Adriatic Sea Case</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Research for PECH Committee, European Parliament, DG for Internal Policies, Policy Department Structural and Cohesion Policies – Fisheries, January 2016 (P</w:t>
            </w:r>
            <w:r>
              <w:rPr>
                <w:rFonts w:cs="Arial"/>
                <w:noProof/>
                <w:sz w:val="20"/>
                <w:szCs w:val="20"/>
                <w:lang w:eastAsia="en-GB"/>
              </w:rPr>
              <w:t>E 573.412)</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http://www.europarl.europa.eu/thinktank/fr/document.html?reference=IPOL_STU(2016)573412</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Social and Economic Impact of the Penalty Point System</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 xml:space="preserve">Research for PECH Committee, European Parliament, DG for Internal Policies, Policy Department </w:t>
            </w:r>
            <w:r>
              <w:rPr>
                <w:rFonts w:cs="Arial"/>
                <w:noProof/>
                <w:sz w:val="20"/>
                <w:szCs w:val="20"/>
                <w:lang w:eastAsia="en-GB"/>
              </w:rPr>
              <w:t>Structural and Cohesion Policies – Fisheries, February 2016 (PE 573.413)</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http://www.europarl.europa.eu/thinktank/fr/document.html?reference=IPOL_STU(2016)573413</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The Discard Ban and its Impact on the Maximum Sustainable Yield Objective on Fisheries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Research for PECH Committee, European Parliament, DG for Internal Policies, Policy Department Structural and Cohesion Policies – Fisheries, May 2016 (PE 573.440)</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http://www.europarl.europa.eu/thinktank/en/document.html?reference=IPOL_STU(2016)573440</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w:t>
            </w:r>
            <w:r>
              <w:rPr>
                <w:rFonts w:cs="Arial"/>
                <w:noProof/>
                <w:lang w:eastAsia="en-GB"/>
              </w:rPr>
              <w:t>: Feasibility of Measuring Socio-Economic and Environmental Impacts of Recreational and Semi-Subsistence Fisheries in the EU</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Research for PECH Committee, European Parliament, DG for Internal Policies, Policy Department Structural and Cohesion Policies – Fi</w:t>
            </w:r>
            <w:r>
              <w:rPr>
                <w:rFonts w:cs="Arial"/>
                <w:noProof/>
                <w:sz w:val="20"/>
                <w:szCs w:val="20"/>
                <w:lang w:eastAsia="en-GB"/>
              </w:rPr>
              <w:t>sheries, September 2016 (PE 573.457)</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http://www.europarl.europa.eu/thinktank/fr/document.html?reference=IPOL_STU%282016%29573457</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Impact of Fisheries Partnership Agreements on Employment in the EU and in Third Countries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 xml:space="preserve">Research for PECH Committee, </w:t>
            </w:r>
            <w:r>
              <w:rPr>
                <w:rFonts w:cs="Arial"/>
                <w:noProof/>
                <w:sz w:val="20"/>
                <w:szCs w:val="20"/>
                <w:lang w:eastAsia="en-GB"/>
              </w:rPr>
              <w:t>European Parliament, DG for Internal Policies, Policy Department Structural and Cohesion Policies – Fisheries, July 2016 (PE 585.883)</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http://www.europarl.europa.eu/thinktank/en/document.html?reference=IPOL_STU(2016)585883</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 xml:space="preserve">Study: The Management of Fishing </w:t>
            </w:r>
            <w:r>
              <w:rPr>
                <w:rFonts w:cs="Arial"/>
                <w:noProof/>
                <w:lang w:eastAsia="en-GB"/>
              </w:rPr>
              <w:t>Fleets in Outermost Regions, Research for PECH Committee</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May 2017 (PE 585.901)</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https://publications.europa.eu/en/publication-detail/-/publication</w:t>
            </w:r>
            <w:r>
              <w:rPr>
                <w:rFonts w:cs="Arial"/>
                <w:noProof/>
                <w:sz w:val="16"/>
                <w:szCs w:val="16"/>
                <w:lang w:eastAsia="en-GB"/>
              </w:rPr>
              <w:t>/fa4f02a8-3aab-11e7-a08e-01aa75ed71a1/language-en</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Small-scale Fisheries and "Blue Growth" in the EU</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Research for PECH Committee, European Parliament, DG for Internal Policies, Policy Department Structural and Cohesion Policies – Fisheries, April 20</w:t>
            </w:r>
            <w:r>
              <w:rPr>
                <w:rFonts w:cs="Arial"/>
                <w:noProof/>
                <w:sz w:val="20"/>
                <w:szCs w:val="20"/>
                <w:lang w:eastAsia="en-GB"/>
              </w:rPr>
              <w:t>17 (PE 573.450)</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http://www.europarl.europa.eu/thinktank/en/document.html?reference=IPOL_STU(2017)573450</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Characteristics of Multispecific Fisheries in the EU</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w:t>
            </w:r>
            <w:r>
              <w:rPr>
                <w:rFonts w:cs="Arial"/>
                <w:noProof/>
                <w:sz w:val="20"/>
                <w:szCs w:val="20"/>
                <w:lang w:eastAsia="en-GB"/>
              </w:rPr>
              <w:t>licies – Fisheries, March 2014 (PE 529.053)</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http://www.europarl.europa.eu/thinktank/en/document.html?reference=IPOL-PECH_ET(2014)529053</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lang w:eastAsia="en-GB"/>
              </w:rPr>
              <w:t>Study: The Conflict Between Static Gear and Mobile Gear in Inshore Fisheries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 xml:space="preserve">European Parliament, DG for Internal </w:t>
            </w:r>
            <w:r>
              <w:rPr>
                <w:rFonts w:cs="Arial"/>
                <w:noProof/>
                <w:sz w:val="20"/>
                <w:szCs w:val="20"/>
                <w:lang w:eastAsia="en-GB"/>
              </w:rPr>
              <w:t>Policies, Policy Department Structural and Cohesion Policies – Fisheries, July 2014 (PE 529.070)</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http://www.europarl.europa.eu/thinktank/en/document.html?reference=IPOL_STU(2014)529070</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rPr>
              <w:t>Note: The Impact of Oil and Gas Drilling Accidents on EU Fisheries</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January 2014 (PE 513.996)</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http://www.europarl.europa.eu/thinktank/en/document.html?reference=IPOL-PECH_NT(2014)513996</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lang w:eastAsia="en-GB"/>
              </w:rPr>
            </w:pPr>
            <w:r>
              <w:rPr>
                <w:rFonts w:cs="Arial"/>
                <w:noProof/>
              </w:rPr>
              <w:t>Note: The Use of FADs in T</w:t>
            </w:r>
            <w:r>
              <w:rPr>
                <w:rFonts w:cs="Arial"/>
                <w:noProof/>
              </w:rPr>
              <w:t>una Fisheries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January 2014 (PE 514.002)</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http://www.europarl.europa.eu/thinktank/en/document.html?reference=IPOL-PECH_NT(2014)514002</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rPr>
              <w:t>Note: The CF</w:t>
            </w:r>
            <w:r>
              <w:rPr>
                <w:rFonts w:cs="Arial"/>
                <w:noProof/>
              </w:rPr>
              <w:t>P – Infringement Procedures and Imposed Sanctions Throughout the EU</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January 2014 (PE 514.003)</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w:t>
            </w:r>
            <w:r>
              <w:rPr>
                <w:rFonts w:cs="Arial"/>
                <w:noProof/>
                <w:sz w:val="16"/>
                <w:szCs w:val="16"/>
                <w:lang w:eastAsia="en-GB"/>
              </w:rPr>
              <w:t>.html?reference=IPOL-PECH_NT(2014)514003</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lang w:eastAsia="en-GB"/>
              </w:rPr>
              <w:t xml:space="preserve">Study: </w:t>
            </w:r>
            <w:r>
              <w:rPr>
                <w:rFonts w:cs="Arial"/>
                <w:noProof/>
              </w:rPr>
              <w:t>Seafood Industry Integration in the EU</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Research for PECH Committee, European Parliament, DG for Internal Policies, Policy Department Structural and Cohesion Policies – Fisheries, September 2016 (PE 585.893)</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http://www.europarl.europa.eu/thinktank/en/document.html?reference=IPOL_STU(2016)585893</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rPr>
              <w:t>Note: Inland fisheries and the Common Fisheries Policy</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J</w:t>
            </w:r>
            <w:r>
              <w:rPr>
                <w:rFonts w:cs="Arial"/>
                <w:noProof/>
                <w:sz w:val="20"/>
                <w:szCs w:val="20"/>
                <w:lang w:eastAsia="en-GB"/>
              </w:rPr>
              <w:t>anuary 2014 (PE 514.001)</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http://www.europarl.europa.eu/thinktank/en/document.html?reference=IPOL-PECH_NT(2014)514001</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rPr>
              <w:t>Study: Regional Ocean Governance in Europe: the Role of Fisheries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w:t>
            </w:r>
            <w:r>
              <w:rPr>
                <w:rFonts w:cs="Arial"/>
                <w:noProof/>
                <w:sz w:val="20"/>
                <w:szCs w:val="20"/>
                <w:lang w:eastAsia="en-GB"/>
              </w:rPr>
              <w:t>ral and Cohesion Policies – Fisheries, July 2017 (PE 601.994)</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http://www.europarl.europa.eu/thinktank/en/document.html?reference=IPOL_STU%282017%29601994</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rPr>
              <w:t>In-depth analysis: Perspectives for the development of the tourism activities related to fishing</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w:t>
            </w:r>
            <w:r>
              <w:rPr>
                <w:rFonts w:cs="Arial"/>
                <w:noProof/>
                <w:sz w:val="20"/>
                <w:szCs w:val="20"/>
                <w:lang w:eastAsia="en-GB"/>
              </w:rPr>
              <w:t>pean Parliament, DG for Internal Policies, Policy Department Structural and Cohesion Policies – Fisheries,</w:t>
            </w:r>
            <w:r>
              <w:rPr>
                <w:rFonts w:cs="Arial"/>
                <w:noProof/>
                <w:sz w:val="20"/>
                <w:szCs w:val="20"/>
              </w:rPr>
              <w:t xml:space="preserve"> March 2014 (PE 529.048)</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rPr>
              <w:t>https://publications.europa.eu/en/publication-detail/-/publication/cb7af15a-eed8-48de-a14a-508cd24afe63/language-en</w:t>
            </w:r>
          </w:p>
        </w:tc>
      </w:tr>
      <w:tr w:rsidR="00046CF8" w:rsidTr="00046CF8">
        <w:trPr>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rPr>
              <w:t>Study: M</w:t>
            </w:r>
            <w:r>
              <w:rPr>
                <w:rFonts w:cs="Arial"/>
                <w:noProof/>
              </w:rPr>
              <w:t>arine recreational and semi-subsistence fishing - its value and its impact on fish stocks</w:t>
            </w:r>
          </w:p>
        </w:tc>
        <w:tc>
          <w:tcPr>
            <w:tcW w:w="4536"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July 2017 (PE 601.996)</w:t>
            </w:r>
          </w:p>
        </w:tc>
        <w:tc>
          <w:tcPr>
            <w:tcW w:w="3544" w:type="dxa"/>
          </w:tcPr>
          <w:p w:rsidR="00046CF8" w:rsidRDefault="003561C2">
            <w:pPr>
              <w:cnfStyle w:val="000000000000" w:firstRow="0" w:lastRow="0" w:firstColumn="0" w:lastColumn="0" w:oddVBand="0" w:evenVBand="0" w:oddHBand="0"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w:t>
            </w:r>
            <w:r>
              <w:rPr>
                <w:rFonts w:cs="Arial"/>
                <w:noProof/>
                <w:sz w:val="16"/>
                <w:szCs w:val="16"/>
                <w:lang w:eastAsia="en-GB"/>
              </w:rPr>
              <w:t>inktank/en/document.html?reference=IPOL_STU(2017)601996</w:t>
            </w:r>
          </w:p>
        </w:tc>
      </w:tr>
      <w:tr w:rsidR="00046CF8" w:rsidTr="00046CF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10" w:type="dxa"/>
          </w:tcPr>
          <w:p w:rsidR="00046CF8" w:rsidRDefault="003561C2">
            <w:pPr>
              <w:rPr>
                <w:rFonts w:cs="Arial"/>
                <w:noProof/>
              </w:rPr>
            </w:pPr>
            <w:r>
              <w:rPr>
                <w:rFonts w:cs="Arial"/>
                <w:noProof/>
                <w:lang w:eastAsia="en-GB"/>
              </w:rPr>
              <w:t>Study: Alternative solutions for driftnet fisheries</w:t>
            </w:r>
          </w:p>
        </w:tc>
        <w:tc>
          <w:tcPr>
            <w:tcW w:w="4536"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20"/>
                <w:szCs w:val="20"/>
                <w:lang w:eastAsia="en-GB"/>
              </w:rPr>
            </w:pPr>
            <w:r>
              <w:rPr>
                <w:rFonts w:cs="Arial"/>
                <w:noProof/>
                <w:sz w:val="20"/>
                <w:szCs w:val="20"/>
                <w:lang w:eastAsia="en-GB"/>
              </w:rPr>
              <w:t>European Parliament, DG for Internal Policies, Policy Department Structural and Cohesion Policies – Fisheries, February 2015 (PE 540.345)</w:t>
            </w:r>
          </w:p>
        </w:tc>
        <w:tc>
          <w:tcPr>
            <w:tcW w:w="3544" w:type="dxa"/>
          </w:tcPr>
          <w:p w:rsidR="00046CF8" w:rsidRDefault="003561C2">
            <w:pP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r>
              <w:rPr>
                <w:rFonts w:cs="Arial"/>
                <w:noProof/>
                <w:sz w:val="16"/>
                <w:szCs w:val="16"/>
                <w:lang w:eastAsia="en-GB"/>
              </w:rPr>
              <w:t>http://www.europarl.europa.eu/thinktank/fr/document.html?reference=IPOL_STU(2015)540345</w:t>
            </w:r>
          </w:p>
          <w:p w:rsidR="00046CF8" w:rsidRDefault="00046CF8">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lang w:eastAsia="en-GB"/>
              </w:rPr>
            </w:pPr>
          </w:p>
        </w:tc>
      </w:tr>
    </w:tbl>
    <w:p w:rsidR="00046CF8" w:rsidRDefault="00046CF8">
      <w:pPr>
        <w:spacing w:before="360" w:after="120"/>
        <w:rPr>
          <w:b/>
          <w:i/>
          <w:noProof/>
        </w:rPr>
      </w:pPr>
    </w:p>
    <w:p w:rsidR="00046CF8" w:rsidRDefault="003561C2">
      <w:pPr>
        <w:rPr>
          <w:b/>
          <w:i/>
          <w:noProof/>
        </w:rPr>
      </w:pPr>
      <w:bookmarkStart w:id="25" w:name="_Ref473908880"/>
      <w:bookmarkStart w:id="26" w:name="_Toc475530069"/>
      <w:bookmarkStart w:id="27" w:name="_Toc482873160"/>
      <w:bookmarkStart w:id="28" w:name="_Toc482882269"/>
      <w:bookmarkStart w:id="29" w:name="_Toc514503173"/>
      <w:r>
        <w:rPr>
          <w:i/>
          <w:smallCaps/>
          <w:noProof/>
        </w:rPr>
        <w:br w:type="page"/>
      </w:r>
    </w:p>
    <w:p w:rsidR="00046CF8" w:rsidRDefault="003561C2">
      <w:pPr>
        <w:pStyle w:val="Heading1"/>
        <w:numPr>
          <w:ilvl w:val="0"/>
          <w:numId w:val="0"/>
        </w:numPr>
        <w:rPr>
          <w:noProof/>
          <w:lang w:eastAsia="en-GB"/>
        </w:rPr>
      </w:pPr>
      <w:bookmarkStart w:id="30" w:name="_Toc514507420"/>
      <w:r>
        <w:rPr>
          <w:noProof/>
          <w:lang w:eastAsia="en-GB"/>
        </w:rPr>
        <w:t>Annex 2: Stakeholder consultation</w:t>
      </w:r>
      <w:bookmarkEnd w:id="25"/>
      <w:bookmarkEnd w:id="26"/>
      <w:r>
        <w:rPr>
          <w:noProof/>
          <w:lang w:eastAsia="en-GB"/>
        </w:rPr>
        <w:t xml:space="preserve"> </w:t>
      </w:r>
      <w:bookmarkEnd w:id="27"/>
      <w:bookmarkEnd w:id="28"/>
      <w:bookmarkEnd w:id="29"/>
      <w:bookmarkEnd w:id="30"/>
      <w:r>
        <w:rPr>
          <w:noProof/>
          <w:lang w:eastAsia="en-GB"/>
        </w:rPr>
        <w:t>activities</w:t>
      </w:r>
    </w:p>
    <w:p w:rsidR="00046CF8" w:rsidRDefault="003561C2">
      <w:pPr>
        <w:pStyle w:val="Heading1"/>
        <w:numPr>
          <w:ilvl w:val="0"/>
          <w:numId w:val="25"/>
        </w:numPr>
        <w:rPr>
          <w:noProof/>
        </w:rPr>
      </w:pPr>
      <w:bookmarkStart w:id="31" w:name="_Toc514503174"/>
      <w:bookmarkStart w:id="32" w:name="_Toc514507421"/>
      <w:r>
        <w:rPr>
          <w:noProof/>
        </w:rPr>
        <w:t>Consultation activities and methodology used</w:t>
      </w:r>
      <w:bookmarkEnd w:id="31"/>
      <w:bookmarkEnd w:id="32"/>
    </w:p>
    <w:p w:rsidR="00046CF8" w:rsidRDefault="003561C2">
      <w:pPr>
        <w:pStyle w:val="Heading2"/>
        <w:numPr>
          <w:ilvl w:val="1"/>
          <w:numId w:val="25"/>
        </w:numPr>
        <w:rPr>
          <w:noProof/>
        </w:rPr>
      </w:pPr>
      <w:bookmarkStart w:id="33" w:name="_Toc514503175"/>
      <w:r>
        <w:rPr>
          <w:noProof/>
        </w:rPr>
        <w:t>Targeted consultations with specific stakeholders and specialists</w:t>
      </w:r>
      <w:bookmarkEnd w:id="33"/>
    </w:p>
    <w:p w:rsidR="00046CF8" w:rsidRDefault="003561C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w:t>
      </w:r>
      <w:r>
        <w:rPr>
          <w:rFonts w:ascii="Times New Roman" w:hAnsi="Times New Roman" w:cs="Times New Roman"/>
          <w:noProof/>
          <w:sz w:val="24"/>
          <w:szCs w:val="24"/>
        </w:rPr>
        <w:t xml:space="preserve"> post-2020 programming period, one of our major consultation activity was the EMFF stakeholder conference entitled "Beyond 2020: Supporting Europe's Coastal Communities" and held in Tallinn on 12-13.10.2017. With 70 speakers and more than 300 participants,</w:t>
      </w:r>
      <w:r>
        <w:rPr>
          <w:rFonts w:ascii="Times New Roman" w:hAnsi="Times New Roman" w:cs="Times New Roman"/>
          <w:noProof/>
          <w:sz w:val="24"/>
          <w:szCs w:val="24"/>
        </w:rPr>
        <w:t xml:space="preserve"> the event allowed stakeholders to express their viewpoints and offered a unique opportunity for EMFF stakeholders to contribute to the assessment of the financial support the EMFF provides to the CFP and EU Maritime Policy over the current programming per</w:t>
      </w:r>
      <w:r>
        <w:rPr>
          <w:rFonts w:ascii="Times New Roman" w:hAnsi="Times New Roman" w:cs="Times New Roman"/>
          <w:noProof/>
          <w:sz w:val="24"/>
          <w:szCs w:val="24"/>
        </w:rPr>
        <w:t xml:space="preserve">iod (2014-2020). It also allowed them to anticipate the form this support could take after 2020. </w:t>
      </w:r>
    </w:p>
    <w:p w:rsidR="00046CF8" w:rsidRDefault="003561C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variety of stakeholders have been covered by the EMFF conference. Out of the 300 participants, there were more than 50% of representatives of public authori</w:t>
      </w:r>
      <w:r>
        <w:rPr>
          <w:rFonts w:ascii="Times New Roman" w:hAnsi="Times New Roman" w:cs="Times New Roman"/>
          <w:noProof/>
          <w:sz w:val="24"/>
          <w:szCs w:val="24"/>
        </w:rPr>
        <w:t xml:space="preserve">ties, 12% industry, 11% NGOs, 14% fishing associations and organisations and 7% of academia. </w:t>
      </w: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We have also taken into account the results of the Ex Post Evaluation of the European Fisheries Fund (EFF) 2007-2013 (SWD (2017) 274 final), as another key elemen</w:t>
      </w:r>
      <w:r>
        <w:rPr>
          <w:rFonts w:ascii="Times New Roman" w:hAnsi="Times New Roman" w:cs="Times New Roman"/>
          <w:noProof/>
          <w:sz w:val="24"/>
          <w:szCs w:val="24"/>
        </w:rPr>
        <w:t>t of our impact assessment to assess the possibility to continue financial support for the fisheries sector post-2020. The Ex Post Evaluation is based on the stakeholder consultation that took place between February and May 2016, aiming at examining the ge</w:t>
      </w:r>
      <w:r>
        <w:rPr>
          <w:rFonts w:ascii="Times New Roman" w:hAnsi="Times New Roman" w:cs="Times New Roman"/>
          <w:noProof/>
          <w:sz w:val="24"/>
          <w:szCs w:val="24"/>
        </w:rPr>
        <w:t>neral public opinion concerning the effectiveness and efficiency of the EFF.</w:t>
      </w:r>
    </w:p>
    <w:p w:rsidR="00046CF8" w:rsidRDefault="00046CF8">
      <w:pPr>
        <w:spacing w:after="0" w:line="240" w:lineRule="auto"/>
        <w:jc w:val="both"/>
        <w:rPr>
          <w:rFonts w:ascii="Times New Roman" w:hAnsi="Times New Roman" w:cs="Times New Roman"/>
          <w:noProof/>
          <w:sz w:val="24"/>
          <w:szCs w:val="24"/>
        </w:rPr>
      </w:pPr>
    </w:p>
    <w:p w:rsidR="00046CF8" w:rsidRDefault="003561C2">
      <w:pPr>
        <w:pStyle w:val="Heading2"/>
        <w:numPr>
          <w:ilvl w:val="1"/>
          <w:numId w:val="25"/>
        </w:numPr>
        <w:rPr>
          <w:noProof/>
        </w:rPr>
      </w:pPr>
      <w:bookmarkStart w:id="34" w:name="_Toc514503176"/>
      <w:r>
        <w:rPr>
          <w:noProof/>
        </w:rPr>
        <w:t>Consultation of Member States</w:t>
      </w:r>
      <w:bookmarkEnd w:id="34"/>
      <w:r>
        <w:rPr>
          <w:noProof/>
        </w:rPr>
        <w:t xml:space="preserve"> </w:t>
      </w: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Two opportunities were also given to the Members of the EMFF Expert Group (Member State administrations) to contribute to this debate and provide some input into the reflection process on the opportunity of their meetings held respectively on 06.11.17 and </w:t>
      </w:r>
      <w:r>
        <w:rPr>
          <w:rFonts w:ascii="Times New Roman" w:hAnsi="Times New Roman" w:cs="Times New Roman"/>
          <w:noProof/>
          <w:sz w:val="24"/>
          <w:szCs w:val="24"/>
        </w:rPr>
        <w:t>15.01.2018. The debates in EMFF Expert Groups were supported by discussion papers and orientation questions provided by COM in advance to the meeting. Written contributions were also received from the Member States on questions raised in the EMFF Expert Gr</w:t>
      </w:r>
      <w:r>
        <w:rPr>
          <w:rFonts w:ascii="Times New Roman" w:hAnsi="Times New Roman" w:cs="Times New Roman"/>
          <w:noProof/>
          <w:sz w:val="24"/>
          <w:szCs w:val="24"/>
        </w:rPr>
        <w:t xml:space="preserve">oup meetings or in the COM non-papers on future EU funding. </w:t>
      </w:r>
    </w:p>
    <w:p w:rsidR="00046CF8" w:rsidRDefault="00046CF8">
      <w:pPr>
        <w:spacing w:after="0" w:line="240" w:lineRule="auto"/>
        <w:jc w:val="both"/>
        <w:rPr>
          <w:rFonts w:ascii="Times New Roman" w:hAnsi="Times New Roman" w:cs="Times New Roman"/>
          <w:noProof/>
          <w:sz w:val="24"/>
          <w:szCs w:val="24"/>
        </w:rPr>
      </w:pPr>
    </w:p>
    <w:p w:rsidR="00046CF8" w:rsidRDefault="003561C2">
      <w:pPr>
        <w:pStyle w:val="Heading2"/>
        <w:numPr>
          <w:ilvl w:val="1"/>
          <w:numId w:val="25"/>
        </w:numPr>
        <w:rPr>
          <w:noProof/>
        </w:rPr>
      </w:pPr>
      <w:bookmarkStart w:id="35" w:name="_Toc514503177"/>
      <w:r>
        <w:rPr>
          <w:noProof/>
        </w:rPr>
        <w:t>Consultation of partners</w:t>
      </w:r>
      <w:bookmarkEnd w:id="35"/>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Letters were sent to Advisory Councils, NGOs and European Social Partners requesting their input on post-2020 EU funding for fisheries and maritime sectors, and an Opini</w:t>
      </w:r>
      <w:r>
        <w:rPr>
          <w:rFonts w:ascii="Times New Roman" w:hAnsi="Times New Roman" w:cs="Times New Roman"/>
          <w:noProof/>
          <w:sz w:val="24"/>
          <w:szCs w:val="24"/>
        </w:rPr>
        <w:t xml:space="preserve">on of the Committee of the Regions is under development (with adoption in plenary foreseen for 16/5). Individual meetings with Social Partners have also been organised for the purposes of the consultation.  </w:t>
      </w: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the purposes of consultation, contributions </w:t>
      </w:r>
      <w:r>
        <w:rPr>
          <w:rFonts w:ascii="Times New Roman" w:hAnsi="Times New Roman" w:cs="Times New Roman"/>
          <w:noProof/>
          <w:sz w:val="24"/>
          <w:szCs w:val="24"/>
        </w:rPr>
        <w:t>were also received from the Conference of Peripheral Maritime Regions (CPMR), such as the Technical paper from December 2017 on the "Future of the EMFF post-2020: Elements of analysis and possible scenarios", and the CPMR notes on the EMFF post-2020 from O</w:t>
      </w:r>
      <w:r>
        <w:rPr>
          <w:rFonts w:ascii="Times New Roman" w:hAnsi="Times New Roman" w:cs="Times New Roman"/>
          <w:noProof/>
          <w:sz w:val="24"/>
          <w:szCs w:val="24"/>
        </w:rPr>
        <w:t xml:space="preserve">ctober 2017 and March 2017. The final Policy Position on the future of the EMFF will be adopted by the CPMR Political Bureau in March 2018. </w:t>
      </w:r>
    </w:p>
    <w:p w:rsidR="00046CF8" w:rsidRDefault="00046CF8">
      <w:pPr>
        <w:spacing w:after="0" w:line="240" w:lineRule="auto"/>
        <w:jc w:val="both"/>
        <w:rPr>
          <w:rFonts w:ascii="Times New Roman" w:hAnsi="Times New Roman" w:cs="Times New Roman"/>
          <w:noProof/>
          <w:sz w:val="24"/>
          <w:szCs w:val="24"/>
        </w:rPr>
      </w:pPr>
    </w:p>
    <w:p w:rsidR="00046CF8" w:rsidRDefault="003561C2">
      <w:pPr>
        <w:pStyle w:val="Heading2"/>
        <w:numPr>
          <w:ilvl w:val="1"/>
          <w:numId w:val="25"/>
        </w:numPr>
        <w:rPr>
          <w:noProof/>
        </w:rPr>
      </w:pPr>
      <w:bookmarkStart w:id="36" w:name="_Toc514503178"/>
      <w:r>
        <w:rPr>
          <w:noProof/>
        </w:rPr>
        <w:t>Targeted workshops and reports</w:t>
      </w:r>
      <w:bookmarkEnd w:id="36"/>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 number of other workshops and reports provided input to the assessment, such as t</w:t>
      </w:r>
      <w:r>
        <w:rPr>
          <w:rFonts w:ascii="Times New Roman" w:hAnsi="Times New Roman" w:cs="Times New Roman"/>
          <w:noProof/>
          <w:sz w:val="24"/>
          <w:szCs w:val="24"/>
        </w:rPr>
        <w:t xml:space="preserve">he Policy session during the European Association of Fisheries Economists conference (April 2017) and the Stakeholder Workshop on support to Maritime Policy during the European Maritime Days (May 2017). </w:t>
      </w:r>
    </w:p>
    <w:p w:rsidR="00046CF8" w:rsidRDefault="00046CF8">
      <w:pPr>
        <w:spacing w:after="0" w:line="240" w:lineRule="auto"/>
        <w:jc w:val="both"/>
        <w:rPr>
          <w:rFonts w:ascii="Times New Roman" w:hAnsi="Times New Roman" w:cs="Times New Roman"/>
          <w:noProof/>
          <w:sz w:val="24"/>
          <w:szCs w:val="24"/>
        </w:rPr>
      </w:pPr>
    </w:p>
    <w:p w:rsidR="00046CF8" w:rsidRDefault="003561C2">
      <w:pPr>
        <w:pStyle w:val="Heading2"/>
        <w:numPr>
          <w:ilvl w:val="1"/>
          <w:numId w:val="25"/>
        </w:numPr>
        <w:rPr>
          <w:noProof/>
        </w:rPr>
      </w:pPr>
      <w:bookmarkStart w:id="37" w:name="_Toc514503179"/>
      <w:r>
        <w:rPr>
          <w:noProof/>
        </w:rPr>
        <w:t>In-house reflections</w:t>
      </w:r>
      <w:bookmarkEnd w:id="37"/>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In-house reflections through targeted discussions have been conducted in DG MARE on the basis of thematic discussion papers </w:t>
      </w:r>
      <w:r>
        <w:rPr>
          <w:rFonts w:ascii="Times New Roman" w:hAnsi="Times New Roman" w:cs="Times New Roman"/>
          <w:noProof/>
          <w:sz w:val="24"/>
          <w:szCs w:val="24"/>
          <w:lang w:eastAsia="zh-CN"/>
        </w:rPr>
        <w:t xml:space="preserve">(e.g. </w:t>
      </w:r>
      <w:r>
        <w:rPr>
          <w:rFonts w:ascii="Times New Roman" w:hAnsi="Times New Roman" w:cs="Times New Roman"/>
          <w:noProof/>
          <w:sz w:val="24"/>
          <w:szCs w:val="24"/>
        </w:rPr>
        <w:t>removing "measures" from the future legal framework, financial framework, Outermost regions, Maritime Policy, data collection,</w:t>
      </w:r>
      <w:r>
        <w:rPr>
          <w:rFonts w:ascii="Times New Roman" w:hAnsi="Times New Roman" w:cs="Times New Roman"/>
          <w:noProof/>
          <w:sz w:val="24"/>
          <w:szCs w:val="24"/>
        </w:rPr>
        <w:t xml:space="preserve"> control, land-locked Member States, Common Monitoring and Evaluation System, Community Led Local Development, etc.).</w:t>
      </w:r>
      <w:r>
        <w:rPr>
          <w:rFonts w:ascii="Times New Roman" w:hAnsi="Times New Roman" w:cs="Times New Roman"/>
          <w:i/>
          <w:noProof/>
          <w:sz w:val="24"/>
          <w:szCs w:val="24"/>
        </w:rPr>
        <w:t xml:space="preserve"> </w:t>
      </w: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by organising the Tallinn Stakeholder Conference and by conducting number of consultations, DG MARE has ensured that all relevan</w:t>
      </w:r>
      <w:r>
        <w:rPr>
          <w:rFonts w:ascii="Times New Roman" w:hAnsi="Times New Roman" w:cs="Times New Roman"/>
          <w:noProof/>
          <w:sz w:val="24"/>
          <w:szCs w:val="24"/>
        </w:rPr>
        <w:t>t stakeholders have had the opportunity to provide their opinion on key elements of the IA.</w:t>
      </w:r>
    </w:p>
    <w:p w:rsidR="00046CF8" w:rsidRDefault="00046CF8">
      <w:pPr>
        <w:spacing w:after="0" w:line="240" w:lineRule="auto"/>
        <w:jc w:val="both"/>
        <w:rPr>
          <w:rFonts w:ascii="Times New Roman" w:hAnsi="Times New Roman" w:cs="Times New Roman"/>
          <w:noProof/>
          <w:sz w:val="24"/>
          <w:szCs w:val="24"/>
        </w:rPr>
      </w:pPr>
    </w:p>
    <w:p w:rsidR="00046CF8" w:rsidRDefault="003561C2">
      <w:pPr>
        <w:pStyle w:val="Heading1"/>
        <w:numPr>
          <w:ilvl w:val="0"/>
          <w:numId w:val="25"/>
        </w:numPr>
        <w:rPr>
          <w:noProof/>
        </w:rPr>
      </w:pPr>
      <w:bookmarkStart w:id="38" w:name="_Toc514503180"/>
      <w:bookmarkStart w:id="39" w:name="_Toc514507422"/>
      <w:r>
        <w:rPr>
          <w:noProof/>
        </w:rPr>
        <w:t>Outcome of the consultation activities - Main findings and positions</w:t>
      </w:r>
      <w:bookmarkEnd w:id="38"/>
      <w:bookmarkEnd w:id="39"/>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Strong call for continuity and clear need for a </w:t>
      </w:r>
      <w:r>
        <w:rPr>
          <w:rFonts w:ascii="Times New Roman" w:hAnsi="Times New Roman" w:cs="Times New Roman"/>
          <w:b/>
          <w:noProof/>
          <w:sz w:val="24"/>
          <w:szCs w:val="24"/>
        </w:rPr>
        <w:t>dedicated funding instrument in the future for</w:t>
      </w:r>
      <w:r>
        <w:rPr>
          <w:rFonts w:ascii="Times New Roman" w:hAnsi="Times New Roman" w:cs="Times New Roman"/>
          <w:b/>
          <w:noProof/>
          <w:sz w:val="24"/>
          <w:szCs w:val="24"/>
        </w:rPr>
        <w:t xml:space="preserve"> fisheries and the maritime policy</w:t>
      </w:r>
      <w:r>
        <w:rPr>
          <w:rFonts w:ascii="Times New Roman" w:hAnsi="Times New Roman" w:cs="Times New Roman"/>
          <w:noProof/>
          <w:sz w:val="24"/>
          <w:szCs w:val="24"/>
        </w:rPr>
        <w:t>, continuing to achieve the CFP objectives and taking advantage of Blue Growth opportunities was stressed by almost all stakeholders. However, there were diverging views between the consulted stakeholders on how the suppor</w:t>
      </w:r>
      <w:r>
        <w:rPr>
          <w:rFonts w:ascii="Times New Roman" w:hAnsi="Times New Roman" w:cs="Times New Roman"/>
          <w:noProof/>
          <w:sz w:val="24"/>
          <w:szCs w:val="24"/>
        </w:rPr>
        <w:t>t should be divided taking into account that strengthening of the maritime policy part of the EMFF would also imply strengthening of the overall budget. Some stakeholders</w:t>
      </w:r>
      <w:r>
        <w:rPr>
          <w:rFonts w:ascii="Times New Roman" w:hAnsi="Times New Roman" w:cs="Times New Roman"/>
          <w:i/>
          <w:noProof/>
          <w:sz w:val="24"/>
          <w:szCs w:val="24"/>
        </w:rPr>
        <w:t xml:space="preserve"> </w:t>
      </w:r>
      <w:r>
        <w:rPr>
          <w:rFonts w:ascii="Times New Roman" w:hAnsi="Times New Roman" w:cs="Times New Roman"/>
          <w:noProof/>
          <w:sz w:val="24"/>
          <w:szCs w:val="24"/>
        </w:rPr>
        <w:t>expressed their concerns that strengthening the support to maritime policy would be d</w:t>
      </w:r>
      <w:r>
        <w:rPr>
          <w:rFonts w:ascii="Times New Roman" w:hAnsi="Times New Roman" w:cs="Times New Roman"/>
          <w:noProof/>
          <w:sz w:val="24"/>
          <w:szCs w:val="24"/>
        </w:rPr>
        <w:t xml:space="preserve">etrimental to the level of support to fisheries and aquaculture and stressed that this should not be decreased. Continuity was also considered important by the stakeholders in order to benefit a smooth transition from one programming period to another. </w:t>
      </w:r>
    </w:p>
    <w:p w:rsidR="00046CF8" w:rsidRDefault="00046CF8">
      <w:pPr>
        <w:pStyle w:val="ListParagraph"/>
        <w:ind w:left="360"/>
        <w:rPr>
          <w:rFonts w:ascii="Times New Roman" w:hAnsi="Times New Roman" w:cs="Times New Roman"/>
          <w:i/>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D</w:t>
      </w:r>
      <w:r>
        <w:rPr>
          <w:rFonts w:ascii="Times New Roman" w:hAnsi="Times New Roman" w:cs="Times New Roman"/>
          <w:noProof/>
          <w:sz w:val="24"/>
          <w:szCs w:val="24"/>
        </w:rPr>
        <w:t xml:space="preserve">ue to the nature of the fund, several landlocked Member States suggested including an </w:t>
      </w:r>
      <w:r>
        <w:rPr>
          <w:rFonts w:ascii="Times New Roman" w:hAnsi="Times New Roman" w:cs="Times New Roman"/>
          <w:b/>
          <w:noProof/>
          <w:sz w:val="24"/>
          <w:szCs w:val="24"/>
        </w:rPr>
        <w:t>opt-out option</w:t>
      </w:r>
      <w:r>
        <w:rPr>
          <w:rFonts w:ascii="Times New Roman" w:hAnsi="Times New Roman" w:cs="Times New Roman"/>
          <w:noProof/>
          <w:sz w:val="24"/>
          <w:szCs w:val="24"/>
        </w:rPr>
        <w:t xml:space="preserve"> </w:t>
      </w:r>
      <w:r>
        <w:rPr>
          <w:rFonts w:ascii="Times New Roman" w:hAnsi="Times New Roman" w:cs="Times New Roman"/>
          <w:b/>
          <w:noProof/>
          <w:sz w:val="24"/>
          <w:szCs w:val="24"/>
        </w:rPr>
        <w:t>from the EMFF</w:t>
      </w:r>
      <w:r>
        <w:rPr>
          <w:rFonts w:ascii="Times New Roman" w:hAnsi="Times New Roman" w:cs="Times New Roman"/>
          <w:noProof/>
          <w:sz w:val="24"/>
          <w:szCs w:val="24"/>
        </w:rPr>
        <w:t xml:space="preserve"> into the new Regulation with adding the possibility to shift their allocations to another fund. </w:t>
      </w:r>
    </w:p>
    <w:p w:rsidR="00046CF8" w:rsidRDefault="00046CF8">
      <w:pPr>
        <w:pStyle w:val="ListParagraph"/>
        <w:ind w:left="360"/>
        <w:rPr>
          <w:rFonts w:ascii="Times New Roman" w:hAnsi="Times New Roman" w:cs="Times New Roman"/>
          <w:i/>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i/>
          <w:noProof/>
          <w:sz w:val="24"/>
          <w:szCs w:val="24"/>
        </w:rPr>
      </w:pPr>
      <w:r>
        <w:rPr>
          <w:rFonts w:ascii="Times New Roman" w:hAnsi="Times New Roman" w:cs="Times New Roman"/>
          <w:noProof/>
          <w:sz w:val="24"/>
          <w:szCs w:val="24"/>
        </w:rPr>
        <w:t xml:space="preserve">Member States also agreed that </w:t>
      </w:r>
      <w:r>
        <w:rPr>
          <w:rFonts w:ascii="Times New Roman" w:hAnsi="Times New Roman" w:cs="Times New Roman"/>
          <w:b/>
          <w:noProof/>
          <w:sz w:val="24"/>
          <w:szCs w:val="24"/>
        </w:rPr>
        <w:t>the objectiv</w:t>
      </w:r>
      <w:r>
        <w:rPr>
          <w:rFonts w:ascii="Times New Roman" w:hAnsi="Times New Roman" w:cs="Times New Roman"/>
          <w:b/>
          <w:noProof/>
          <w:sz w:val="24"/>
          <w:szCs w:val="24"/>
        </w:rPr>
        <w:t>es of the post-2020</w:t>
      </w:r>
      <w:r>
        <w:rPr>
          <w:rFonts w:ascii="Times New Roman" w:hAnsi="Times New Roman" w:cs="Times New Roman"/>
          <w:noProof/>
          <w:sz w:val="24"/>
          <w:szCs w:val="24"/>
        </w:rPr>
        <w:t xml:space="preserve"> Fund should support the environmental, economic and social sustainability. The achievement of CFP objectives was noted by the stakeholders as a priority for the next Fund. While underlining the importance of maritime policy, blue econom</w:t>
      </w:r>
      <w:r>
        <w:rPr>
          <w:rFonts w:ascii="Times New Roman" w:hAnsi="Times New Roman" w:cs="Times New Roman"/>
          <w:noProof/>
          <w:sz w:val="24"/>
          <w:szCs w:val="24"/>
        </w:rPr>
        <w:t>y and international ocean governance, a number of Member States stressed</w:t>
      </w:r>
      <w:r>
        <w:rPr>
          <w:rFonts w:ascii="Times New Roman" w:hAnsi="Times New Roman" w:cs="Times New Roman"/>
          <w:i/>
          <w:noProof/>
          <w:sz w:val="24"/>
          <w:szCs w:val="24"/>
        </w:rPr>
        <w:t xml:space="preserve"> </w:t>
      </w:r>
      <w:r>
        <w:rPr>
          <w:rFonts w:ascii="Times New Roman" w:hAnsi="Times New Roman" w:cs="Times New Roman"/>
          <w:noProof/>
          <w:sz w:val="24"/>
          <w:szCs w:val="24"/>
        </w:rPr>
        <w:t>that CFP should remain a key policy implemented by the EMFF. According to a number of Member States, the policy objectives should be clear enough to mark a separation between the diff</w:t>
      </w:r>
      <w:r>
        <w:rPr>
          <w:rFonts w:ascii="Times New Roman" w:hAnsi="Times New Roman" w:cs="Times New Roman"/>
          <w:noProof/>
          <w:sz w:val="24"/>
          <w:szCs w:val="24"/>
        </w:rPr>
        <w:t xml:space="preserve">erent objectives, which would help the Member States to better define the results to be achieved in each priority area. Views on the specific objectives varied between the consulted stakeholders, with various suggestions to include a specific reference to </w:t>
      </w:r>
      <w:r>
        <w:rPr>
          <w:rFonts w:ascii="Times New Roman" w:hAnsi="Times New Roman" w:cs="Times New Roman"/>
          <w:noProof/>
          <w:sz w:val="24"/>
          <w:szCs w:val="24"/>
        </w:rPr>
        <w:t xml:space="preserve">growth, processing, innovation, blue growth, marketing and commercialisation, maritime policy or international aspects. Sustainability was stressed as the top priority for any future EU financial support, followed by support to the social dimension of the </w:t>
      </w:r>
      <w:r>
        <w:rPr>
          <w:rFonts w:ascii="Times New Roman" w:hAnsi="Times New Roman" w:cs="Times New Roman"/>
          <w:noProof/>
          <w:sz w:val="24"/>
          <w:szCs w:val="24"/>
        </w:rPr>
        <w:t xml:space="preserve">CFP and support for competitiveness. </w:t>
      </w:r>
    </w:p>
    <w:p w:rsidR="00046CF8" w:rsidRDefault="00046CF8">
      <w:pPr>
        <w:pStyle w:val="ListParagraph"/>
        <w:spacing w:after="0"/>
        <w:ind w:left="360"/>
        <w:rPr>
          <w:rFonts w:ascii="Times New Roman" w:hAnsi="Times New Roman" w:cs="Times New Roman"/>
          <w:i/>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i/>
          <w:noProof/>
          <w:sz w:val="24"/>
          <w:szCs w:val="24"/>
        </w:rPr>
      </w:pPr>
      <w:r>
        <w:rPr>
          <w:rFonts w:ascii="Times New Roman" w:hAnsi="Times New Roman" w:cs="Times New Roman"/>
          <w:noProof/>
          <w:sz w:val="24"/>
          <w:szCs w:val="24"/>
        </w:rPr>
        <w:t xml:space="preserve">As regards the EMFF's most </w:t>
      </w:r>
      <w:r>
        <w:rPr>
          <w:rFonts w:ascii="Times New Roman" w:hAnsi="Times New Roman" w:cs="Times New Roman"/>
          <w:b/>
          <w:noProof/>
          <w:sz w:val="24"/>
          <w:szCs w:val="24"/>
        </w:rPr>
        <w:t>significant achievements</w:t>
      </w:r>
      <w:r>
        <w:rPr>
          <w:rFonts w:ascii="Times New Roman" w:hAnsi="Times New Roman" w:cs="Times New Roman"/>
          <w:noProof/>
          <w:sz w:val="24"/>
          <w:szCs w:val="24"/>
        </w:rPr>
        <w:t xml:space="preserve"> during the current programming period,  stakeholders considered in particular an important achievement the support to sustainability and to competitiveness and to le</w:t>
      </w:r>
      <w:r>
        <w:rPr>
          <w:rFonts w:ascii="Times New Roman" w:hAnsi="Times New Roman" w:cs="Times New Roman"/>
          <w:noProof/>
          <w:sz w:val="24"/>
          <w:szCs w:val="24"/>
        </w:rPr>
        <w:t>ss extent also the support to blue growth and to the social dimension of the CFP. However, the majority of stakeholders agreed that although the current Fund had improved comparing to the previous Fund by making fishing and aquaculture more sustainable, co</w:t>
      </w:r>
      <w:r>
        <w:rPr>
          <w:rFonts w:ascii="Times New Roman" w:hAnsi="Times New Roman" w:cs="Times New Roman"/>
          <w:noProof/>
          <w:sz w:val="24"/>
          <w:szCs w:val="24"/>
        </w:rPr>
        <w:t xml:space="preserve">mpetitive and innovative, the objectives of the CFP as laid down in the TFEU could not be considered as fully met  and thus there is still need to </w:t>
      </w:r>
      <w:r>
        <w:rPr>
          <w:rFonts w:ascii="Times New Roman" w:hAnsi="Times New Roman" w:cs="Times New Roman"/>
          <w:b/>
          <w:noProof/>
          <w:sz w:val="24"/>
          <w:szCs w:val="24"/>
        </w:rPr>
        <w:t>further align the Fund with the CFP</w:t>
      </w:r>
      <w:r>
        <w:rPr>
          <w:rFonts w:ascii="Times New Roman" w:hAnsi="Times New Roman" w:cs="Times New Roman"/>
          <w:noProof/>
          <w:sz w:val="24"/>
          <w:szCs w:val="24"/>
        </w:rPr>
        <w:t xml:space="preserve"> (Tallinn, EMFF EG, environmental NGOs). In this regard, the post-2020 Fun</w:t>
      </w:r>
      <w:r>
        <w:rPr>
          <w:rFonts w:ascii="Times New Roman" w:hAnsi="Times New Roman" w:cs="Times New Roman"/>
          <w:noProof/>
          <w:sz w:val="24"/>
          <w:szCs w:val="24"/>
        </w:rPr>
        <w:t>d should take this into account and further align to the CFP objectives.</w:t>
      </w:r>
      <w:r>
        <w:rPr>
          <w:rFonts w:ascii="Times New Roman" w:hAnsi="Times New Roman" w:cs="Times New Roman"/>
          <w:i/>
          <w:noProof/>
          <w:sz w:val="24"/>
          <w:szCs w:val="24"/>
        </w:rPr>
        <w:t xml:space="preserve"> </w:t>
      </w:r>
      <w:r>
        <w:rPr>
          <w:rFonts w:ascii="Times New Roman" w:hAnsi="Times New Roman" w:cs="Times New Roman"/>
          <w:noProof/>
          <w:sz w:val="24"/>
          <w:szCs w:val="24"/>
        </w:rPr>
        <w:t>Stakeholders also welcomed the EU support for maritime policy and the broader blue economy, which has so far included more than 250 million euros from the EMFF, mainly for projects en</w:t>
      </w:r>
      <w:r>
        <w:rPr>
          <w:rFonts w:ascii="Times New Roman" w:hAnsi="Times New Roman" w:cs="Times New Roman"/>
          <w:noProof/>
          <w:sz w:val="24"/>
          <w:szCs w:val="24"/>
        </w:rPr>
        <w:t xml:space="preserve">abling conditions for growth in the different maritime activities. </w:t>
      </w:r>
    </w:p>
    <w:p w:rsidR="00046CF8" w:rsidRDefault="00046CF8">
      <w:pPr>
        <w:pStyle w:val="ListParagraph"/>
        <w:spacing w:after="0"/>
        <w:ind w:left="360"/>
        <w:rPr>
          <w:rFonts w:ascii="Times New Roman" w:hAnsi="Times New Roman" w:cs="Times New Roman"/>
          <w:i/>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of the consultations, an agreement was reached between stakeholders that one of the </w:t>
      </w:r>
      <w:r>
        <w:rPr>
          <w:rFonts w:ascii="Times New Roman" w:hAnsi="Times New Roman" w:cs="Times New Roman"/>
          <w:b/>
          <w:noProof/>
          <w:sz w:val="24"/>
          <w:szCs w:val="24"/>
        </w:rPr>
        <w:t>biggest shortcomings of the EMFF</w:t>
      </w:r>
      <w:r>
        <w:rPr>
          <w:rFonts w:ascii="Times New Roman" w:hAnsi="Times New Roman" w:cs="Times New Roman"/>
          <w:noProof/>
          <w:sz w:val="24"/>
          <w:szCs w:val="24"/>
        </w:rPr>
        <w:t xml:space="preserve"> was its slow take up and the late implementation of the Operational Programmes which was essentially due to the late approval of the legislative framework. Also, it was agreed that the overlap with the previous programming period (in terms of administrati</w:t>
      </w:r>
      <w:r>
        <w:rPr>
          <w:rFonts w:ascii="Times New Roman" w:hAnsi="Times New Roman" w:cs="Times New Roman"/>
          <w:noProof/>
          <w:sz w:val="24"/>
          <w:szCs w:val="24"/>
        </w:rPr>
        <w:t>ve resources in the Member States) and the difficulties to adapt to new rules and overly complex administrative requirements (too many measures and priorities) represented a challenge for the Member States. These, coupled with a heavy and too much detailed</w:t>
      </w:r>
      <w:r>
        <w:rPr>
          <w:rFonts w:ascii="Times New Roman" w:hAnsi="Times New Roman" w:cs="Times New Roman"/>
          <w:noProof/>
          <w:sz w:val="24"/>
          <w:szCs w:val="24"/>
        </w:rPr>
        <w:t xml:space="preserve"> EU level legislation, the rigidity and inflexibility in interpretation and too much focus on eligibility rather than on reaching objectives and targets, represent the challenges Member States have to face. In this regard, a strong call for less legal comp</w:t>
      </w:r>
      <w:r>
        <w:rPr>
          <w:rFonts w:ascii="Times New Roman" w:hAnsi="Times New Roman" w:cs="Times New Roman"/>
          <w:noProof/>
          <w:sz w:val="24"/>
          <w:szCs w:val="24"/>
        </w:rPr>
        <w:t xml:space="preserve">lexity with a simpler legal framework was put forward by the majority of stakeholders. Moreover, the level of micro-management deriving from the complex EU legislation should be minimized. </w:t>
      </w:r>
    </w:p>
    <w:p w:rsidR="00046CF8" w:rsidRDefault="00046CF8">
      <w:pPr>
        <w:pStyle w:val="ListParagraph"/>
        <w:spacing w:after="0"/>
        <w:ind w:left="360"/>
        <w:rPr>
          <w:rFonts w:ascii="Times New Roman" w:hAnsi="Times New Roman" w:cs="Times New Roman"/>
          <w:noProof/>
          <w:sz w:val="24"/>
          <w:szCs w:val="24"/>
        </w:rPr>
      </w:pPr>
    </w:p>
    <w:p w:rsidR="00046CF8" w:rsidRDefault="003561C2">
      <w:pPr>
        <w:pStyle w:val="ListParagraph"/>
        <w:numPr>
          <w:ilvl w:val="0"/>
          <w:numId w:val="21"/>
        </w:numPr>
        <w:tabs>
          <w:tab w:val="left" w:pos="84"/>
        </w:tabs>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In their contributions, Member States underlined that the </w:t>
      </w:r>
      <w:r>
        <w:rPr>
          <w:rFonts w:ascii="Times New Roman" w:hAnsi="Times New Roman" w:cs="Times New Roman"/>
          <w:b/>
          <w:noProof/>
          <w:sz w:val="24"/>
          <w:szCs w:val="24"/>
        </w:rPr>
        <w:t>interve</w:t>
      </w:r>
      <w:r>
        <w:rPr>
          <w:rFonts w:ascii="Times New Roman" w:hAnsi="Times New Roman" w:cs="Times New Roman"/>
          <w:b/>
          <w:noProof/>
          <w:sz w:val="24"/>
          <w:szCs w:val="24"/>
        </w:rPr>
        <w:t>ntion logic</w:t>
      </w:r>
      <w:r>
        <w:rPr>
          <w:rFonts w:ascii="Times New Roman" w:hAnsi="Times New Roman" w:cs="Times New Roman"/>
          <w:noProof/>
          <w:sz w:val="24"/>
          <w:szCs w:val="24"/>
        </w:rPr>
        <w:t xml:space="preserve"> should be made more simple and less rigid and not be designed and fixed by a Regulation but built by Member States, in order to support and match further their national strategies and choices. Flexible intervention logic would also allow Member</w:t>
      </w:r>
      <w:r>
        <w:rPr>
          <w:rFonts w:ascii="Times New Roman" w:hAnsi="Times New Roman" w:cs="Times New Roman"/>
          <w:noProof/>
          <w:sz w:val="24"/>
          <w:szCs w:val="24"/>
        </w:rPr>
        <w:t xml:space="preserve"> States to address their own specificities while setting national objectives and to design necessary measures based on their own national circumstances. Since the intervention logic should define the monitoring and evaluation (M&amp;E) system needed, stakehold</w:t>
      </w:r>
      <w:r>
        <w:rPr>
          <w:rFonts w:ascii="Times New Roman" w:hAnsi="Times New Roman" w:cs="Times New Roman"/>
          <w:noProof/>
          <w:sz w:val="24"/>
          <w:szCs w:val="24"/>
        </w:rPr>
        <w:t xml:space="preserve">ers agreed that if the intervention logic is rigid and complex, the M&amp;E system will be as well. </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tabs>
          <w:tab w:val="left" w:pos="84"/>
        </w:tabs>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 large consensus could be observed between the stakeholders calling for a greater </w:t>
      </w:r>
      <w:r>
        <w:rPr>
          <w:rFonts w:ascii="Times New Roman" w:hAnsi="Times New Roman" w:cs="Times New Roman"/>
          <w:b/>
          <w:noProof/>
          <w:sz w:val="24"/>
          <w:szCs w:val="24"/>
        </w:rPr>
        <w:t>simplification</w:t>
      </w:r>
      <w:r>
        <w:rPr>
          <w:rFonts w:ascii="Times New Roman" w:hAnsi="Times New Roman" w:cs="Times New Roman"/>
          <w:noProof/>
          <w:sz w:val="24"/>
          <w:szCs w:val="24"/>
        </w:rPr>
        <w:t xml:space="preserve"> at all levels (both EU and national) regarding the implement</w:t>
      </w:r>
      <w:r>
        <w:rPr>
          <w:rFonts w:ascii="Times New Roman" w:hAnsi="Times New Roman" w:cs="Times New Roman"/>
          <w:noProof/>
          <w:sz w:val="24"/>
          <w:szCs w:val="24"/>
        </w:rPr>
        <w:t xml:space="preserve">ation of the EMFF in order to keep certain level of stability was made by the Member States. However, diverging views were observed as on how to find the right balance between a greater emphasis on result orientation and reducing the administrative burden </w:t>
      </w:r>
      <w:r>
        <w:rPr>
          <w:rFonts w:ascii="Times New Roman" w:hAnsi="Times New Roman" w:cs="Times New Roman"/>
          <w:noProof/>
          <w:sz w:val="24"/>
          <w:szCs w:val="24"/>
        </w:rPr>
        <w:t>for beneficiaries and administrations whilst assuring correct spending. The majority of stakeholders were of opinion that the current system had been too much regulated and thus it excluded result orientation while focusing too much on eligibility orientat</w:t>
      </w:r>
      <w:r>
        <w:rPr>
          <w:rFonts w:ascii="Times New Roman" w:hAnsi="Times New Roman" w:cs="Times New Roman"/>
          <w:noProof/>
          <w:sz w:val="24"/>
          <w:szCs w:val="24"/>
        </w:rPr>
        <w:t>ion. In this regard, the simplification could be achieved by replacing the long list of pre-defined measures by either a flexible catalogue of measures or by giving the Member States the opportunity (and the responsibility) to choose the most appropriate m</w:t>
      </w:r>
      <w:r>
        <w:rPr>
          <w:rFonts w:ascii="Times New Roman" w:hAnsi="Times New Roman" w:cs="Times New Roman"/>
          <w:noProof/>
          <w:sz w:val="24"/>
          <w:szCs w:val="24"/>
        </w:rPr>
        <w:t xml:space="preserve">eans to achieve the objectives set out in the Regulation and to deliver results. A way forward could be the </w:t>
      </w:r>
      <w:r>
        <w:rPr>
          <w:rFonts w:ascii="Times New Roman" w:hAnsi="Times New Roman" w:cs="Times New Roman"/>
          <w:b/>
          <w:noProof/>
          <w:sz w:val="24"/>
          <w:szCs w:val="24"/>
        </w:rPr>
        <w:t>result-based management</w:t>
      </w:r>
      <w:r>
        <w:rPr>
          <w:rFonts w:ascii="Times New Roman" w:hAnsi="Times New Roman" w:cs="Times New Roman"/>
          <w:noProof/>
          <w:sz w:val="24"/>
          <w:szCs w:val="24"/>
        </w:rPr>
        <w:t>, with the introduction of targets and set of result indicators. In this regard, Member States suggested the management of th</w:t>
      </w:r>
      <w:r>
        <w:rPr>
          <w:rFonts w:ascii="Times New Roman" w:hAnsi="Times New Roman" w:cs="Times New Roman"/>
          <w:noProof/>
          <w:sz w:val="24"/>
          <w:szCs w:val="24"/>
        </w:rPr>
        <w:t>e fund on macro level in a way that the Union priorities and specific objectives would be set at the EU level and the Member States would be free to determine (and will have the responsibility on) how will they reach the objectives of the Fund, while refle</w:t>
      </w:r>
      <w:r>
        <w:rPr>
          <w:rFonts w:ascii="Times New Roman" w:hAnsi="Times New Roman" w:cs="Times New Roman"/>
          <w:noProof/>
          <w:sz w:val="24"/>
          <w:szCs w:val="24"/>
        </w:rPr>
        <w:t>cting the needs of each Member State and its communities in the programme. Also, a list of non-eligible expenditures or operations should be defined at the EU level and thus set in the Regulation. Views on the format of the list of non-eligible expenditure</w:t>
      </w:r>
      <w:r>
        <w:rPr>
          <w:rFonts w:ascii="Times New Roman" w:hAnsi="Times New Roman" w:cs="Times New Roman"/>
          <w:noProof/>
          <w:sz w:val="24"/>
          <w:szCs w:val="24"/>
        </w:rPr>
        <w:t>s varied between making it very clearly defined to keeping it a more general list. However, if the existing system of pre-defined measures would remain in the future, the Member States considered that a serious reduction of the number of measures, their si</w:t>
      </w:r>
      <w:r>
        <w:rPr>
          <w:rFonts w:ascii="Times New Roman" w:hAnsi="Times New Roman" w:cs="Times New Roman"/>
          <w:noProof/>
          <w:sz w:val="24"/>
          <w:szCs w:val="24"/>
        </w:rPr>
        <w:t>mplification and balance should be taken into account.</w:t>
      </w:r>
    </w:p>
    <w:p w:rsidR="00046CF8" w:rsidRDefault="00046CF8">
      <w:pPr>
        <w:pStyle w:val="ListParagraph"/>
        <w:tabs>
          <w:tab w:val="left" w:pos="84"/>
        </w:tabs>
        <w:spacing w:after="0"/>
        <w:ind w:left="360"/>
        <w:rPr>
          <w:rFonts w:ascii="Times New Roman" w:hAnsi="Times New Roman" w:cs="Times New Roman"/>
          <w:noProof/>
          <w:sz w:val="24"/>
          <w:szCs w:val="24"/>
        </w:rPr>
      </w:pPr>
    </w:p>
    <w:p w:rsidR="00046CF8" w:rsidRDefault="003561C2">
      <w:pPr>
        <w:pStyle w:val="ListParagraph"/>
        <w:numPr>
          <w:ilvl w:val="0"/>
          <w:numId w:val="22"/>
        </w:numPr>
        <w:tabs>
          <w:tab w:val="left" w:pos="84"/>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the means and tools to </w:t>
      </w:r>
      <w:r>
        <w:rPr>
          <w:rFonts w:ascii="Times New Roman" w:hAnsi="Times New Roman" w:cs="Times New Roman"/>
          <w:b/>
          <w:noProof/>
          <w:sz w:val="24"/>
          <w:szCs w:val="24"/>
        </w:rPr>
        <w:t>check compliance of funding</w:t>
      </w:r>
      <w:r>
        <w:rPr>
          <w:rFonts w:ascii="Times New Roman" w:hAnsi="Times New Roman" w:cs="Times New Roman"/>
          <w:noProof/>
          <w:sz w:val="24"/>
          <w:szCs w:val="24"/>
        </w:rPr>
        <w:t xml:space="preserve"> with policy objectives, Member States indicated in their national contributions that clear and controllable rules, such as a list of no-go</w:t>
      </w:r>
      <w:r>
        <w:rPr>
          <w:rFonts w:ascii="Times New Roman" w:hAnsi="Times New Roman" w:cs="Times New Roman"/>
          <w:noProof/>
          <w:sz w:val="24"/>
          <w:szCs w:val="24"/>
        </w:rPr>
        <w:t xml:space="preserve"> areas, should be defined at the EU level. One Member State suggested that the COM could provide Member States with validation tools for the checking of different reports. Also, some Member States indicated that indicators and OPs should be the main tools </w:t>
      </w:r>
      <w:r>
        <w:rPr>
          <w:rFonts w:ascii="Times New Roman" w:hAnsi="Times New Roman" w:cs="Times New Roman"/>
          <w:noProof/>
          <w:sz w:val="24"/>
          <w:szCs w:val="24"/>
        </w:rPr>
        <w:t xml:space="preserve">to check compliance of funding with policy objectives, together with annual implementation reports and the subsequent results. There were divergent views as to whether the structure of the OPs should be further modified or kept in its current form. </w:t>
      </w:r>
    </w:p>
    <w:p w:rsidR="00046CF8" w:rsidRDefault="00046CF8">
      <w:pPr>
        <w:pStyle w:val="ListParagraph"/>
        <w:tabs>
          <w:tab w:val="left" w:pos="84"/>
        </w:tabs>
        <w:ind w:left="360"/>
        <w:rPr>
          <w:rFonts w:ascii="Times New Roman" w:hAnsi="Times New Roman" w:cs="Times New Roman"/>
          <w:i/>
          <w:noProof/>
          <w:sz w:val="24"/>
          <w:szCs w:val="24"/>
        </w:rPr>
      </w:pPr>
    </w:p>
    <w:p w:rsidR="00046CF8" w:rsidRDefault="003561C2">
      <w:pPr>
        <w:pStyle w:val="ListParagraph"/>
        <w:numPr>
          <w:ilvl w:val="0"/>
          <w:numId w:val="22"/>
        </w:numPr>
        <w:tabs>
          <w:tab w:val="left" w:pos="84"/>
        </w:tabs>
        <w:spacing w:after="0" w:line="240" w:lineRule="auto"/>
        <w:jc w:val="both"/>
        <w:rPr>
          <w:rFonts w:ascii="Times New Roman" w:hAnsi="Times New Roman" w:cs="Times New Roman"/>
          <w:i/>
          <w:noProof/>
          <w:sz w:val="24"/>
          <w:szCs w:val="24"/>
        </w:rPr>
      </w:pPr>
      <w:r>
        <w:rPr>
          <w:rFonts w:ascii="Times New Roman" w:hAnsi="Times New Roman" w:cs="Times New Roman"/>
          <w:noProof/>
          <w:sz w:val="24"/>
          <w:szCs w:val="24"/>
        </w:rPr>
        <w:t>Regar</w:t>
      </w:r>
      <w:r>
        <w:rPr>
          <w:rFonts w:ascii="Times New Roman" w:hAnsi="Times New Roman" w:cs="Times New Roman"/>
          <w:noProof/>
          <w:sz w:val="24"/>
          <w:szCs w:val="24"/>
        </w:rPr>
        <w:t xml:space="preserve">ding the </w:t>
      </w:r>
      <w:r>
        <w:rPr>
          <w:rFonts w:ascii="Times New Roman" w:hAnsi="Times New Roman" w:cs="Times New Roman"/>
          <w:b/>
          <w:noProof/>
          <w:sz w:val="24"/>
          <w:szCs w:val="24"/>
        </w:rPr>
        <w:t>performance framework and evaluation procedures</w:t>
      </w:r>
      <w:r>
        <w:rPr>
          <w:rFonts w:ascii="Times New Roman" w:hAnsi="Times New Roman" w:cs="Times New Roman"/>
          <w:noProof/>
          <w:sz w:val="24"/>
          <w:szCs w:val="24"/>
        </w:rPr>
        <w:t>, some Member States were of opinion that this should be further improved and done only at the end of the programming period. While number of Member States agreed that data on the level of operations (Infosys) were a valuable source of information for eval</w:t>
      </w:r>
      <w:r>
        <w:rPr>
          <w:rFonts w:ascii="Times New Roman" w:hAnsi="Times New Roman" w:cs="Times New Roman"/>
          <w:noProof/>
          <w:sz w:val="24"/>
          <w:szCs w:val="24"/>
        </w:rPr>
        <w:t xml:space="preserve">uations for the MAs, other some Member States inquired about the usefulness of the data. Common indicators should be reviewed radically  </w:t>
      </w:r>
    </w:p>
    <w:p w:rsidR="00046CF8" w:rsidRDefault="00046CF8">
      <w:pPr>
        <w:pStyle w:val="ListParagraph"/>
        <w:tabs>
          <w:tab w:val="left" w:pos="84"/>
        </w:tabs>
        <w:spacing w:after="0"/>
        <w:ind w:left="360"/>
        <w:rPr>
          <w:rFonts w:ascii="Times New Roman" w:hAnsi="Times New Roman" w:cs="Times New Roman"/>
          <w:i/>
          <w:noProof/>
          <w:sz w:val="24"/>
          <w:szCs w:val="24"/>
        </w:rPr>
      </w:pPr>
    </w:p>
    <w:p w:rsidR="00046CF8" w:rsidRDefault="003561C2">
      <w:pPr>
        <w:pStyle w:val="ListParagraph"/>
        <w:numPr>
          <w:ilvl w:val="0"/>
          <w:numId w:val="22"/>
        </w:numPr>
        <w:tabs>
          <w:tab w:val="left" w:pos="84"/>
        </w:tabs>
        <w:spacing w:after="0" w:line="240"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In their contributions, Member States noted that the </w:t>
      </w:r>
      <w:r>
        <w:rPr>
          <w:rFonts w:ascii="Times New Roman" w:hAnsi="Times New Roman" w:cs="Times New Roman"/>
          <w:b/>
          <w:noProof/>
          <w:sz w:val="24"/>
          <w:szCs w:val="24"/>
        </w:rPr>
        <w:t>M&amp;E system</w:t>
      </w:r>
      <w:r>
        <w:rPr>
          <w:rFonts w:ascii="Times New Roman" w:hAnsi="Times New Roman" w:cs="Times New Roman"/>
          <w:noProof/>
          <w:sz w:val="24"/>
          <w:szCs w:val="24"/>
        </w:rPr>
        <w:t xml:space="preserve"> had a key role to demonstrate the effectiveness of th</w:t>
      </w:r>
      <w:r>
        <w:rPr>
          <w:rFonts w:ascii="Times New Roman" w:hAnsi="Times New Roman" w:cs="Times New Roman"/>
          <w:noProof/>
          <w:sz w:val="24"/>
          <w:szCs w:val="24"/>
        </w:rPr>
        <w:t xml:space="preserve">e fund as it provided information on the causalities behind the development of the fisheries and blue economy sectors. Therefore, the M&amp;E system should be seen as a strategic element of the implementation both at national and EU level. </w:t>
      </w:r>
    </w:p>
    <w:p w:rsidR="00046CF8" w:rsidRDefault="00046CF8">
      <w:pPr>
        <w:pStyle w:val="ListParagraph"/>
        <w:tabs>
          <w:tab w:val="left" w:pos="84"/>
        </w:tabs>
        <w:ind w:left="360"/>
        <w:rPr>
          <w:rFonts w:ascii="Times New Roman" w:hAnsi="Times New Roman" w:cs="Times New Roman"/>
          <w:noProof/>
          <w:sz w:val="24"/>
          <w:szCs w:val="24"/>
        </w:rPr>
      </w:pPr>
    </w:p>
    <w:p w:rsidR="00046CF8" w:rsidRDefault="003561C2">
      <w:pPr>
        <w:pStyle w:val="ListParagraph"/>
        <w:numPr>
          <w:ilvl w:val="0"/>
          <w:numId w:val="21"/>
        </w:numPr>
        <w:tabs>
          <w:tab w:val="left" w:pos="84"/>
        </w:tabs>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Also, a large supp</w:t>
      </w:r>
      <w:r>
        <w:rPr>
          <w:rFonts w:ascii="Times New Roman" w:hAnsi="Times New Roman" w:cs="Times New Roman"/>
          <w:noProof/>
          <w:sz w:val="24"/>
          <w:szCs w:val="24"/>
        </w:rPr>
        <w:t xml:space="preserve">ort was expressed in favour of </w:t>
      </w:r>
      <w:r>
        <w:rPr>
          <w:rFonts w:ascii="Times New Roman" w:hAnsi="Times New Roman" w:cs="Times New Roman"/>
          <w:b/>
          <w:noProof/>
          <w:sz w:val="24"/>
          <w:szCs w:val="24"/>
        </w:rPr>
        <w:t>proportionality</w:t>
      </w:r>
      <w:r>
        <w:rPr>
          <w:rFonts w:ascii="Times New Roman" w:hAnsi="Times New Roman" w:cs="Times New Roman"/>
          <w:noProof/>
          <w:sz w:val="24"/>
          <w:szCs w:val="24"/>
        </w:rPr>
        <w:t xml:space="preserve"> according to the dimension of the new fund and to the budget allocation in the Member States. Also, a number of Member States emphasised that rules of proportionality or differentiated approach or s simplified</w:t>
      </w:r>
      <w:r>
        <w:rPr>
          <w:rFonts w:ascii="Times New Roman" w:hAnsi="Times New Roman" w:cs="Times New Roman"/>
          <w:noProof/>
          <w:sz w:val="24"/>
          <w:szCs w:val="24"/>
        </w:rPr>
        <w:t xml:space="preserve"> procedure should be considered also for the small OPs, because the same conditions and obligations as for the big projects represent additional burden for potential beneficiaries and the benefits of applying for funds do not match the costs. </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Member Stat</w:t>
      </w:r>
      <w:r>
        <w:rPr>
          <w:rFonts w:ascii="Times New Roman" w:hAnsi="Times New Roman" w:cs="Times New Roman"/>
          <w:noProof/>
          <w:sz w:val="24"/>
          <w:szCs w:val="24"/>
        </w:rPr>
        <w:t xml:space="preserve">es considered that there were several </w:t>
      </w:r>
      <w:r>
        <w:rPr>
          <w:rFonts w:ascii="Times New Roman" w:hAnsi="Times New Roman" w:cs="Times New Roman"/>
          <w:b/>
          <w:noProof/>
          <w:sz w:val="24"/>
          <w:szCs w:val="24"/>
        </w:rPr>
        <w:t>financial tools available</w:t>
      </w:r>
      <w:r>
        <w:rPr>
          <w:rFonts w:ascii="Times New Roman" w:hAnsi="Times New Roman" w:cs="Times New Roman"/>
          <w:noProof/>
          <w:sz w:val="24"/>
          <w:szCs w:val="24"/>
        </w:rPr>
        <w:t xml:space="preserve"> (such as loans, financial instruments, subsidies etc.) but expressed difficulties in using them. In this regard, Member States need more flexibility as how to use the various financial tools. </w:t>
      </w:r>
      <w:r>
        <w:rPr>
          <w:rFonts w:ascii="Times New Roman" w:hAnsi="Times New Roman" w:cs="Times New Roman"/>
          <w:noProof/>
          <w:sz w:val="24"/>
          <w:szCs w:val="24"/>
        </w:rPr>
        <w:t xml:space="preserve">Some Member States shared their positive experiences with deploying </w:t>
      </w:r>
      <w:r>
        <w:rPr>
          <w:rFonts w:ascii="Times New Roman" w:hAnsi="Times New Roman" w:cs="Times New Roman"/>
          <w:b/>
          <w:noProof/>
          <w:sz w:val="24"/>
          <w:szCs w:val="24"/>
        </w:rPr>
        <w:t>financial instruments</w:t>
      </w:r>
      <w:r>
        <w:rPr>
          <w:rFonts w:ascii="Times New Roman" w:hAnsi="Times New Roman" w:cs="Times New Roman"/>
          <w:noProof/>
          <w:sz w:val="24"/>
          <w:szCs w:val="24"/>
        </w:rPr>
        <w:t xml:space="preserve"> under the EMFF but noted that their promotion to reach and approach the potential beneficiaries should be further strengthened. In particular, the Member States noted</w:t>
      </w:r>
      <w:r>
        <w:rPr>
          <w:rFonts w:ascii="Times New Roman" w:hAnsi="Times New Roman" w:cs="Times New Roman"/>
          <w:noProof/>
          <w:sz w:val="24"/>
          <w:szCs w:val="24"/>
        </w:rPr>
        <w:t xml:space="preserve"> the need to make the financial instruments more directly available and adapted to the economic structure of beneficiaries but agreed that these should not be mandatory. The financial instruments should be made available and further developed, taking into </w:t>
      </w:r>
      <w:r>
        <w:rPr>
          <w:rFonts w:ascii="Times New Roman" w:hAnsi="Times New Roman" w:cs="Times New Roman"/>
          <w:noProof/>
          <w:sz w:val="24"/>
          <w:szCs w:val="24"/>
        </w:rPr>
        <w:t>account the specificities of the sectors. Making the financial instruments mandatory would possibly have a negative impact on the competitiveness by hampering the competition between enterprises. Majority of Member States noted that financial instruments t</w:t>
      </w:r>
      <w:r>
        <w:rPr>
          <w:rFonts w:ascii="Times New Roman" w:hAnsi="Times New Roman" w:cs="Times New Roman"/>
          <w:noProof/>
          <w:sz w:val="24"/>
          <w:szCs w:val="24"/>
        </w:rPr>
        <w:t xml:space="preserve">ogether with grants should be the main types of support and agreed that direct shift from </w:t>
      </w:r>
      <w:r>
        <w:rPr>
          <w:rFonts w:ascii="Times New Roman" w:hAnsi="Times New Roman" w:cs="Times New Roman"/>
          <w:b/>
          <w:noProof/>
          <w:sz w:val="24"/>
          <w:szCs w:val="24"/>
        </w:rPr>
        <w:t>grants</w:t>
      </w:r>
      <w:r>
        <w:rPr>
          <w:rFonts w:ascii="Times New Roman" w:hAnsi="Times New Roman" w:cs="Times New Roman"/>
          <w:noProof/>
          <w:sz w:val="24"/>
          <w:szCs w:val="24"/>
        </w:rPr>
        <w:t xml:space="preserve"> to financial instruments would not work. In this case, moving from grants to financial instruments would only be appropriate in areas which are profitable. Sta</w:t>
      </w:r>
      <w:r>
        <w:rPr>
          <w:rFonts w:ascii="Times New Roman" w:hAnsi="Times New Roman" w:cs="Times New Roman"/>
          <w:noProof/>
          <w:sz w:val="24"/>
          <w:szCs w:val="24"/>
        </w:rPr>
        <w:t xml:space="preserve">keholders also agreed that financial instruments are useful tools to support and invest in particular in Blue Growth and maritime economy and thus should be further encouraged to support investments in blue economy. </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According to some Member States, a fin</w:t>
      </w:r>
      <w:r>
        <w:rPr>
          <w:rFonts w:ascii="Times New Roman" w:hAnsi="Times New Roman" w:cs="Times New Roman"/>
          <w:noProof/>
          <w:sz w:val="24"/>
          <w:szCs w:val="24"/>
        </w:rPr>
        <w:t xml:space="preserve">ancial flexibility between UPs for </w:t>
      </w:r>
      <w:r>
        <w:rPr>
          <w:rFonts w:ascii="Times New Roman" w:hAnsi="Times New Roman" w:cs="Times New Roman"/>
          <w:b/>
          <w:noProof/>
          <w:sz w:val="24"/>
          <w:szCs w:val="24"/>
        </w:rPr>
        <w:t xml:space="preserve">amendments of operational programmes </w:t>
      </w:r>
      <w:r>
        <w:rPr>
          <w:rFonts w:ascii="Times New Roman" w:hAnsi="Times New Roman" w:cs="Times New Roman"/>
          <w:noProof/>
          <w:sz w:val="24"/>
          <w:szCs w:val="24"/>
        </w:rPr>
        <w:t xml:space="preserve">should be ensured, such as a minimum threshold which could be approved directly by the Monitoring Committee without passing through the COM inter-service consultation. </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 polarisation of opinion concerning the </w:t>
      </w:r>
      <w:r>
        <w:rPr>
          <w:rFonts w:ascii="Times New Roman" w:hAnsi="Times New Roman" w:cs="Times New Roman"/>
          <w:b/>
          <w:noProof/>
          <w:sz w:val="24"/>
          <w:szCs w:val="24"/>
        </w:rPr>
        <w:t>support to fishing fleets</w:t>
      </w:r>
      <w:r>
        <w:rPr>
          <w:rFonts w:ascii="Times New Roman" w:hAnsi="Times New Roman" w:cs="Times New Roman"/>
          <w:noProof/>
          <w:sz w:val="24"/>
          <w:szCs w:val="24"/>
        </w:rPr>
        <w:t xml:space="preserve"> could be observed, with stakeholders split nearly equally between those in favour and those against the continuation of </w:t>
      </w:r>
      <w:r>
        <w:rPr>
          <w:rFonts w:ascii="Times New Roman" w:hAnsi="Times New Roman" w:cs="Times New Roman"/>
          <w:b/>
          <w:noProof/>
          <w:sz w:val="24"/>
          <w:szCs w:val="24"/>
        </w:rPr>
        <w:t>fleet measures</w:t>
      </w:r>
      <w:r>
        <w:rPr>
          <w:rFonts w:ascii="Times New Roman" w:hAnsi="Times New Roman" w:cs="Times New Roman"/>
          <w:noProof/>
          <w:sz w:val="24"/>
          <w:szCs w:val="24"/>
        </w:rPr>
        <w:t>. Also, opposition to subsidies to improve the sustaina</w:t>
      </w:r>
      <w:r>
        <w:rPr>
          <w:rFonts w:ascii="Times New Roman" w:hAnsi="Times New Roman" w:cs="Times New Roman"/>
          <w:noProof/>
          <w:sz w:val="24"/>
          <w:szCs w:val="24"/>
        </w:rPr>
        <w:t xml:space="preserve">bility of commercial fisheries which are used to unsustainable jobs was underlined. Some stakeholders believed that the measures of temporary and permanent cessation and modernisation should continue but should be entrusted to the competence of the Member </w:t>
      </w:r>
      <w:r>
        <w:rPr>
          <w:rFonts w:ascii="Times New Roman" w:hAnsi="Times New Roman" w:cs="Times New Roman"/>
          <w:noProof/>
          <w:sz w:val="24"/>
          <w:szCs w:val="24"/>
        </w:rPr>
        <w:t xml:space="preserve">States. </w:t>
      </w:r>
    </w:p>
    <w:p w:rsidR="00046CF8" w:rsidRDefault="00046CF8">
      <w:pPr>
        <w:pStyle w:val="ListParagraph"/>
        <w:spacing w:after="0"/>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w:t>
      </w:r>
      <w:r>
        <w:rPr>
          <w:rFonts w:ascii="Times New Roman" w:hAnsi="Times New Roman" w:cs="Times New Roman"/>
          <w:b/>
          <w:noProof/>
          <w:sz w:val="24"/>
          <w:szCs w:val="24"/>
        </w:rPr>
        <w:t>aquaculture sector</w:t>
      </w:r>
      <w:r>
        <w:rPr>
          <w:rFonts w:ascii="Times New Roman" w:hAnsi="Times New Roman" w:cs="Times New Roman"/>
          <w:noProof/>
          <w:sz w:val="24"/>
          <w:szCs w:val="24"/>
        </w:rPr>
        <w:t>, all stakeholders agreed that more work needs to be done on administrative and legal simplification in order to reduce the length of licencing procedures but without compromising on the high animal health, environ</w:t>
      </w:r>
      <w:r>
        <w:rPr>
          <w:rFonts w:ascii="Times New Roman" w:hAnsi="Times New Roman" w:cs="Times New Roman"/>
          <w:noProof/>
          <w:sz w:val="24"/>
          <w:szCs w:val="24"/>
        </w:rPr>
        <w:t xml:space="preserve">mental and consumer standards enshrined in the EU law. They reaffirmed that the administrative burdens remain the main barrier to the development of the sector, together with procedural requirements (for both licencing and access to funding) which are too </w:t>
      </w:r>
      <w:r>
        <w:rPr>
          <w:rFonts w:ascii="Times New Roman" w:hAnsi="Times New Roman" w:cs="Times New Roman"/>
          <w:noProof/>
          <w:sz w:val="24"/>
          <w:szCs w:val="24"/>
        </w:rPr>
        <w:t>complex. Idea to better define aquaculture was put forward at the EMFF EG in order to avoid overlaps between different ESI funds (ex. ERDF and EMFF).  Stakeholders also agreed that the public acceptance (social licence) of the aquaculture sector need to be</w:t>
      </w:r>
      <w:r>
        <w:rPr>
          <w:rFonts w:ascii="Times New Roman" w:hAnsi="Times New Roman" w:cs="Times New Roman"/>
          <w:noProof/>
          <w:sz w:val="24"/>
          <w:szCs w:val="24"/>
        </w:rPr>
        <w:t xml:space="preserve"> further improved. In this regard, producer organisations playing a key role, stakeholders expressed the view that they should also be further supported. Stakeholders agreed that there is still need for public support to the sector, with some stakeholders </w:t>
      </w:r>
      <w:r>
        <w:rPr>
          <w:rFonts w:ascii="Times New Roman" w:hAnsi="Times New Roman" w:cs="Times New Roman"/>
          <w:noProof/>
          <w:sz w:val="24"/>
          <w:szCs w:val="24"/>
        </w:rPr>
        <w:t>suggesting the use of financial instruments in a future support scheme. Also, a strong support from a group of Member States was expressed to the continuation of the current EU support to aquaculture in the next Fund and in particular to the freshwater aqu</w:t>
      </w:r>
      <w:r>
        <w:rPr>
          <w:rFonts w:ascii="Times New Roman" w:hAnsi="Times New Roman" w:cs="Times New Roman"/>
          <w:noProof/>
          <w:sz w:val="24"/>
          <w:szCs w:val="24"/>
        </w:rPr>
        <w:t>aculture, while emphasising to further explore the opportunities of freshwater aquaculture. While national operational programmes are drawn up to reflect the challenges at the Member State level, it is important at the EU level that instruments are present</w:t>
      </w:r>
      <w:r>
        <w:rPr>
          <w:rFonts w:ascii="Times New Roman" w:hAnsi="Times New Roman" w:cs="Times New Roman"/>
          <w:noProof/>
          <w:sz w:val="24"/>
          <w:szCs w:val="24"/>
        </w:rPr>
        <w:t xml:space="preserve">ed broadly enough so as not to exclude or prevent investment in any national or regional specific area. </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w:t>
      </w:r>
      <w:r>
        <w:rPr>
          <w:rFonts w:ascii="Times New Roman" w:hAnsi="Times New Roman" w:cs="Times New Roman"/>
          <w:b/>
          <w:noProof/>
          <w:sz w:val="24"/>
          <w:szCs w:val="24"/>
        </w:rPr>
        <w:t>small scale coastal fisheries and fisheries in the outermost regions</w:t>
      </w:r>
      <w:r>
        <w:rPr>
          <w:rFonts w:ascii="Times New Roman" w:hAnsi="Times New Roman" w:cs="Times New Roman"/>
          <w:noProof/>
          <w:sz w:val="24"/>
          <w:szCs w:val="24"/>
        </w:rPr>
        <w:t>, a number of Member States were in favour of administrative simplifica</w:t>
      </w:r>
      <w:r>
        <w:rPr>
          <w:rFonts w:ascii="Times New Roman" w:hAnsi="Times New Roman" w:cs="Times New Roman"/>
          <w:noProof/>
          <w:sz w:val="24"/>
          <w:szCs w:val="24"/>
        </w:rPr>
        <w:t>tion and measures reduction in order to match the objectives of the CFP with needs of the small-scale and artisanal fisheries activities. In this regards, Member States were in favour of applying more targeted and tailor-made support to SSCF and to continu</w:t>
      </w:r>
      <w:r>
        <w:rPr>
          <w:rFonts w:ascii="Times New Roman" w:hAnsi="Times New Roman" w:cs="Times New Roman"/>
          <w:noProof/>
          <w:sz w:val="24"/>
          <w:szCs w:val="24"/>
        </w:rPr>
        <w:t>e having a higher support rate and possibility of more favourable handling through advanced payments. Preferential financial treatment to SSCF, including to inland fishermen, should be kept after 2020 according to some Member States. Stakeholders also ackn</w:t>
      </w:r>
      <w:r>
        <w:rPr>
          <w:rFonts w:ascii="Times New Roman" w:hAnsi="Times New Roman" w:cs="Times New Roman"/>
          <w:noProof/>
          <w:sz w:val="24"/>
          <w:szCs w:val="24"/>
        </w:rPr>
        <w:t>owledged the need for flexibility to reflect local specificities and for facilitating the generational renewal in an ageing workforce. In order to optimise the potential of the sector, it was suggested that the regulatory framework should be less prescript</w:t>
      </w:r>
      <w:r>
        <w:rPr>
          <w:rFonts w:ascii="Times New Roman" w:hAnsi="Times New Roman" w:cs="Times New Roman"/>
          <w:noProof/>
          <w:sz w:val="24"/>
          <w:szCs w:val="24"/>
        </w:rPr>
        <w:t>ive and that the decision should be left to the Member States as how they will meet objectives and achieve results. It was also argued that there was a need to make the EU definition of SSCF less restrictive, to reflect the diverse sector with its differen</w:t>
      </w:r>
      <w:r>
        <w:rPr>
          <w:rFonts w:ascii="Times New Roman" w:hAnsi="Times New Roman" w:cs="Times New Roman"/>
          <w:noProof/>
          <w:sz w:val="24"/>
          <w:szCs w:val="24"/>
        </w:rPr>
        <w:t>t resources, economies, markets and varying fleet sizes. It was also felt that the controls and checks on the SSCF are disproportionate in relation to the amount of assistance received. Stakeholders also confirmed that CLLD was the best method for managing</w:t>
      </w:r>
      <w:r>
        <w:rPr>
          <w:rFonts w:ascii="Times New Roman" w:hAnsi="Times New Roman" w:cs="Times New Roman"/>
          <w:noProof/>
          <w:sz w:val="24"/>
          <w:szCs w:val="24"/>
        </w:rPr>
        <w:t xml:space="preserve">, supporting and advancing SSCF. A specific attention should be also paid to the SSCF when designing the future M&amp;E system, in order to mainstream the need for the environmental, social and economic sustainability of the sector. </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All Member States and sta</w:t>
      </w:r>
      <w:r>
        <w:rPr>
          <w:rFonts w:ascii="Times New Roman" w:hAnsi="Times New Roman" w:cs="Times New Roman"/>
          <w:noProof/>
          <w:sz w:val="24"/>
          <w:szCs w:val="24"/>
        </w:rPr>
        <w:t xml:space="preserve">keholders considered that the </w:t>
      </w:r>
      <w:r>
        <w:rPr>
          <w:rFonts w:ascii="Times New Roman" w:hAnsi="Times New Roman" w:cs="Times New Roman"/>
          <w:b/>
          <w:noProof/>
          <w:sz w:val="24"/>
          <w:szCs w:val="24"/>
        </w:rPr>
        <w:t xml:space="preserve">support to data collection, fisheries control and enforcement and support to Producer Organisations </w:t>
      </w:r>
      <w:r>
        <w:rPr>
          <w:rFonts w:ascii="Times New Roman" w:hAnsi="Times New Roman" w:cs="Times New Roman"/>
          <w:noProof/>
          <w:sz w:val="24"/>
          <w:szCs w:val="24"/>
        </w:rPr>
        <w:t>should remain part of the fisheries fund under the shared management, as they all support a result oriented approach. Although</w:t>
      </w:r>
      <w:r>
        <w:rPr>
          <w:rFonts w:ascii="Times New Roman" w:hAnsi="Times New Roman" w:cs="Times New Roman"/>
          <w:noProof/>
          <w:sz w:val="24"/>
          <w:szCs w:val="24"/>
        </w:rPr>
        <w:t xml:space="preserve"> it was noted that the changeover from direct to shared management of support to data collection, control and enforcement induced a heavier administrative burden and delays in the financing, stakeholders agreed that the reform proven positive as it provide</w:t>
      </w:r>
      <w:r>
        <w:rPr>
          <w:rFonts w:ascii="Times New Roman" w:hAnsi="Times New Roman" w:cs="Times New Roman"/>
          <w:noProof/>
          <w:sz w:val="24"/>
          <w:szCs w:val="24"/>
        </w:rPr>
        <w:t>d the necessary stability. Member States further suggested to regroup these measures under one Union Priority and not further apply selection criteria and competitive project selections procedures to these measures, as this was proven time consuming and to</w:t>
      </w:r>
      <w:r>
        <w:rPr>
          <w:rFonts w:ascii="Times New Roman" w:hAnsi="Times New Roman" w:cs="Times New Roman"/>
          <w:noProof/>
          <w:sz w:val="24"/>
          <w:szCs w:val="24"/>
        </w:rPr>
        <w:t xml:space="preserve"> be an administrative burden – need for simplification. As regards the financing, number of Member States advocated for either continuing if not strengthening of the current level of financing or giving the Member States the possibility to allocate more fu</w:t>
      </w:r>
      <w:r>
        <w:rPr>
          <w:rFonts w:ascii="Times New Roman" w:hAnsi="Times New Roman" w:cs="Times New Roman"/>
          <w:noProof/>
          <w:sz w:val="24"/>
          <w:szCs w:val="24"/>
        </w:rPr>
        <w:t>nding to control and data collection if needed or to have the flexibility to re-allocate the funding. According to the participants of the Tallinn conference, weaknesses in availability of data and effectiveness of control are due to insufficient human res</w:t>
      </w:r>
      <w:r>
        <w:rPr>
          <w:rFonts w:ascii="Times New Roman" w:hAnsi="Times New Roman" w:cs="Times New Roman"/>
          <w:noProof/>
          <w:sz w:val="24"/>
          <w:szCs w:val="24"/>
        </w:rPr>
        <w:t xml:space="preserve">ources (60%), weak systems (32%) and lack of money (8%). In this regard, the continuous improvement of IT systems is crucial as well as the standardisation of the approaches together with the sharing of results and should be further promoted. </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Strengtheni</w:t>
      </w:r>
      <w:r>
        <w:rPr>
          <w:rFonts w:ascii="Times New Roman" w:hAnsi="Times New Roman" w:cs="Times New Roman"/>
          <w:noProof/>
          <w:sz w:val="24"/>
          <w:szCs w:val="24"/>
        </w:rPr>
        <w:t xml:space="preserve">ng of EU action through the EMFF in various areas under the </w:t>
      </w:r>
      <w:r>
        <w:rPr>
          <w:rFonts w:ascii="Times New Roman" w:hAnsi="Times New Roman" w:cs="Times New Roman"/>
          <w:b/>
          <w:noProof/>
          <w:sz w:val="24"/>
          <w:szCs w:val="24"/>
        </w:rPr>
        <w:t>IMP</w:t>
      </w:r>
      <w:r>
        <w:rPr>
          <w:rFonts w:ascii="Times New Roman" w:hAnsi="Times New Roman" w:cs="Times New Roman"/>
          <w:noProof/>
          <w:sz w:val="24"/>
          <w:szCs w:val="24"/>
        </w:rPr>
        <w:t xml:space="preserve"> (training, maritime spatial planning, maritime safety and surveillance, financing of innovative projects etc.) was considered as added value for Europe and for the regions by a number of stake</w:t>
      </w:r>
      <w:r>
        <w:rPr>
          <w:rFonts w:ascii="Times New Roman" w:hAnsi="Times New Roman" w:cs="Times New Roman"/>
          <w:noProof/>
          <w:sz w:val="24"/>
          <w:szCs w:val="24"/>
        </w:rPr>
        <w:t xml:space="preserve">holders. Taking into account that the </w:t>
      </w:r>
      <w:r>
        <w:rPr>
          <w:rFonts w:ascii="Times New Roman" w:hAnsi="Times New Roman" w:cs="Times New Roman"/>
          <w:b/>
          <w:noProof/>
          <w:sz w:val="24"/>
          <w:szCs w:val="24"/>
        </w:rPr>
        <w:t>blue economy</w:t>
      </w:r>
      <w:r>
        <w:rPr>
          <w:rFonts w:ascii="Times New Roman" w:hAnsi="Times New Roman" w:cs="Times New Roman"/>
          <w:noProof/>
          <w:sz w:val="24"/>
          <w:szCs w:val="24"/>
        </w:rPr>
        <w:t xml:space="preserve"> is developed in a very complex environment, complementarity between various instruments should be further ensured, in order to avoid duplication and fragmentation. Some stakeholders have put forward an ide</w:t>
      </w:r>
      <w:r>
        <w:rPr>
          <w:rFonts w:ascii="Times New Roman" w:hAnsi="Times New Roman" w:cs="Times New Roman"/>
          <w:noProof/>
          <w:sz w:val="24"/>
          <w:szCs w:val="24"/>
        </w:rPr>
        <w:t>a to establish a European Blue Economy investment fund or mechanism with two intervention methods: direct financing at European level and the establishment of sea basin/ regional investment platforms. In order to realise blue growth objectives, the visibil</w:t>
      </w:r>
      <w:r>
        <w:rPr>
          <w:rFonts w:ascii="Times New Roman" w:hAnsi="Times New Roman" w:cs="Times New Roman"/>
          <w:noProof/>
          <w:sz w:val="24"/>
          <w:szCs w:val="24"/>
        </w:rPr>
        <w:t>ity and political priority of Blue growth and maritime issues should be further mainstreamed in the context of other funds and instruments.</w:t>
      </w:r>
    </w:p>
    <w:p w:rsidR="00046CF8" w:rsidRDefault="00046CF8">
      <w:pPr>
        <w:pStyle w:val="ListParagraph"/>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support to </w:t>
      </w:r>
      <w:r>
        <w:rPr>
          <w:rFonts w:ascii="Times New Roman" w:hAnsi="Times New Roman" w:cs="Times New Roman"/>
          <w:b/>
          <w:noProof/>
          <w:sz w:val="24"/>
          <w:szCs w:val="24"/>
        </w:rPr>
        <w:t>marine innovation and skills after 2020</w:t>
      </w:r>
      <w:r>
        <w:rPr>
          <w:rFonts w:ascii="Times New Roman" w:hAnsi="Times New Roman" w:cs="Times New Roman"/>
          <w:noProof/>
          <w:sz w:val="24"/>
          <w:szCs w:val="24"/>
        </w:rPr>
        <w:t>, stakeholders noted that in order to address new c</w:t>
      </w:r>
      <w:r>
        <w:rPr>
          <w:rFonts w:ascii="Times New Roman" w:hAnsi="Times New Roman" w:cs="Times New Roman"/>
          <w:noProof/>
          <w:sz w:val="24"/>
          <w:szCs w:val="24"/>
        </w:rPr>
        <w:t>hallenges arising for coastal communities, the future EMFF needs to invest even more on innovation and skills development. Stakeholders agreed that i</w:t>
      </w:r>
      <w:r>
        <w:rPr>
          <w:rFonts w:ascii="Times New Roman" w:hAnsi="Times New Roman" w:cs="Times New Roman"/>
          <w:b/>
          <w:noProof/>
          <w:sz w:val="24"/>
          <w:szCs w:val="24"/>
        </w:rPr>
        <w:t>nnovation</w:t>
      </w:r>
      <w:r>
        <w:rPr>
          <w:rFonts w:ascii="Times New Roman" w:hAnsi="Times New Roman" w:cs="Times New Roman"/>
          <w:noProof/>
          <w:sz w:val="24"/>
          <w:szCs w:val="24"/>
        </w:rPr>
        <w:t xml:space="preserve"> is horizontal to both maritime and fisheries policies and should be further supported. They furth</w:t>
      </w:r>
      <w:r>
        <w:rPr>
          <w:rFonts w:ascii="Times New Roman" w:hAnsi="Times New Roman" w:cs="Times New Roman"/>
          <w:noProof/>
          <w:sz w:val="24"/>
          <w:szCs w:val="24"/>
        </w:rPr>
        <w:t>er noted that a long-term approach to marine and maritime research and technology development would be needed in order to address opportunities (such as digital revolution, circular economy and blue growth) and challenges (climate change, marine pollution,</w:t>
      </w:r>
      <w:r>
        <w:rPr>
          <w:rFonts w:ascii="Times New Roman" w:hAnsi="Times New Roman" w:cs="Times New Roman"/>
          <w:noProof/>
          <w:sz w:val="24"/>
          <w:szCs w:val="24"/>
        </w:rPr>
        <w:t xml:space="preserve"> fish over-exploitation). Silos also need to be broken amongst sectors for developing innovation in the blue economy in the future research programme (FP9) so as to achieve greater coherence and higher visibility. The need to include support to generationa</w:t>
      </w:r>
      <w:r>
        <w:rPr>
          <w:rFonts w:ascii="Times New Roman" w:hAnsi="Times New Roman" w:cs="Times New Roman"/>
          <w:noProof/>
          <w:sz w:val="24"/>
          <w:szCs w:val="24"/>
        </w:rPr>
        <w:t>l renewal and support to innovation and ocean literacy while promoting traditions and cultural specificities in each region will also need a special attention in the future. In order to be at the service of the Maritime Policy, the financial support should</w:t>
      </w:r>
      <w:r>
        <w:rPr>
          <w:rFonts w:ascii="Times New Roman" w:hAnsi="Times New Roman" w:cs="Times New Roman"/>
          <w:noProof/>
          <w:sz w:val="24"/>
          <w:szCs w:val="24"/>
        </w:rPr>
        <w:t xml:space="preserve"> be result-oriented and thus complementarity between wide range of funding instruments should be ensured in order to avoid duplication and fragmentation. According to the stakeholders, sea basin strategies are the way forward for ensuring coordination and </w:t>
      </w:r>
      <w:r>
        <w:rPr>
          <w:rFonts w:ascii="Times New Roman" w:hAnsi="Times New Roman" w:cs="Times New Roman"/>
          <w:noProof/>
          <w:sz w:val="24"/>
          <w:szCs w:val="24"/>
        </w:rPr>
        <w:t>Smart Specialisation Strategies are the instrument to link the marine research and investments to ESIF.</w:t>
      </w:r>
    </w:p>
    <w:p w:rsidR="00046CF8" w:rsidRDefault="00046CF8">
      <w:pPr>
        <w:pStyle w:val="ListParagraph"/>
        <w:spacing w:after="0"/>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An underlining sentiment was </w:t>
      </w:r>
      <w:r>
        <w:rPr>
          <w:rFonts w:ascii="Times New Roman" w:hAnsi="Times New Roman" w:cs="Times New Roman"/>
          <w:b/>
          <w:noProof/>
          <w:sz w:val="24"/>
          <w:szCs w:val="24"/>
        </w:rPr>
        <w:t>that regional solutions are best suited to regional challenges</w:t>
      </w:r>
      <w:r>
        <w:rPr>
          <w:rFonts w:ascii="Times New Roman" w:hAnsi="Times New Roman" w:cs="Times New Roman"/>
          <w:noProof/>
          <w:sz w:val="24"/>
          <w:szCs w:val="24"/>
        </w:rPr>
        <w:t>. An example could be to use funding centred on sea basin ar</w:t>
      </w:r>
      <w:r>
        <w:rPr>
          <w:rFonts w:ascii="Times New Roman" w:hAnsi="Times New Roman" w:cs="Times New Roman"/>
          <w:noProof/>
          <w:sz w:val="24"/>
          <w:szCs w:val="24"/>
        </w:rPr>
        <w:t>eas since collaboration could be beneficial and positive in addressing issues that affect more than one Member State. Member States also agreed that if a sea basin needs a specific support, this could be dealt with either by regional cooperation or applica</w:t>
      </w:r>
      <w:r>
        <w:rPr>
          <w:rFonts w:ascii="Times New Roman" w:hAnsi="Times New Roman" w:cs="Times New Roman"/>
          <w:noProof/>
          <w:sz w:val="24"/>
          <w:szCs w:val="24"/>
        </w:rPr>
        <w:t>tion of synergies with other regional funds. One Member State suggested an option that a part of the EMFF financing is allocated to macro-regional areas (delivered by EASME or Interreg) which would boost regional and also international cooperation on proje</w:t>
      </w:r>
      <w:r>
        <w:rPr>
          <w:rFonts w:ascii="Times New Roman" w:hAnsi="Times New Roman" w:cs="Times New Roman"/>
          <w:noProof/>
          <w:sz w:val="24"/>
          <w:szCs w:val="24"/>
        </w:rPr>
        <w:t>cts.</w:t>
      </w:r>
    </w:p>
    <w:p w:rsidR="00046CF8" w:rsidRDefault="00046CF8">
      <w:pPr>
        <w:pStyle w:val="ListParagraph"/>
        <w:spacing w:after="0"/>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 majority of stakeholders also recognized the important role played by </w:t>
      </w:r>
      <w:r>
        <w:rPr>
          <w:rFonts w:ascii="Times New Roman" w:hAnsi="Times New Roman" w:cs="Times New Roman"/>
          <w:b/>
          <w:noProof/>
          <w:sz w:val="24"/>
          <w:szCs w:val="24"/>
        </w:rPr>
        <w:t>Community Led Local Development (CLLD)</w:t>
      </w:r>
      <w:r>
        <w:rPr>
          <w:rFonts w:ascii="Times New Roman" w:hAnsi="Times New Roman" w:cs="Times New Roman"/>
          <w:noProof/>
          <w:sz w:val="24"/>
          <w:szCs w:val="24"/>
        </w:rPr>
        <w:t xml:space="preserve"> for coastal communities to adopt local solutions for local problems and recognised it as a valuable opportunity for the fisheries and aquac</w:t>
      </w:r>
      <w:r>
        <w:rPr>
          <w:rFonts w:ascii="Times New Roman" w:hAnsi="Times New Roman" w:cs="Times New Roman"/>
          <w:noProof/>
          <w:sz w:val="24"/>
          <w:szCs w:val="24"/>
        </w:rPr>
        <w:t>ulture sectors to play an active role in local government and governance issues. In particular, the need to ensure continuity between programming periods was stressed by the stakeholders, as well as to ensure a permanent dialogue between local actors, FLAG</w:t>
      </w:r>
      <w:r>
        <w:rPr>
          <w:rFonts w:ascii="Times New Roman" w:hAnsi="Times New Roman" w:cs="Times New Roman"/>
          <w:noProof/>
          <w:sz w:val="24"/>
          <w:szCs w:val="24"/>
        </w:rPr>
        <w:t>s, managing authorities and COM. The stakeholders underlined the importance to ensure that future delivery mechanisms are better adapted to the purpose they are designed to serve. Also, stakeholders stressed the need to reduce the administrative burden rel</w:t>
      </w:r>
      <w:r>
        <w:rPr>
          <w:rFonts w:ascii="Times New Roman" w:hAnsi="Times New Roman" w:cs="Times New Roman"/>
          <w:noProof/>
          <w:sz w:val="24"/>
          <w:szCs w:val="24"/>
        </w:rPr>
        <w:t>ated to granting these funds to local projects needs in order to remain proportional to the modest sums the FLAGs invest in their areas, and in order to allow the FLAGs the flexibility they need to be innovative and results focused. Member States also poin</w:t>
      </w:r>
      <w:r>
        <w:rPr>
          <w:rFonts w:ascii="Times New Roman" w:hAnsi="Times New Roman" w:cs="Times New Roman"/>
          <w:noProof/>
          <w:sz w:val="24"/>
          <w:szCs w:val="24"/>
        </w:rPr>
        <w:t xml:space="preserve">ted out in their contributions that CLLD implementation should be voluntary for the Member States (FI) and that CLLD should be seen as a delivery mechanism, not as a measure or a separate Union priority. In this regard, the CLLD should not be bound to one </w:t>
      </w:r>
      <w:r>
        <w:rPr>
          <w:rFonts w:ascii="Times New Roman" w:hAnsi="Times New Roman" w:cs="Times New Roman"/>
          <w:noProof/>
          <w:sz w:val="24"/>
          <w:szCs w:val="24"/>
        </w:rPr>
        <w:t>objective or one priority but should be able to contribute to all CFP objectives where relevant. Stakeholders stressed the need to continue and further enhance CLLD to build on the successes achieved so far and allow for tailor made strategies and solution</w:t>
      </w:r>
      <w:r>
        <w:rPr>
          <w:rFonts w:ascii="Times New Roman" w:hAnsi="Times New Roman" w:cs="Times New Roman"/>
          <w:noProof/>
          <w:sz w:val="24"/>
          <w:szCs w:val="24"/>
        </w:rPr>
        <w:t>s for the development of coastal communities. Also, many stakeholders would like to see the CLLD playing a wider role in the development of the Blue economy at local level and consequently asked for an increased allocation of funds for it during the next M</w:t>
      </w:r>
      <w:r>
        <w:rPr>
          <w:rFonts w:ascii="Times New Roman" w:hAnsi="Times New Roman" w:cs="Times New Roman"/>
          <w:noProof/>
          <w:sz w:val="24"/>
          <w:szCs w:val="24"/>
        </w:rPr>
        <w:t xml:space="preserve">FF. </w:t>
      </w:r>
    </w:p>
    <w:p w:rsidR="00046CF8" w:rsidRDefault="00046CF8">
      <w:pPr>
        <w:pStyle w:val="ListParagraph"/>
        <w:spacing w:after="0"/>
        <w:ind w:left="360"/>
        <w:rPr>
          <w:rFonts w:ascii="Times New Roman" w:hAnsi="Times New Roman" w:cs="Times New Roman"/>
          <w:noProof/>
          <w:sz w:val="24"/>
          <w:szCs w:val="24"/>
        </w:rPr>
      </w:pPr>
    </w:p>
    <w:p w:rsidR="00046CF8" w:rsidRDefault="003561C2">
      <w:pPr>
        <w:pStyle w:val="ListParagraph"/>
        <w:numPr>
          <w:ilvl w:val="0"/>
          <w:numId w:val="21"/>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the </w:t>
      </w:r>
      <w:r>
        <w:rPr>
          <w:rFonts w:ascii="Times New Roman" w:hAnsi="Times New Roman" w:cs="Times New Roman"/>
          <w:b/>
          <w:noProof/>
          <w:sz w:val="24"/>
          <w:szCs w:val="24"/>
        </w:rPr>
        <w:t>synergies with other funds</w:t>
      </w:r>
      <w:r>
        <w:rPr>
          <w:rFonts w:ascii="Times New Roman" w:hAnsi="Times New Roman" w:cs="Times New Roman"/>
          <w:noProof/>
          <w:sz w:val="24"/>
          <w:szCs w:val="24"/>
        </w:rPr>
        <w:t>, an underlining sentiment between the stakeholders was that these were of a limited nature. It is important to further develop synergies and cooperation between ESI funds, in order to avoid overlaps and encou</w:t>
      </w:r>
      <w:r>
        <w:rPr>
          <w:rFonts w:ascii="Times New Roman" w:hAnsi="Times New Roman" w:cs="Times New Roman"/>
          <w:noProof/>
          <w:sz w:val="24"/>
          <w:szCs w:val="24"/>
        </w:rPr>
        <w:t>rage complementarities between the funds and also between individual programmes. For example, the possibility to finance aqua-environmental measures, fish processing and the blue economy sectors from the ERDF and other funds should be communicated more cle</w:t>
      </w:r>
      <w:r>
        <w:rPr>
          <w:rFonts w:ascii="Times New Roman" w:hAnsi="Times New Roman" w:cs="Times New Roman"/>
          <w:noProof/>
          <w:sz w:val="24"/>
          <w:szCs w:val="24"/>
        </w:rPr>
        <w:t>arly by the COM.</w:t>
      </w:r>
    </w:p>
    <w:p w:rsidR="00046CF8" w:rsidRDefault="00046CF8">
      <w:pPr>
        <w:spacing w:line="240" w:lineRule="auto"/>
        <w:jc w:val="both"/>
        <w:rPr>
          <w:rFonts w:ascii="Times New Roman" w:hAnsi="Times New Roman" w:cs="Times New Roman"/>
          <w:noProof/>
          <w:sz w:val="24"/>
          <w:szCs w:val="24"/>
        </w:rPr>
      </w:pP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results of all the consultation activities were used in designing the Impact Assessment and selecting the measures. The most rejected ones were discarded after the initial screening and the retained measures were grouped options with </w:t>
      </w:r>
      <w:r>
        <w:rPr>
          <w:rFonts w:ascii="Times New Roman" w:hAnsi="Times New Roman" w:cs="Times New Roman"/>
          <w:noProof/>
          <w:sz w:val="24"/>
          <w:szCs w:val="24"/>
        </w:rPr>
        <w:t>increasing level of regulatory intervention, so that decision makers have the possibility to judge on the desired level of ambition. The results of the consultation are referred to throughout the various sections of the impact assessment.</w:t>
      </w:r>
    </w:p>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br w:type="page"/>
      </w:r>
    </w:p>
    <w:p w:rsidR="00046CF8" w:rsidRDefault="003561C2">
      <w:pPr>
        <w:pStyle w:val="Heading1"/>
        <w:numPr>
          <w:ilvl w:val="0"/>
          <w:numId w:val="0"/>
        </w:numPr>
        <w:rPr>
          <w:noProof/>
        </w:rPr>
      </w:pPr>
      <w:bookmarkStart w:id="40" w:name="_Toc472885627"/>
      <w:bookmarkStart w:id="41" w:name="_Ref475295086"/>
      <w:bookmarkStart w:id="42" w:name="_Toc482873174"/>
      <w:bookmarkStart w:id="43" w:name="_Toc482882276"/>
      <w:bookmarkStart w:id="44" w:name="_Toc514503181"/>
      <w:bookmarkStart w:id="45" w:name="_Toc514507423"/>
      <w:r>
        <w:rPr>
          <w:noProof/>
        </w:rPr>
        <w:t>Annex 3: Evalua</w:t>
      </w:r>
      <w:r>
        <w:rPr>
          <w:noProof/>
        </w:rPr>
        <w:t>tion Results</w:t>
      </w:r>
      <w:bookmarkEnd w:id="40"/>
      <w:bookmarkEnd w:id="41"/>
      <w:bookmarkEnd w:id="42"/>
      <w:bookmarkEnd w:id="43"/>
      <w:bookmarkEnd w:id="44"/>
      <w:bookmarkEnd w:id="45"/>
    </w:p>
    <w:p w:rsidR="00046CF8" w:rsidRDefault="003561C2">
      <w:pPr>
        <w:pStyle w:val="Heading1"/>
        <w:numPr>
          <w:ilvl w:val="0"/>
          <w:numId w:val="0"/>
        </w:numPr>
        <w:rPr>
          <w:noProof/>
        </w:rPr>
      </w:pPr>
      <w:bookmarkStart w:id="46" w:name="_Toc514503182"/>
      <w:bookmarkStart w:id="47" w:name="_Toc514507424"/>
      <w:r>
        <w:rPr>
          <w:noProof/>
        </w:rPr>
        <w:t>Executive summary of the Ex- Post Evaluation of the European Fisheries Fund 2007-2013</w:t>
      </w:r>
      <w:bookmarkEnd w:id="46"/>
      <w:bookmarkEnd w:id="47"/>
      <w:r>
        <w:rPr>
          <w:noProof/>
        </w:rPr>
        <w:t xml:space="preserve"> </w:t>
      </w:r>
    </w:p>
    <w:p w:rsidR="00046CF8" w:rsidRDefault="003561C2">
      <w:pPr>
        <w:pStyle w:val="Default"/>
        <w:jc w:val="both"/>
        <w:rPr>
          <w:noProof/>
        </w:rPr>
      </w:pPr>
      <w:r>
        <w:rPr>
          <w:noProof/>
        </w:rPr>
        <w:t>The Staff Working Document</w:t>
      </w:r>
      <w:r>
        <w:rPr>
          <w:rStyle w:val="FootnoteReference"/>
          <w:noProof/>
        </w:rPr>
        <w:footnoteReference w:id="74"/>
      </w:r>
      <w:r>
        <w:rPr>
          <w:noProof/>
        </w:rPr>
        <w:t xml:space="preserve"> presents the main findings of the ex post evaluation of the European Fisheries Fund (EFF)</w:t>
      </w:r>
      <w:r>
        <w:rPr>
          <w:rStyle w:val="FootnoteReference"/>
          <w:noProof/>
        </w:rPr>
        <w:footnoteReference w:id="75"/>
      </w:r>
      <w:r>
        <w:rPr>
          <w:noProof/>
        </w:rPr>
        <w:t xml:space="preserve"> for the 2007-2013 programming period. The evaluation was undertaken by independent evaluators and finalised at the end of 2016</w:t>
      </w:r>
      <w:r>
        <w:rPr>
          <w:rStyle w:val="FootnoteReference"/>
          <w:noProof/>
        </w:rPr>
        <w:footnoteReference w:id="76"/>
      </w:r>
      <w:r>
        <w:rPr>
          <w:noProof/>
        </w:rPr>
        <w:t>. The findings will be used to inform the Commission, Member States and other stakeholders for further implementation of the Eur</w:t>
      </w:r>
      <w:r>
        <w:rPr>
          <w:noProof/>
        </w:rPr>
        <w:t xml:space="preserve">opean Maritime and Fisheries Fund (the EMFF which succeeded the EFF for the 2014-2020 period) and for reflections for the future. </w:t>
      </w:r>
    </w:p>
    <w:p w:rsidR="00046CF8" w:rsidRDefault="00046CF8">
      <w:pPr>
        <w:pStyle w:val="Default"/>
        <w:jc w:val="both"/>
        <w:rPr>
          <w:noProof/>
        </w:rPr>
      </w:pPr>
    </w:p>
    <w:p w:rsidR="00046CF8" w:rsidRDefault="003561C2">
      <w:pPr>
        <w:pStyle w:val="Default"/>
        <w:jc w:val="both"/>
        <w:rPr>
          <w:noProof/>
        </w:rPr>
      </w:pPr>
      <w:r>
        <w:rPr>
          <w:noProof/>
        </w:rPr>
        <w:t>The key evaluation tasks were to review the implementation of the European Fisheries Fund over the 2007-2013 period, as well as to answer six evaluation questions in order to assess the effectiveness, efficiency, relevance, coherence, EU added value and su</w:t>
      </w:r>
      <w:r>
        <w:rPr>
          <w:noProof/>
        </w:rPr>
        <w:t xml:space="preserve">stainability of the EFF. Stakeholders were consulted through targeted interviews (in particular with Managing Authorities) as well as by means of an open, internet-based public consultation. </w:t>
      </w:r>
    </w:p>
    <w:p w:rsidR="00046CF8" w:rsidRDefault="00046CF8">
      <w:pPr>
        <w:pStyle w:val="Default"/>
        <w:jc w:val="both"/>
        <w:rPr>
          <w:noProof/>
        </w:rPr>
      </w:pPr>
    </w:p>
    <w:p w:rsidR="00046CF8" w:rsidRDefault="003561C2">
      <w:pPr>
        <w:pStyle w:val="Default"/>
        <w:spacing w:after="240"/>
        <w:jc w:val="both"/>
        <w:rPr>
          <w:noProof/>
        </w:rPr>
      </w:pPr>
      <w:r>
        <w:rPr>
          <w:b/>
          <w:bCs/>
          <w:noProof/>
        </w:rPr>
        <w:t xml:space="preserve">1. </w:t>
      </w:r>
      <w:r>
        <w:rPr>
          <w:rStyle w:val="Heading1Char"/>
          <w:rFonts w:eastAsiaTheme="minorHAnsi"/>
          <w:noProof/>
        </w:rPr>
        <w:t xml:space="preserve">Background </w:t>
      </w:r>
    </w:p>
    <w:p w:rsidR="00046CF8" w:rsidRDefault="003561C2">
      <w:pPr>
        <w:pStyle w:val="Default"/>
        <w:jc w:val="both"/>
        <w:rPr>
          <w:noProof/>
        </w:rPr>
      </w:pPr>
      <w:r>
        <w:rPr>
          <w:noProof/>
        </w:rPr>
        <w:t>The EFF was established in the 2007-2013 program</w:t>
      </w:r>
      <w:r>
        <w:rPr>
          <w:noProof/>
        </w:rPr>
        <w:t>ming period as a follow-up to the previous structural support programmes, the Financial Instrument for Fisheries Guidance (FIFG), in support of the fisheries sector since the early 1990s</w:t>
      </w:r>
      <w:r>
        <w:rPr>
          <w:rStyle w:val="FootnoteReference"/>
          <w:noProof/>
        </w:rPr>
        <w:footnoteReference w:id="77"/>
      </w:r>
      <w:r>
        <w:rPr>
          <w:noProof/>
        </w:rPr>
        <w:t>. Unlike its predecessor which had over 60 Operational Programmes (OP</w:t>
      </w:r>
      <w:r>
        <w:rPr>
          <w:noProof/>
        </w:rPr>
        <w:t>s), the EFF adopted a simplified approach, with only one OP per MS</w:t>
      </w:r>
      <w:r>
        <w:rPr>
          <w:rStyle w:val="FootnoteReference"/>
          <w:noProof/>
        </w:rPr>
        <w:footnoteReference w:id="78"/>
      </w:r>
      <w:r>
        <w:rPr>
          <w:noProof/>
        </w:rPr>
        <w:t xml:space="preserve">. </w:t>
      </w:r>
    </w:p>
    <w:p w:rsidR="00046CF8" w:rsidRDefault="00046CF8">
      <w:pPr>
        <w:pStyle w:val="Default"/>
        <w:jc w:val="both"/>
        <w:rPr>
          <w:noProof/>
        </w:rPr>
      </w:pPr>
    </w:p>
    <w:p w:rsidR="00046CF8" w:rsidRDefault="003561C2">
      <w:pPr>
        <w:pStyle w:val="Default"/>
        <w:jc w:val="both"/>
        <w:rPr>
          <w:noProof/>
        </w:rPr>
      </w:pPr>
      <w:r>
        <w:rPr>
          <w:noProof/>
        </w:rPr>
        <w:t>The EFF was launched in 2007 at the onset of the global economic and fuel crises which resulted in reduced access to private finance, stronger public expenditure control, increased fina</w:t>
      </w:r>
      <w:r>
        <w:rPr>
          <w:noProof/>
        </w:rPr>
        <w:t xml:space="preserve">ncial and economic pressure on the fisheries sector (rising fuel costs, fish feed costs increase, rising unemployment), a decline in demand for fisheries products, and prices that had stagnated or fallen. </w:t>
      </w:r>
    </w:p>
    <w:p w:rsidR="00046CF8" w:rsidRDefault="00046CF8">
      <w:pPr>
        <w:pStyle w:val="Default"/>
        <w:jc w:val="both"/>
        <w:rPr>
          <w:noProof/>
        </w:rPr>
      </w:pPr>
    </w:p>
    <w:p w:rsidR="00046CF8" w:rsidRDefault="003561C2">
      <w:pPr>
        <w:pStyle w:val="Default"/>
        <w:spacing w:after="240"/>
        <w:jc w:val="both"/>
        <w:rPr>
          <w:noProof/>
        </w:rPr>
      </w:pPr>
      <w:r>
        <w:rPr>
          <w:b/>
          <w:noProof/>
        </w:rPr>
        <w:t>2</w:t>
      </w:r>
      <w:r>
        <w:rPr>
          <w:noProof/>
        </w:rPr>
        <w:t xml:space="preserve">. </w:t>
      </w:r>
      <w:r>
        <w:rPr>
          <w:rStyle w:val="Heading1Char"/>
          <w:rFonts w:eastAsiaTheme="minorHAnsi"/>
          <w:noProof/>
        </w:rPr>
        <w:t xml:space="preserve">Resources Mobilised by the EFF </w:t>
      </w:r>
    </w:p>
    <w:p w:rsidR="00046CF8" w:rsidRDefault="003561C2">
      <w:pPr>
        <w:pStyle w:val="Default"/>
        <w:jc w:val="both"/>
        <w:rPr>
          <w:noProof/>
        </w:rPr>
      </w:pPr>
      <w:r>
        <w:rPr>
          <w:noProof/>
        </w:rPr>
        <w:t>The main focus</w:t>
      </w:r>
      <w:r>
        <w:rPr>
          <w:noProof/>
        </w:rPr>
        <w:t xml:space="preserve"> of the ex post evaluation was the EU contribution of 4,3 billion euros that was allocated in 2007 to the Member States (MS) through their OPs. By December 2015, 102% of the total EU budget had been committed</w:t>
      </w:r>
      <w:r>
        <w:rPr>
          <w:rStyle w:val="FootnoteReference"/>
          <w:noProof/>
        </w:rPr>
        <w:footnoteReference w:id="79"/>
      </w:r>
      <w:r>
        <w:rPr>
          <w:noProof/>
        </w:rPr>
        <w:t xml:space="preserve"> and 72% paid to the beneficiaries. However, a </w:t>
      </w:r>
      <w:r>
        <w:rPr>
          <w:noProof/>
        </w:rPr>
        <w:t>boost was noted for certain measures at the end of the EFF programming period, and the final figures declared by the MS</w:t>
      </w:r>
      <w:r>
        <w:rPr>
          <w:rStyle w:val="FootnoteReference"/>
          <w:noProof/>
        </w:rPr>
        <w:footnoteReference w:id="80"/>
      </w:r>
      <w:r>
        <w:rPr>
          <w:noProof/>
        </w:rPr>
        <w:t xml:space="preserve"> in the framework of the closure indicate that payments reached 90% of the amounts programmed. However, the application of the N+2 rule </w:t>
      </w:r>
      <w:r>
        <w:rPr>
          <w:noProof/>
        </w:rPr>
        <w:t>throughout the programming period led to some de-commitment, reducing the final amount of EU funds programmed to 4,056.754 million euros (94% of the initial amount of funds programmed).</w:t>
      </w:r>
    </w:p>
    <w:p w:rsidR="00046CF8" w:rsidRDefault="00046CF8">
      <w:pPr>
        <w:rPr>
          <w:b/>
          <w:bCs/>
          <w:noProof/>
        </w:rPr>
      </w:pPr>
    </w:p>
    <w:p w:rsidR="00046CF8" w:rsidRDefault="003561C2">
      <w:pPr>
        <w:rPr>
          <w:rFonts w:ascii="Times New Roman" w:hAnsi="Times New Roman" w:cs="Times New Roman"/>
          <w:b/>
          <w:bCs/>
          <w:noProof/>
          <w:color w:val="000000"/>
          <w:sz w:val="24"/>
          <w:szCs w:val="24"/>
        </w:rPr>
      </w:pPr>
      <w:r>
        <w:rPr>
          <w:b/>
          <w:bCs/>
          <w:noProof/>
        </w:rPr>
        <w:t xml:space="preserve">3. </w:t>
      </w:r>
      <w:r>
        <w:rPr>
          <w:rStyle w:val="Heading1Char"/>
          <w:rFonts w:eastAsiaTheme="minorHAnsi"/>
          <w:noProof/>
        </w:rPr>
        <w:t xml:space="preserve">Main findings of the Evaluation </w:t>
      </w:r>
    </w:p>
    <w:p w:rsidR="00046CF8" w:rsidRDefault="003561C2">
      <w:pPr>
        <w:pStyle w:val="Default"/>
        <w:jc w:val="both"/>
        <w:rPr>
          <w:noProof/>
        </w:rPr>
      </w:pPr>
      <w:r>
        <w:rPr>
          <w:b/>
          <w:bCs/>
          <w:noProof/>
        </w:rPr>
        <w:t xml:space="preserve">Effectiveness: </w:t>
      </w:r>
      <w:r>
        <w:rPr>
          <w:noProof/>
        </w:rPr>
        <w:t>The EFF has been m</w:t>
      </w:r>
      <w:r>
        <w:rPr>
          <w:noProof/>
        </w:rPr>
        <w:t xml:space="preserve">oderately effective in meeting its objectives. </w:t>
      </w:r>
    </w:p>
    <w:p w:rsidR="00046CF8" w:rsidRDefault="00046CF8">
      <w:pPr>
        <w:pStyle w:val="Default"/>
        <w:jc w:val="both"/>
        <w:rPr>
          <w:noProof/>
        </w:rPr>
      </w:pPr>
    </w:p>
    <w:p w:rsidR="00046CF8" w:rsidRDefault="003561C2">
      <w:pPr>
        <w:pStyle w:val="ListBullet"/>
        <w:spacing w:after="0"/>
        <w:rPr>
          <w:noProof/>
          <w:szCs w:val="24"/>
        </w:rPr>
      </w:pPr>
      <w:r>
        <w:rPr>
          <w:noProof/>
          <w:szCs w:val="24"/>
        </w:rPr>
        <w:t>Between 2007 and 2015, the capacity of the EU fishing fleet decreased by 17.5% (in gross tonnage), of which more than half (53%) was removed with support from the European Fisheries Fund. Thus, nearly 10% of</w:t>
      </w:r>
      <w:r>
        <w:rPr>
          <w:noProof/>
          <w:szCs w:val="24"/>
        </w:rPr>
        <w:t xml:space="preserve"> the EU fleet capacity was removed with the help of the EFF. This also resulted in a 9% decrease of engine power in the EU fishing fleet. </w:t>
      </w:r>
    </w:p>
    <w:p w:rsidR="00046CF8" w:rsidRDefault="003561C2">
      <w:pPr>
        <w:pStyle w:val="ListBullet"/>
        <w:spacing w:after="0"/>
        <w:rPr>
          <w:noProof/>
          <w:szCs w:val="24"/>
        </w:rPr>
      </w:pPr>
      <w:r>
        <w:rPr>
          <w:noProof/>
          <w:szCs w:val="24"/>
        </w:rPr>
        <w:t>However, the evaluation of the EFF confirmed that there was scope to improve the links between the EFF and the sustai</w:t>
      </w:r>
      <w:r>
        <w:rPr>
          <w:noProof/>
          <w:szCs w:val="24"/>
        </w:rPr>
        <w:t xml:space="preserve">nable exploitation of fisheries given that this is also the result of fisheries management measures. Similarly, the contribution of the EFF to broader conservation objectives such as protection and enhancement of the environment and natural resources when </w:t>
      </w:r>
      <w:r>
        <w:rPr>
          <w:noProof/>
          <w:szCs w:val="24"/>
        </w:rPr>
        <w:t>related to the fisheries sector were less visible. This has in large part been addressed with the EMFF in the 2014-2020 period. There, the links with the objectives of the Common Fisheries Policy, including the sustainable exploitation of fisheries and min</w:t>
      </w:r>
      <w:r>
        <w:rPr>
          <w:noProof/>
          <w:szCs w:val="24"/>
        </w:rPr>
        <w:t xml:space="preserve">imizing the negative impacts on the marine environment, are clearer. </w:t>
      </w:r>
    </w:p>
    <w:p w:rsidR="00046CF8" w:rsidRDefault="003561C2">
      <w:pPr>
        <w:pStyle w:val="ListBullet"/>
        <w:spacing w:after="0"/>
        <w:rPr>
          <w:noProof/>
          <w:szCs w:val="24"/>
        </w:rPr>
      </w:pPr>
      <w:r>
        <w:rPr>
          <w:noProof/>
          <w:szCs w:val="24"/>
        </w:rPr>
        <w:t xml:space="preserve">An overall </w:t>
      </w:r>
      <w:r>
        <w:rPr>
          <w:i/>
          <w:iCs/>
          <w:noProof/>
          <w:szCs w:val="24"/>
        </w:rPr>
        <w:t xml:space="preserve">improvement of the fleet competitiveness </w:t>
      </w:r>
      <w:r>
        <w:rPr>
          <w:noProof/>
          <w:szCs w:val="24"/>
        </w:rPr>
        <w:t>was aided with EFF support by contributing to the modernisation of the remaining fleet, improving fishing ports and landing sites, and</w:t>
      </w:r>
      <w:r>
        <w:rPr>
          <w:noProof/>
          <w:szCs w:val="24"/>
        </w:rPr>
        <w:t xml:space="preserve"> increasing the added-value of fish products by supporting investments in marketing and processing. </w:t>
      </w:r>
    </w:p>
    <w:p w:rsidR="00046CF8" w:rsidRDefault="003561C2">
      <w:pPr>
        <w:pStyle w:val="ListBullet"/>
        <w:spacing w:after="0"/>
        <w:rPr>
          <w:noProof/>
          <w:szCs w:val="24"/>
        </w:rPr>
      </w:pPr>
      <w:r>
        <w:rPr>
          <w:noProof/>
          <w:szCs w:val="24"/>
        </w:rPr>
        <w:t xml:space="preserve">In the </w:t>
      </w:r>
      <w:r>
        <w:rPr>
          <w:i/>
          <w:iCs/>
          <w:noProof/>
          <w:szCs w:val="24"/>
        </w:rPr>
        <w:t xml:space="preserve">aquaculture </w:t>
      </w:r>
      <w:r>
        <w:rPr>
          <w:noProof/>
          <w:szCs w:val="24"/>
        </w:rPr>
        <w:t>sector, the results were below the expected objectives as EU aquaculture production increased less than global aquaculture production ov</w:t>
      </w:r>
      <w:r>
        <w:rPr>
          <w:noProof/>
          <w:szCs w:val="24"/>
        </w:rPr>
        <w:t xml:space="preserve">er the 2007-2013 period. However, EFF funding was particularly important to sustain the sector during the economic crisis. </w:t>
      </w:r>
    </w:p>
    <w:p w:rsidR="00046CF8" w:rsidRDefault="003561C2">
      <w:pPr>
        <w:pStyle w:val="ListBullet"/>
        <w:spacing w:after="0"/>
        <w:rPr>
          <w:noProof/>
          <w:szCs w:val="24"/>
        </w:rPr>
      </w:pPr>
      <w:r>
        <w:rPr>
          <w:i/>
          <w:iCs/>
          <w:noProof/>
          <w:szCs w:val="24"/>
        </w:rPr>
        <w:t xml:space="preserve">Processing and marketing investments contributed </w:t>
      </w:r>
      <w:r>
        <w:rPr>
          <w:noProof/>
          <w:szCs w:val="24"/>
        </w:rPr>
        <w:t xml:space="preserve">to maintain and create jobs and accelerated the modernisation of the industry. </w:t>
      </w:r>
    </w:p>
    <w:p w:rsidR="00046CF8" w:rsidRDefault="003561C2">
      <w:pPr>
        <w:pStyle w:val="ListBullet"/>
        <w:spacing w:after="0"/>
        <w:rPr>
          <w:noProof/>
          <w:szCs w:val="24"/>
        </w:rPr>
      </w:pPr>
      <w:r>
        <w:rPr>
          <w:i/>
          <w:iCs/>
          <w:noProof/>
          <w:szCs w:val="24"/>
        </w:rPr>
        <w:t>Sus</w:t>
      </w:r>
      <w:r>
        <w:rPr>
          <w:i/>
          <w:iCs/>
          <w:noProof/>
          <w:szCs w:val="24"/>
        </w:rPr>
        <w:t xml:space="preserve">tainable development of local areas (Axis 4) </w:t>
      </w:r>
      <w:r>
        <w:rPr>
          <w:noProof/>
          <w:szCs w:val="24"/>
        </w:rPr>
        <w:t xml:space="preserve">enabled maintaining and creating jobs and has been an important source of investments towards improving the quality of life in fisheries dependent areas. </w:t>
      </w:r>
    </w:p>
    <w:p w:rsidR="00046CF8" w:rsidRDefault="003561C2">
      <w:pPr>
        <w:pStyle w:val="ListBullet"/>
        <w:spacing w:after="0"/>
        <w:rPr>
          <w:noProof/>
          <w:szCs w:val="24"/>
        </w:rPr>
      </w:pPr>
      <w:r>
        <w:rPr>
          <w:noProof/>
          <w:szCs w:val="24"/>
        </w:rPr>
        <w:t xml:space="preserve">The EFF is estimated to have </w:t>
      </w:r>
      <w:r>
        <w:rPr>
          <w:i/>
          <w:iCs/>
          <w:noProof/>
          <w:szCs w:val="24"/>
        </w:rPr>
        <w:t>created approximately 17,00</w:t>
      </w:r>
      <w:r>
        <w:rPr>
          <w:i/>
          <w:iCs/>
          <w:noProof/>
          <w:szCs w:val="24"/>
        </w:rPr>
        <w:t xml:space="preserve">0 jobs and maintained many more </w:t>
      </w:r>
      <w:r>
        <w:rPr>
          <w:noProof/>
          <w:szCs w:val="24"/>
        </w:rPr>
        <w:t>over the programming period. Both temporary cessation and socio-economic compensation measures have contributed to maintain employment on a temporary basis, in the specific fleets where it was applied, whilst the EFF contrib</w:t>
      </w:r>
      <w:r>
        <w:rPr>
          <w:noProof/>
          <w:szCs w:val="24"/>
        </w:rPr>
        <w:t>uted to the creation of approximatively 10,000 new jobs in the processing sector. Another 6,760 jobs would have been created and 9,240 maintained as a result of projects supported under community led local development (Axis 4)</w:t>
      </w:r>
      <w:r>
        <w:rPr>
          <w:rStyle w:val="FootnoteReference"/>
          <w:noProof/>
          <w:szCs w:val="24"/>
        </w:rPr>
        <w:footnoteReference w:id="81"/>
      </w:r>
      <w:r>
        <w:rPr>
          <w:noProof/>
          <w:szCs w:val="24"/>
        </w:rPr>
        <w:t xml:space="preserve">. </w:t>
      </w:r>
    </w:p>
    <w:p w:rsidR="00046CF8" w:rsidRDefault="00046CF8">
      <w:pPr>
        <w:pStyle w:val="ListBullet"/>
        <w:numPr>
          <w:ilvl w:val="0"/>
          <w:numId w:val="0"/>
        </w:numPr>
        <w:spacing w:after="0"/>
        <w:ind w:left="283"/>
        <w:rPr>
          <w:noProof/>
          <w:szCs w:val="24"/>
        </w:rPr>
      </w:pPr>
    </w:p>
    <w:p w:rsidR="00046CF8" w:rsidRDefault="003561C2">
      <w:pPr>
        <w:pStyle w:val="Default"/>
        <w:jc w:val="both"/>
        <w:rPr>
          <w:noProof/>
        </w:rPr>
      </w:pPr>
      <w:r>
        <w:rPr>
          <w:b/>
          <w:bCs/>
          <w:noProof/>
        </w:rPr>
        <w:t xml:space="preserve">Efficiency: </w:t>
      </w:r>
      <w:r>
        <w:rPr>
          <w:noProof/>
        </w:rPr>
        <w:t xml:space="preserve">The quality of the monitoring data does not allow assessing whether the EFF objectives were achieved at a reasonable cost. However, there is scope for improvement: </w:t>
      </w:r>
    </w:p>
    <w:p w:rsidR="00046CF8" w:rsidRDefault="00046CF8">
      <w:pPr>
        <w:pStyle w:val="Default"/>
        <w:jc w:val="both"/>
        <w:rPr>
          <w:noProof/>
        </w:rPr>
      </w:pPr>
    </w:p>
    <w:p w:rsidR="00046CF8" w:rsidRDefault="003561C2">
      <w:pPr>
        <w:pStyle w:val="ListBullet"/>
        <w:spacing w:after="0"/>
        <w:rPr>
          <w:noProof/>
          <w:szCs w:val="24"/>
        </w:rPr>
      </w:pPr>
      <w:r>
        <w:rPr>
          <w:noProof/>
          <w:szCs w:val="24"/>
        </w:rPr>
        <w:t>With regards to fleet measures, the cessation evaluation carried out in 2013</w:t>
      </w:r>
      <w:r>
        <w:rPr>
          <w:rStyle w:val="FootnoteReference"/>
          <w:noProof/>
          <w:szCs w:val="24"/>
        </w:rPr>
        <w:footnoteReference w:id="82"/>
      </w:r>
      <w:r>
        <w:rPr>
          <w:noProof/>
          <w:szCs w:val="24"/>
        </w:rPr>
        <w:t xml:space="preserve"> concluded th</w:t>
      </w:r>
      <w:r>
        <w:rPr>
          <w:noProof/>
          <w:szCs w:val="24"/>
        </w:rPr>
        <w:t>at the efficiency of cessation measures in the long-term is questionable. Furthermore, there is general agreement amongst Member States that overcapacity has been addressed in many fleets. Differences in the cost of fleet measures can be observed, but thes</w:t>
      </w:r>
      <w:r>
        <w:rPr>
          <w:noProof/>
          <w:szCs w:val="24"/>
        </w:rPr>
        <w:t xml:space="preserve">e largely depend on the structure of the fleet targeted by adjustment plans. Competitive bidding for the allocation of grants was found to increase substantially the efficiency of fleet measures in the MS that used it. </w:t>
      </w:r>
    </w:p>
    <w:p w:rsidR="00046CF8" w:rsidRDefault="003561C2">
      <w:pPr>
        <w:pStyle w:val="ListBullet"/>
        <w:spacing w:after="0"/>
        <w:rPr>
          <w:noProof/>
          <w:szCs w:val="24"/>
        </w:rPr>
      </w:pPr>
      <w:r>
        <w:rPr>
          <w:noProof/>
          <w:szCs w:val="24"/>
        </w:rPr>
        <w:t xml:space="preserve">In both aquaculture and processing, </w:t>
      </w:r>
      <w:r>
        <w:rPr>
          <w:noProof/>
          <w:szCs w:val="24"/>
        </w:rPr>
        <w:t xml:space="preserve">the average cost for creating an additional tonne of production capacity across the EU varied considerably between MS, which can be partly explained by the focus on different species or processing methods. </w:t>
      </w:r>
    </w:p>
    <w:p w:rsidR="00046CF8" w:rsidRDefault="003561C2">
      <w:pPr>
        <w:pStyle w:val="ListBullet"/>
        <w:spacing w:after="0"/>
        <w:rPr>
          <w:noProof/>
          <w:szCs w:val="24"/>
        </w:rPr>
      </w:pPr>
      <w:r>
        <w:rPr>
          <w:noProof/>
          <w:szCs w:val="24"/>
        </w:rPr>
        <w:t xml:space="preserve">Managing authorities used the technical </w:t>
      </w:r>
      <w:r>
        <w:rPr>
          <w:noProof/>
          <w:szCs w:val="24"/>
        </w:rPr>
        <w:t>assistance measure to address administrative burden issues</w:t>
      </w:r>
      <w:r>
        <w:rPr>
          <w:rStyle w:val="FootnoteReference"/>
          <w:noProof/>
          <w:szCs w:val="24"/>
        </w:rPr>
        <w:footnoteReference w:id="83"/>
      </w:r>
      <w:r>
        <w:rPr>
          <w:noProof/>
          <w:szCs w:val="24"/>
        </w:rPr>
        <w:t xml:space="preserve">. Analysis also showed that administrative costs acted as disincentives for potential beneficiaries. </w:t>
      </w:r>
    </w:p>
    <w:p w:rsidR="00046CF8" w:rsidRDefault="00046CF8">
      <w:pPr>
        <w:pStyle w:val="ListBullet"/>
        <w:numPr>
          <w:ilvl w:val="0"/>
          <w:numId w:val="0"/>
        </w:numPr>
        <w:spacing w:after="0"/>
        <w:ind w:left="283"/>
        <w:rPr>
          <w:noProof/>
          <w:szCs w:val="24"/>
        </w:rPr>
      </w:pPr>
    </w:p>
    <w:p w:rsidR="00046CF8" w:rsidRDefault="003561C2">
      <w:pPr>
        <w:pStyle w:val="ListBullet"/>
        <w:numPr>
          <w:ilvl w:val="0"/>
          <w:numId w:val="0"/>
        </w:numPr>
        <w:rPr>
          <w:noProof/>
          <w:szCs w:val="24"/>
        </w:rPr>
      </w:pPr>
      <w:r>
        <w:rPr>
          <w:b/>
          <w:bCs/>
          <w:noProof/>
          <w:szCs w:val="24"/>
        </w:rPr>
        <w:t>Relevance</w:t>
      </w:r>
      <w:r>
        <w:rPr>
          <w:noProof/>
          <w:szCs w:val="24"/>
        </w:rPr>
        <w:t>: Even though EFF support for permanent cessation decreased during the 2007-2013 peri</w:t>
      </w:r>
      <w:r>
        <w:rPr>
          <w:noProof/>
          <w:szCs w:val="24"/>
        </w:rPr>
        <w:t>od, the need to continue the process of rebalancing the fleet remained relevant for the objectives of both the Common Fisheries Policy (CFP) and the EFF. For aquaculture and processing, competitiveness was the focus and the scale of uptake suggests that th</w:t>
      </w:r>
      <w:r>
        <w:rPr>
          <w:noProof/>
          <w:szCs w:val="24"/>
        </w:rPr>
        <w:t xml:space="preserve">ese measures were highly relevant for the sector. </w:t>
      </w:r>
    </w:p>
    <w:p w:rsidR="00046CF8" w:rsidRDefault="003561C2">
      <w:pPr>
        <w:pStyle w:val="ListBullet"/>
        <w:numPr>
          <w:ilvl w:val="0"/>
          <w:numId w:val="0"/>
        </w:numPr>
        <w:rPr>
          <w:noProof/>
          <w:szCs w:val="24"/>
        </w:rPr>
      </w:pPr>
      <w:r>
        <w:rPr>
          <w:b/>
          <w:bCs/>
          <w:noProof/>
          <w:szCs w:val="24"/>
        </w:rPr>
        <w:t>Coherence</w:t>
      </w:r>
      <w:r>
        <w:rPr>
          <w:noProof/>
          <w:szCs w:val="24"/>
        </w:rPr>
        <w:t>: The objectives of the EFF Regulation were not contradicting those of other EU structural investment funds such as the ERDF, the ESF or the EARDF, or those of other EU funding instruments such as</w:t>
      </w:r>
      <w:r>
        <w:rPr>
          <w:noProof/>
          <w:szCs w:val="24"/>
        </w:rPr>
        <w:t xml:space="preserve"> LIFE. However, despite clear demarcation lines between these funding sources, complementarities and synergies with other funds remained limited (except for Axis 4 which was complementary with the EAFRD/LEADER in many fisheries areas). </w:t>
      </w:r>
    </w:p>
    <w:p w:rsidR="00046CF8" w:rsidRDefault="003561C2">
      <w:pPr>
        <w:pStyle w:val="ListBullet"/>
        <w:numPr>
          <w:ilvl w:val="0"/>
          <w:numId w:val="0"/>
        </w:numPr>
        <w:rPr>
          <w:noProof/>
          <w:szCs w:val="24"/>
        </w:rPr>
      </w:pPr>
      <w:r>
        <w:rPr>
          <w:b/>
          <w:bCs/>
          <w:noProof/>
          <w:szCs w:val="24"/>
        </w:rPr>
        <w:t>EU added value</w:t>
      </w:r>
      <w:r>
        <w:rPr>
          <w:noProof/>
          <w:szCs w:val="24"/>
        </w:rPr>
        <w:t>: The</w:t>
      </w:r>
      <w:r>
        <w:rPr>
          <w:noProof/>
          <w:szCs w:val="24"/>
        </w:rPr>
        <w:t xml:space="preserve"> added-value of the EU intervention lies mainly in the reduction of the fleet capacity, the achievements of Axis 4, innovation projects and collective actions. Furthermore, the EFF contributed to an increase in fuel efficiency and selectivity of fishing me</w:t>
      </w:r>
      <w:r>
        <w:rPr>
          <w:noProof/>
          <w:szCs w:val="24"/>
        </w:rPr>
        <w:t xml:space="preserve">thods. </w:t>
      </w:r>
    </w:p>
    <w:p w:rsidR="00046CF8" w:rsidRDefault="003561C2">
      <w:pPr>
        <w:pStyle w:val="ListBullet"/>
        <w:numPr>
          <w:ilvl w:val="0"/>
          <w:numId w:val="0"/>
        </w:numPr>
        <w:rPr>
          <w:noProof/>
          <w:szCs w:val="24"/>
        </w:rPr>
      </w:pPr>
      <w:r>
        <w:rPr>
          <w:b/>
          <w:bCs/>
          <w:noProof/>
          <w:szCs w:val="24"/>
        </w:rPr>
        <w:t>Sustainability</w:t>
      </w:r>
      <w:r>
        <w:rPr>
          <w:noProof/>
          <w:szCs w:val="24"/>
        </w:rPr>
        <w:t>: The ex post evaluation concludes that reductions in the fleet achieved with EFF support may not have been long-lasting and structural.</w:t>
      </w:r>
    </w:p>
    <w:p w:rsidR="00046CF8" w:rsidRDefault="003561C2">
      <w:pPr>
        <w:pStyle w:val="ListBullet"/>
        <w:numPr>
          <w:ilvl w:val="0"/>
          <w:numId w:val="0"/>
        </w:numPr>
        <w:rPr>
          <w:noProof/>
          <w:szCs w:val="24"/>
        </w:rPr>
      </w:pPr>
      <w:r>
        <w:rPr>
          <w:noProof/>
          <w:szCs w:val="24"/>
        </w:rPr>
        <w:t>This ex-post evaluation showed that the objectives of the EFF were reached to a large extent, but</w:t>
      </w:r>
      <w:r>
        <w:rPr>
          <w:noProof/>
          <w:szCs w:val="24"/>
        </w:rPr>
        <w:t xml:space="preserve"> that there was scope for improvement, in particular its effectiveness and sustainability, and with regards to its delivery system and a focus on results. To a large extent, these issues have been addressed with the European Maritime and Fisheries Fund wit</w:t>
      </w:r>
      <w:r>
        <w:rPr>
          <w:noProof/>
          <w:szCs w:val="24"/>
        </w:rPr>
        <w:t>h a greater result orientation but the evaluation also provides a reference framework for judging over the coming years if the issues are being tackled in an effective and proportional way – as well as which elements will need to be maintained or reinforce</w:t>
      </w:r>
      <w:r>
        <w:rPr>
          <w:noProof/>
          <w:szCs w:val="24"/>
        </w:rPr>
        <w:t>d in the future.</w:t>
      </w:r>
      <w:r>
        <w:rPr>
          <w:noProof/>
        </w:rPr>
        <w:t xml:space="preserve"> </w:t>
      </w:r>
      <w:r>
        <w:rPr>
          <w:noProof/>
        </w:rPr>
        <w:br w:type="page"/>
      </w:r>
    </w:p>
    <w:p w:rsidR="00046CF8" w:rsidRDefault="003561C2">
      <w:pPr>
        <w:pStyle w:val="Heading1"/>
        <w:numPr>
          <w:ilvl w:val="0"/>
          <w:numId w:val="0"/>
        </w:numPr>
        <w:rPr>
          <w:noProof/>
        </w:rPr>
      </w:pPr>
      <w:bookmarkStart w:id="48" w:name="_Toc514503206"/>
      <w:bookmarkStart w:id="49" w:name="_Toc514507425"/>
      <w:r>
        <w:rPr>
          <w:noProof/>
        </w:rPr>
        <w:t>Annex 4 – Other intiatives and activities</w:t>
      </w:r>
      <w:bookmarkEnd w:id="48"/>
      <w:bookmarkEnd w:id="49"/>
      <w:r>
        <w:rPr>
          <w:noProof/>
        </w:rPr>
        <w:t xml:space="preserve"> </w:t>
      </w:r>
    </w:p>
    <w:p w:rsidR="00046CF8" w:rsidRDefault="003561C2">
      <w:pPr>
        <w:pStyle w:val="Heading1"/>
        <w:numPr>
          <w:ilvl w:val="0"/>
          <w:numId w:val="0"/>
        </w:numPr>
        <w:ind w:left="480" w:hanging="480"/>
        <w:rPr>
          <w:noProof/>
        </w:rPr>
      </w:pPr>
      <w:bookmarkStart w:id="50" w:name="_Toc514503207"/>
      <w:bookmarkStart w:id="51" w:name="_Toc514507426"/>
      <w:r>
        <w:rPr>
          <w:noProof/>
        </w:rPr>
        <w:t>The Blue Economy – State of Play, Prospects and Results</w:t>
      </w:r>
      <w:bookmarkEnd w:id="50"/>
      <w:bookmarkEnd w:id="51"/>
      <w:r>
        <w:rPr>
          <w:noProof/>
        </w:rPr>
        <w:t xml:space="preserve"> </w:t>
      </w:r>
    </w:p>
    <w:p w:rsidR="00046CF8" w:rsidRDefault="003561C2">
      <w:pPr>
        <w:jc w:val="both"/>
        <w:rPr>
          <w:rFonts w:ascii="Times New Roman" w:hAnsi="Times New Roman" w:cs="Times New Roman"/>
          <w:b/>
          <w:noProof/>
          <w:sz w:val="24"/>
          <w:szCs w:val="24"/>
        </w:rPr>
      </w:pPr>
      <w:r>
        <w:rPr>
          <w:rFonts w:ascii="Times New Roman" w:hAnsi="Times New Roman" w:cs="Times New Roman"/>
          <w:b/>
          <w:noProof/>
          <w:sz w:val="24"/>
          <w:szCs w:val="24"/>
        </w:rPr>
        <w:t>PART 1: ECONOMIC IMPACTS OF THE BLUE ECONOMY</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BLUE ECONOMY DEFINITIONS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For the purposes of this annex, the blue economy consists of all t</w:t>
      </w:r>
      <w:r>
        <w:rPr>
          <w:rFonts w:ascii="Times New Roman" w:hAnsi="Times New Roman" w:cs="Times New Roman"/>
          <w:noProof/>
          <w:sz w:val="24"/>
          <w:szCs w:val="24"/>
        </w:rPr>
        <w:t>he sectoral and cross-sectoral economic activities related to oceans, seas and coasts. This includes the closest direct and indirect supported activities necessary for the sustainable functioning and development of these economic sectors which can be locat</w:t>
      </w:r>
      <w:r>
        <w:rPr>
          <w:rFonts w:ascii="Times New Roman" w:hAnsi="Times New Roman" w:cs="Times New Roman"/>
          <w:noProof/>
          <w:sz w:val="24"/>
          <w:szCs w:val="24"/>
        </w:rPr>
        <w:t>ed anywhere, included in land locked countries. It includes also emerging sectors as well as non-quantifiable natural stocks and non-market good and services.</w:t>
      </w:r>
    </w:p>
    <w:p w:rsidR="00046CF8" w:rsidRDefault="003561C2">
      <w:pPr>
        <w:jc w:val="center"/>
        <w:rPr>
          <w:b/>
          <w:noProof/>
          <w:u w:val="single"/>
        </w:rPr>
      </w:pPr>
      <w:r>
        <w:rPr>
          <w:rFonts w:ascii="Times New Roman" w:hAnsi="Times New Roman" w:cs="Times New Roman"/>
          <w:noProof/>
          <w:sz w:val="24"/>
          <w:szCs w:val="24"/>
        </w:rPr>
        <w:t>The concept of Blue economy includes established or traditional sectors and emerging sectors:</w:t>
      </w:r>
      <w:r>
        <w:rPr>
          <w:rFonts w:cs="Arial"/>
          <w:b/>
          <w:bCs/>
          <w:noProof/>
          <w:lang w:eastAsia="en-GB"/>
        </w:rPr>
        <w:drawing>
          <wp:inline distT="0" distB="0" distL="0" distR="0">
            <wp:extent cx="5760720" cy="3766540"/>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60720" cy="3766540"/>
                    </a:xfrm>
                    <a:prstGeom prst="rect">
                      <a:avLst/>
                    </a:prstGeom>
                    <a:noFill/>
                  </pic:spPr>
                </pic:pic>
              </a:graphicData>
            </a:graphic>
          </wp:inline>
        </w:drawing>
      </w:r>
    </w:p>
    <w:p w:rsidR="00046CF8" w:rsidRDefault="003561C2">
      <w:pPr>
        <w:jc w:val="center"/>
        <w:rPr>
          <w:b/>
          <w:noProof/>
          <w:u w:val="single"/>
        </w:rPr>
      </w:pPr>
      <w:r>
        <w:rPr>
          <w:rFonts w:cs="Arial"/>
          <w:b/>
          <w:bCs/>
          <w:noProof/>
          <w:lang w:eastAsia="en-GB"/>
        </w:rPr>
        <w:drawing>
          <wp:inline distT="0" distB="0" distL="0" distR="0">
            <wp:extent cx="5162843" cy="342384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t="5989" b="4831"/>
                    <a:stretch/>
                  </pic:blipFill>
                  <pic:spPr bwMode="auto">
                    <a:xfrm>
                      <a:off x="0" y="0"/>
                      <a:ext cx="5168876" cy="3427844"/>
                    </a:xfrm>
                    <a:prstGeom prst="rect">
                      <a:avLst/>
                    </a:prstGeom>
                    <a:noFill/>
                    <a:ln>
                      <a:noFill/>
                    </a:ln>
                    <a:extLst>
                      <a:ext uri="{53640926-AAD7-44D8-BBD7-CCE9431645EC}">
                        <a14:shadowObscured xmlns:a14="http://schemas.microsoft.com/office/drawing/2010/main"/>
                      </a:ext>
                    </a:extLst>
                  </pic:spPr>
                </pic:pic>
              </a:graphicData>
            </a:graphic>
          </wp:inline>
        </w:drawing>
      </w:r>
    </w:p>
    <w:p w:rsidR="00046CF8" w:rsidRDefault="00046CF8">
      <w:pPr>
        <w:rPr>
          <w:b/>
          <w:noProof/>
          <w:u w:val="single"/>
        </w:rPr>
      </w:pP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DIRECT IMPACT OF THE BLUE ECONOMY</w:t>
      </w:r>
    </w:p>
    <w:p w:rsidR="00046CF8" w:rsidRDefault="003561C2">
      <w:pPr>
        <w:jc w:val="center"/>
        <w:rPr>
          <w:rFonts w:ascii="Times New Roman" w:hAnsi="Times New Roman" w:cs="Times New Roman"/>
          <w:noProof/>
          <w:sz w:val="24"/>
          <w:szCs w:val="24"/>
        </w:rPr>
      </w:pPr>
      <w:r>
        <w:rPr>
          <w:rFonts w:ascii="Times New Roman" w:hAnsi="Times New Roman" w:cs="Times New Roman"/>
          <w:noProof/>
          <w:sz w:val="24"/>
          <w:szCs w:val="24"/>
        </w:rPr>
        <w:t>The blue economy sectors of the EU covered in the present report employed directly around 3.48 million persons in 2016, a modest 1% increase compared to 2008 (3.45 million persons employed). Wages and salaries amounted to</w:t>
      </w:r>
      <w:r>
        <w:rPr>
          <w:rFonts w:ascii="Times New Roman" w:hAnsi="Times New Roman" w:cs="Times New Roman"/>
          <w:noProof/>
          <w:sz w:val="24"/>
          <w:szCs w:val="24"/>
        </w:rPr>
        <w:t xml:space="preserve"> €41.0 billion, a 19 % increase on 2008 (€34.6 billion). Blue economy based wages and salaries have grown steadily since reaching a low in 2011, while employment has remained relatively stable, translating into higher average</w:t>
      </w:r>
      <w:r>
        <w:rPr>
          <w:noProof/>
          <w:sz w:val="24"/>
          <w:szCs w:val="24"/>
        </w:rPr>
        <w:t xml:space="preserve"> </w:t>
      </w:r>
      <w:r>
        <w:rPr>
          <w:rFonts w:ascii="Times New Roman" w:hAnsi="Times New Roman" w:cs="Times New Roman"/>
          <w:noProof/>
          <w:sz w:val="24"/>
          <w:szCs w:val="24"/>
        </w:rPr>
        <w:t>wages.</w:t>
      </w:r>
    </w:p>
    <w:p w:rsidR="00046CF8" w:rsidRDefault="00046CF8">
      <w:pPr>
        <w:jc w:val="center"/>
        <w:rPr>
          <w:rFonts w:ascii="Times New Roman" w:hAnsi="Times New Roman" w:cs="Times New Roman"/>
          <w:noProof/>
          <w:sz w:val="24"/>
          <w:szCs w:val="24"/>
        </w:rPr>
      </w:pPr>
    </w:p>
    <w:p w:rsidR="00046CF8" w:rsidRDefault="003561C2">
      <w:pPr>
        <w:jc w:val="center"/>
        <w:rPr>
          <w:rFonts w:ascii="Times New Roman" w:hAnsi="Times New Roman" w:cs="Times New Roman"/>
          <w:noProof/>
          <w:sz w:val="24"/>
          <w:szCs w:val="24"/>
        </w:rPr>
      </w:pPr>
      <w:r>
        <w:rPr>
          <w:noProof/>
          <w:lang w:eastAsia="en-GB"/>
        </w:rPr>
        <w:drawing>
          <wp:inline distT="0" distB="0" distL="0" distR="0">
            <wp:extent cx="3962400" cy="21770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980566" cy="2187061"/>
                    </a:xfrm>
                    <a:prstGeom prst="rect">
                      <a:avLst/>
                    </a:prstGeom>
                    <a:noFill/>
                  </pic:spPr>
                </pic:pic>
              </a:graphicData>
            </a:graphic>
          </wp:inline>
        </w:drawing>
      </w:r>
    </w:p>
    <w:p w:rsidR="00046CF8" w:rsidRDefault="003561C2">
      <w:pPr>
        <w:jc w:val="center"/>
        <w:rPr>
          <w:rFonts w:ascii="Times New Roman" w:hAnsi="Times New Roman" w:cs="Times New Roman"/>
          <w:noProof/>
          <w:sz w:val="24"/>
          <w:szCs w:val="24"/>
        </w:rPr>
      </w:pPr>
      <w:r>
        <w:rPr>
          <w:noProof/>
          <w:lang w:eastAsia="en-GB"/>
        </w:rPr>
        <w:drawing>
          <wp:inline distT="0" distB="0" distL="0" distR="0">
            <wp:extent cx="4031363" cy="2253343"/>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074050" cy="2277203"/>
                    </a:xfrm>
                    <a:prstGeom prst="rect">
                      <a:avLst/>
                    </a:prstGeom>
                    <a:noFill/>
                  </pic:spPr>
                </pic:pic>
              </a:graphicData>
            </a:graphic>
          </wp:inline>
        </w:drawing>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GVA generated by t</w:t>
      </w:r>
      <w:r>
        <w:rPr>
          <w:rFonts w:ascii="Times New Roman" w:hAnsi="Times New Roman" w:cs="Times New Roman"/>
          <w:noProof/>
          <w:sz w:val="24"/>
          <w:szCs w:val="24"/>
        </w:rPr>
        <w:t xml:space="preserve">he blue economy sectors covered in the present report amounted to EUR 174.2 billion in 2016, a 4% increase compared to 2008. While gross profit at EUR95.1 billion, saw a 1% decrease on 2008 (EUR96.4 billion). Total turnover was around EUR 566.2 billion, a </w:t>
      </w:r>
      <w:r>
        <w:rPr>
          <w:rFonts w:ascii="Times New Roman" w:hAnsi="Times New Roman" w:cs="Times New Roman"/>
          <w:noProof/>
          <w:sz w:val="24"/>
          <w:szCs w:val="24"/>
        </w:rPr>
        <w:t>1% increase over 2008.</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 evolution over the 8 years covered reflects quite well the economic evolution of the whole of the EU economy. All the economic indicators reach and or exceed its pre-crisis levels. The net investment to GVA in particular reflects</w:t>
      </w:r>
      <w:r>
        <w:rPr>
          <w:rFonts w:ascii="Times New Roman" w:hAnsi="Times New Roman" w:cs="Times New Roman"/>
          <w:noProof/>
          <w:sz w:val="24"/>
          <w:szCs w:val="24"/>
        </w:rPr>
        <w:t xml:space="preserve"> a sharp change in trend which implies a very significant improvement in economic expectations in the relevant sectors.</w:t>
      </w:r>
    </w:p>
    <w:p w:rsidR="00046CF8" w:rsidRDefault="003561C2">
      <w:pPr>
        <w:jc w:val="center"/>
        <w:rPr>
          <w:noProof/>
          <w:sz w:val="24"/>
          <w:szCs w:val="24"/>
        </w:rPr>
      </w:pPr>
      <w:r>
        <w:rPr>
          <w:rFonts w:ascii="Times New Roman" w:eastAsia="Times New Roman" w:hAnsi="Times New Roman" w:cs="Times New Roman"/>
          <w:noProof/>
          <w:sz w:val="20"/>
          <w:szCs w:val="20"/>
          <w:lang w:eastAsia="en-GB"/>
        </w:rPr>
        <w:drawing>
          <wp:inline distT="0" distB="0" distL="0" distR="0">
            <wp:extent cx="4060372" cy="2353189"/>
            <wp:effectExtent l="0" t="0" r="0" b="952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r="4539"/>
                    <a:stretch/>
                  </pic:blipFill>
                  <pic:spPr bwMode="auto">
                    <a:xfrm>
                      <a:off x="0" y="0"/>
                      <a:ext cx="4069091" cy="2358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0"/>
          <w:szCs w:val="20"/>
          <w:lang w:eastAsia="en-GB"/>
        </w:rPr>
        <w:drawing>
          <wp:inline distT="0" distB="0" distL="0" distR="0">
            <wp:extent cx="3966047" cy="2122715"/>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r="5840"/>
                    <a:stretch/>
                  </pic:blipFill>
                  <pic:spPr bwMode="auto">
                    <a:xfrm>
                      <a:off x="0" y="0"/>
                      <a:ext cx="3974564" cy="2127274"/>
                    </a:xfrm>
                    <a:prstGeom prst="rect">
                      <a:avLst/>
                    </a:prstGeom>
                    <a:noFill/>
                    <a:ln>
                      <a:noFill/>
                    </a:ln>
                    <a:extLst>
                      <a:ext uri="{53640926-AAD7-44D8-BBD7-CCE9431645EC}">
                        <a14:shadowObscured xmlns:a14="http://schemas.microsoft.com/office/drawing/2010/main"/>
                      </a:ext>
                    </a:extLst>
                  </pic:spPr>
                </pic:pic>
              </a:graphicData>
            </a:graphic>
          </wp:inline>
        </w:drawing>
      </w:r>
    </w:p>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CONTRIBUITION OF THE BLUE ECONOMY</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In 2016, the blue economy as covered in the present report amounted to about 1.3% of the EU28 GVA and just over 0.5% of the employment. Whereas the share over total employment remained stable over the period analysed period (2008-2016), the share of the BE</w:t>
      </w:r>
      <w:r>
        <w:rPr>
          <w:rFonts w:ascii="Times New Roman" w:hAnsi="Times New Roman" w:cs="Times New Roman"/>
          <w:noProof/>
          <w:sz w:val="24"/>
          <w:szCs w:val="24"/>
        </w:rPr>
        <w:t xml:space="preserve"> over GDP decreased until  2015, but in 2016 had not yet reached its pre-crisis levels. This could be due to fact that some of the sectors covered, e.g. ports, maritime transport and shipbuilding were hit hard by the crisis. It could also be that other sec</w:t>
      </w:r>
      <w:r>
        <w:rPr>
          <w:rFonts w:ascii="Times New Roman" w:hAnsi="Times New Roman" w:cs="Times New Roman"/>
          <w:noProof/>
          <w:sz w:val="24"/>
          <w:szCs w:val="24"/>
        </w:rPr>
        <w:t>tors beyond the Blue Economy recovered at a faster pace or that land based emerging sectors are gaining importance faster than their maritime counterparts. For example, energy production is cheaper on land and the lower the prices of energy from these sour</w:t>
      </w:r>
      <w:r>
        <w:rPr>
          <w:rFonts w:ascii="Times New Roman" w:hAnsi="Times New Roman" w:cs="Times New Roman"/>
          <w:noProof/>
          <w:sz w:val="24"/>
          <w:szCs w:val="24"/>
        </w:rPr>
        <w:t xml:space="preserve">ces competes with established or additional blue economy sectors (oil extraction, wind energy, deep sea mining). </w:t>
      </w:r>
    </w:p>
    <w:p w:rsidR="00046CF8" w:rsidRDefault="003561C2">
      <w:pPr>
        <w:spacing w:before="10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Actually, omitting the Maritime extraction of Oil &amp; gas sector, the evolution of the blue economy based GVA and employment follow trends much </w:t>
      </w:r>
      <w:r>
        <w:rPr>
          <w:rFonts w:ascii="Times New Roman" w:eastAsia="Times New Roman" w:hAnsi="Times New Roman" w:cs="Times New Roman"/>
          <w:noProof/>
          <w:sz w:val="24"/>
          <w:szCs w:val="24"/>
        </w:rPr>
        <w:t xml:space="preserve">closer to these of the EU GDP. </w:t>
      </w:r>
    </w:p>
    <w:p w:rsidR="00046CF8" w:rsidRDefault="00046CF8">
      <w:pPr>
        <w:spacing w:before="100"/>
        <w:jc w:val="both"/>
        <w:rPr>
          <w:rFonts w:ascii="Times New Roman" w:eastAsia="Times New Roman" w:hAnsi="Times New Roman" w:cs="Times New Roman"/>
          <w:noProof/>
          <w:sz w:val="24"/>
          <w:szCs w:val="24"/>
        </w:rPr>
      </w:pPr>
    </w:p>
    <w:p w:rsidR="00046CF8" w:rsidRDefault="003561C2">
      <w:pPr>
        <w:jc w:val="center"/>
        <w:rPr>
          <w:b/>
          <w:noProof/>
          <w:u w:val="single"/>
        </w:rPr>
      </w:pPr>
      <w:r>
        <w:rPr>
          <w:b/>
          <w:noProof/>
          <w:u w:val="single"/>
          <w:lang w:eastAsia="en-GB"/>
        </w:rPr>
        <w:drawing>
          <wp:inline distT="0" distB="0" distL="0" distR="0">
            <wp:extent cx="3365004" cy="2057400"/>
            <wp:effectExtent l="0" t="0" r="6985"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367000" cy="2058620"/>
                    </a:xfrm>
                    <a:prstGeom prst="rect">
                      <a:avLst/>
                    </a:prstGeom>
                    <a:noFill/>
                  </pic:spPr>
                </pic:pic>
              </a:graphicData>
            </a:graphic>
          </wp:inline>
        </w:drawing>
      </w:r>
    </w:p>
    <w:p w:rsidR="00046CF8" w:rsidRDefault="003561C2">
      <w:pPr>
        <w:jc w:val="center"/>
        <w:rPr>
          <w:b/>
          <w:noProof/>
          <w:u w:val="single"/>
        </w:rPr>
      </w:pPr>
      <w:r>
        <w:rPr>
          <w:noProof/>
          <w:lang w:eastAsia="en-GB"/>
        </w:rPr>
        <w:drawing>
          <wp:inline distT="0" distB="0" distL="0" distR="0">
            <wp:extent cx="3320143" cy="2036769"/>
            <wp:effectExtent l="0" t="0" r="0" b="1905"/>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324012" cy="2039143"/>
                    </a:xfrm>
                    <a:prstGeom prst="rect">
                      <a:avLst/>
                    </a:prstGeom>
                    <a:noFill/>
                  </pic:spPr>
                </pic:pic>
              </a:graphicData>
            </a:graphic>
          </wp:inline>
        </w:drawing>
      </w:r>
    </w:p>
    <w:p w:rsidR="00046CF8" w:rsidRDefault="003561C2">
      <w:pPr>
        <w:spacing w:before="10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Looking at the sector covered, as stated above, there are significant differences between them in terms of performance.  Some sectors perform better than others do: for example, the growth of the bioeconomy sector has o</w:t>
      </w:r>
      <w:r>
        <w:rPr>
          <w:rFonts w:ascii="Times New Roman" w:eastAsia="Times New Roman" w:hAnsi="Times New Roman" w:cs="Times New Roman"/>
          <w:noProof/>
          <w:sz w:val="24"/>
          <w:szCs w:val="24"/>
        </w:rPr>
        <w:t xml:space="preserve">utperformed that of the EU28 GDP since at least 2008. This covers the fisheries sector which seems to follow a path relatively independent from that of the economy in general. The positive evolution of the performance of the fisheries sector since 2008 is </w:t>
      </w:r>
      <w:r>
        <w:rPr>
          <w:rFonts w:ascii="Times New Roman" w:eastAsia="Times New Roman" w:hAnsi="Times New Roman" w:cs="Times New Roman"/>
          <w:noProof/>
          <w:sz w:val="24"/>
          <w:szCs w:val="24"/>
        </w:rPr>
        <w:t>related to the increased efforts under the CFP to fish at sustainable levels. Available data shows a positive link between sustainable fishing and positive performance. Fishing at sustainable levels reaches a high number of species in the North Sea, the Ba</w:t>
      </w:r>
      <w:r>
        <w:rPr>
          <w:rFonts w:ascii="Times New Roman" w:eastAsia="Times New Roman" w:hAnsi="Times New Roman" w:cs="Times New Roman"/>
          <w:noProof/>
          <w:sz w:val="24"/>
          <w:szCs w:val="24"/>
        </w:rPr>
        <w:t xml:space="preserve">ltic and the North East Atlantic. </w:t>
      </w:r>
    </w:p>
    <w:p w:rsidR="00046CF8" w:rsidRDefault="003561C2">
      <w:pPr>
        <w:jc w:val="center"/>
        <w:rPr>
          <w:b/>
          <w:noProof/>
          <w:u w:val="single"/>
        </w:rPr>
      </w:pPr>
      <w:r>
        <w:rPr>
          <w:b/>
          <w:noProof/>
          <w:u w:val="single"/>
          <w:lang w:eastAsia="en-GB"/>
        </w:rPr>
        <w:drawing>
          <wp:inline distT="0" distB="0" distL="0" distR="0">
            <wp:extent cx="4844143" cy="2284875"/>
            <wp:effectExtent l="0" t="0" r="0" b="127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839503" cy="2282686"/>
                    </a:xfrm>
                    <a:prstGeom prst="rect">
                      <a:avLst/>
                    </a:prstGeom>
                    <a:noFill/>
                  </pic:spPr>
                </pic:pic>
              </a:graphicData>
            </a:graphic>
          </wp:inline>
        </w:drawing>
      </w:r>
    </w:p>
    <w:p w:rsidR="00046CF8" w:rsidRDefault="003561C2">
      <w:pPr>
        <w:jc w:val="center"/>
        <w:rPr>
          <w:b/>
          <w:noProof/>
          <w:u w:val="single"/>
        </w:rPr>
      </w:pPr>
      <w:r>
        <w:rPr>
          <w:noProof/>
          <w:sz w:val="24"/>
          <w:szCs w:val="24"/>
          <w:lang w:eastAsia="en-GB"/>
        </w:rPr>
        <w:drawing>
          <wp:inline distT="0" distB="0" distL="0" distR="0">
            <wp:extent cx="4833257" cy="2297614"/>
            <wp:effectExtent l="0" t="0" r="5715"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836849" cy="2299322"/>
                    </a:xfrm>
                    <a:prstGeom prst="rect">
                      <a:avLst/>
                    </a:prstGeom>
                    <a:noFill/>
                  </pic:spPr>
                </pic:pic>
              </a:graphicData>
            </a:graphic>
          </wp:inline>
        </w:drawing>
      </w:r>
    </w:p>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 xml:space="preserve">CONTRIBUTION TO NATIONAL ECONOMIES  </w:t>
      </w:r>
    </w:p>
    <w:p w:rsidR="00046CF8" w:rsidRDefault="003561C2">
      <w:pPr>
        <w:rPr>
          <w:b/>
          <w:noProof/>
          <w:u w:val="single"/>
        </w:rPr>
      </w:pPr>
      <w:r>
        <w:rPr>
          <w:noProof/>
          <w:lang w:eastAsia="en-GB"/>
        </w:rPr>
        <w:drawing>
          <wp:inline distT="0" distB="0" distL="0" distR="0">
            <wp:extent cx="5758543" cy="2895600"/>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60720" cy="2896695"/>
                    </a:xfrm>
                    <a:prstGeom prst="rect">
                      <a:avLst/>
                    </a:prstGeom>
                    <a:noFill/>
                    <a:ln>
                      <a:noFill/>
                    </a:ln>
                  </pic:spPr>
                </pic:pic>
              </a:graphicData>
            </a:graphic>
          </wp:inline>
        </w:drawing>
      </w:r>
    </w:p>
    <w:p w:rsidR="00046CF8" w:rsidRDefault="00046CF8">
      <w:pPr>
        <w:spacing w:after="0"/>
        <w:jc w:val="both"/>
        <w:rPr>
          <w:rFonts w:ascii="Times New Roman" w:hAnsi="Times New Roman" w:cs="Times New Roman"/>
          <w:noProof/>
          <w:sz w:val="24"/>
          <w:szCs w:val="24"/>
        </w:rPr>
      </w:pP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All Member States below the 1.3% are situated in the north-eastern part of the Union and where the only ones not being landlocked are the Baltic Member States. Only one, </w:t>
      </w:r>
      <w:r>
        <w:rPr>
          <w:rFonts w:ascii="Times New Roman" w:hAnsi="Times New Roman" w:cs="Times New Roman"/>
          <w:noProof/>
          <w:sz w:val="24"/>
          <w:szCs w:val="24"/>
        </w:rPr>
        <w:t xml:space="preserve">Slovenia is Mediterranean. In contrast, four of the five Member States with the highest shares are in situated in the Mediterranean sea-basin. Also in the Iberian Peninsula the blue economy has a shared well above the EU average. The percentage for the UK </w:t>
      </w:r>
      <w:r>
        <w:rPr>
          <w:rFonts w:ascii="Times New Roman" w:hAnsi="Times New Roman" w:cs="Times New Roman"/>
          <w:noProof/>
          <w:sz w:val="24"/>
          <w:szCs w:val="24"/>
        </w:rPr>
        <w:t>is above the average but relatively modest.</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Compared to 2008, the share of the Blue Economy decreased in Croatia, Denmark, Malta, Cyprus, United Kingdom, Finland and Germany. It increased, in Greece, Bulgaria, Estonia, Netherlands, Portugal, Spain and Belg</w:t>
      </w:r>
      <w:r>
        <w:rPr>
          <w:rFonts w:ascii="Times New Roman" w:hAnsi="Times New Roman" w:cs="Times New Roman"/>
          <w:noProof/>
          <w:sz w:val="24"/>
          <w:szCs w:val="24"/>
        </w:rPr>
        <w:t xml:space="preserve">ium. </w:t>
      </w:r>
    </w:p>
    <w:p w:rsidR="00046CF8" w:rsidRDefault="003561C2">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terms of employment, Spain generates a fifth of the total EU28 blue economy based jobs (almost 691 000), a figure that has increased since 2008. Italy has moved to second place, with 390 000 jobs in the blue economy while the UK has slipped into t</w:t>
      </w:r>
      <w:r>
        <w:rPr>
          <w:rFonts w:ascii="Times New Roman" w:hAnsi="Times New Roman" w:cs="Times New Roman"/>
          <w:noProof/>
          <w:sz w:val="24"/>
          <w:szCs w:val="24"/>
          <w:lang w:eastAsia="en-GB"/>
        </w:rPr>
        <w:t>hird place, followed by Greece. Most likely, most of these jobs are related to tourism. These four Member States  generate 52% of the total blue economy jobs, a percentage that jumps to 67% when  France and Germany and included. In absolute terms, the five</w:t>
      </w:r>
      <w:r>
        <w:rPr>
          <w:rFonts w:ascii="Times New Roman" w:hAnsi="Times New Roman" w:cs="Times New Roman"/>
          <w:noProof/>
          <w:sz w:val="24"/>
          <w:szCs w:val="24"/>
          <w:lang w:eastAsia="en-GB"/>
        </w:rPr>
        <w:t xml:space="preserve"> largest EU economies are among the 6 largest countries in terms of jobs.</w:t>
      </w:r>
    </w:p>
    <w:p w:rsidR="00046CF8" w:rsidRDefault="003561C2">
      <w:pPr>
        <w:jc w:val="center"/>
        <w:rPr>
          <w:b/>
          <w:noProof/>
          <w:u w:val="single"/>
        </w:rPr>
      </w:pPr>
      <w:r>
        <w:rPr>
          <w:noProof/>
          <w:lang w:eastAsia="en-GB"/>
        </w:rPr>
        <w:drawing>
          <wp:inline distT="0" distB="0" distL="0" distR="0">
            <wp:extent cx="5676333" cy="2880000"/>
            <wp:effectExtent l="0" t="0" r="63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676333" cy="2880000"/>
                    </a:xfrm>
                    <a:prstGeom prst="rect">
                      <a:avLst/>
                    </a:prstGeom>
                    <a:noFill/>
                  </pic:spPr>
                </pic:pic>
              </a:graphicData>
            </a:graphic>
          </wp:inline>
        </w:drawing>
      </w:r>
    </w:p>
    <w:p w:rsidR="00046CF8" w:rsidRDefault="00046CF8">
      <w:pPr>
        <w:rPr>
          <w:b/>
          <w:noProof/>
          <w:u w:val="single"/>
        </w:rPr>
      </w:pPr>
    </w:p>
    <w:p w:rsidR="00046CF8" w:rsidRDefault="00046CF8">
      <w:pPr>
        <w:rPr>
          <w:b/>
          <w:noProof/>
          <w:u w:val="single"/>
        </w:rPr>
      </w:pPr>
    </w:p>
    <w:p w:rsidR="00046CF8" w:rsidRDefault="003561C2">
      <w:pPr>
        <w:jc w:val="center"/>
        <w:rPr>
          <w:b/>
          <w:noProof/>
          <w:u w:val="single"/>
        </w:rPr>
      </w:pPr>
      <w:r>
        <w:rPr>
          <w:noProof/>
          <w:lang w:eastAsia="en-GB"/>
        </w:rPr>
        <w:drawing>
          <wp:inline distT="0" distB="0" distL="0" distR="0">
            <wp:extent cx="5676333" cy="2880000"/>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676333" cy="2880000"/>
                    </a:xfrm>
                    <a:prstGeom prst="rect">
                      <a:avLst/>
                    </a:prstGeom>
                    <a:noFill/>
                  </pic:spPr>
                </pic:pic>
              </a:graphicData>
            </a:graphic>
          </wp:inline>
        </w:drawing>
      </w:r>
    </w:p>
    <w:p w:rsidR="00046CF8" w:rsidRDefault="003561C2">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UK, largely due to the developed offshore oil and gas sector, accounts for almost a third of the total amount spent on blue economy wages and salaries; a figure which  incr</w:t>
      </w:r>
      <w:r>
        <w:rPr>
          <w:rFonts w:ascii="Times New Roman" w:hAnsi="Times New Roman" w:cs="Times New Roman"/>
          <w:noProof/>
          <w:sz w:val="24"/>
          <w:szCs w:val="24"/>
          <w:lang w:eastAsia="en-GB"/>
        </w:rPr>
        <w:t xml:space="preserve">eased significantly since 2008. Together with Germany and Italy, these three Member States contribute to 54% of the blue wages and salaries in the EU28.  </w:t>
      </w:r>
    </w:p>
    <w:p w:rsidR="00046CF8" w:rsidRDefault="003561C2">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Also as regards, GVA, the UK leads in generating blue economy based GVA (22% of the total) and gross </w:t>
      </w:r>
      <w:r>
        <w:rPr>
          <w:rFonts w:ascii="Times New Roman" w:hAnsi="Times New Roman" w:cs="Times New Roman"/>
          <w:noProof/>
          <w:sz w:val="24"/>
          <w:szCs w:val="24"/>
          <w:lang w:eastAsia="en-GB"/>
        </w:rPr>
        <w:t>profit (24%) and is the top invester (32%). Together with Spain, Italy, Germany and France, the UK accounted for 66% of the blue GVA in 2016.  Denmark, the Netherlands and Greece add a further 17.2%.</w:t>
      </w:r>
    </w:p>
    <w:p w:rsidR="00046CF8" w:rsidRDefault="003561C2">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UK with Spain, Italy and Demark accounted for 56% of</w:t>
      </w:r>
      <w:r>
        <w:rPr>
          <w:rFonts w:ascii="Times New Roman" w:hAnsi="Times New Roman" w:cs="Times New Roman"/>
          <w:noProof/>
          <w:sz w:val="24"/>
          <w:szCs w:val="24"/>
          <w:lang w:eastAsia="en-GB"/>
        </w:rPr>
        <w:t xml:space="preserve"> the profit generated in 2016.  Germany fell from second poition in 2008 to fifth in 2016. </w:t>
      </w:r>
    </w:p>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SECTORS OF THE BLUE ECONOMY</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 blue economy sectors are not by any means equivalent to each other. At 61% in 2016, up from 59% in 2008, coastal tourism accounts fo</w:t>
      </w:r>
      <w:r>
        <w:rPr>
          <w:rFonts w:ascii="Times New Roman" w:hAnsi="Times New Roman" w:cs="Times New Roman"/>
          <w:noProof/>
          <w:sz w:val="24"/>
          <w:szCs w:val="24"/>
        </w:rPr>
        <w:t>r the largest share of employment corresponding to the sectors covered by the present report. The contribution of that sector to the Blue Economy as covered by the present report  in terms of GVA and gross profits, while higher than in 2008, is significant</w:t>
      </w:r>
      <w:r>
        <w:rPr>
          <w:rFonts w:ascii="Times New Roman" w:hAnsi="Times New Roman" w:cs="Times New Roman"/>
          <w:noProof/>
          <w:sz w:val="24"/>
          <w:szCs w:val="24"/>
        </w:rPr>
        <w:t xml:space="preserve">ly lower (40% and 42% respectively) than that to employment.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In contrast, the extraction of non-living marine resources sector, i.e., oil &amp; gas, which represents less than 2% of the employment, generated 15% of the GVA and 20% of the gross profits in 2016</w:t>
      </w:r>
      <w:r>
        <w:rPr>
          <w:rFonts w:ascii="Times New Roman" w:hAnsi="Times New Roman" w:cs="Times New Roman"/>
          <w:noProof/>
          <w:sz w:val="24"/>
          <w:szCs w:val="24"/>
        </w:rPr>
        <w:t xml:space="preserve"> even if down from 18% and 26% respectively in 2008). It is clear then that each of these sectors has very different levels of labour productivity but also that their contribution to the resilience of coastal areas –measured in terms of jobs- varies very m</w:t>
      </w:r>
      <w:r>
        <w:rPr>
          <w:rFonts w:ascii="Times New Roman" w:hAnsi="Times New Roman" w:cs="Times New Roman"/>
          <w:noProof/>
          <w:sz w:val="24"/>
          <w:szCs w:val="24"/>
        </w:rPr>
        <w:t>uch.</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 offshore oil and gas is a highly capitalised sector that requires few employees per unit of output and that is very much concentrated in very few geographical areas. In contrast, the coastal tourism sector is a labour intensive activity, particula</w:t>
      </w:r>
      <w:r>
        <w:rPr>
          <w:rFonts w:ascii="Times New Roman" w:hAnsi="Times New Roman" w:cs="Times New Roman"/>
          <w:noProof/>
          <w:sz w:val="24"/>
          <w:szCs w:val="24"/>
        </w:rPr>
        <w:t xml:space="preserve">rly during the high season, which is widespread all along the EU coastline.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other sectors covered, the bioeconomy sector is growing since 2008. This is very much the case of the fisheries catching sector, where growth is compatible with </w:t>
      </w:r>
      <w:r>
        <w:rPr>
          <w:rFonts w:ascii="Times New Roman" w:hAnsi="Times New Roman" w:cs="Times New Roman"/>
          <w:noProof/>
          <w:sz w:val="24"/>
          <w:szCs w:val="24"/>
        </w:rPr>
        <w:t>increasingly sustainable exploitation of stocks. In shipbuilding most of the value added is from upstream and downstream activities. That means that beyond its specific contribution, multiplier effects on income and jobs are important in many sectors of th</w:t>
      </w:r>
      <w:r>
        <w:rPr>
          <w:rFonts w:ascii="Times New Roman" w:hAnsi="Times New Roman" w:cs="Times New Roman"/>
          <w:noProof/>
          <w:sz w:val="24"/>
          <w:szCs w:val="24"/>
        </w:rPr>
        <w:t>e Blue Economy. These multiplier effects are quite significant also in the catching sector. One of the side effects of the restructuring of the EU fishing fleet has been, according to the sector that the reduction of the fishing fleet has resulted in paral</w:t>
      </w:r>
      <w:r>
        <w:rPr>
          <w:rFonts w:ascii="Times New Roman" w:hAnsi="Times New Roman" w:cs="Times New Roman"/>
          <w:noProof/>
          <w:sz w:val="24"/>
          <w:szCs w:val="24"/>
        </w:rPr>
        <w:t>lel reductions in activities ancillary to fishing and in income and job losses beyond these in the catching sector.</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Comparing 2016 with 2008, it appears that the bioeconomy and coastal tourisms on the one hand and the shipbuilding &amp; repair and oil and gas </w:t>
      </w:r>
      <w:r>
        <w:rPr>
          <w:rFonts w:ascii="Times New Roman" w:hAnsi="Times New Roman" w:cs="Times New Roman"/>
          <w:noProof/>
          <w:sz w:val="24"/>
          <w:szCs w:val="24"/>
        </w:rPr>
        <w:t>have followed opposite evolutions during the crisis. It looks as if the first two act as buffers to compensate loses of jobs but also GVA and gross profits in industrial sectors.</w:t>
      </w:r>
    </w:p>
    <w:p w:rsidR="00046CF8" w:rsidRDefault="003561C2">
      <w:pPr>
        <w:jc w:val="center"/>
        <w:rPr>
          <w:b/>
          <w:noProof/>
          <w:u w:val="single"/>
        </w:rPr>
      </w:pPr>
      <w:r>
        <w:rPr>
          <w:noProof/>
          <w:lang w:eastAsia="en-GB"/>
        </w:rPr>
        <w:drawing>
          <wp:inline distT="0" distB="0" distL="0" distR="0">
            <wp:extent cx="4770120" cy="271412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802314" cy="2732440"/>
                    </a:xfrm>
                    <a:prstGeom prst="rect">
                      <a:avLst/>
                    </a:prstGeom>
                    <a:noFill/>
                  </pic:spPr>
                </pic:pic>
              </a:graphicData>
            </a:graphic>
          </wp:inline>
        </w:drawing>
      </w:r>
    </w:p>
    <w:p w:rsidR="00046CF8" w:rsidRDefault="003561C2">
      <w:pPr>
        <w:jc w:val="center"/>
        <w:rPr>
          <w:b/>
          <w:noProof/>
          <w:u w:val="single"/>
        </w:rPr>
      </w:pPr>
      <w:r>
        <w:rPr>
          <w:noProof/>
          <w:lang w:eastAsia="en-GB"/>
        </w:rPr>
        <w:drawing>
          <wp:inline distT="0" distB="0" distL="0" distR="0">
            <wp:extent cx="2372338" cy="183388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388170" cy="1846119"/>
                    </a:xfrm>
                    <a:prstGeom prst="rect">
                      <a:avLst/>
                    </a:prstGeom>
                    <a:noFill/>
                  </pic:spPr>
                </pic:pic>
              </a:graphicData>
            </a:graphic>
          </wp:inline>
        </w:drawing>
      </w:r>
      <w:r>
        <w:rPr>
          <w:noProof/>
          <w:lang w:eastAsia="en-GB"/>
        </w:rPr>
        <w:drawing>
          <wp:inline distT="0" distB="0" distL="0" distR="0">
            <wp:extent cx="2377440" cy="1836176"/>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393466" cy="1848554"/>
                    </a:xfrm>
                    <a:prstGeom prst="rect">
                      <a:avLst/>
                    </a:prstGeom>
                    <a:noFill/>
                  </pic:spPr>
                </pic:pic>
              </a:graphicData>
            </a:graphic>
          </wp:inline>
        </w:drawing>
      </w:r>
    </w:p>
    <w:p w:rsidR="00046CF8" w:rsidRDefault="00046CF8">
      <w:pPr>
        <w:rPr>
          <w:rFonts w:ascii="Times New Roman" w:hAnsi="Times New Roman" w:cs="Times New Roman"/>
          <w:noProof/>
          <w:sz w:val="24"/>
          <w:szCs w:val="24"/>
        </w:rPr>
      </w:pPr>
    </w:p>
    <w:p w:rsidR="00046CF8" w:rsidRDefault="003561C2">
      <w:pPr>
        <w:rPr>
          <w:rFonts w:ascii="Times New Roman" w:hAnsi="Times New Roman" w:cs="Times New Roman"/>
          <w:noProof/>
          <w:sz w:val="24"/>
          <w:szCs w:val="24"/>
        </w:rPr>
      </w:pPr>
      <w:r>
        <w:rPr>
          <w:rFonts w:ascii="Times New Roman" w:hAnsi="Times New Roman" w:cs="Times New Roman"/>
          <w:noProof/>
          <w:sz w:val="24"/>
          <w:szCs w:val="24"/>
        </w:rPr>
        <w:t>BLUE ECONOMY EMERGING SECTORS</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 following section provides an account</w:t>
      </w:r>
      <w:r>
        <w:rPr>
          <w:rFonts w:ascii="Times New Roman" w:hAnsi="Times New Roman" w:cs="Times New Roman"/>
          <w:noProof/>
          <w:sz w:val="24"/>
          <w:szCs w:val="24"/>
        </w:rPr>
        <w:t xml:space="preserve"> of the socio economic data of what are categorised as emerging sectors within the blue economy. Although some of these may have been around longer than others, they are emerging in that they have not nearly achieved their full potential.  The first part w</w:t>
      </w:r>
      <w:r>
        <w:rPr>
          <w:rFonts w:ascii="Times New Roman" w:hAnsi="Times New Roman" w:cs="Times New Roman"/>
          <w:noProof/>
          <w:sz w:val="24"/>
          <w:szCs w:val="24"/>
        </w:rPr>
        <w:t>ill cover renewable energy and will mainly focus on off-shore wind energy and ocean energy (i.e. tidal and wave energy), followed by blue bio technology, desalination and finally deep-sea mining.</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It is worth noting that in being emerging sectors the consis</w:t>
      </w:r>
      <w:r>
        <w:rPr>
          <w:rFonts w:ascii="Times New Roman" w:hAnsi="Times New Roman" w:cs="Times New Roman"/>
          <w:noProof/>
          <w:sz w:val="24"/>
          <w:szCs w:val="24"/>
        </w:rPr>
        <w:t xml:space="preserve">tent collection of socio-economic data has proven difficult. With the exception of off-shore wind energy and to a lesser extent wave and tidal energy, the lack of data is the main challenge faced in the drafting of this report. Previous studies undertaken </w:t>
      </w:r>
      <w:r>
        <w:rPr>
          <w:rFonts w:ascii="Times New Roman" w:hAnsi="Times New Roman" w:cs="Times New Roman"/>
          <w:noProof/>
          <w:sz w:val="24"/>
          <w:szCs w:val="24"/>
        </w:rPr>
        <w:t>by the OECD and the European Commission already point out that more should be done to improve data collection and quality. This having been said, the data available does shows interesting trends and great potential.</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Off-shore wind: Perhaps the most well-es</w:t>
      </w:r>
      <w:r>
        <w:rPr>
          <w:rFonts w:ascii="Times New Roman" w:hAnsi="Times New Roman" w:cs="Times New Roman"/>
          <w:noProof/>
          <w:sz w:val="24"/>
          <w:szCs w:val="24"/>
        </w:rPr>
        <w:t>tablished of the emerging sectors and the one for which more reliable and accurate data is available. On-shore wind farms have been around for many years and are booming industry. Off-shore wind energy seems to be headed in the same direction. European inv</w:t>
      </w:r>
      <w:r>
        <w:rPr>
          <w:rFonts w:ascii="Times New Roman" w:hAnsi="Times New Roman" w:cs="Times New Roman"/>
          <w:noProof/>
          <w:sz w:val="24"/>
          <w:szCs w:val="24"/>
        </w:rPr>
        <w:t>estment in the sector has increased in recent years, as has employment, which the OECD believes will be at 170,000 by 2020 and double that by 2030.It is worth noting that most of the activity within the industry took place in Europe, which indeed is respon</w:t>
      </w:r>
      <w:r>
        <w:rPr>
          <w:rFonts w:ascii="Times New Roman" w:hAnsi="Times New Roman" w:cs="Times New Roman"/>
          <w:noProof/>
          <w:sz w:val="24"/>
          <w:szCs w:val="24"/>
        </w:rPr>
        <w:t>sible for 91% of global GW off-shore wind capacity.</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Ocean energy: Renewable energies need not only encompass offshore wind but various forms of ocean energy too. In the section below the report will focus mainly on both wave and tidal energy. Currently bot</w:t>
      </w:r>
      <w:r>
        <w:rPr>
          <w:rFonts w:ascii="Times New Roman" w:hAnsi="Times New Roman" w:cs="Times New Roman"/>
          <w:noProof/>
          <w:sz w:val="24"/>
          <w:szCs w:val="24"/>
        </w:rPr>
        <w:t>h are being further development and so much is being investment in research. In fact, The JRC estimates that employment in Europe for this sector currently stands at 1800-2050m of which 1450 would be in research and development. Moreover, JRC data shows th</w:t>
      </w:r>
      <w:r>
        <w:rPr>
          <w:rFonts w:ascii="Times New Roman" w:hAnsi="Times New Roman" w:cs="Times New Roman"/>
          <w:noProof/>
          <w:sz w:val="24"/>
          <w:szCs w:val="24"/>
        </w:rPr>
        <w:t>at the EU is an important actor in this sector and hosts half of the world's tidal energy developers and 60% of the wave developers.</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Blue biotechnology: has various application of different types it has had an impact in the healthcare and pharmaceutical se</w:t>
      </w:r>
      <w:r>
        <w:rPr>
          <w:rFonts w:ascii="Times New Roman" w:hAnsi="Times New Roman" w:cs="Times New Roman"/>
          <w:noProof/>
          <w:sz w:val="24"/>
          <w:szCs w:val="24"/>
        </w:rPr>
        <w:t>ctors by creating new medication and vaccines for a wide range of diseases (e.g. multiple sclerosis (MS)), In agriculture, livestock, veterinary products, and aquaculture it has helped produce vaccines to as well as improving animal feed. In industrial pro</w:t>
      </w:r>
      <w:r>
        <w:rPr>
          <w:rFonts w:ascii="Times New Roman" w:hAnsi="Times New Roman" w:cs="Times New Roman"/>
          <w:noProof/>
          <w:sz w:val="24"/>
          <w:szCs w:val="24"/>
        </w:rPr>
        <w:t>cesses and manufacturing, has led to the use of enzymes in the production of detergents, pulp and paper, textiles, and biomass, Finally, in energy production, as blue biotechnology can produce large amounts of oil through micro-algal. In terms of socio-eco</w:t>
      </w:r>
      <w:r>
        <w:rPr>
          <w:rFonts w:ascii="Times New Roman" w:hAnsi="Times New Roman" w:cs="Times New Roman"/>
          <w:noProof/>
          <w:sz w:val="24"/>
          <w:szCs w:val="24"/>
        </w:rPr>
        <w:t>nomic data it is still challenging to find consistent accurate information. Most of it comes from the private sector, can are not necessarily being collected regularly and following strict criteria. However, the OECD estimated the sector to be a USD 2.8 bi</w:t>
      </w:r>
      <w:r>
        <w:rPr>
          <w:rFonts w:ascii="Times New Roman" w:hAnsi="Times New Roman" w:cs="Times New Roman"/>
          <w:noProof/>
          <w:sz w:val="24"/>
          <w:szCs w:val="24"/>
        </w:rPr>
        <w:t>llion in 2010, and is projected to increase to around USD 4.6 billion by 2017 at a global level. Data provided by the industry claims that the EU algae biomass sector currently employs 14.000 people and has a value of EUR 1.69 billion, which includes resea</w:t>
      </w:r>
      <w:r>
        <w:rPr>
          <w:rFonts w:ascii="Times New Roman" w:hAnsi="Times New Roman" w:cs="Times New Roman"/>
          <w:noProof/>
          <w:sz w:val="24"/>
          <w:szCs w:val="24"/>
        </w:rPr>
        <w:t>rch and development, equipment production and jobs in the larger supply chain which depend on output from the algae sector.</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Desalination: Desalination plants can be found across the globe with the largest one being located in Saudi Arabia. Some EU MS have </w:t>
      </w:r>
      <w:r>
        <w:rPr>
          <w:rFonts w:ascii="Times New Roman" w:hAnsi="Times New Roman" w:cs="Times New Roman"/>
          <w:noProof/>
          <w:sz w:val="24"/>
          <w:szCs w:val="24"/>
        </w:rPr>
        <w:t xml:space="preserve">too started investing in this sector and the biggest plant at EU level can be found in Almeria, Southern Spain. Although still emerging, this can indeed prove to be a key sector, if we consider that some countries and cities are already experiencing water </w:t>
      </w:r>
      <w:r>
        <w:rPr>
          <w:rFonts w:ascii="Times New Roman" w:hAnsi="Times New Roman" w:cs="Times New Roman"/>
          <w:noProof/>
          <w:sz w:val="24"/>
          <w:szCs w:val="24"/>
        </w:rPr>
        <w:t xml:space="preserve">shortages. In the case of desalination data is practically non-existent. This does not necessarily mean that the sector does not have potential and is not beginning to thrive, but there does not seem to be a well-established process of data collection for </w:t>
      </w:r>
      <w:r>
        <w:rPr>
          <w:rFonts w:ascii="Times New Roman" w:hAnsi="Times New Roman" w:cs="Times New Roman"/>
          <w:noProof/>
          <w:sz w:val="24"/>
          <w:szCs w:val="24"/>
        </w:rPr>
        <w:t xml:space="preserve">it.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Deep-sea mining: Lack of data is a problem also in this emerging sector, alongside lack of knowledge. The former, as highlighted previously in other sectors is due to the fact that information is not being collected in a regular and consistent manner.</w:t>
      </w:r>
      <w:r>
        <w:rPr>
          <w:rFonts w:ascii="Times New Roman" w:hAnsi="Times New Roman" w:cs="Times New Roman"/>
          <w:noProof/>
          <w:sz w:val="24"/>
          <w:szCs w:val="24"/>
        </w:rPr>
        <w:t xml:space="preserve"> The latter is due to the fact that although exploration projects are underway, no actual deep-sea mining project has taken place, thereby making it difficult to fully assess its socio economic potential, however what seems clear is the potential for negat</w:t>
      </w:r>
      <w:r>
        <w:rPr>
          <w:rFonts w:ascii="Times New Roman" w:hAnsi="Times New Roman" w:cs="Times New Roman"/>
          <w:noProof/>
          <w:sz w:val="24"/>
          <w:szCs w:val="24"/>
        </w:rPr>
        <w:t>ive environmental impacts of the sector.</w:t>
      </w:r>
    </w:p>
    <w:p w:rsidR="00046CF8" w:rsidRDefault="003561C2">
      <w:pPr>
        <w:rPr>
          <w:noProof/>
        </w:rPr>
      </w:pPr>
      <w:r>
        <w:rPr>
          <w:noProof/>
        </w:rPr>
        <w:br w:type="page"/>
      </w:r>
    </w:p>
    <w:p w:rsidR="00046CF8" w:rsidRDefault="003561C2">
      <w:pPr>
        <w:jc w:val="both"/>
        <w:rPr>
          <w:rFonts w:ascii="Times New Roman" w:hAnsi="Times New Roman" w:cs="Times New Roman"/>
          <w:b/>
          <w:noProof/>
          <w:sz w:val="24"/>
          <w:szCs w:val="24"/>
        </w:rPr>
      </w:pPr>
      <w:r>
        <w:rPr>
          <w:rFonts w:ascii="Times New Roman" w:hAnsi="Times New Roman" w:cs="Times New Roman"/>
          <w:b/>
          <w:noProof/>
          <w:sz w:val="24"/>
          <w:szCs w:val="24"/>
        </w:rPr>
        <w:t>PART 2: RESULTS OF EMFF SUPPORT TO THE BLUE ECONOMY 2014-2020</w:t>
      </w:r>
    </w:p>
    <w:p w:rsidR="00046CF8" w:rsidRDefault="003561C2">
      <w:pPr>
        <w:spacing w:after="0" w:line="240" w:lineRule="auto"/>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 xml:space="preserve">EXAMPLE 1: AQUACULTURE - FACTS, FIGURES, PROJECTS </w:t>
      </w:r>
    </w:p>
    <w:p w:rsidR="00046CF8" w:rsidRDefault="00046CF8">
      <w:pPr>
        <w:spacing w:after="0" w:line="240" w:lineRule="auto"/>
        <w:ind w:left="2160"/>
        <w:rPr>
          <w:rFonts w:ascii="Times New Roman" w:eastAsia="Calibri" w:hAnsi="Times New Roman" w:cs="Times New Roman"/>
          <w:noProof/>
          <w:sz w:val="24"/>
          <w:szCs w:val="24"/>
        </w:rPr>
      </w:pPr>
    </w:p>
    <w:p w:rsidR="00046CF8" w:rsidRDefault="003561C2">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Market data for Europe show a 4% growth in volume and an 8% growth in value between 2014 and 2015. </w:t>
      </w:r>
      <w:r>
        <w:rPr>
          <w:rFonts w:ascii="Times New Roman" w:eastAsia="Calibri" w:hAnsi="Times New Roman" w:cs="Times New Roman"/>
          <w:noProof/>
          <w:sz w:val="24"/>
          <w:szCs w:val="24"/>
        </w:rPr>
        <w:t>This is an indication that our continuous work with Member State authorities to remove barriers for growth is yielding first results, after a long period of stagnation.  Although still at a low level compared to Asia and with growth rates still lagging beh</w:t>
      </w:r>
      <w:r>
        <w:rPr>
          <w:rFonts w:ascii="Times New Roman" w:eastAsia="Calibri" w:hAnsi="Times New Roman" w:cs="Times New Roman"/>
          <w:noProof/>
          <w:sz w:val="24"/>
          <w:szCs w:val="24"/>
        </w:rPr>
        <w:t>ind, the European aquaculture sector generated in 2015 more value than ever before.</w:t>
      </w:r>
    </w:p>
    <w:p w:rsidR="00046CF8" w:rsidRDefault="00046CF8">
      <w:pPr>
        <w:spacing w:after="0" w:line="240" w:lineRule="auto"/>
        <w:ind w:left="2160"/>
        <w:rPr>
          <w:rFonts w:ascii="Times New Roman" w:eastAsia="Calibri" w:hAnsi="Times New Roman" w:cs="Times New Roman"/>
          <w:noProof/>
          <w:sz w:val="24"/>
          <w:szCs w:val="24"/>
        </w:rPr>
      </w:pPr>
    </w:p>
    <w:p w:rsidR="00046CF8" w:rsidRDefault="003561C2">
      <w:pPr>
        <w:spacing w:after="0" w:line="240" w:lineRule="auto"/>
        <w:ind w:left="1440"/>
        <w:rPr>
          <w:rFonts w:ascii="Times New Roman" w:eastAsia="Calibri" w:hAnsi="Times New Roman" w:cs="Times New Roman"/>
          <w:noProof/>
          <w:sz w:val="24"/>
          <w:szCs w:val="24"/>
        </w:rPr>
      </w:pPr>
      <w:r>
        <w:rPr>
          <w:rFonts w:ascii="Calibri" w:eastAsia="Calibri" w:hAnsi="Calibri" w:cs="Times New Roman"/>
          <w:noProof/>
          <w:lang w:eastAsia="en-GB"/>
        </w:rPr>
        <w:drawing>
          <wp:inline distT="0" distB="0" distL="0" distR="0">
            <wp:extent cx="4090132" cy="2699180"/>
            <wp:effectExtent l="0" t="0" r="5715" b="6350"/>
            <wp:docPr id="48" name="Picture 2" descr="cid:image003.jpg@01D39F6E.DDE9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39F6E.DDE90050"/>
                    <pic:cNvPicPr>
                      <a:picLocks noChangeAspect="1" noChangeArrowheads="1"/>
                    </pic:cNvPicPr>
                  </pic:nvPicPr>
                  <pic:blipFill>
                    <a:blip r:embed="rId46" r:link="rId47">
                      <a:extLst>
                        <a:ext uri="{28A0092B-C50C-407E-A947-70E740481C1C}">
                          <a14:useLocalDpi xmlns:a14="http://schemas.microsoft.com/office/drawing/2010/main"/>
                        </a:ext>
                      </a:extLst>
                    </a:blip>
                    <a:srcRect/>
                    <a:stretch>
                      <a:fillRect/>
                    </a:stretch>
                  </pic:blipFill>
                  <pic:spPr bwMode="auto">
                    <a:xfrm>
                      <a:off x="0" y="0"/>
                      <a:ext cx="4094688" cy="2702186"/>
                    </a:xfrm>
                    <a:prstGeom prst="rect">
                      <a:avLst/>
                    </a:prstGeom>
                    <a:noFill/>
                    <a:ln>
                      <a:noFill/>
                    </a:ln>
                  </pic:spPr>
                </pic:pic>
              </a:graphicData>
            </a:graphic>
          </wp:inline>
        </w:drawing>
      </w:r>
    </w:p>
    <w:p w:rsidR="00046CF8" w:rsidRDefault="00046CF8">
      <w:pPr>
        <w:spacing w:after="0" w:line="240" w:lineRule="auto"/>
        <w:ind w:left="2160"/>
        <w:rPr>
          <w:rFonts w:ascii="Times New Roman" w:eastAsia="Calibri" w:hAnsi="Times New Roman" w:cs="Times New Roman"/>
          <w:noProof/>
          <w:sz w:val="24"/>
          <w:szCs w:val="24"/>
        </w:rPr>
      </w:pPr>
    </w:p>
    <w:p w:rsidR="00046CF8" w:rsidRDefault="00046CF8">
      <w:pPr>
        <w:spacing w:after="0" w:line="240" w:lineRule="auto"/>
        <w:ind w:left="2160"/>
        <w:rPr>
          <w:rFonts w:ascii="Times New Roman" w:eastAsia="Calibri" w:hAnsi="Times New Roman" w:cs="Times New Roman"/>
          <w:noProof/>
          <w:sz w:val="24"/>
          <w:szCs w:val="24"/>
        </w:rPr>
      </w:pPr>
    </w:p>
    <w:p w:rsidR="00046CF8" w:rsidRDefault="003561C2">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addition to working with national authorities through the Open Method of Coordination, the Commission directly supports innovative aquaculture initiatives in Europe</w:t>
      </w:r>
      <w:r>
        <w:rPr>
          <w:rFonts w:ascii="Times New Roman" w:eastAsia="Calibri" w:hAnsi="Times New Roman" w:cs="Times New Roman"/>
          <w:noProof/>
          <w:sz w:val="24"/>
          <w:szCs w:val="24"/>
        </w:rPr>
        <w:t xml:space="preserve"> through two strands (in addition to support via shared management).  The projects funded are addressing the full cycle of challenges that the aquaculture industry faces: from education and acceptance to space conflicts, from better feed to business set-up</w:t>
      </w:r>
      <w:r>
        <w:rPr>
          <w:rFonts w:ascii="Times New Roman" w:eastAsia="Calibri" w:hAnsi="Times New Roman" w:cs="Times New Roman"/>
          <w:noProof/>
          <w:sz w:val="24"/>
          <w:szCs w:val="24"/>
        </w:rPr>
        <w:t xml:space="preserve">. </w:t>
      </w:r>
    </w:p>
    <w:p w:rsidR="00046CF8" w:rsidRDefault="00046CF8">
      <w:pPr>
        <w:spacing w:after="0" w:line="240" w:lineRule="auto"/>
        <w:ind w:left="1440"/>
        <w:jc w:val="both"/>
        <w:rPr>
          <w:rFonts w:ascii="Times New Roman" w:eastAsia="Calibri" w:hAnsi="Times New Roman" w:cs="Times New Roman"/>
          <w:noProof/>
          <w:sz w:val="24"/>
          <w:szCs w:val="24"/>
        </w:rPr>
      </w:pPr>
    </w:p>
    <w:p w:rsidR="00046CF8" w:rsidRDefault="003561C2">
      <w:pPr>
        <w:spacing w:after="0" w:line="240"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European Maritime and Fisheries Fund (EMFF) – in direct management</w:t>
      </w:r>
    </w:p>
    <w:p w:rsidR="00046CF8" w:rsidRDefault="00046CF8">
      <w:pPr>
        <w:spacing w:after="0" w:line="240" w:lineRule="auto"/>
        <w:ind w:left="2160"/>
        <w:jc w:val="both"/>
        <w:rPr>
          <w:rFonts w:ascii="Times New Roman" w:eastAsia="Calibri" w:hAnsi="Times New Roman" w:cs="Times New Roman"/>
          <w:noProof/>
          <w:sz w:val="24"/>
          <w:szCs w:val="24"/>
        </w:rPr>
      </w:pPr>
    </w:p>
    <w:p w:rsidR="00046CF8" w:rsidRDefault="003561C2">
      <w:pPr>
        <w:spacing w:after="0" w:line="240" w:lineRule="auto"/>
        <w:jc w:val="both"/>
        <w:rPr>
          <w:rFonts w:ascii="Times New Roman" w:eastAsia="Calibri" w:hAnsi="Times New Roman" w:cs="Times New Roman"/>
          <w:noProof/>
          <w:sz w:val="24"/>
          <w:szCs w:val="24"/>
        </w:rPr>
      </w:pPr>
      <w:hyperlink r:id="rId48" w:history="1">
        <w:r>
          <w:rPr>
            <w:rFonts w:ascii="Times New Roman" w:eastAsia="Calibri" w:hAnsi="Times New Roman" w:cs="Times New Roman"/>
            <w:noProof/>
            <w:sz w:val="24"/>
            <w:szCs w:val="24"/>
            <w:u w:val="single"/>
          </w:rPr>
          <w:t>BBMBC</w:t>
        </w:r>
      </w:hyperlink>
      <w:r>
        <w:rPr>
          <w:rFonts w:ascii="Times New Roman" w:eastAsia="Calibri" w:hAnsi="Times New Roman" w:cs="Times New Roman"/>
          <w:noProof/>
          <w:sz w:val="24"/>
          <w:szCs w:val="24"/>
        </w:rPr>
        <w:t xml:space="preserve"> (education: Master related to aquaculture)                                    </w:t>
      </w:r>
    </w:p>
    <w:p w:rsidR="00046CF8" w:rsidRDefault="003561C2">
      <w:pPr>
        <w:spacing w:after="0" w:line="240" w:lineRule="auto"/>
        <w:jc w:val="both"/>
        <w:rPr>
          <w:rFonts w:ascii="Times New Roman" w:eastAsia="Calibri" w:hAnsi="Times New Roman" w:cs="Times New Roman"/>
          <w:noProof/>
          <w:sz w:val="24"/>
          <w:szCs w:val="24"/>
        </w:rPr>
      </w:pPr>
      <w:hyperlink r:id="rId49" w:history="1">
        <w:r>
          <w:rPr>
            <w:rFonts w:ascii="Times New Roman" w:eastAsia="Calibri" w:hAnsi="Times New Roman" w:cs="Times New Roman"/>
            <w:noProof/>
            <w:sz w:val="24"/>
            <w:szCs w:val="24"/>
            <w:u w:val="single"/>
          </w:rPr>
          <w:t>BlueSmart</w:t>
        </w:r>
      </w:hyperlink>
      <w:r>
        <w:rPr>
          <w:rFonts w:ascii="Times New Roman" w:eastAsia="Calibri" w:hAnsi="Times New Roman" w:cs="Times New Roman"/>
          <w:noProof/>
          <w:sz w:val="24"/>
          <w:szCs w:val="24"/>
        </w:rPr>
        <w:t xml:space="preserve"> (education: Master related to aquaculture)</w:t>
      </w:r>
    </w:p>
    <w:p w:rsidR="00046CF8" w:rsidRDefault="003561C2">
      <w:pPr>
        <w:spacing w:after="0" w:line="240" w:lineRule="auto"/>
        <w:jc w:val="both"/>
        <w:rPr>
          <w:rFonts w:ascii="Times New Roman" w:eastAsia="Calibri" w:hAnsi="Times New Roman" w:cs="Times New Roman"/>
          <w:noProof/>
          <w:sz w:val="24"/>
          <w:szCs w:val="24"/>
        </w:rPr>
      </w:pPr>
      <w:hyperlink r:id="rId50" w:history="1">
        <w:r>
          <w:rPr>
            <w:rFonts w:ascii="Times New Roman" w:eastAsia="Calibri" w:hAnsi="Times New Roman" w:cs="Times New Roman"/>
            <w:noProof/>
            <w:sz w:val="24"/>
            <w:szCs w:val="24"/>
            <w:u w:val="single"/>
          </w:rPr>
          <w:t>Entrefish</w:t>
        </w:r>
      </w:hyperlink>
      <w:r>
        <w:rPr>
          <w:rFonts w:ascii="Times New Roman" w:eastAsia="Calibri" w:hAnsi="Times New Roman" w:cs="Times New Roman"/>
          <w:noProof/>
          <w:sz w:val="24"/>
          <w:szCs w:val="24"/>
        </w:rPr>
        <w:t xml:space="preserve"> (education: Master related to aquaculture)</w:t>
      </w:r>
    </w:p>
    <w:p w:rsidR="00046CF8" w:rsidRDefault="003561C2">
      <w:pPr>
        <w:spacing w:after="0" w:line="240" w:lineRule="auto"/>
        <w:jc w:val="both"/>
        <w:rPr>
          <w:rFonts w:ascii="Times New Roman" w:eastAsia="Calibri" w:hAnsi="Times New Roman" w:cs="Times New Roman"/>
          <w:noProof/>
          <w:sz w:val="24"/>
          <w:szCs w:val="24"/>
        </w:rPr>
      </w:pPr>
      <w:hyperlink r:id="rId51" w:history="1">
        <w:r>
          <w:rPr>
            <w:rFonts w:ascii="Times New Roman" w:eastAsia="Calibri" w:hAnsi="Times New Roman" w:cs="Times New Roman"/>
            <w:noProof/>
            <w:sz w:val="24"/>
            <w:szCs w:val="24"/>
            <w:u w:val="single"/>
          </w:rPr>
          <w:t>FAIMMAC</w:t>
        </w:r>
      </w:hyperlink>
      <w:r>
        <w:rPr>
          <w:rFonts w:ascii="Times New Roman" w:eastAsia="Calibri" w:hAnsi="Times New Roman" w:cs="Times New Roman"/>
          <w:noProof/>
          <w:sz w:val="24"/>
          <w:szCs w:val="24"/>
        </w:rPr>
        <w:t xml:space="preserve"> (promoting the eco-friendly product</w:t>
      </w:r>
      <w:r>
        <w:rPr>
          <w:rFonts w:ascii="Times New Roman" w:eastAsia="Calibri" w:hAnsi="Times New Roman" w:cs="Times New Roman"/>
          <w:noProof/>
          <w:sz w:val="24"/>
          <w:szCs w:val="24"/>
        </w:rPr>
        <w:t xml:space="preserve">ion of flat oyster in Italy), see also </w:t>
      </w:r>
      <w:hyperlink r:id="rId52" w:history="1">
        <w:r>
          <w:rPr>
            <w:rFonts w:ascii="Times New Roman" w:eastAsia="Calibri" w:hAnsi="Times New Roman" w:cs="Times New Roman"/>
            <w:noProof/>
            <w:sz w:val="24"/>
            <w:szCs w:val="24"/>
            <w:u w:val="single"/>
          </w:rPr>
          <w:t>https://www.facebook.com/FAIMMAC/</w:t>
        </w:r>
      </w:hyperlink>
    </w:p>
    <w:p w:rsidR="00046CF8" w:rsidRDefault="003561C2">
      <w:pPr>
        <w:spacing w:after="0" w:line="240" w:lineRule="auto"/>
        <w:jc w:val="both"/>
        <w:rPr>
          <w:rFonts w:ascii="Times New Roman" w:eastAsia="Calibri" w:hAnsi="Times New Roman" w:cs="Times New Roman"/>
          <w:noProof/>
          <w:sz w:val="24"/>
          <w:szCs w:val="24"/>
        </w:rPr>
      </w:pPr>
      <w:hyperlink r:id="rId53" w:history="1">
        <w:r>
          <w:rPr>
            <w:rFonts w:ascii="Times New Roman" w:eastAsia="Calibri" w:hAnsi="Times New Roman" w:cs="Times New Roman"/>
            <w:noProof/>
            <w:sz w:val="24"/>
            <w:szCs w:val="24"/>
            <w:u w:val="single"/>
          </w:rPr>
          <w:t>Amalia</w:t>
        </w:r>
      </w:hyperlink>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aquaculture feed)</w:t>
      </w:r>
    </w:p>
    <w:p w:rsidR="00046CF8" w:rsidRDefault="003561C2">
      <w:pPr>
        <w:spacing w:after="0" w:line="240" w:lineRule="auto"/>
        <w:jc w:val="both"/>
        <w:rPr>
          <w:rFonts w:ascii="Times New Roman" w:eastAsia="Calibri" w:hAnsi="Times New Roman" w:cs="Times New Roman"/>
          <w:noProof/>
          <w:sz w:val="24"/>
          <w:szCs w:val="24"/>
        </w:rPr>
      </w:pPr>
      <w:hyperlink r:id="rId54" w:history="1">
        <w:r>
          <w:rPr>
            <w:rFonts w:ascii="Times New Roman" w:eastAsia="Calibri" w:hAnsi="Times New Roman" w:cs="Times New Roman"/>
            <w:noProof/>
            <w:sz w:val="24"/>
            <w:szCs w:val="24"/>
            <w:u w:val="single"/>
          </w:rPr>
          <w:t>INvertebrateIT</w:t>
        </w:r>
      </w:hyperlink>
      <w:r>
        <w:rPr>
          <w:rFonts w:ascii="Times New Roman" w:eastAsia="Calibri" w:hAnsi="Times New Roman" w:cs="Times New Roman"/>
          <w:noProof/>
          <w:sz w:val="24"/>
          <w:szCs w:val="24"/>
        </w:rPr>
        <w:t xml:space="preserve"> (production of insects for aquaculture feed via the use of organic waste)</w:t>
      </w:r>
    </w:p>
    <w:p w:rsidR="00046CF8" w:rsidRDefault="00046CF8">
      <w:pPr>
        <w:spacing w:after="0" w:line="240" w:lineRule="auto"/>
        <w:ind w:left="2160"/>
        <w:jc w:val="both"/>
        <w:rPr>
          <w:rFonts w:ascii="Times New Roman" w:eastAsia="Calibri" w:hAnsi="Times New Roman" w:cs="Times New Roman"/>
          <w:noProof/>
          <w:sz w:val="24"/>
          <w:szCs w:val="24"/>
        </w:rPr>
      </w:pPr>
    </w:p>
    <w:p w:rsidR="00046CF8" w:rsidRDefault="003561C2">
      <w:pPr>
        <w:spacing w:after="0" w:line="240"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Research Framewor</w:t>
      </w:r>
      <w:r>
        <w:rPr>
          <w:rFonts w:ascii="Times New Roman" w:eastAsia="Calibri" w:hAnsi="Times New Roman" w:cs="Times New Roman"/>
          <w:b/>
          <w:bCs/>
          <w:noProof/>
          <w:sz w:val="24"/>
          <w:szCs w:val="24"/>
        </w:rPr>
        <w:t>k Programmes (FP7 and Horizon 2020)</w:t>
      </w:r>
    </w:p>
    <w:p w:rsidR="00046CF8" w:rsidRDefault="00046CF8">
      <w:pPr>
        <w:spacing w:after="0" w:line="240" w:lineRule="auto"/>
        <w:ind w:left="1440"/>
        <w:jc w:val="both"/>
        <w:rPr>
          <w:rFonts w:ascii="Times New Roman" w:eastAsia="Calibri" w:hAnsi="Times New Roman" w:cs="Times New Roman"/>
          <w:noProof/>
          <w:sz w:val="24"/>
          <w:szCs w:val="24"/>
        </w:rPr>
      </w:pPr>
    </w:p>
    <w:p w:rsidR="00046CF8" w:rsidRDefault="003561C2">
      <w:pPr>
        <w:spacing w:after="0" w:line="240" w:lineRule="auto"/>
        <w:jc w:val="both"/>
        <w:rPr>
          <w:rFonts w:ascii="Times New Roman" w:eastAsia="Calibri" w:hAnsi="Times New Roman" w:cs="Times New Roman"/>
          <w:noProof/>
          <w:color w:val="003366"/>
          <w:sz w:val="24"/>
          <w:szCs w:val="24"/>
        </w:rPr>
      </w:pPr>
      <w:hyperlink r:id="rId55" w:history="1">
        <w:r>
          <w:rPr>
            <w:rFonts w:ascii="Times New Roman" w:eastAsia="Calibri" w:hAnsi="Times New Roman" w:cs="Times New Roman"/>
            <w:noProof/>
            <w:color w:val="0000FF"/>
            <w:sz w:val="24"/>
            <w:szCs w:val="24"/>
            <w:u w:val="single"/>
          </w:rPr>
          <w:t>OCEANFISH</w:t>
        </w:r>
      </w:hyperlink>
      <w:r>
        <w:rPr>
          <w:rFonts w:ascii="Times New Roman" w:eastAsia="Calibri" w:hAnsi="Times New Roman" w:cs="Times New Roman"/>
          <w:noProof/>
          <w:sz w:val="24"/>
          <w:szCs w:val="24"/>
        </w:rPr>
        <w:t xml:space="preserve"> takes advantage of ocean currents to enable fish farming further out to sea.</w:t>
      </w:r>
    </w:p>
    <w:p w:rsidR="00046CF8" w:rsidRDefault="003561C2">
      <w:pPr>
        <w:spacing w:after="0" w:line="240" w:lineRule="auto"/>
        <w:jc w:val="both"/>
        <w:rPr>
          <w:rFonts w:ascii="Times New Roman" w:eastAsia="Calibri" w:hAnsi="Times New Roman" w:cs="Times New Roman"/>
          <w:noProof/>
          <w:color w:val="003366"/>
          <w:sz w:val="24"/>
          <w:szCs w:val="24"/>
        </w:rPr>
      </w:pPr>
      <w:hyperlink r:id="rId56" w:history="1">
        <w:r>
          <w:rPr>
            <w:rFonts w:ascii="Times New Roman" w:eastAsia="Calibri" w:hAnsi="Times New Roman" w:cs="Times New Roman"/>
            <w:noProof/>
            <w:color w:val="0000FF"/>
            <w:sz w:val="24"/>
            <w:szCs w:val="24"/>
            <w:u w:val="single"/>
          </w:rPr>
          <w:t>TARGETFISH</w:t>
        </w:r>
      </w:hyperlink>
      <w:r>
        <w:rPr>
          <w:rFonts w:ascii="Times New Roman" w:eastAsia="Calibri" w:hAnsi="Times New Roman" w:cs="Times New Roman"/>
          <w:noProof/>
          <w:sz w:val="24"/>
          <w:szCs w:val="24"/>
        </w:rPr>
        <w:t xml:space="preserve"> works towards keeping the fish in these farms disease-free by developing vaccines with an effective means of delivery</w:t>
      </w:r>
    </w:p>
    <w:p w:rsidR="00046CF8" w:rsidRDefault="003561C2">
      <w:pPr>
        <w:spacing w:after="0" w:line="240" w:lineRule="auto"/>
        <w:jc w:val="both"/>
        <w:rPr>
          <w:rFonts w:ascii="Times New Roman" w:eastAsia="Calibri" w:hAnsi="Times New Roman" w:cs="Times New Roman"/>
          <w:noProof/>
          <w:color w:val="003366"/>
          <w:sz w:val="24"/>
          <w:szCs w:val="24"/>
        </w:rPr>
      </w:pPr>
      <w:hyperlink r:id="rId57" w:history="1">
        <w:r>
          <w:rPr>
            <w:rFonts w:ascii="Times New Roman" w:eastAsia="Calibri" w:hAnsi="Times New Roman" w:cs="Times New Roman"/>
            <w:noProof/>
            <w:color w:val="0000FF"/>
            <w:sz w:val="24"/>
            <w:szCs w:val="24"/>
            <w:u w:val="single"/>
          </w:rPr>
          <w:t>ARRAINA</w:t>
        </w:r>
      </w:hyperlink>
      <w:r>
        <w:rPr>
          <w:rFonts w:ascii="Times New Roman" w:eastAsia="Calibri" w:hAnsi="Times New Roman" w:cs="Times New Roman"/>
          <w:noProof/>
          <w:sz w:val="24"/>
          <w:szCs w:val="24"/>
        </w:rPr>
        <w:t xml:space="preserve"> explores plant based feed for farmed fish to reduce p</w:t>
      </w:r>
      <w:r>
        <w:rPr>
          <w:rFonts w:ascii="Times New Roman" w:eastAsia="Calibri" w:hAnsi="Times New Roman" w:cs="Times New Roman"/>
          <w:noProof/>
          <w:sz w:val="24"/>
          <w:szCs w:val="24"/>
        </w:rPr>
        <w:t>ressure on marine resources</w:t>
      </w:r>
    </w:p>
    <w:p w:rsidR="00046CF8" w:rsidRDefault="003561C2">
      <w:pPr>
        <w:spacing w:after="0" w:line="240" w:lineRule="auto"/>
        <w:jc w:val="both"/>
        <w:rPr>
          <w:rFonts w:ascii="Times New Roman" w:eastAsia="Calibri" w:hAnsi="Times New Roman" w:cs="Times New Roman"/>
          <w:noProof/>
          <w:color w:val="003366"/>
          <w:sz w:val="24"/>
          <w:szCs w:val="24"/>
        </w:rPr>
      </w:pPr>
      <w:hyperlink r:id="rId58" w:history="1">
        <w:r>
          <w:rPr>
            <w:rFonts w:ascii="Times New Roman" w:eastAsia="Calibri" w:hAnsi="Times New Roman" w:cs="Times New Roman"/>
            <w:noProof/>
            <w:color w:val="0000FF"/>
            <w:sz w:val="24"/>
            <w:szCs w:val="24"/>
            <w:u w:val="single"/>
          </w:rPr>
          <w:t>IDREEM</w:t>
        </w:r>
      </w:hyperlink>
      <w:r>
        <w:rPr>
          <w:rFonts w:ascii="Times New Roman" w:eastAsia="Calibri" w:hAnsi="Times New Roman" w:cs="Times New Roman"/>
          <w:noProof/>
          <w:sz w:val="24"/>
          <w:szCs w:val="24"/>
        </w:rPr>
        <w:t xml:space="preserve"> seeks to improve the integrated production of the European aquaculture sector for reduced waste and increased competitiveness.</w:t>
      </w:r>
    </w:p>
    <w:p w:rsidR="00046CF8" w:rsidRDefault="00046CF8">
      <w:pPr>
        <w:spacing w:after="0" w:line="240" w:lineRule="auto"/>
        <w:ind w:left="2160"/>
        <w:jc w:val="both"/>
        <w:rPr>
          <w:rFonts w:ascii="Times New Roman" w:eastAsia="Calibri" w:hAnsi="Times New Roman" w:cs="Times New Roman"/>
          <w:noProof/>
          <w:color w:val="003366"/>
          <w:sz w:val="24"/>
          <w:szCs w:val="24"/>
        </w:rPr>
      </w:pPr>
    </w:p>
    <w:p w:rsidR="00046CF8" w:rsidRDefault="003561C2">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Under shared management wit</w:t>
      </w:r>
      <w:r>
        <w:rPr>
          <w:rFonts w:ascii="Times New Roman" w:eastAsia="Calibri" w:hAnsi="Times New Roman" w:cs="Times New Roman"/>
          <w:noProof/>
          <w:sz w:val="24"/>
          <w:szCs w:val="24"/>
        </w:rPr>
        <w:t xml:space="preserve">hin the EMFF, Member States may use much larger amounts, up to 1.2 bn euro until 2020.  A particularly interesting and growing activity are </w:t>
      </w:r>
      <w:r>
        <w:rPr>
          <w:rFonts w:ascii="Times New Roman" w:eastAsia="Calibri" w:hAnsi="Times New Roman" w:cs="Times New Roman"/>
          <w:b/>
          <w:bCs/>
          <w:noProof/>
          <w:sz w:val="24"/>
          <w:szCs w:val="24"/>
        </w:rPr>
        <w:t>projects in local communities (FLAGs)</w:t>
      </w:r>
      <w:r>
        <w:rPr>
          <w:rFonts w:ascii="Times New Roman" w:eastAsia="Calibri" w:hAnsi="Times New Roman" w:cs="Times New Roman"/>
          <w:noProof/>
          <w:sz w:val="24"/>
          <w:szCs w:val="24"/>
        </w:rPr>
        <w:t>:</w:t>
      </w:r>
    </w:p>
    <w:p w:rsidR="00046CF8" w:rsidRDefault="00046CF8">
      <w:pPr>
        <w:spacing w:after="160" w:line="252" w:lineRule="auto"/>
        <w:contextualSpacing/>
        <w:jc w:val="both"/>
        <w:rPr>
          <w:rFonts w:ascii="Times New Roman" w:eastAsia="Calibri" w:hAnsi="Times New Roman" w:cs="Times New Roman"/>
          <w:noProof/>
          <w:sz w:val="24"/>
          <w:szCs w:val="24"/>
        </w:rPr>
      </w:pP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Duckweed for fish feed - </w:t>
      </w:r>
      <w:r>
        <w:rPr>
          <w:rFonts w:ascii="Times New Roman" w:eastAsia="Calibri" w:hAnsi="Times New Roman" w:cs="Times New Roman"/>
          <w:noProof/>
          <w:sz w:val="24"/>
          <w:szCs w:val="24"/>
        </w:rPr>
        <w:t>Kainnu Koillismaa FLAG, Finland</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 fish farm teamed </w:t>
      </w:r>
      <w:r>
        <w:rPr>
          <w:rFonts w:ascii="Times New Roman" w:eastAsia="Calibri" w:hAnsi="Times New Roman" w:cs="Times New Roman"/>
          <w:noProof/>
          <w:sz w:val="24"/>
          <w:szCs w:val="24"/>
        </w:rPr>
        <w:t>up with the local FLAG and a LEADER LAG to take advantage of nutrients dissolved in water on fish farms by cultivating duckweed (</w:t>
      </w:r>
      <w:r>
        <w:rPr>
          <w:rFonts w:ascii="Times New Roman" w:eastAsia="Calibri" w:hAnsi="Times New Roman" w:cs="Times New Roman"/>
          <w:i/>
          <w:iCs/>
          <w:noProof/>
          <w:sz w:val="24"/>
          <w:szCs w:val="24"/>
        </w:rPr>
        <w:t>Lemna minor</w:t>
      </w:r>
      <w:r>
        <w:rPr>
          <w:rFonts w:ascii="Times New Roman" w:eastAsia="Calibri" w:hAnsi="Times New Roman" w:cs="Times New Roman"/>
          <w:noProof/>
          <w:sz w:val="24"/>
          <w:szCs w:val="24"/>
        </w:rPr>
        <w:t>) as an aquatic crop in the ponds. The duckweed removes unwanted substances from the water and is harvested and used</w:t>
      </w:r>
      <w:r>
        <w:rPr>
          <w:rFonts w:ascii="Times New Roman" w:eastAsia="Calibri" w:hAnsi="Times New Roman" w:cs="Times New Roman"/>
          <w:noProof/>
          <w:sz w:val="24"/>
          <w:szCs w:val="24"/>
        </w:rPr>
        <w:t xml:space="preserve"> as protein-rich feed. This project promotes the use of domestic feed ingredients and environmentally-friendly fish farming while being cost-effective. </w:t>
      </w:r>
    </w:p>
    <w:p w:rsidR="00046CF8" w:rsidRDefault="00046CF8">
      <w:pPr>
        <w:spacing w:after="160" w:line="252" w:lineRule="auto"/>
        <w:ind w:left="2160"/>
        <w:contextualSpacing/>
        <w:jc w:val="both"/>
        <w:rPr>
          <w:rFonts w:ascii="Times New Roman" w:eastAsia="Calibri" w:hAnsi="Times New Roman" w:cs="Times New Roman"/>
          <w:noProof/>
          <w:sz w:val="24"/>
          <w:szCs w:val="24"/>
        </w:rPr>
      </w:pP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Biodegradable meshes for mussel cultivation - </w:t>
      </w:r>
      <w:r>
        <w:rPr>
          <w:rFonts w:ascii="Times New Roman" w:eastAsia="Calibri" w:hAnsi="Times New Roman" w:cs="Times New Roman"/>
          <w:noProof/>
          <w:sz w:val="24"/>
          <w:szCs w:val="24"/>
        </w:rPr>
        <w:t xml:space="preserve">Ria de Arousa FLAG, Spain </w:t>
      </w:r>
    </w:p>
    <w:p w:rsidR="00046CF8" w:rsidRDefault="003561C2">
      <w:pPr>
        <w:spacing w:after="160" w:line="252"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With the help of FLAG </w:t>
      </w:r>
      <w:r>
        <w:rPr>
          <w:rFonts w:ascii="Times New Roman" w:eastAsia="Calibri" w:hAnsi="Times New Roman" w:cs="Times New Roman"/>
          <w:noProof/>
          <w:sz w:val="24"/>
          <w:szCs w:val="24"/>
        </w:rPr>
        <w:t>funding, a local company has been able to put in place a biodegradable mesh for their mussel cultivation. Using this completely environmentally-friendly mesh, their organic mussel production contributes to solving important problems in the mussel-growing s</w:t>
      </w:r>
      <w:r>
        <w:rPr>
          <w:rFonts w:ascii="Times New Roman" w:eastAsia="Calibri" w:hAnsi="Times New Roman" w:cs="Times New Roman"/>
          <w:noProof/>
          <w:sz w:val="24"/>
          <w:szCs w:val="24"/>
        </w:rPr>
        <w:t>ector by improving the environmental impact of the manufactured products. The project has also opened up a new line of production in the company.</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Tomatofish - </w:t>
      </w:r>
      <w:r>
        <w:rPr>
          <w:rFonts w:ascii="Times New Roman" w:eastAsia="Calibri" w:hAnsi="Times New Roman" w:cs="Times New Roman"/>
          <w:noProof/>
          <w:sz w:val="24"/>
          <w:szCs w:val="24"/>
        </w:rPr>
        <w:t>Mecklenburgische Seenplatte-Müritz FLAG, Germany</w:t>
      </w:r>
    </w:p>
    <w:p w:rsidR="00046CF8" w:rsidRDefault="003561C2">
      <w:pPr>
        <w:spacing w:after="160" w:line="252"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local fish farm company has developed an innov</w:t>
      </w:r>
      <w:r>
        <w:rPr>
          <w:rFonts w:ascii="Times New Roman" w:eastAsia="Calibri" w:hAnsi="Times New Roman" w:cs="Times New Roman"/>
          <w:noProof/>
          <w:sz w:val="24"/>
          <w:szCs w:val="24"/>
        </w:rPr>
        <w:t xml:space="preserve">ative way to grow fish and tomatoes together in one integrated system: the aquaponics system. This energy- and water-efficient method while the fish waste provides an organic food source for plants which, in return, naturally filter the water. The project </w:t>
      </w:r>
      <w:r>
        <w:rPr>
          <w:rFonts w:ascii="Times New Roman" w:eastAsia="Calibri" w:hAnsi="Times New Roman" w:cs="Times New Roman"/>
          <w:noProof/>
          <w:sz w:val="24"/>
          <w:szCs w:val="24"/>
        </w:rPr>
        <w:t xml:space="preserve">was put in place in collaboration with the </w:t>
      </w:r>
      <w:r>
        <w:rPr>
          <w:rFonts w:ascii="Times New Roman" w:eastAsia="Calibri" w:hAnsi="Times New Roman" w:cs="Times New Roman"/>
          <w:noProof/>
          <w:sz w:val="24"/>
          <w:szCs w:val="24"/>
          <w:lang w:eastAsia="de-DE"/>
        </w:rPr>
        <w:t xml:space="preserve">Leibniz-Institute of Freshwater Ecology and Inland Fisheries, IGB Berlin. It is open to visitors and promotes this technology for a wider-spread use in similar inland territories.  </w:t>
      </w:r>
    </w:p>
    <w:p w:rsidR="00046CF8" w:rsidRDefault="003561C2">
      <w:pPr>
        <w:spacing w:after="160" w:line="252" w:lineRule="auto"/>
        <w:contextualSpacing/>
        <w:jc w:val="both"/>
        <w:rPr>
          <w:rFonts w:ascii="Times New Roman" w:eastAsia="Calibri" w:hAnsi="Times New Roman" w:cs="Times New Roman"/>
          <w:noProof/>
          <w:sz w:val="24"/>
          <w:szCs w:val="24"/>
          <w:lang w:val="pt-PT"/>
        </w:rPr>
      </w:pPr>
      <w:r>
        <w:rPr>
          <w:rFonts w:ascii="Times New Roman" w:eastAsia="Calibri" w:hAnsi="Times New Roman" w:cs="Times New Roman"/>
          <w:b/>
          <w:bCs/>
          <w:noProof/>
          <w:sz w:val="24"/>
          <w:szCs w:val="24"/>
          <w:lang w:val="pt-PT"/>
        </w:rPr>
        <w:t xml:space="preserve">Cultivating microalgae for oil extraction - </w:t>
      </w:r>
      <w:r>
        <w:rPr>
          <w:rFonts w:ascii="Times New Roman" w:eastAsia="Calibri" w:hAnsi="Times New Roman" w:cs="Times New Roman"/>
          <w:noProof/>
          <w:sz w:val="24"/>
          <w:szCs w:val="24"/>
          <w:lang w:val="pt-PT"/>
        </w:rPr>
        <w:t>Costa da Morte FLAG, Spain</w:t>
      </w:r>
    </w:p>
    <w:p w:rsidR="00046CF8" w:rsidRDefault="003561C2">
      <w:pPr>
        <w:spacing w:after="160" w:line="252"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Thanks to the FLAG’s financial support, a young producer has set up a start-up company to cultivate microalgae on land specifically for oil extraction. The oil, high in omega-3, will th</w:t>
      </w:r>
      <w:r>
        <w:rPr>
          <w:rFonts w:ascii="Times New Roman" w:eastAsia="Calibri" w:hAnsi="Times New Roman" w:cs="Times New Roman"/>
          <w:noProof/>
          <w:sz w:val="24"/>
          <w:szCs w:val="24"/>
        </w:rPr>
        <w:t xml:space="preserve">en be used as a pharmaceutical-grade and standardized nutrient and as raw material for human consumption. The project envisages an annual production of 4 000kg of microalgae. </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Combining functionality with recreational activities - </w:t>
      </w:r>
      <w:r>
        <w:rPr>
          <w:rFonts w:ascii="Times New Roman" w:eastAsia="Calibri" w:hAnsi="Times New Roman" w:cs="Times New Roman"/>
          <w:noProof/>
          <w:sz w:val="24"/>
          <w:szCs w:val="24"/>
        </w:rPr>
        <w:t>Braila FLAG, Romania</w:t>
      </w:r>
    </w:p>
    <w:p w:rsidR="00046CF8" w:rsidRDefault="003561C2">
      <w:pPr>
        <w:spacing w:after="160" w:line="252"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With</w:t>
      </w:r>
      <w:r>
        <w:rPr>
          <w:rFonts w:ascii="Times New Roman" w:eastAsia="Calibri" w:hAnsi="Times New Roman" w:cs="Times New Roman"/>
          <w:noProof/>
          <w:sz w:val="24"/>
          <w:szCs w:val="24"/>
        </w:rPr>
        <w:t xml:space="preserve"> FLAG funding, an aquaculture farm has acquired all the necessary equipment (kitchen, bar, utensils, furniture, etc.) to set up a restaurant. A pontoon was also built in proximity to Lake Blasova’s shore using over 100 m</w:t>
      </w:r>
      <w:r>
        <w:rPr>
          <w:rFonts w:ascii="Times New Roman" w:eastAsia="Calibri" w:hAnsi="Times New Roman" w:cs="Times New Roman"/>
          <w:noProof/>
          <w:sz w:val="24"/>
          <w:szCs w:val="24"/>
          <w:vertAlign w:val="superscript"/>
        </w:rPr>
        <w:t>2</w:t>
      </w:r>
      <w:r>
        <w:rPr>
          <w:rFonts w:ascii="Times New Roman" w:eastAsia="Calibri" w:hAnsi="Times New Roman" w:cs="Times New Roman"/>
          <w:noProof/>
          <w:sz w:val="24"/>
          <w:szCs w:val="24"/>
        </w:rPr>
        <w:t xml:space="preserve"> of floating modules with an anchor</w:t>
      </w:r>
      <w:r>
        <w:rPr>
          <w:rFonts w:ascii="Times New Roman" w:eastAsia="Calibri" w:hAnsi="Times New Roman" w:cs="Times New Roman"/>
          <w:noProof/>
          <w:sz w:val="24"/>
          <w:szCs w:val="24"/>
        </w:rPr>
        <w:t>ing system and a bridge. This pontoon unites the functionality of the restaurant with specific fishing and recreational activities happening on the lake.</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From crushed shells to 3D printing - </w:t>
      </w:r>
      <w:r>
        <w:rPr>
          <w:rFonts w:ascii="Times New Roman" w:eastAsia="Calibri" w:hAnsi="Times New Roman" w:cs="Times New Roman"/>
          <w:noProof/>
          <w:sz w:val="24"/>
          <w:szCs w:val="24"/>
        </w:rPr>
        <w:t>North Sardinia FLAG, Italy</w:t>
      </w:r>
    </w:p>
    <w:p w:rsidR="00046CF8" w:rsidRDefault="003561C2">
      <w:pPr>
        <w:spacing w:after="160" w:line="252"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initial phase of the project was r</w:t>
      </w:r>
      <w:r>
        <w:rPr>
          <w:rFonts w:ascii="Times New Roman" w:eastAsia="Calibri" w:hAnsi="Times New Roman" w:cs="Times New Roman"/>
          <w:noProof/>
          <w:sz w:val="24"/>
          <w:szCs w:val="24"/>
        </w:rPr>
        <w:t>eusing crushed shells as a mineral supplement for poultry and for soil fertilization. Local high school students and teachers have taken the project even further by using crushed shells for 3D printing. This method uses a mixture of resins to produce any i</w:t>
      </w:r>
      <w:r>
        <w:rPr>
          <w:rFonts w:ascii="Times New Roman" w:eastAsia="Calibri" w:hAnsi="Times New Roman" w:cs="Times New Roman"/>
          <w:noProof/>
          <w:sz w:val="24"/>
          <w:szCs w:val="24"/>
        </w:rPr>
        <w:t xml:space="preserve">tems such as jewellery, watch cases, eyeglass frames, tiles, worktops or other. The FLAG works with the project promoters on the business plan, marketing, equipment acquisition etc. to develop the start-up. </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Reconnecting the land and the sea - </w:t>
      </w:r>
      <w:r>
        <w:rPr>
          <w:rFonts w:ascii="Times New Roman" w:eastAsia="Calibri" w:hAnsi="Times New Roman" w:cs="Times New Roman"/>
          <w:noProof/>
          <w:sz w:val="24"/>
          <w:szCs w:val="24"/>
        </w:rPr>
        <w:t>West FLAG, I</w:t>
      </w:r>
      <w:r>
        <w:rPr>
          <w:rFonts w:ascii="Times New Roman" w:eastAsia="Calibri" w:hAnsi="Times New Roman" w:cs="Times New Roman"/>
          <w:noProof/>
          <w:sz w:val="24"/>
          <w:szCs w:val="24"/>
        </w:rPr>
        <w:t>reland</w:t>
      </w:r>
    </w:p>
    <w:p w:rsidR="00046CF8" w:rsidRDefault="003561C2">
      <w:pPr>
        <w:spacing w:after="160" w:line="252"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Facilitated and funded by the FLAG, a group of shellfish farmers, shellfish exporters, inshore fishermen, and marine heritage enthusiasts have formed a community-based organisation to improve the quality of life, environment, economy and maritime he</w:t>
      </w:r>
      <w:r>
        <w:rPr>
          <w:rFonts w:ascii="Times New Roman" w:eastAsia="Calibri" w:hAnsi="Times New Roman" w:cs="Times New Roman"/>
          <w:noProof/>
          <w:sz w:val="24"/>
          <w:szCs w:val="24"/>
        </w:rPr>
        <w:t xml:space="preserve">ritage around its bay area. Together they work to reconnect the local community with the bay’s activities, organizing demonstrations and tasting events as well as a workshop to plan the rejuvenation of the native oyster. Promotional material and a website </w:t>
      </w:r>
      <w:r>
        <w:rPr>
          <w:rFonts w:ascii="Times New Roman" w:eastAsia="Calibri" w:hAnsi="Times New Roman" w:cs="Times New Roman"/>
          <w:noProof/>
          <w:sz w:val="24"/>
          <w:szCs w:val="24"/>
        </w:rPr>
        <w:t xml:space="preserve">are also being developed. </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Detecting toxic marine microalgae - </w:t>
      </w:r>
      <w:r>
        <w:rPr>
          <w:rFonts w:ascii="Times New Roman" w:eastAsia="Calibri" w:hAnsi="Times New Roman" w:cs="Times New Roman"/>
          <w:noProof/>
          <w:sz w:val="24"/>
          <w:szCs w:val="24"/>
        </w:rPr>
        <w:t xml:space="preserve">Pyrénées-Méditerranée FLAG, France </w:t>
      </w:r>
    </w:p>
    <w:p w:rsidR="00046CF8" w:rsidRDefault="003561C2">
      <w:pPr>
        <w:spacing w:after="160" w:line="252" w:lineRule="auto"/>
        <w:jc w:val="both"/>
        <w:rPr>
          <w:rFonts w:ascii="Times New Roman" w:eastAsia="Calibri" w:hAnsi="Times New Roman" w:cs="Times New Roman"/>
          <w:noProof/>
          <w:color w:val="FF0000"/>
          <w:sz w:val="24"/>
          <w:szCs w:val="24"/>
        </w:rPr>
      </w:pPr>
      <w:r>
        <w:rPr>
          <w:rFonts w:ascii="Times New Roman" w:eastAsia="Calibri" w:hAnsi="Times New Roman" w:cs="Times New Roman"/>
          <w:noProof/>
          <w:sz w:val="24"/>
          <w:szCs w:val="24"/>
        </w:rPr>
        <w:t>The local oyster farm situated in a lagoon in the Mediterranean Sea is regularly affected by toxic phytoplankton contamination which leads to economic losses</w:t>
      </w:r>
      <w:r>
        <w:rPr>
          <w:rFonts w:ascii="Times New Roman" w:eastAsia="Calibri" w:hAnsi="Times New Roman" w:cs="Times New Roman"/>
          <w:noProof/>
          <w:sz w:val="24"/>
          <w:szCs w:val="24"/>
        </w:rPr>
        <w:t xml:space="preserve"> during the critical season around Christmas. In order to prevent this, the farm has teamed up with a research institute to develop an innovative solution to detect toxic marine microalgae and anticipate the toxic proliferation especially during the high o</w:t>
      </w:r>
      <w:r>
        <w:rPr>
          <w:rFonts w:ascii="Times New Roman" w:eastAsia="Calibri" w:hAnsi="Times New Roman" w:cs="Times New Roman"/>
          <w:noProof/>
          <w:sz w:val="24"/>
          <w:szCs w:val="24"/>
        </w:rPr>
        <w:t>yster season.</w:t>
      </w:r>
      <w:r>
        <w:rPr>
          <w:rFonts w:ascii="Times New Roman" w:eastAsia="Calibri" w:hAnsi="Times New Roman" w:cs="Times New Roman"/>
          <w:noProof/>
          <w:color w:val="FF0000"/>
          <w:sz w:val="24"/>
          <w:szCs w:val="24"/>
        </w:rPr>
        <w:t xml:space="preserve"> </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Fish farm activities for the entire community - </w:t>
      </w:r>
      <w:r>
        <w:rPr>
          <w:rFonts w:ascii="Times New Roman" w:eastAsia="Calibri" w:hAnsi="Times New Roman" w:cs="Times New Roman"/>
          <w:noProof/>
          <w:sz w:val="24"/>
          <w:szCs w:val="24"/>
        </w:rPr>
        <w:t>Our Krajna and Paluki FLAG, Poland</w:t>
      </w:r>
    </w:p>
    <w:p w:rsidR="00046CF8" w:rsidRDefault="003561C2">
      <w:pPr>
        <w:spacing w:after="160" w:line="252"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ensure a better integration of the fisheries sector within the community, the FLAG has been working closely with the largest carp producer in its region to</w:t>
      </w:r>
      <w:r>
        <w:rPr>
          <w:rFonts w:ascii="Times New Roman" w:eastAsia="Calibri" w:hAnsi="Times New Roman" w:cs="Times New Roman"/>
          <w:noProof/>
          <w:sz w:val="24"/>
          <w:szCs w:val="24"/>
        </w:rPr>
        <w:t xml:space="preserve"> encourage local fish consumption and improve environmental awareness. In cooperation with the fish farm and other actors, the FLAG has organised a series of activities including fish farming demonstrations and carp filleting shows, bird camps and cross-co</w:t>
      </w:r>
      <w:r>
        <w:rPr>
          <w:rFonts w:ascii="Times New Roman" w:eastAsia="Calibri" w:hAnsi="Times New Roman" w:cs="Times New Roman"/>
          <w:noProof/>
          <w:sz w:val="24"/>
          <w:szCs w:val="24"/>
        </w:rPr>
        <w:t>untry running and geocaching which has helped the farm take on a more active role in the community activities while increasing direct sales.</w:t>
      </w:r>
    </w:p>
    <w:p w:rsidR="00046CF8" w:rsidRDefault="003561C2">
      <w:pPr>
        <w:spacing w:after="160" w:line="252" w:lineRule="auto"/>
        <w:contextualSpacing/>
        <w:jc w:val="both"/>
        <w:rPr>
          <w:rFonts w:ascii="Times New Roman" w:eastAsia="Calibri" w:hAnsi="Times New Roman" w:cs="Times New Roman"/>
          <w:noProof/>
          <w:sz w:val="24"/>
          <w:szCs w:val="24"/>
          <w:lang w:val="sv-SE"/>
        </w:rPr>
      </w:pPr>
      <w:r>
        <w:rPr>
          <w:rFonts w:ascii="Times New Roman" w:eastAsia="Calibri" w:hAnsi="Times New Roman" w:cs="Times New Roman"/>
          <w:b/>
          <w:bCs/>
          <w:noProof/>
          <w:sz w:val="24"/>
          <w:szCs w:val="24"/>
          <w:lang w:val="sv-SE"/>
        </w:rPr>
        <w:t xml:space="preserve">Community sea gardens - </w:t>
      </w:r>
      <w:r>
        <w:rPr>
          <w:rFonts w:ascii="Times New Roman" w:eastAsia="Calibri" w:hAnsi="Times New Roman" w:cs="Times New Roman"/>
          <w:noProof/>
          <w:sz w:val="24"/>
          <w:szCs w:val="24"/>
          <w:lang w:val="sv-SE"/>
        </w:rPr>
        <w:t>Djursland FLAG, Denmark</w:t>
      </w:r>
    </w:p>
    <w:p w:rsidR="00046CF8" w:rsidRDefault="003561C2">
      <w:pPr>
        <w:spacing w:after="160" w:line="252"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 fishing activities declined in their local harbour, a voluntary association was created to set up a sustainable sea garden near the port for local community members to grow shellfish and seaweed on a small-scale. A dynamic network of about 80 gardeners </w:t>
      </w:r>
      <w:r>
        <w:rPr>
          <w:rFonts w:ascii="Times New Roman" w:eastAsia="Calibri" w:hAnsi="Times New Roman" w:cs="Times New Roman"/>
          <w:noProof/>
          <w:sz w:val="24"/>
          <w:szCs w:val="24"/>
        </w:rPr>
        <w:t xml:space="preserve">has taken root, bringing new life into the harbour. They mainly grow mussels, but also seaweed and oysters, contributing to a cleaner marine environment. The local FLAG supported the project idea, though it was ultimately funded through other sources. </w:t>
      </w:r>
    </w:p>
    <w:p w:rsidR="00046CF8" w:rsidRDefault="00046CF8">
      <w:pPr>
        <w:spacing w:after="0" w:line="240" w:lineRule="auto"/>
        <w:ind w:left="2160"/>
        <w:jc w:val="both"/>
        <w:rPr>
          <w:rFonts w:ascii="Times New Roman" w:eastAsia="Calibri" w:hAnsi="Times New Roman" w:cs="Times New Roman"/>
          <w:noProof/>
          <w:sz w:val="24"/>
          <w:szCs w:val="24"/>
        </w:rPr>
      </w:pPr>
    </w:p>
    <w:p w:rsidR="00046CF8" w:rsidRDefault="003561C2">
      <w:pPr>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EX</w:t>
      </w:r>
      <w:r>
        <w:rPr>
          <w:rFonts w:ascii="Times New Roman" w:hAnsi="Times New Roman" w:cs="Times New Roman"/>
          <w:b/>
          <w:bCs/>
          <w:noProof/>
          <w:sz w:val="24"/>
          <w:szCs w:val="24"/>
          <w:lang w:val="en-US"/>
        </w:rPr>
        <w:t>AMPLE 2: MARITIME SPATIAL PLANNING IN THE BLACK SEA</w:t>
      </w:r>
    </w:p>
    <w:p w:rsidR="00046CF8" w:rsidRDefault="003561C2">
      <w:pPr>
        <w:jc w:val="both"/>
        <w:rPr>
          <w:rFonts w:ascii="Times New Roman" w:hAnsi="Times New Roman" w:cs="Times New Roman"/>
          <w:noProof/>
          <w:sz w:val="24"/>
          <w:szCs w:val="24"/>
          <w:lang w:val="en-US"/>
        </w:rPr>
      </w:pPr>
      <w:hyperlink r:id="rId59" w:history="1">
        <w:r>
          <w:rPr>
            <w:rStyle w:val="Hyperlink"/>
            <w:rFonts w:ascii="Times New Roman" w:hAnsi="Times New Roman" w:cs="Times New Roman"/>
            <w:bCs/>
            <w:noProof/>
            <w:sz w:val="24"/>
            <w:szCs w:val="24"/>
            <w:lang w:val="en-US"/>
          </w:rPr>
          <w:t>MARSPLAN</w:t>
        </w:r>
      </w:hyperlink>
      <w:r>
        <w:rPr>
          <w:rFonts w:ascii="Times New Roman" w:hAnsi="Times New Roman" w:cs="Times New Roman"/>
          <w:noProof/>
          <w:sz w:val="24"/>
          <w:szCs w:val="24"/>
          <w:lang w:val="en-US"/>
        </w:rPr>
        <w:t>, the first project to bring Romanian and Bulgarian authorities and institutes together to work on Maritime Spatial Planning in the Black Sea, is approaching</w:t>
      </w:r>
      <w:r>
        <w:rPr>
          <w:rFonts w:ascii="Times New Roman" w:hAnsi="Times New Roman" w:cs="Times New Roman"/>
          <w:noProof/>
          <w:sz w:val="24"/>
          <w:szCs w:val="24"/>
          <w:lang w:val="en-US"/>
        </w:rPr>
        <w:t xml:space="preserve"> the finish line.</w:t>
      </w:r>
    </w:p>
    <w:p w:rsidR="00046CF8" w:rsidRDefault="003561C2">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the past two and a half years MARSPLAN has produced a </w:t>
      </w:r>
      <w:hyperlink r:id="rId60" w:history="1">
        <w:r>
          <w:rPr>
            <w:rStyle w:val="Hyperlink"/>
            <w:rFonts w:ascii="Times New Roman" w:hAnsi="Times New Roman" w:cs="Times New Roman"/>
            <w:noProof/>
            <w:sz w:val="24"/>
            <w:szCs w:val="24"/>
            <w:lang w:val="en-US"/>
          </w:rPr>
          <w:t>report on the institutional and legislative framework</w:t>
        </w:r>
      </w:hyperlink>
      <w:r>
        <w:rPr>
          <w:rFonts w:ascii="Times New Roman" w:hAnsi="Times New Roman" w:cs="Times New Roman"/>
          <w:noProof/>
          <w:sz w:val="24"/>
          <w:szCs w:val="24"/>
          <w:lang w:val="en-US"/>
        </w:rPr>
        <w:t xml:space="preserve"> for maritime spatial planning in the Black sea, a </w:t>
      </w:r>
      <w:hyperlink r:id="rId61" w:history="1">
        <w:r>
          <w:rPr>
            <w:rStyle w:val="Hyperlink"/>
            <w:rFonts w:ascii="Times New Roman" w:hAnsi="Times New Roman" w:cs="Times New Roman"/>
            <w:noProof/>
            <w:sz w:val="24"/>
            <w:szCs w:val="24"/>
            <w:lang w:val="en-US"/>
          </w:rPr>
          <w:t>detailed analysis</w:t>
        </w:r>
      </w:hyperlink>
      <w:r>
        <w:rPr>
          <w:rFonts w:ascii="Times New Roman" w:hAnsi="Times New Roman" w:cs="Times New Roman"/>
          <w:noProof/>
          <w:sz w:val="24"/>
          <w:szCs w:val="24"/>
          <w:lang w:val="en-US"/>
        </w:rPr>
        <w:t xml:space="preserve"> of the Bulgarian and Romanian maritime areas, several </w:t>
      </w:r>
      <w:hyperlink r:id="rId62" w:history="1">
        <w:r>
          <w:rPr>
            <w:rStyle w:val="Hyperlink"/>
            <w:rFonts w:ascii="Times New Roman" w:hAnsi="Times New Roman" w:cs="Times New Roman"/>
            <w:noProof/>
            <w:sz w:val="24"/>
            <w:szCs w:val="24"/>
            <w:lang w:val="en-US"/>
          </w:rPr>
          <w:t>case stu</w:t>
        </w:r>
        <w:r>
          <w:rPr>
            <w:rStyle w:val="Hyperlink"/>
            <w:rFonts w:ascii="Times New Roman" w:hAnsi="Times New Roman" w:cs="Times New Roman"/>
            <w:noProof/>
            <w:sz w:val="24"/>
            <w:szCs w:val="24"/>
            <w:lang w:val="en-US"/>
          </w:rPr>
          <w:t>dies</w:t>
        </w:r>
      </w:hyperlink>
      <w:r>
        <w:rPr>
          <w:rFonts w:ascii="Times New Roman" w:hAnsi="Times New Roman" w:cs="Times New Roman"/>
          <w:noProof/>
          <w:sz w:val="24"/>
          <w:szCs w:val="24"/>
          <w:lang w:val="en-US"/>
        </w:rPr>
        <w:t xml:space="preserve">, a </w:t>
      </w:r>
      <w:hyperlink r:id="rId63" w:history="1">
        <w:r>
          <w:rPr>
            <w:rStyle w:val="Hyperlink"/>
            <w:rFonts w:ascii="Times New Roman" w:hAnsi="Times New Roman" w:cs="Times New Roman"/>
            <w:noProof/>
            <w:sz w:val="24"/>
            <w:szCs w:val="24"/>
            <w:lang w:val="en-US"/>
          </w:rPr>
          <w:t>common methodology</w:t>
        </w:r>
      </w:hyperlink>
      <w:r>
        <w:rPr>
          <w:rFonts w:ascii="Times New Roman" w:hAnsi="Times New Roman" w:cs="Times New Roman"/>
          <w:noProof/>
          <w:sz w:val="24"/>
          <w:szCs w:val="24"/>
          <w:lang w:val="en-US"/>
        </w:rPr>
        <w:t xml:space="preserve"> for analysis and a c</w:t>
      </w:r>
      <w:hyperlink r:id="rId64" w:history="1">
        <w:r>
          <w:rPr>
            <w:rStyle w:val="Hyperlink"/>
            <w:rFonts w:ascii="Times New Roman" w:hAnsi="Times New Roman" w:cs="Times New Roman"/>
            <w:noProof/>
            <w:sz w:val="24"/>
            <w:szCs w:val="24"/>
            <w:lang w:val="en-US"/>
          </w:rPr>
          <w:t>ommon strategic framework</w:t>
        </w:r>
      </w:hyperlink>
      <w:r>
        <w:rPr>
          <w:rFonts w:ascii="Times New Roman" w:hAnsi="Times New Roman" w:cs="Times New Roman"/>
          <w:noProof/>
          <w:sz w:val="24"/>
          <w:szCs w:val="24"/>
          <w:lang w:val="en-US"/>
        </w:rPr>
        <w:t xml:space="preserve"> for MSP with secto</w:t>
      </w:r>
      <w:r>
        <w:rPr>
          <w:rFonts w:ascii="Times New Roman" w:hAnsi="Times New Roman" w:cs="Times New Roman"/>
          <w:noProof/>
          <w:sz w:val="24"/>
          <w:szCs w:val="24"/>
          <w:lang w:val="en-US"/>
        </w:rPr>
        <w:t xml:space="preserve">rial, environmental and geological maps as well development scenarios. Importantly, through intense cooperation the project also delivered a draft </w:t>
      </w:r>
      <w:hyperlink r:id="rId65" w:history="1">
        <w:r>
          <w:rPr>
            <w:rStyle w:val="Hyperlink"/>
            <w:rFonts w:ascii="Times New Roman" w:hAnsi="Times New Roman" w:cs="Times New Roman"/>
            <w:noProof/>
            <w:sz w:val="24"/>
            <w:szCs w:val="24"/>
            <w:lang w:val="en-US"/>
          </w:rPr>
          <w:t>maritime spatial plan for the Mangalia – Shabla</w:t>
        </w:r>
      </w:hyperlink>
      <w:r>
        <w:rPr>
          <w:rFonts w:ascii="Times New Roman" w:hAnsi="Times New Roman" w:cs="Times New Roman"/>
          <w:noProof/>
          <w:sz w:val="24"/>
          <w:szCs w:val="24"/>
          <w:lang w:val="en-US"/>
        </w:rPr>
        <w:t xml:space="preserve"> area on the Bulgarian-Romanian border. </w:t>
      </w:r>
    </w:p>
    <w:p w:rsidR="00046CF8" w:rsidRDefault="003561C2">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MARSPLAN started in the summer of 2015 to support the implementation of the EU </w:t>
      </w:r>
      <w:hyperlink r:id="rId66" w:history="1">
        <w:r>
          <w:rPr>
            <w:rStyle w:val="Hyperlink"/>
            <w:rFonts w:ascii="Times New Roman" w:hAnsi="Times New Roman" w:cs="Times New Roman"/>
            <w:noProof/>
            <w:sz w:val="24"/>
            <w:szCs w:val="24"/>
            <w:lang w:val="en-US"/>
          </w:rPr>
          <w:t>legislation</w:t>
        </w:r>
      </w:hyperlink>
      <w:r>
        <w:rPr>
          <w:rFonts w:ascii="Times New Roman" w:hAnsi="Times New Roman" w:cs="Times New Roman"/>
          <w:noProof/>
          <w:sz w:val="24"/>
          <w:szCs w:val="24"/>
          <w:lang w:val="en-US"/>
        </w:rPr>
        <w:t xml:space="preserve"> on </w:t>
      </w:r>
      <w:hyperlink r:id="rId67" w:history="1">
        <w:r>
          <w:rPr>
            <w:rStyle w:val="Hyperlink"/>
            <w:rFonts w:ascii="Times New Roman" w:hAnsi="Times New Roman" w:cs="Times New Roman"/>
            <w:noProof/>
            <w:sz w:val="24"/>
            <w:szCs w:val="24"/>
            <w:lang w:val="en-US"/>
          </w:rPr>
          <w:t>maritime spatial planning</w:t>
        </w:r>
      </w:hyperlink>
      <w:r>
        <w:rPr>
          <w:rFonts w:ascii="Times New Roman" w:hAnsi="Times New Roman" w:cs="Times New Roman"/>
          <w:noProof/>
          <w:sz w:val="24"/>
          <w:szCs w:val="24"/>
          <w:lang w:val="en-US"/>
        </w:rPr>
        <w:t xml:space="preserve"> in Romania and Bulgaria, but also to create a strategic vision for the whole Black Sea area. Funded thro</w:t>
      </w:r>
      <w:r>
        <w:rPr>
          <w:rFonts w:ascii="Times New Roman" w:hAnsi="Times New Roman" w:cs="Times New Roman"/>
          <w:noProof/>
          <w:sz w:val="24"/>
          <w:szCs w:val="24"/>
          <w:lang w:val="en-US"/>
        </w:rPr>
        <w:t>ugh the EMFF annual work programme of 2014, it received an EU contribution of 1.6 million euro.</w:t>
      </w:r>
    </w:p>
    <w:p w:rsidR="00046CF8" w:rsidRDefault="003561C2">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European Commission will formally approve the project’s results after its official closure in February. But it is safe to say that by gathering together the</w:t>
      </w:r>
      <w:r>
        <w:rPr>
          <w:rFonts w:ascii="Times New Roman" w:hAnsi="Times New Roman" w:cs="Times New Roman"/>
          <w:noProof/>
          <w:sz w:val="24"/>
          <w:szCs w:val="24"/>
          <w:lang w:val="en-US"/>
        </w:rPr>
        <w:t xml:space="preserve"> public authorities that coordinate land and sea transport, environmental protection and coastal management in both countries, MARSPLAN has laid a solid foundation on which they can both establish their own national plans and build a common vision for bord</w:t>
      </w:r>
      <w:r>
        <w:rPr>
          <w:rFonts w:ascii="Times New Roman" w:hAnsi="Times New Roman" w:cs="Times New Roman"/>
          <w:noProof/>
          <w:sz w:val="24"/>
          <w:szCs w:val="24"/>
          <w:lang w:val="en-US"/>
        </w:rPr>
        <w:t>er areas.</w:t>
      </w:r>
    </w:p>
    <w:p w:rsidR="00046CF8" w:rsidRDefault="003561C2">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Riding on the MARSPLAN momentum and as a next step, we envisage reaching out to the other Black Sea countries in the course of the year to extend the effort to the rest of the basin and promote the principles of environmentally and economically s</w:t>
      </w:r>
      <w:r>
        <w:rPr>
          <w:rFonts w:ascii="Times New Roman" w:hAnsi="Times New Roman" w:cs="Times New Roman"/>
          <w:noProof/>
          <w:sz w:val="24"/>
          <w:szCs w:val="24"/>
          <w:lang w:val="en-US"/>
        </w:rPr>
        <w:t>ound maritime spatial planning in the whole of the Black Sea.</w:t>
      </w:r>
    </w:p>
    <w:p w:rsidR="00046CF8" w:rsidRDefault="00046CF8">
      <w:pPr>
        <w:rPr>
          <w:b/>
          <w:noProof/>
          <w:lang w:val="en-US"/>
        </w:rPr>
      </w:pPr>
    </w:p>
    <w:p w:rsidR="00046CF8" w:rsidRDefault="003561C2">
      <w:pPr>
        <w:jc w:val="both"/>
        <w:rPr>
          <w:rFonts w:ascii="Times New Roman" w:hAnsi="Times New Roman" w:cs="Times New Roman"/>
          <w:b/>
          <w:noProof/>
          <w:sz w:val="24"/>
          <w:szCs w:val="24"/>
        </w:rPr>
      </w:pPr>
      <w:r>
        <w:rPr>
          <w:rFonts w:ascii="Times New Roman" w:hAnsi="Times New Roman" w:cs="Times New Roman"/>
          <w:b/>
          <w:noProof/>
          <w:sz w:val="24"/>
          <w:szCs w:val="24"/>
        </w:rPr>
        <w:t>EXAMPLE 3: NAUTICAL ROUTES FOR EUROPE – FIVE NEW TOURISM IDEAS LAUNCHED TO MAKE EUROPE A DESTINATION OF EXCELLENCE</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European tourists, and particularly sailors, boaters and water sports </w:t>
      </w:r>
      <w:r>
        <w:rPr>
          <w:rFonts w:ascii="Times New Roman" w:hAnsi="Times New Roman" w:cs="Times New Roman"/>
          <w:noProof/>
          <w:sz w:val="24"/>
          <w:szCs w:val="24"/>
        </w:rPr>
        <w:t xml:space="preserve">practitioners are in for a treat:  soon they will be able to choose from another series of attractive and unique formulas designed to let people discover the continent's tremendous maritime heritage, from marine archaeology to wind, from history to sport, </w:t>
      </w:r>
      <w:r>
        <w:rPr>
          <w:rFonts w:ascii="Times New Roman" w:hAnsi="Times New Roman" w:cs="Times New Roman"/>
          <w:noProof/>
          <w:sz w:val="24"/>
          <w:szCs w:val="24"/>
        </w:rPr>
        <w:t>from fish to food and wine.</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After the success of the first few projects on underwater cultural heritage (such as the UCRCA project, the NIRD project and the ATAS project ), and in-keeping with the European Year of Cultural Heritage, the European Union is </w:t>
      </w:r>
      <w:r>
        <w:rPr>
          <w:rFonts w:ascii="Times New Roman" w:hAnsi="Times New Roman" w:cs="Times New Roman"/>
          <w:noProof/>
          <w:sz w:val="24"/>
          <w:szCs w:val="24"/>
        </w:rPr>
        <w:t>now financing a series of new initiatives designed to give visitors an all-round experience and kindle the European tourism industry.</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 Tuna Route celebrates the importance of the iconic Bluefin Tuna in the Western Mediterranean by bringing together scie</w:t>
      </w:r>
      <w:r>
        <w:rPr>
          <w:rFonts w:ascii="Times New Roman" w:hAnsi="Times New Roman" w:cs="Times New Roman"/>
          <w:noProof/>
          <w:sz w:val="24"/>
          <w:szCs w:val="24"/>
        </w:rPr>
        <w:t>nce, conservation, culture, gastronomy and aquaculture. A service of charters will connect destinations and activities throughout the route and games will inform consumers on the full range of labelled products.</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Meltemi Route will create at least four </w:t>
      </w:r>
      <w:r>
        <w:rPr>
          <w:rFonts w:ascii="Times New Roman" w:hAnsi="Times New Roman" w:cs="Times New Roman"/>
          <w:noProof/>
          <w:sz w:val="24"/>
          <w:szCs w:val="24"/>
        </w:rPr>
        <w:t>sailing itineraries focused on water sports and nautical tourism in the North-East Aegean Sea. It will enable people to sail in the wake of the Meltemi wind and touch upon otherwise unreachable, totally unspoiled spots along the magnificent coasts of Greec</w:t>
      </w:r>
      <w:r>
        <w:rPr>
          <w:rFonts w:ascii="Times New Roman" w:hAnsi="Times New Roman" w:cs="Times New Roman"/>
          <w:noProof/>
          <w:sz w:val="24"/>
          <w:szCs w:val="24"/>
        </w:rPr>
        <w:t>e and Turkey.</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 WAOH Route aims to develop the first European sustainable diving route along 5000 km of Atlantic coastline, from the South of Portugal and Spain to the North of Ireland and the UK.ChannelSail creates a nautical route from English Cornwall</w:t>
      </w:r>
      <w:r>
        <w:rPr>
          <w:rFonts w:ascii="Times New Roman" w:hAnsi="Times New Roman" w:cs="Times New Roman"/>
          <w:noProof/>
          <w:sz w:val="24"/>
          <w:szCs w:val="24"/>
        </w:rPr>
        <w:t xml:space="preserve"> to French Cornouaille to rediscover, through historical and modern sailing activities, the Celtic heritage common to both these Channel regions.           </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 xml:space="preserve">From Greece to Magna Graecia will design experiential sailing cruises between Greece and Italy and </w:t>
      </w:r>
      <w:r>
        <w:rPr>
          <w:rFonts w:ascii="Times New Roman" w:hAnsi="Times New Roman" w:cs="Times New Roman"/>
          <w:noProof/>
          <w:sz w:val="24"/>
          <w:szCs w:val="24"/>
        </w:rPr>
        <w:t>complement them with rich offer of cultural and scientific experiences like exploring the seabed, learning about the gastronomic traditions across the Ionian Sea and trying sports such as kite-surfing, diving or fishing.</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These projects are being financed t</w:t>
      </w:r>
      <w:r>
        <w:rPr>
          <w:rFonts w:ascii="Times New Roman" w:hAnsi="Times New Roman" w:cs="Times New Roman"/>
          <w:noProof/>
          <w:sz w:val="24"/>
          <w:szCs w:val="24"/>
        </w:rPr>
        <w:t>hrough the European Maritime and Fisheries Fund with total budget of about 1.5 million euros. They will promote off-season tourism and thus extend the opening times of businesses; they will attract travellers to new, lesser known areas, thus reducing press</w:t>
      </w:r>
      <w:r>
        <w:rPr>
          <w:rFonts w:ascii="Times New Roman" w:hAnsi="Times New Roman" w:cs="Times New Roman"/>
          <w:noProof/>
          <w:sz w:val="24"/>
          <w:szCs w:val="24"/>
        </w:rPr>
        <w:t>ures (environmental and social) at traditional destinations; and they will above all promote the shared values of the various European destinations and encourage a responsible and sustainable behaviour on the part of travellers – all core principles of the</w:t>
      </w:r>
      <w:r>
        <w:rPr>
          <w:rFonts w:ascii="Times New Roman" w:hAnsi="Times New Roman" w:cs="Times New Roman"/>
          <w:noProof/>
          <w:sz w:val="24"/>
          <w:szCs w:val="24"/>
        </w:rPr>
        <w:t xml:space="preserve"> EU's Strategy for Coastal and Maritime Tourism. </w:t>
      </w:r>
    </w:p>
    <w:p w:rsidR="00046CF8" w:rsidRDefault="003561C2">
      <w:pPr>
        <w:rPr>
          <w:rFonts w:ascii="Times New Roman" w:hAnsi="Times New Roman" w:cs="Times New Roman"/>
          <w:b/>
          <w:bCs/>
          <w:noProof/>
          <w:sz w:val="24"/>
          <w:szCs w:val="24"/>
        </w:rPr>
      </w:pPr>
      <w:r>
        <w:rPr>
          <w:rFonts w:ascii="Times New Roman" w:hAnsi="Times New Roman" w:cs="Times New Roman"/>
          <w:b/>
          <w:bCs/>
          <w:noProof/>
          <w:sz w:val="24"/>
          <w:szCs w:val="24"/>
        </w:rPr>
        <w:t>EXAMPLE 4: EUMOFA COUNTRY PROFILES</w:t>
      </w:r>
    </w:p>
    <w:p w:rsidR="00046CF8" w:rsidRDefault="003561C2">
      <w:pPr>
        <w:jc w:val="both"/>
        <w:rPr>
          <w:rFonts w:ascii="Times New Roman" w:hAnsi="Times New Roman" w:cs="Times New Roman"/>
          <w:bCs/>
          <w:noProof/>
          <w:sz w:val="24"/>
          <w:szCs w:val="24"/>
        </w:rPr>
      </w:pPr>
      <w:r>
        <w:rPr>
          <w:rFonts w:ascii="Times New Roman" w:hAnsi="Times New Roman" w:cs="Times New Roman"/>
          <w:bCs/>
          <w:noProof/>
          <w:sz w:val="24"/>
          <w:szCs w:val="24"/>
        </w:rPr>
        <w:t>Up-to-date profiles and data about aquaculture and fisheries in all EU 28 Member States</w:t>
      </w: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Through the EUMOFA EU Market Observatory for Fisheries and Aquaculture – two core s</w:t>
      </w:r>
      <w:r>
        <w:rPr>
          <w:rFonts w:ascii="Times New Roman" w:hAnsi="Times New Roman" w:cs="Times New Roman"/>
          <w:noProof/>
          <w:sz w:val="24"/>
          <w:szCs w:val="24"/>
        </w:rPr>
        <w:t>ectors of the Blue Economy – the latest data about the aquaculture and fisheries industry is provide in each of the EU's 28 Member States. This is useful information for all who what to inform themselves about those sectors in the country they live in or i</w:t>
      </w:r>
      <w:r>
        <w:rPr>
          <w:rFonts w:ascii="Times New Roman" w:hAnsi="Times New Roman" w:cs="Times New Roman"/>
          <w:noProof/>
          <w:sz w:val="24"/>
          <w:szCs w:val="24"/>
        </w:rPr>
        <w:t>n a country they are visiting!</w:t>
      </w:r>
    </w:p>
    <w:tbl>
      <w:tblPr>
        <w:tblW w:w="4798" w:type="pct"/>
        <w:jc w:val="center"/>
        <w:shd w:val="clear" w:color="auto" w:fill="FAFAFA"/>
        <w:tblCellMar>
          <w:left w:w="0" w:type="dxa"/>
          <w:right w:w="0" w:type="dxa"/>
        </w:tblCellMar>
        <w:tblLook w:val="04A0" w:firstRow="1" w:lastRow="0" w:firstColumn="1" w:lastColumn="0" w:noHBand="0" w:noVBand="1"/>
      </w:tblPr>
      <w:tblGrid>
        <w:gridCol w:w="8912"/>
      </w:tblGrid>
      <w:tr w:rsidR="00046CF8">
        <w:trPr>
          <w:trHeight w:val="4722"/>
          <w:jc w:val="center"/>
        </w:trPr>
        <w:tc>
          <w:tcPr>
            <w:tcW w:w="5000" w:type="pct"/>
            <w:shd w:val="clear" w:color="auto" w:fill="FAFAFA"/>
            <w:tcMar>
              <w:top w:w="150" w:type="dxa"/>
              <w:left w:w="150" w:type="dxa"/>
              <w:bottom w:w="150" w:type="dxa"/>
              <w:right w:w="150" w:type="dxa"/>
            </w:tcMar>
            <w:hideMark/>
          </w:tcPr>
          <w:tbl>
            <w:tblPr>
              <w:tblW w:w="8637" w:type="dxa"/>
              <w:jc w:val="center"/>
              <w:tblCellMar>
                <w:left w:w="0" w:type="dxa"/>
                <w:right w:w="0" w:type="dxa"/>
              </w:tblCellMar>
              <w:tblLook w:val="04A0" w:firstRow="1" w:lastRow="0" w:firstColumn="1" w:lastColumn="0" w:noHBand="0" w:noVBand="1"/>
            </w:tblPr>
            <w:tblGrid>
              <w:gridCol w:w="8637"/>
            </w:tblGrid>
            <w:tr w:rsidR="00046CF8">
              <w:trPr>
                <w:trHeight w:val="4722"/>
                <w:jc w:val="center"/>
              </w:trPr>
              <w:tc>
                <w:tcPr>
                  <w:tcW w:w="8637" w:type="dxa"/>
                  <w:hideMark/>
                </w:tcPr>
                <w:tbl>
                  <w:tblPr>
                    <w:tblW w:w="4227" w:type="pct"/>
                    <w:jc w:val="center"/>
                    <w:tblCellMar>
                      <w:left w:w="0" w:type="dxa"/>
                      <w:right w:w="0" w:type="dxa"/>
                    </w:tblCellMar>
                    <w:tblLook w:val="04A0" w:firstRow="1" w:lastRow="0" w:firstColumn="1" w:lastColumn="0" w:noHBand="0" w:noVBand="1"/>
                  </w:tblPr>
                  <w:tblGrid>
                    <w:gridCol w:w="7323"/>
                  </w:tblGrid>
                  <w:tr w:rsidR="00046CF8">
                    <w:trPr>
                      <w:trHeight w:val="8"/>
                      <w:jc w:val="center"/>
                    </w:trPr>
                    <w:tc>
                      <w:tcPr>
                        <w:tcW w:w="0" w:type="auto"/>
                        <w:shd w:val="clear" w:color="auto" w:fill="FAFAFA"/>
                        <w:tcMar>
                          <w:top w:w="135" w:type="dxa"/>
                          <w:left w:w="0" w:type="dxa"/>
                          <w:bottom w:w="135" w:type="dxa"/>
                          <w:right w:w="0" w:type="dxa"/>
                        </w:tcMar>
                        <w:hideMark/>
                      </w:tcPr>
                      <w:p w:rsidR="00046CF8" w:rsidRDefault="00046CF8">
                        <w:pPr>
                          <w:rPr>
                            <w:noProof/>
                          </w:rPr>
                        </w:pPr>
                      </w:p>
                    </w:tc>
                  </w:tr>
                  <w:tr w:rsidR="00046CF8">
                    <w:trPr>
                      <w:jc w:val="center"/>
                    </w:trPr>
                    <w:tc>
                      <w:tcPr>
                        <w:tcW w:w="0" w:type="auto"/>
                        <w:shd w:val="clear" w:color="auto" w:fill="FFFFFF"/>
                        <w:tcMar>
                          <w:top w:w="135" w:type="dxa"/>
                          <w:left w:w="0" w:type="dxa"/>
                          <w:bottom w:w="0" w:type="dxa"/>
                          <w:right w:w="0" w:type="dxa"/>
                        </w:tcMar>
                        <w:hideMark/>
                      </w:tcPr>
                      <w:p w:rsidR="00046CF8" w:rsidRDefault="00046CF8">
                        <w:pPr>
                          <w:rPr>
                            <w:noProof/>
                          </w:rPr>
                        </w:pPr>
                      </w:p>
                    </w:tc>
                  </w:tr>
                  <w:tr w:rsidR="00046CF8">
                    <w:trPr>
                      <w:trHeight w:val="4210"/>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7323"/>
                        </w:tblGrid>
                        <w:tr w:rsidR="00046CF8">
                          <w:trPr>
                            <w:trHeight w:val="1068"/>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7317"/>
                              </w:tblGrid>
                              <w:tr w:rsidR="00046CF8">
                                <w:trPr>
                                  <w:trHeight w:val="1068"/>
                                  <w:jc w:val="center"/>
                                </w:trPr>
                                <w:tc>
                                  <w:tcPr>
                                    <w:tcW w:w="0" w:type="auto"/>
                                    <w:hideMark/>
                                  </w:tcPr>
                                  <w:p w:rsidR="00046CF8" w:rsidRDefault="00046CF8">
                                    <w:pPr>
                                      <w:rPr>
                                        <w:noProof/>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317"/>
                                    </w:tblGrid>
                                    <w:tr w:rsidR="00046CF8">
                                      <w:trPr>
                                        <w:trHeight w:val="956"/>
                                      </w:trPr>
                                      <w:tc>
                                        <w:tcPr>
                                          <w:tcW w:w="0" w:type="auto"/>
                                          <w:tcMar>
                                            <w:top w:w="135" w:type="dxa"/>
                                            <w:left w:w="270" w:type="dxa"/>
                                            <w:bottom w:w="135" w:type="dxa"/>
                                            <w:right w:w="270" w:type="dxa"/>
                                          </w:tcMar>
                                          <w:vAlign w:val="center"/>
                                          <w:hideMark/>
                                        </w:tcPr>
                                        <w:tbl>
                                          <w:tblPr>
                                            <w:tblW w:w="6777" w:type="dxa"/>
                                            <w:shd w:val="clear" w:color="auto" w:fill="003875"/>
                                            <w:tblCellMar>
                                              <w:left w:w="0" w:type="dxa"/>
                                              <w:right w:w="0" w:type="dxa"/>
                                            </w:tblCellMar>
                                            <w:tblLook w:val="04A0" w:firstRow="1" w:lastRow="0" w:firstColumn="1" w:lastColumn="0" w:noHBand="0" w:noVBand="1"/>
                                          </w:tblPr>
                                          <w:tblGrid>
                                            <w:gridCol w:w="6777"/>
                                          </w:tblGrid>
                                          <w:tr w:rsidR="00046CF8">
                                            <w:trPr>
                                              <w:trHeight w:val="717"/>
                                            </w:trPr>
                                            <w:tc>
                                              <w:tcPr>
                                                <w:tcW w:w="0" w:type="auto"/>
                                                <w:shd w:val="clear" w:color="auto" w:fill="003875"/>
                                                <w:tcMar>
                                                  <w:top w:w="270" w:type="dxa"/>
                                                  <w:left w:w="270" w:type="dxa"/>
                                                  <w:bottom w:w="270" w:type="dxa"/>
                                                  <w:right w:w="270" w:type="dxa"/>
                                                </w:tcMar>
                                                <w:hideMark/>
                                              </w:tcPr>
                                              <w:p w:rsidR="00046CF8" w:rsidRDefault="003561C2">
                                                <w:pPr>
                                                  <w:rPr>
                                                    <w:noProof/>
                                                  </w:rPr>
                                                </w:pPr>
                                                <w:r>
                                                  <w:rPr>
                                                    <w:b/>
                                                    <w:bCs/>
                                                    <w:noProof/>
                                                  </w:rPr>
                                                  <w:t>New country profiles are now online</w:t>
                                                </w:r>
                                                <w:r>
                                                  <w:rPr>
                                                    <w:noProof/>
                                                  </w:rPr>
                                                  <w:t xml:space="preserve"> on </w:t>
                                                </w:r>
                                                <w:hyperlink r:id="rId68" w:tgtFrame="_blank" w:tooltip="www.eumofa.eu" w:history="1">
                                                  <w:r>
                                                    <w:rPr>
                                                      <w:rStyle w:val="Hyperlink"/>
                                                      <w:b/>
                                                      <w:bCs/>
                                                      <w:noProof/>
                                                      <w:color w:val="FFFFFF" w:themeColor="background1"/>
                                                    </w:rPr>
                                                    <w:t>www.eumofa.eu</w:t>
                                                  </w:r>
                                                </w:hyperlink>
                                              </w:p>
                                              <w:p w:rsidR="00046CF8" w:rsidRDefault="003561C2">
                                                <w:pPr>
                                                  <w:rPr>
                                                    <w:noProof/>
                                                  </w:rPr>
                                                </w:pPr>
                                                <w:r>
                                                  <w:rPr>
                                                    <w:noProof/>
                                                  </w:rPr>
                                                  <w:t> </w:t>
                                                </w:r>
                                                <w:r>
                                                  <w:rPr>
                                                    <w:b/>
                                                    <w:bCs/>
                                                    <w:noProof/>
                                                  </w:rPr>
                                                  <w:t xml:space="preserve">EUMOFA </w:t>
                                                </w:r>
                                                <w:r>
                                                  <w:rPr>
                                                    <w:b/>
                                                    <w:bCs/>
                                                    <w:noProof/>
                                                  </w:rPr>
                                                  <w:t>has launched the new country profiles, aiming to offer a unique and detailed snapshot of each stage of the fisheries and aquaculture supply chain of each EU country.</w:t>
                                                </w:r>
                                              </w:p>
                                            </w:tc>
                                          </w:tr>
                                        </w:tbl>
                                        <w:p w:rsidR="00046CF8" w:rsidRDefault="00046CF8">
                                          <w:pPr>
                                            <w:rPr>
                                              <w:noProof/>
                                            </w:rPr>
                                          </w:pPr>
                                        </w:p>
                                      </w:tc>
                                    </w:tr>
                                  </w:tbl>
                                  <w:p w:rsidR="00046CF8" w:rsidRDefault="00046CF8">
                                    <w:pPr>
                                      <w:rPr>
                                        <w:noProof/>
                                      </w:rPr>
                                    </w:pPr>
                                  </w:p>
                                </w:tc>
                              </w:tr>
                            </w:tbl>
                            <w:p w:rsidR="00046CF8" w:rsidRDefault="00046CF8">
                              <w:pPr>
                                <w:rPr>
                                  <w:noProof/>
                                </w:rPr>
                              </w:pPr>
                            </w:p>
                          </w:tc>
                        </w:tr>
                        <w:tr w:rsidR="00046CF8">
                          <w:trPr>
                            <w:trHeight w:val="2814"/>
                          </w:trPr>
                          <w:tc>
                            <w:tcPr>
                              <w:tcW w:w="0" w:type="auto"/>
                              <w:tcMar>
                                <w:top w:w="135" w:type="dxa"/>
                                <w:left w:w="135" w:type="dxa"/>
                                <w:bottom w:w="135" w:type="dxa"/>
                                <w:right w:w="135" w:type="dxa"/>
                              </w:tcMar>
                              <w:hideMark/>
                            </w:tcPr>
                            <w:tbl>
                              <w:tblPr>
                                <w:tblW w:w="7008" w:type="dxa"/>
                                <w:tblCellMar>
                                  <w:left w:w="0" w:type="dxa"/>
                                  <w:right w:w="0" w:type="dxa"/>
                                </w:tblCellMar>
                                <w:tblLook w:val="04A0" w:firstRow="1" w:lastRow="0" w:firstColumn="1" w:lastColumn="0" w:noHBand="0" w:noVBand="1"/>
                              </w:tblPr>
                              <w:tblGrid>
                                <w:gridCol w:w="7019"/>
                              </w:tblGrid>
                              <w:tr w:rsidR="00046CF8">
                                <w:trPr>
                                  <w:trHeight w:val="2807"/>
                                </w:trPr>
                                <w:tc>
                                  <w:tcPr>
                                    <w:tcW w:w="0" w:type="auto"/>
                                    <w:tcMar>
                                      <w:top w:w="0" w:type="dxa"/>
                                      <w:left w:w="135" w:type="dxa"/>
                                      <w:bottom w:w="0" w:type="dxa"/>
                                      <w:right w:w="135" w:type="dxa"/>
                                    </w:tcMar>
                                    <w:hideMark/>
                                  </w:tcPr>
                                  <w:tbl>
                                    <w:tblPr>
                                      <w:tblpPr w:leftFromText="45" w:rightFromText="45" w:vertAnchor="text" w:tblpY="1"/>
                                      <w:tblOverlap w:val="never"/>
                                      <w:tblW w:w="6749" w:type="dxa"/>
                                      <w:tblCellMar>
                                        <w:left w:w="0" w:type="dxa"/>
                                        <w:right w:w="0" w:type="dxa"/>
                                      </w:tblCellMar>
                                      <w:tblLook w:val="04A0" w:firstRow="1" w:lastRow="0" w:firstColumn="1" w:lastColumn="0" w:noHBand="0" w:noVBand="1"/>
                                    </w:tblPr>
                                    <w:tblGrid>
                                      <w:gridCol w:w="6749"/>
                                    </w:tblGrid>
                                    <w:tr w:rsidR="00046CF8">
                                      <w:trPr>
                                        <w:trHeight w:val="1031"/>
                                      </w:trPr>
                                      <w:tc>
                                        <w:tcPr>
                                          <w:tcW w:w="0" w:type="auto"/>
                                          <w:hideMark/>
                                        </w:tcPr>
                                        <w:p w:rsidR="00046CF8" w:rsidRDefault="003561C2">
                                          <w:pPr>
                                            <w:rPr>
                                              <w:rFonts w:ascii="Times New Roman" w:hAnsi="Times New Roman" w:cs="Times New Roman"/>
                                              <w:noProof/>
                                            </w:rPr>
                                          </w:pPr>
                                          <w:hyperlink r:id="rId69" w:tgtFrame="_blank" w:history="1">
                                            <w:r>
                                              <w:rPr>
                                                <w:rStyle w:val="Hyperlink"/>
                                                <w:noProof/>
                                              </w:rPr>
                                              <w:t>Austria</w:t>
                                            </w:r>
                                          </w:hyperlink>
                                          <w:r>
                                            <w:rPr>
                                              <w:rFonts w:ascii="Times New Roman" w:hAnsi="Times New Roman" w:cs="Times New Roman"/>
                                              <w:noProof/>
                                            </w:rPr>
                                            <w:t> </w:t>
                                          </w:r>
                                          <w:hyperlink r:id="rId70" w:tgtFrame="_blank" w:history="1">
                                            <w:r>
                                              <w:rPr>
                                                <w:rStyle w:val="Hyperlink"/>
                                                <w:noProof/>
                                              </w:rPr>
                                              <w:t>Belgium</w:t>
                                            </w:r>
                                          </w:hyperlink>
                                          <w:r>
                                            <w:rPr>
                                              <w:rFonts w:ascii="Times New Roman" w:hAnsi="Times New Roman" w:cs="Times New Roman"/>
                                              <w:noProof/>
                                            </w:rPr>
                                            <w:t xml:space="preserve"> </w:t>
                                          </w:r>
                                          <w:hyperlink r:id="rId71" w:tgtFrame="_blank" w:history="1">
                                            <w:r>
                                              <w:rPr>
                                                <w:rStyle w:val="Hyperlink"/>
                                                <w:noProof/>
                                              </w:rPr>
                                              <w:t>Bulgaria</w:t>
                                            </w:r>
                                          </w:hyperlink>
                                          <w:r>
                                            <w:rPr>
                                              <w:rFonts w:ascii="Times New Roman" w:hAnsi="Times New Roman" w:cs="Times New Roman"/>
                                              <w:noProof/>
                                            </w:rPr>
                                            <w:t xml:space="preserve"> </w:t>
                                          </w:r>
                                          <w:hyperlink r:id="rId72" w:tgtFrame="_blank" w:history="1">
                                            <w:r>
                                              <w:rPr>
                                                <w:rStyle w:val="Hyperlink"/>
                                                <w:noProof/>
                                              </w:rPr>
                                              <w:t>Croatia</w:t>
                                            </w:r>
                                          </w:hyperlink>
                                          <w:r>
                                            <w:rPr>
                                              <w:rFonts w:ascii="Times New Roman" w:hAnsi="Times New Roman" w:cs="Times New Roman"/>
                                              <w:noProof/>
                                            </w:rPr>
                                            <w:t xml:space="preserve"> </w:t>
                                          </w:r>
                                          <w:hyperlink r:id="rId73" w:tgtFrame="_blank" w:history="1">
                                            <w:r>
                                              <w:rPr>
                                                <w:rStyle w:val="Hyperlink"/>
                                                <w:noProof/>
                                              </w:rPr>
                                              <w:t>Cyprus</w:t>
                                            </w:r>
                                          </w:hyperlink>
                                          <w:r>
                                            <w:rPr>
                                              <w:rFonts w:ascii="Times New Roman" w:hAnsi="Times New Roman" w:cs="Times New Roman"/>
                                              <w:noProof/>
                                            </w:rPr>
                                            <w:t xml:space="preserve"> </w:t>
                                          </w:r>
                                          <w:hyperlink r:id="rId74" w:tgtFrame="_blank" w:history="1">
                                            <w:r>
                                              <w:rPr>
                                                <w:rStyle w:val="Hyperlink"/>
                                                <w:noProof/>
                                              </w:rPr>
                                              <w:t>Czech Republic</w:t>
                                            </w:r>
                                          </w:hyperlink>
                                          <w:r>
                                            <w:rPr>
                                              <w:rFonts w:ascii="Times New Roman" w:hAnsi="Times New Roman" w:cs="Times New Roman"/>
                                              <w:noProof/>
                                            </w:rPr>
                                            <w:t xml:space="preserve"> </w:t>
                                          </w:r>
                                          <w:hyperlink r:id="rId75" w:tgtFrame="_blank" w:history="1">
                                            <w:r>
                                              <w:rPr>
                                                <w:rStyle w:val="Hyperlink"/>
                                                <w:noProof/>
                                              </w:rPr>
                                              <w:t>Denmark</w:t>
                                            </w:r>
                                          </w:hyperlink>
                                          <w:r>
                                            <w:rPr>
                                              <w:rFonts w:ascii="Times New Roman" w:hAnsi="Times New Roman" w:cs="Times New Roman"/>
                                              <w:noProof/>
                                            </w:rPr>
                                            <w:t xml:space="preserve"> </w:t>
                                          </w:r>
                                          <w:hyperlink r:id="rId76" w:tgtFrame="_blank" w:history="1">
                                            <w:r>
                                              <w:rPr>
                                                <w:rStyle w:val="Hyperlink"/>
                                                <w:noProof/>
                                              </w:rPr>
                                              <w:t>Estonia</w:t>
                                            </w:r>
                                          </w:hyperlink>
                                          <w:r>
                                            <w:rPr>
                                              <w:rFonts w:ascii="Times New Roman" w:hAnsi="Times New Roman" w:cs="Times New Roman"/>
                                              <w:noProof/>
                                            </w:rPr>
                                            <w:t xml:space="preserve"> </w:t>
                                          </w:r>
                                          <w:hyperlink r:id="rId77" w:tgtFrame="_blank" w:history="1">
                                            <w:r>
                                              <w:rPr>
                                                <w:rStyle w:val="Hyperlink"/>
                                                <w:noProof/>
                                              </w:rPr>
                                              <w:t>Finland</w:t>
                                            </w:r>
                                          </w:hyperlink>
                                          <w:r>
                                            <w:rPr>
                                              <w:rFonts w:ascii="Times New Roman" w:hAnsi="Times New Roman" w:cs="Times New Roman"/>
                                              <w:noProof/>
                                            </w:rPr>
                                            <w:t xml:space="preserve"> </w:t>
                                          </w:r>
                                          <w:hyperlink r:id="rId78" w:tgtFrame="_blank" w:history="1">
                                            <w:r>
                                              <w:rPr>
                                                <w:rStyle w:val="Hyperlink"/>
                                                <w:noProof/>
                                              </w:rPr>
                                              <w:t>France</w:t>
                                            </w:r>
                                          </w:hyperlink>
                                          <w:r>
                                            <w:rPr>
                                              <w:rFonts w:ascii="Times New Roman" w:hAnsi="Times New Roman" w:cs="Times New Roman"/>
                                              <w:noProof/>
                                            </w:rPr>
                                            <w:t xml:space="preserve"> </w:t>
                                          </w:r>
                                          <w:hyperlink r:id="rId79" w:tgtFrame="_blank" w:history="1">
                                            <w:r>
                                              <w:rPr>
                                                <w:rStyle w:val="Hyperlink"/>
                                                <w:noProof/>
                                              </w:rPr>
                                              <w:t>Germany</w:t>
                                            </w:r>
                                          </w:hyperlink>
                                          <w:r>
                                            <w:rPr>
                                              <w:rFonts w:ascii="Times New Roman" w:hAnsi="Times New Roman" w:cs="Times New Roman"/>
                                              <w:noProof/>
                                            </w:rPr>
                                            <w:t xml:space="preserve"> </w:t>
                                          </w:r>
                                          <w:hyperlink r:id="rId80" w:tgtFrame="_blank" w:history="1">
                                            <w:r>
                                              <w:rPr>
                                                <w:rStyle w:val="Hyperlink"/>
                                                <w:noProof/>
                                              </w:rPr>
                                              <w:t>Greece</w:t>
                                            </w:r>
                                          </w:hyperlink>
                                          <w:r>
                                            <w:rPr>
                                              <w:rFonts w:ascii="Times New Roman" w:hAnsi="Times New Roman" w:cs="Times New Roman"/>
                                              <w:noProof/>
                                            </w:rPr>
                                            <w:t xml:space="preserve"> </w:t>
                                          </w:r>
                                          <w:hyperlink r:id="rId81" w:tgtFrame="_blank" w:history="1">
                                            <w:r>
                                              <w:rPr>
                                                <w:rStyle w:val="Hyperlink"/>
                                                <w:noProof/>
                                              </w:rPr>
                                              <w:t>Hungary</w:t>
                                            </w:r>
                                          </w:hyperlink>
                                          <w:r>
                                            <w:rPr>
                                              <w:rFonts w:ascii="Times New Roman" w:hAnsi="Times New Roman" w:cs="Times New Roman"/>
                                              <w:noProof/>
                                            </w:rPr>
                                            <w:t xml:space="preserve"> </w:t>
                                          </w:r>
                                          <w:hyperlink r:id="rId82" w:tgtFrame="_blank" w:history="1">
                                            <w:r>
                                              <w:rPr>
                                                <w:rStyle w:val="Hyperlink"/>
                                                <w:noProof/>
                                              </w:rPr>
                                              <w:t>Ireland</w:t>
                                            </w:r>
                                          </w:hyperlink>
                                          <w:r>
                                            <w:rPr>
                                              <w:rFonts w:ascii="Times New Roman" w:hAnsi="Times New Roman" w:cs="Times New Roman"/>
                                              <w:noProof/>
                                            </w:rPr>
                                            <w:t xml:space="preserve"> </w:t>
                                          </w:r>
                                          <w:hyperlink r:id="rId83" w:tgtFrame="_blank" w:history="1">
                                            <w:r>
                                              <w:rPr>
                                                <w:rStyle w:val="Hyperlink"/>
                                                <w:noProof/>
                                              </w:rPr>
                                              <w:t>Italy</w:t>
                                            </w:r>
                                          </w:hyperlink>
                                          <w:r>
                                            <w:rPr>
                                              <w:rFonts w:ascii="Times New Roman" w:hAnsi="Times New Roman" w:cs="Times New Roman"/>
                                              <w:noProof/>
                                            </w:rPr>
                                            <w:t xml:space="preserve"> </w:t>
                                          </w:r>
                                          <w:hyperlink r:id="rId84" w:tgtFrame="_blank" w:history="1">
                                            <w:r>
                                              <w:rPr>
                                                <w:rStyle w:val="Hyperlink"/>
                                                <w:noProof/>
                                              </w:rPr>
                                              <w:t>Latvia</w:t>
                                            </w:r>
                                          </w:hyperlink>
                                          <w:r>
                                            <w:rPr>
                                              <w:rFonts w:ascii="Times New Roman" w:hAnsi="Times New Roman" w:cs="Times New Roman"/>
                                              <w:noProof/>
                                            </w:rPr>
                                            <w:t xml:space="preserve"> </w:t>
                                          </w:r>
                                          <w:hyperlink r:id="rId85" w:tgtFrame="_blank" w:history="1">
                                            <w:r>
                                              <w:rPr>
                                                <w:rStyle w:val="Hyperlink"/>
                                                <w:noProof/>
                                              </w:rPr>
                                              <w:t>Lithuania</w:t>
                                            </w:r>
                                          </w:hyperlink>
                                          <w:r>
                                            <w:rPr>
                                              <w:rFonts w:ascii="Times New Roman" w:hAnsi="Times New Roman" w:cs="Times New Roman"/>
                                              <w:noProof/>
                                            </w:rPr>
                                            <w:t xml:space="preserve"> </w:t>
                                          </w:r>
                                          <w:hyperlink r:id="rId86" w:tgtFrame="_blank" w:history="1">
                                            <w:r>
                                              <w:rPr>
                                                <w:rStyle w:val="Hyperlink"/>
                                                <w:noProof/>
                                              </w:rPr>
                                              <w:t>Luxembourg</w:t>
                                            </w:r>
                                          </w:hyperlink>
                                          <w:r>
                                            <w:rPr>
                                              <w:rFonts w:ascii="Times New Roman" w:hAnsi="Times New Roman" w:cs="Times New Roman"/>
                                              <w:noProof/>
                                            </w:rPr>
                                            <w:t xml:space="preserve"> </w:t>
                                          </w:r>
                                          <w:hyperlink r:id="rId87" w:tgtFrame="_blank" w:history="1">
                                            <w:r>
                                              <w:rPr>
                                                <w:rStyle w:val="Hyperlink"/>
                                                <w:noProof/>
                                              </w:rPr>
                                              <w:t>Malta</w:t>
                                            </w:r>
                                          </w:hyperlink>
                                          <w:r>
                                            <w:rPr>
                                              <w:rFonts w:ascii="Times New Roman" w:hAnsi="Times New Roman" w:cs="Times New Roman"/>
                                              <w:noProof/>
                                            </w:rPr>
                                            <w:t xml:space="preserve"> </w:t>
                                          </w:r>
                                          <w:hyperlink r:id="rId88" w:tgtFrame="_blank" w:history="1">
                                            <w:r>
                                              <w:rPr>
                                                <w:rStyle w:val="Hyperlink"/>
                                                <w:noProof/>
                                              </w:rPr>
                                              <w:t>Netherlands</w:t>
                                            </w:r>
                                          </w:hyperlink>
                                          <w:r>
                                            <w:rPr>
                                              <w:rFonts w:ascii="Times New Roman" w:hAnsi="Times New Roman" w:cs="Times New Roman"/>
                                              <w:noProof/>
                                            </w:rPr>
                                            <w:t xml:space="preserve"> </w:t>
                                          </w:r>
                                          <w:hyperlink r:id="rId89" w:tgtFrame="_blank" w:history="1">
                                            <w:r>
                                              <w:rPr>
                                                <w:rStyle w:val="Hyperlink"/>
                                                <w:noProof/>
                                              </w:rPr>
                                              <w:t>Poland</w:t>
                                            </w:r>
                                          </w:hyperlink>
                                          <w:r>
                                            <w:rPr>
                                              <w:rFonts w:ascii="Times New Roman" w:hAnsi="Times New Roman" w:cs="Times New Roman"/>
                                              <w:noProof/>
                                            </w:rPr>
                                            <w:t xml:space="preserve"> </w:t>
                                          </w:r>
                                          <w:hyperlink r:id="rId90" w:tgtFrame="_blank" w:history="1">
                                            <w:r>
                                              <w:rPr>
                                                <w:rStyle w:val="Hyperlink"/>
                                                <w:noProof/>
                                              </w:rPr>
                                              <w:t>Portugal</w:t>
                                            </w:r>
                                          </w:hyperlink>
                                          <w:r>
                                            <w:rPr>
                                              <w:rFonts w:ascii="Times New Roman" w:hAnsi="Times New Roman" w:cs="Times New Roman"/>
                                              <w:noProof/>
                                            </w:rPr>
                                            <w:t xml:space="preserve"> </w:t>
                                          </w:r>
                                          <w:hyperlink r:id="rId91" w:tgtFrame="_blank" w:history="1">
                                            <w:r>
                                              <w:rPr>
                                                <w:rStyle w:val="Hyperlink"/>
                                                <w:noProof/>
                                              </w:rPr>
                                              <w:t>Romania</w:t>
                                            </w:r>
                                          </w:hyperlink>
                                          <w:r>
                                            <w:rPr>
                                              <w:rFonts w:ascii="Times New Roman" w:hAnsi="Times New Roman" w:cs="Times New Roman"/>
                                              <w:noProof/>
                                            </w:rPr>
                                            <w:t xml:space="preserve"> </w:t>
                                          </w:r>
                                          <w:hyperlink r:id="rId92" w:tgtFrame="_blank" w:history="1">
                                            <w:r>
                                              <w:rPr>
                                                <w:rStyle w:val="Hyperlink"/>
                                                <w:noProof/>
                                              </w:rPr>
                                              <w:t>Slovakia</w:t>
                                            </w:r>
                                          </w:hyperlink>
                                          <w:r>
                                            <w:rPr>
                                              <w:rFonts w:ascii="Times New Roman" w:hAnsi="Times New Roman" w:cs="Times New Roman"/>
                                              <w:noProof/>
                                            </w:rPr>
                                            <w:t xml:space="preserve"> </w:t>
                                          </w:r>
                                          <w:hyperlink r:id="rId93" w:tgtFrame="_blank" w:history="1">
                                            <w:r>
                                              <w:rPr>
                                                <w:rStyle w:val="Hyperlink"/>
                                                <w:noProof/>
                                              </w:rPr>
                                              <w:t>Spain</w:t>
                                            </w:r>
                                          </w:hyperlink>
                                          <w:r>
                                            <w:rPr>
                                              <w:rFonts w:ascii="Times New Roman" w:hAnsi="Times New Roman" w:cs="Times New Roman"/>
                                              <w:noProof/>
                                            </w:rPr>
                                            <w:t xml:space="preserve"> </w:t>
                                          </w:r>
                                          <w:hyperlink r:id="rId94" w:tgtFrame="_blank" w:history="1">
                                            <w:r>
                                              <w:rPr>
                                                <w:rStyle w:val="Hyperlink"/>
                                                <w:noProof/>
                                              </w:rPr>
                                              <w:t>Sweden</w:t>
                                            </w:r>
                                          </w:hyperlink>
                                          <w:r>
                                            <w:rPr>
                                              <w:rFonts w:ascii="Times New Roman" w:hAnsi="Times New Roman" w:cs="Times New Roman"/>
                                              <w:noProof/>
                                            </w:rPr>
                                            <w:t xml:space="preserve"> </w:t>
                                          </w:r>
                                          <w:hyperlink r:id="rId95" w:tgtFrame="_blank" w:history="1">
                                            <w:r>
                                              <w:rPr>
                                                <w:rStyle w:val="Hyperlink"/>
                                                <w:noProof/>
                                              </w:rPr>
                                              <w:t>Slovenia</w:t>
                                            </w:r>
                                          </w:hyperlink>
                                          <w:r>
                                            <w:rPr>
                                              <w:rFonts w:ascii="Times New Roman" w:hAnsi="Times New Roman" w:cs="Times New Roman"/>
                                              <w:noProof/>
                                            </w:rPr>
                                            <w:t xml:space="preserve"> </w:t>
                                          </w:r>
                                          <w:hyperlink r:id="rId96" w:tgtFrame="_blank" w:history="1">
                                            <w:r>
                                              <w:rPr>
                                                <w:rStyle w:val="Hyperlink"/>
                                                <w:noProof/>
                                              </w:rPr>
                                              <w:t>United Kingdom</w:t>
                                            </w:r>
                                          </w:hyperlink>
                                        </w:p>
                                        <w:p w:rsidR="00046CF8" w:rsidRDefault="003561C2">
                                          <w:pPr>
                                            <w:rPr>
                                              <w:noProof/>
                                            </w:rPr>
                                          </w:pPr>
                                          <w:r>
                                            <w:rPr>
                                              <w:noProof/>
                                            </w:rPr>
                                            <w:t> </w:t>
                                          </w:r>
                                        </w:p>
                                      </w:tc>
                                    </w:tr>
                                  </w:tbl>
                                  <w:p w:rsidR="00046CF8" w:rsidRDefault="00046CF8">
                                    <w:pPr>
                                      <w:rPr>
                                        <w:noProof/>
                                      </w:rPr>
                                    </w:pPr>
                                  </w:p>
                                </w:tc>
                              </w:tr>
                            </w:tbl>
                            <w:p w:rsidR="00046CF8" w:rsidRDefault="00046CF8">
                              <w:pPr>
                                <w:rPr>
                                  <w:noProof/>
                                </w:rPr>
                              </w:pPr>
                            </w:p>
                          </w:tc>
                        </w:tr>
                      </w:tbl>
                      <w:p w:rsidR="00046CF8" w:rsidRDefault="00046CF8">
                        <w:pPr>
                          <w:rPr>
                            <w:noProof/>
                          </w:rPr>
                        </w:pPr>
                      </w:p>
                    </w:tc>
                  </w:tr>
                  <w:tr w:rsidR="00046CF8">
                    <w:trPr>
                      <w:trHeight w:val="8"/>
                      <w:jc w:val="center"/>
                    </w:trPr>
                    <w:tc>
                      <w:tcPr>
                        <w:tcW w:w="0" w:type="auto"/>
                        <w:shd w:val="clear" w:color="auto" w:fill="FAFAFA"/>
                        <w:tcMar>
                          <w:top w:w="135" w:type="dxa"/>
                          <w:left w:w="0" w:type="dxa"/>
                          <w:bottom w:w="135" w:type="dxa"/>
                          <w:right w:w="0" w:type="dxa"/>
                        </w:tcMar>
                        <w:hideMark/>
                      </w:tcPr>
                      <w:p w:rsidR="00046CF8" w:rsidRDefault="00046CF8">
                        <w:pPr>
                          <w:rPr>
                            <w:noProof/>
                          </w:rPr>
                        </w:pPr>
                      </w:p>
                    </w:tc>
                  </w:tr>
                </w:tbl>
                <w:p w:rsidR="00046CF8" w:rsidRDefault="00046CF8">
                  <w:pPr>
                    <w:rPr>
                      <w:noProof/>
                    </w:rPr>
                  </w:pPr>
                </w:p>
              </w:tc>
            </w:tr>
          </w:tbl>
          <w:p w:rsidR="00046CF8" w:rsidRDefault="00046CF8">
            <w:pPr>
              <w:rPr>
                <w:noProof/>
              </w:rPr>
            </w:pPr>
          </w:p>
        </w:tc>
      </w:tr>
    </w:tbl>
    <w:p w:rsidR="00046CF8" w:rsidRDefault="003561C2">
      <w:pPr>
        <w:spacing w:after="160" w:line="259" w:lineRule="auto"/>
        <w:rPr>
          <w:rFonts w:ascii="Times New Roman" w:eastAsia="Times New Roman" w:hAnsi="Times New Roman" w:cs="Times New Roman"/>
          <w:b/>
          <w:smallCaps/>
          <w:noProof/>
          <w:sz w:val="24"/>
          <w:szCs w:val="20"/>
        </w:rPr>
      </w:pPr>
      <w:r>
        <w:rPr>
          <w:noProof/>
        </w:rPr>
        <w:br w:type="page"/>
      </w:r>
    </w:p>
    <w:p w:rsidR="00046CF8" w:rsidRDefault="003561C2">
      <w:pPr>
        <w:pStyle w:val="Heading1"/>
        <w:numPr>
          <w:ilvl w:val="0"/>
          <w:numId w:val="25"/>
        </w:numPr>
        <w:rPr>
          <w:noProof/>
        </w:rPr>
      </w:pPr>
      <w:bookmarkStart w:id="52" w:name="_Toc514503208"/>
      <w:bookmarkStart w:id="53" w:name="_Toc514507427"/>
      <w:r>
        <w:rPr>
          <w:noProof/>
        </w:rPr>
        <w:t>Features in fisheries and maritime policies post-2020</w:t>
      </w:r>
      <w:bookmarkEnd w:id="52"/>
      <w:bookmarkEnd w:id="53"/>
    </w:p>
    <w:p w:rsidR="00046CF8" w:rsidRDefault="003561C2">
      <w:pPr>
        <w:rPr>
          <w:b/>
          <w:noProof/>
          <w:sz w:val="24"/>
          <w:szCs w:val="24"/>
        </w:rPr>
      </w:pPr>
      <w:r>
        <w:rPr>
          <w:b/>
          <w:noProof/>
          <w:sz w:val="24"/>
          <w:szCs w:val="24"/>
        </w:rPr>
        <w:t>FEATURES IN FISHERIES AND MARITIME POLICIES POST-2020</w:t>
      </w:r>
    </w:p>
    <w:tbl>
      <w:tblPr>
        <w:tblStyle w:val="TableGrid"/>
        <w:tblW w:w="0" w:type="auto"/>
        <w:tblLook w:val="04A0" w:firstRow="1" w:lastRow="0" w:firstColumn="1" w:lastColumn="0" w:noHBand="0" w:noVBand="1"/>
      </w:tblPr>
      <w:tblGrid>
        <w:gridCol w:w="2024"/>
        <w:gridCol w:w="4320"/>
        <w:gridCol w:w="2484"/>
      </w:tblGrid>
      <w:tr w:rsidR="00046CF8">
        <w:tc>
          <w:tcPr>
            <w:tcW w:w="2828" w:type="dxa"/>
          </w:tcPr>
          <w:p w:rsidR="00046CF8" w:rsidRDefault="003561C2">
            <w:pPr>
              <w:rPr>
                <w:i/>
                <w:noProof/>
                <w:sz w:val="24"/>
                <w:szCs w:val="24"/>
              </w:rPr>
            </w:pPr>
            <w:r>
              <w:rPr>
                <w:i/>
                <w:noProof/>
                <w:sz w:val="24"/>
                <w:szCs w:val="24"/>
              </w:rPr>
              <w:t xml:space="preserve">Specific </w:t>
            </w:r>
            <w:r>
              <w:rPr>
                <w:i/>
                <w:noProof/>
                <w:sz w:val="24"/>
                <w:szCs w:val="24"/>
              </w:rPr>
              <w:t>objective</w:t>
            </w:r>
          </w:p>
        </w:tc>
        <w:tc>
          <w:tcPr>
            <w:tcW w:w="6778" w:type="dxa"/>
          </w:tcPr>
          <w:p w:rsidR="00046CF8" w:rsidRDefault="003561C2">
            <w:pPr>
              <w:rPr>
                <w:i/>
                <w:noProof/>
                <w:sz w:val="24"/>
                <w:szCs w:val="24"/>
              </w:rPr>
            </w:pPr>
            <w:r>
              <w:rPr>
                <w:i/>
                <w:noProof/>
                <w:sz w:val="24"/>
                <w:szCs w:val="24"/>
              </w:rPr>
              <w:t>Retained features</w:t>
            </w:r>
          </w:p>
        </w:tc>
        <w:tc>
          <w:tcPr>
            <w:tcW w:w="4614" w:type="dxa"/>
          </w:tcPr>
          <w:p w:rsidR="00046CF8" w:rsidRDefault="003561C2">
            <w:pPr>
              <w:rPr>
                <w:i/>
                <w:noProof/>
                <w:sz w:val="24"/>
                <w:szCs w:val="24"/>
              </w:rPr>
            </w:pPr>
            <w:r>
              <w:rPr>
                <w:i/>
                <w:noProof/>
                <w:sz w:val="24"/>
                <w:szCs w:val="24"/>
              </w:rPr>
              <w:t>Discarded features</w:t>
            </w:r>
          </w:p>
        </w:tc>
      </w:tr>
      <w:tr w:rsidR="00046CF8">
        <w:tc>
          <w:tcPr>
            <w:tcW w:w="2828" w:type="dxa"/>
          </w:tcPr>
          <w:p w:rsidR="00046CF8" w:rsidRDefault="003561C2">
            <w:pPr>
              <w:rPr>
                <w:noProof/>
                <w:sz w:val="24"/>
                <w:szCs w:val="24"/>
              </w:rPr>
            </w:pPr>
            <w:r>
              <w:rPr>
                <w:noProof/>
                <w:sz w:val="24"/>
                <w:szCs w:val="24"/>
              </w:rPr>
              <w:t>SO 1:1 Sustainable, competitive and inclusive fisheries</w:t>
            </w:r>
          </w:p>
        </w:tc>
        <w:tc>
          <w:tcPr>
            <w:tcW w:w="6778" w:type="dxa"/>
          </w:tcPr>
          <w:p w:rsidR="00046CF8" w:rsidRDefault="003561C2">
            <w:pPr>
              <w:rPr>
                <w:noProof/>
                <w:sz w:val="24"/>
                <w:szCs w:val="24"/>
              </w:rPr>
            </w:pPr>
            <w:r>
              <w:rPr>
                <w:noProof/>
                <w:sz w:val="24"/>
                <w:szCs w:val="24"/>
              </w:rPr>
              <w:t xml:space="preserve">A targeted model introducing a new feature compared to the current period. Fleet adaptation measures will remain necessary as regards certain fleet segments or certain sea basins (e.g. Mediterranean, consequences of Brexit). However, such support needs to </w:t>
            </w:r>
            <w:r>
              <w:rPr>
                <w:noProof/>
                <w:sz w:val="24"/>
                <w:szCs w:val="24"/>
              </w:rPr>
              <w:t xml:space="preserve">be tightly linked to specific conservation objectives (especially as regional multiannual management plans enter into effect) and to a more effective fleet management by Member States. </w:t>
            </w:r>
          </w:p>
          <w:p w:rsidR="00046CF8" w:rsidRDefault="003561C2">
            <w:pPr>
              <w:rPr>
                <w:noProof/>
                <w:sz w:val="24"/>
                <w:szCs w:val="24"/>
              </w:rPr>
            </w:pPr>
            <w:r>
              <w:rPr>
                <w:noProof/>
                <w:sz w:val="24"/>
                <w:szCs w:val="24"/>
              </w:rPr>
              <w:t>Modernisation of the fleet with regard to innovation, health and safet</w:t>
            </w:r>
            <w:r>
              <w:rPr>
                <w:noProof/>
                <w:sz w:val="24"/>
                <w:szCs w:val="24"/>
              </w:rPr>
              <w:t>y, energy efficiency and investments on board improving the quality of products.</w:t>
            </w:r>
          </w:p>
          <w:p w:rsidR="00046CF8" w:rsidRDefault="003561C2">
            <w:pPr>
              <w:rPr>
                <w:noProof/>
                <w:sz w:val="24"/>
                <w:szCs w:val="24"/>
              </w:rPr>
            </w:pPr>
            <w:r>
              <w:rPr>
                <w:noProof/>
                <w:sz w:val="24"/>
                <w:szCs w:val="24"/>
              </w:rPr>
              <w:t>Maintaining higher co-financing rates and allow higher aid intensity for investments in outermost regions compared to the mainland.</w:t>
            </w:r>
          </w:p>
        </w:tc>
        <w:tc>
          <w:tcPr>
            <w:tcW w:w="4614" w:type="dxa"/>
          </w:tcPr>
          <w:p w:rsidR="00046CF8" w:rsidRDefault="003561C2">
            <w:pPr>
              <w:jc w:val="both"/>
              <w:rPr>
                <w:noProof/>
                <w:sz w:val="24"/>
                <w:szCs w:val="24"/>
              </w:rPr>
            </w:pPr>
            <w:r>
              <w:rPr>
                <w:noProof/>
                <w:sz w:val="24"/>
                <w:szCs w:val="24"/>
              </w:rPr>
              <w:t>To focus future funding exclusively on supp</w:t>
            </w:r>
            <w:r>
              <w:rPr>
                <w:noProof/>
                <w:sz w:val="24"/>
                <w:szCs w:val="24"/>
              </w:rPr>
              <w:t xml:space="preserve">orting the implementation of the landing obligation and the discard ban and completely exclude all fleet measures. </w:t>
            </w:r>
          </w:p>
        </w:tc>
      </w:tr>
      <w:tr w:rsidR="00046CF8">
        <w:tc>
          <w:tcPr>
            <w:tcW w:w="2828" w:type="dxa"/>
          </w:tcPr>
          <w:p w:rsidR="00046CF8" w:rsidRDefault="003561C2">
            <w:pPr>
              <w:rPr>
                <w:noProof/>
                <w:sz w:val="24"/>
                <w:szCs w:val="24"/>
              </w:rPr>
            </w:pPr>
            <w:r>
              <w:rPr>
                <w:noProof/>
                <w:sz w:val="24"/>
                <w:szCs w:val="24"/>
              </w:rPr>
              <w:t>SO 1:2 Sustainable and competitive SSCF</w:t>
            </w:r>
          </w:p>
        </w:tc>
        <w:tc>
          <w:tcPr>
            <w:tcW w:w="6778" w:type="dxa"/>
          </w:tcPr>
          <w:p w:rsidR="00046CF8" w:rsidRDefault="003561C2">
            <w:pPr>
              <w:rPr>
                <w:noProof/>
                <w:sz w:val="24"/>
                <w:szCs w:val="24"/>
              </w:rPr>
            </w:pPr>
            <w:r>
              <w:rPr>
                <w:noProof/>
                <w:sz w:val="24"/>
                <w:szCs w:val="24"/>
              </w:rPr>
              <w:t>Higher intervention rates</w:t>
            </w:r>
          </w:p>
          <w:p w:rsidR="00046CF8" w:rsidRDefault="003561C2">
            <w:pPr>
              <w:rPr>
                <w:noProof/>
                <w:sz w:val="24"/>
                <w:szCs w:val="24"/>
              </w:rPr>
            </w:pPr>
            <w:r>
              <w:rPr>
                <w:noProof/>
                <w:sz w:val="24"/>
                <w:szCs w:val="24"/>
              </w:rPr>
              <w:t>Differentiated areas of support (e.g. certain operations only for small-s</w:t>
            </w:r>
            <w:r>
              <w:rPr>
                <w:noProof/>
                <w:sz w:val="24"/>
                <w:szCs w:val="24"/>
              </w:rPr>
              <w:t>cale operators)</w:t>
            </w:r>
          </w:p>
          <w:p w:rsidR="00046CF8" w:rsidRDefault="003561C2">
            <w:pPr>
              <w:rPr>
                <w:noProof/>
                <w:sz w:val="24"/>
                <w:szCs w:val="24"/>
              </w:rPr>
            </w:pPr>
            <w:r>
              <w:rPr>
                <w:noProof/>
                <w:sz w:val="24"/>
                <w:szCs w:val="24"/>
              </w:rPr>
              <w:t>Differentiated forms of support (e.g. access to grants only for small-scale operators and only financial instruments for other beneficiaries)</w:t>
            </w:r>
          </w:p>
        </w:tc>
        <w:tc>
          <w:tcPr>
            <w:tcW w:w="4614" w:type="dxa"/>
          </w:tcPr>
          <w:p w:rsidR="00046CF8" w:rsidRDefault="003561C2">
            <w:pPr>
              <w:rPr>
                <w:noProof/>
                <w:sz w:val="24"/>
                <w:szCs w:val="24"/>
              </w:rPr>
            </w:pPr>
            <w:r>
              <w:rPr>
                <w:noProof/>
                <w:sz w:val="24"/>
                <w:szCs w:val="24"/>
              </w:rPr>
              <w:t>Earmarked support for small-scale operators</w:t>
            </w:r>
          </w:p>
        </w:tc>
      </w:tr>
      <w:tr w:rsidR="00046CF8">
        <w:tc>
          <w:tcPr>
            <w:tcW w:w="2828" w:type="dxa"/>
          </w:tcPr>
          <w:p w:rsidR="00046CF8" w:rsidRDefault="003561C2">
            <w:pPr>
              <w:rPr>
                <w:noProof/>
                <w:sz w:val="24"/>
                <w:szCs w:val="24"/>
              </w:rPr>
            </w:pPr>
            <w:r>
              <w:rPr>
                <w:noProof/>
                <w:sz w:val="24"/>
                <w:szCs w:val="24"/>
              </w:rPr>
              <w:t xml:space="preserve">SO 1:3 Implementation of the CFP (fisheries control, </w:t>
            </w:r>
            <w:r>
              <w:rPr>
                <w:noProof/>
                <w:sz w:val="24"/>
                <w:szCs w:val="24"/>
              </w:rPr>
              <w:t>data)</w:t>
            </w:r>
          </w:p>
        </w:tc>
        <w:tc>
          <w:tcPr>
            <w:tcW w:w="6778" w:type="dxa"/>
          </w:tcPr>
          <w:p w:rsidR="00046CF8" w:rsidRDefault="003561C2">
            <w:pPr>
              <w:rPr>
                <w:noProof/>
                <w:sz w:val="24"/>
                <w:szCs w:val="24"/>
              </w:rPr>
            </w:pPr>
            <w:r>
              <w:rPr>
                <w:noProof/>
                <w:sz w:val="24"/>
                <w:szCs w:val="24"/>
              </w:rPr>
              <w:t xml:space="preserve">Continue financial support for fisheries control and link it with the revision of the Control regulation. </w:t>
            </w:r>
          </w:p>
          <w:p w:rsidR="00046CF8" w:rsidRDefault="003561C2">
            <w:pPr>
              <w:rPr>
                <w:noProof/>
                <w:sz w:val="24"/>
                <w:szCs w:val="24"/>
              </w:rPr>
            </w:pPr>
            <w:r>
              <w:rPr>
                <w:noProof/>
                <w:sz w:val="24"/>
                <w:szCs w:val="24"/>
              </w:rPr>
              <w:t>Reinforce the link to maritime surveillance</w:t>
            </w:r>
          </w:p>
          <w:p w:rsidR="00046CF8" w:rsidRDefault="003561C2">
            <w:pPr>
              <w:rPr>
                <w:noProof/>
                <w:sz w:val="24"/>
                <w:szCs w:val="24"/>
              </w:rPr>
            </w:pPr>
            <w:r>
              <w:rPr>
                <w:noProof/>
                <w:sz w:val="24"/>
                <w:szCs w:val="24"/>
              </w:rPr>
              <w:t>Strengthen the collection and processing of marine data in synergy with EMODNET and the MSFD.</w:t>
            </w:r>
          </w:p>
        </w:tc>
        <w:tc>
          <w:tcPr>
            <w:tcW w:w="4614" w:type="dxa"/>
          </w:tcPr>
          <w:p w:rsidR="00046CF8" w:rsidRDefault="003561C2">
            <w:pPr>
              <w:rPr>
                <w:noProof/>
                <w:sz w:val="24"/>
                <w:szCs w:val="24"/>
              </w:rPr>
            </w:pPr>
            <w:r>
              <w:rPr>
                <w:noProof/>
                <w:sz w:val="24"/>
                <w:szCs w:val="24"/>
              </w:rPr>
              <w:t>Mergi</w:t>
            </w:r>
            <w:r>
              <w:rPr>
                <w:noProof/>
                <w:sz w:val="24"/>
                <w:szCs w:val="24"/>
              </w:rPr>
              <w:t>ng support for control and maritime surveillance.</w:t>
            </w:r>
          </w:p>
        </w:tc>
      </w:tr>
      <w:tr w:rsidR="00046CF8">
        <w:tc>
          <w:tcPr>
            <w:tcW w:w="2828" w:type="dxa"/>
          </w:tcPr>
          <w:p w:rsidR="00046CF8" w:rsidRDefault="003561C2">
            <w:pPr>
              <w:rPr>
                <w:noProof/>
                <w:sz w:val="24"/>
                <w:szCs w:val="24"/>
              </w:rPr>
            </w:pPr>
            <w:r>
              <w:rPr>
                <w:noProof/>
                <w:sz w:val="24"/>
                <w:szCs w:val="24"/>
              </w:rPr>
              <w:t>SO 1:4 Conservation of marine ecosystems</w:t>
            </w:r>
          </w:p>
        </w:tc>
        <w:tc>
          <w:tcPr>
            <w:tcW w:w="6778" w:type="dxa"/>
          </w:tcPr>
          <w:p w:rsidR="00046CF8" w:rsidRDefault="003561C2">
            <w:pPr>
              <w:rPr>
                <w:noProof/>
                <w:sz w:val="24"/>
                <w:szCs w:val="24"/>
              </w:rPr>
            </w:pPr>
            <w:r>
              <w:rPr>
                <w:noProof/>
                <w:sz w:val="24"/>
                <w:szCs w:val="24"/>
              </w:rPr>
              <w:t>Continue support for biodiversity protection, including support to the management, restoration and monitoring of Natura 2000 sites and other MPAs, to promote more s</w:t>
            </w:r>
            <w:r>
              <w:rPr>
                <w:noProof/>
                <w:sz w:val="24"/>
                <w:szCs w:val="24"/>
              </w:rPr>
              <w:t xml:space="preserve">elective fishing gear, to avoid accidental by-catch of species (marine mammals and seabirds) to continue addressing the issue of collection of marine litter and to support aquaculture providing environmental services. </w:t>
            </w:r>
          </w:p>
          <w:p w:rsidR="00046CF8" w:rsidRDefault="003561C2">
            <w:pPr>
              <w:rPr>
                <w:noProof/>
                <w:sz w:val="24"/>
                <w:szCs w:val="24"/>
              </w:rPr>
            </w:pPr>
            <w:r>
              <w:rPr>
                <w:noProof/>
                <w:sz w:val="24"/>
                <w:szCs w:val="24"/>
              </w:rPr>
              <w:t xml:space="preserve">Develop cross-cutting indicators for </w:t>
            </w:r>
            <w:r>
              <w:rPr>
                <w:noProof/>
                <w:sz w:val="24"/>
                <w:szCs w:val="24"/>
              </w:rPr>
              <w:t>all EU funds for Natura 2000, building on and adapting existing indicators developed under the EMFF.</w:t>
            </w:r>
          </w:p>
        </w:tc>
        <w:tc>
          <w:tcPr>
            <w:tcW w:w="4614" w:type="dxa"/>
          </w:tcPr>
          <w:p w:rsidR="00046CF8" w:rsidRDefault="00046CF8">
            <w:pPr>
              <w:rPr>
                <w:noProof/>
                <w:sz w:val="24"/>
                <w:szCs w:val="24"/>
              </w:rPr>
            </w:pPr>
          </w:p>
        </w:tc>
      </w:tr>
      <w:tr w:rsidR="00046CF8">
        <w:tc>
          <w:tcPr>
            <w:tcW w:w="2828" w:type="dxa"/>
          </w:tcPr>
          <w:p w:rsidR="00046CF8" w:rsidRDefault="003561C2">
            <w:pPr>
              <w:rPr>
                <w:noProof/>
                <w:sz w:val="24"/>
                <w:szCs w:val="24"/>
              </w:rPr>
            </w:pPr>
            <w:r>
              <w:rPr>
                <w:noProof/>
                <w:sz w:val="24"/>
                <w:szCs w:val="24"/>
              </w:rPr>
              <w:t>SO 2:1 Sustainable, innovative and competitive aquaculture</w:t>
            </w:r>
          </w:p>
        </w:tc>
        <w:tc>
          <w:tcPr>
            <w:tcW w:w="6778" w:type="dxa"/>
          </w:tcPr>
          <w:p w:rsidR="00046CF8" w:rsidRDefault="003561C2">
            <w:pPr>
              <w:rPr>
                <w:noProof/>
                <w:sz w:val="24"/>
                <w:szCs w:val="24"/>
              </w:rPr>
            </w:pPr>
            <w:r>
              <w:rPr>
                <w:noProof/>
                <w:sz w:val="24"/>
                <w:szCs w:val="24"/>
              </w:rPr>
              <w:t xml:space="preserve">Target support to productive and innovative investments to growth. Support should be provided </w:t>
            </w:r>
            <w:r>
              <w:rPr>
                <w:noProof/>
                <w:sz w:val="24"/>
                <w:szCs w:val="24"/>
              </w:rPr>
              <w:t xml:space="preserve">through financial instruments. </w:t>
            </w:r>
          </w:p>
          <w:p w:rsidR="00046CF8" w:rsidRDefault="003561C2">
            <w:pPr>
              <w:rPr>
                <w:noProof/>
                <w:sz w:val="24"/>
                <w:szCs w:val="24"/>
              </w:rPr>
            </w:pPr>
            <w:r>
              <w:rPr>
                <w:noProof/>
                <w:sz w:val="24"/>
                <w:szCs w:val="24"/>
              </w:rPr>
              <w:t>Support on compensatory measures for less profitable aquaculture activities</w:t>
            </w:r>
          </w:p>
          <w:p w:rsidR="00046CF8" w:rsidRDefault="003561C2">
            <w:pPr>
              <w:rPr>
                <w:noProof/>
                <w:sz w:val="24"/>
                <w:szCs w:val="24"/>
              </w:rPr>
            </w:pPr>
            <w:r>
              <w:rPr>
                <w:noProof/>
                <w:sz w:val="24"/>
                <w:szCs w:val="24"/>
              </w:rPr>
              <w:t>Grants for enabling conditions for aquaculture - including stock insurance schemes - could be considered as well in addition to covering aquaculture</w:t>
            </w:r>
            <w:r>
              <w:rPr>
                <w:noProof/>
                <w:sz w:val="24"/>
                <w:szCs w:val="24"/>
              </w:rPr>
              <w:t xml:space="preserve"> more prominently in local development strategies (CLLD) as an important area for diversification, jobs and growth.</w:t>
            </w:r>
          </w:p>
        </w:tc>
        <w:tc>
          <w:tcPr>
            <w:tcW w:w="4614" w:type="dxa"/>
          </w:tcPr>
          <w:p w:rsidR="00046CF8" w:rsidRDefault="003561C2">
            <w:pPr>
              <w:rPr>
                <w:noProof/>
                <w:sz w:val="24"/>
                <w:szCs w:val="24"/>
              </w:rPr>
            </w:pPr>
            <w:r>
              <w:rPr>
                <w:noProof/>
                <w:sz w:val="24"/>
                <w:szCs w:val="24"/>
              </w:rPr>
              <w:t>To provide grants for investments</w:t>
            </w:r>
          </w:p>
          <w:p w:rsidR="00046CF8" w:rsidRDefault="00046CF8">
            <w:pPr>
              <w:rPr>
                <w:noProof/>
                <w:sz w:val="24"/>
                <w:szCs w:val="24"/>
              </w:rPr>
            </w:pPr>
          </w:p>
          <w:p w:rsidR="00046CF8" w:rsidRDefault="003561C2">
            <w:pPr>
              <w:rPr>
                <w:noProof/>
                <w:sz w:val="24"/>
                <w:szCs w:val="24"/>
              </w:rPr>
            </w:pPr>
            <w:r>
              <w:rPr>
                <w:noProof/>
                <w:sz w:val="24"/>
                <w:szCs w:val="24"/>
              </w:rPr>
              <w:t>To exclude inland aquaculture</w:t>
            </w:r>
          </w:p>
          <w:p w:rsidR="00046CF8" w:rsidRDefault="00046CF8">
            <w:pPr>
              <w:rPr>
                <w:noProof/>
                <w:sz w:val="24"/>
                <w:szCs w:val="24"/>
              </w:rPr>
            </w:pPr>
          </w:p>
          <w:p w:rsidR="00046CF8" w:rsidRDefault="003561C2">
            <w:pPr>
              <w:rPr>
                <w:noProof/>
                <w:sz w:val="24"/>
                <w:szCs w:val="24"/>
              </w:rPr>
            </w:pPr>
            <w:r>
              <w:rPr>
                <w:noProof/>
                <w:sz w:val="24"/>
                <w:szCs w:val="24"/>
              </w:rPr>
              <w:t>To let other funding instruments take care of supporting investments in aq</w:t>
            </w:r>
            <w:r>
              <w:rPr>
                <w:noProof/>
                <w:sz w:val="24"/>
                <w:szCs w:val="24"/>
              </w:rPr>
              <w:t>uaculture</w:t>
            </w:r>
          </w:p>
        </w:tc>
      </w:tr>
      <w:tr w:rsidR="00046CF8">
        <w:tc>
          <w:tcPr>
            <w:tcW w:w="2828" w:type="dxa"/>
          </w:tcPr>
          <w:p w:rsidR="00046CF8" w:rsidRDefault="003561C2">
            <w:pPr>
              <w:rPr>
                <w:noProof/>
                <w:sz w:val="24"/>
                <w:szCs w:val="24"/>
              </w:rPr>
            </w:pPr>
            <w:r>
              <w:rPr>
                <w:noProof/>
                <w:sz w:val="24"/>
                <w:szCs w:val="24"/>
              </w:rPr>
              <w:t>SO 2:2 Market organisation</w:t>
            </w:r>
          </w:p>
        </w:tc>
        <w:tc>
          <w:tcPr>
            <w:tcW w:w="6778" w:type="dxa"/>
          </w:tcPr>
          <w:p w:rsidR="00046CF8" w:rsidRDefault="003561C2">
            <w:pPr>
              <w:rPr>
                <w:noProof/>
                <w:sz w:val="24"/>
                <w:szCs w:val="24"/>
              </w:rPr>
            </w:pPr>
            <w:r>
              <w:rPr>
                <w:noProof/>
                <w:sz w:val="24"/>
                <w:szCs w:val="24"/>
              </w:rPr>
              <w:t xml:space="preserve">Financial support for the organisation of the sector and its structure through producer organisations (POs) </w:t>
            </w:r>
          </w:p>
        </w:tc>
        <w:tc>
          <w:tcPr>
            <w:tcW w:w="4614" w:type="dxa"/>
          </w:tcPr>
          <w:p w:rsidR="00046CF8" w:rsidRDefault="003561C2">
            <w:pPr>
              <w:rPr>
                <w:noProof/>
                <w:sz w:val="24"/>
                <w:szCs w:val="24"/>
              </w:rPr>
            </w:pPr>
            <w:r>
              <w:rPr>
                <w:noProof/>
                <w:sz w:val="24"/>
                <w:szCs w:val="24"/>
              </w:rPr>
              <w:t xml:space="preserve">Discontinue  market support </w:t>
            </w:r>
          </w:p>
        </w:tc>
      </w:tr>
      <w:tr w:rsidR="00046CF8">
        <w:tc>
          <w:tcPr>
            <w:tcW w:w="2828" w:type="dxa"/>
          </w:tcPr>
          <w:p w:rsidR="00046CF8" w:rsidRDefault="003561C2">
            <w:pPr>
              <w:rPr>
                <w:noProof/>
                <w:sz w:val="24"/>
                <w:szCs w:val="24"/>
              </w:rPr>
            </w:pPr>
            <w:r>
              <w:rPr>
                <w:noProof/>
                <w:sz w:val="24"/>
                <w:szCs w:val="24"/>
              </w:rPr>
              <w:t>SO 2:3 Quality and sustainability of products</w:t>
            </w:r>
          </w:p>
        </w:tc>
        <w:tc>
          <w:tcPr>
            <w:tcW w:w="6778" w:type="dxa"/>
          </w:tcPr>
          <w:p w:rsidR="00046CF8" w:rsidRDefault="003561C2">
            <w:pPr>
              <w:rPr>
                <w:noProof/>
                <w:sz w:val="24"/>
                <w:szCs w:val="24"/>
              </w:rPr>
            </w:pPr>
            <w:r>
              <w:rPr>
                <w:noProof/>
                <w:sz w:val="24"/>
                <w:szCs w:val="24"/>
              </w:rPr>
              <w:t>Keep the support but provide it o</w:t>
            </w:r>
            <w:r>
              <w:rPr>
                <w:noProof/>
                <w:sz w:val="24"/>
                <w:szCs w:val="24"/>
              </w:rPr>
              <w:t>nly through financial instruments for all including for SMEs.</w:t>
            </w:r>
          </w:p>
        </w:tc>
        <w:tc>
          <w:tcPr>
            <w:tcW w:w="4614" w:type="dxa"/>
          </w:tcPr>
          <w:p w:rsidR="00046CF8" w:rsidRDefault="003561C2">
            <w:pPr>
              <w:rPr>
                <w:noProof/>
                <w:sz w:val="24"/>
                <w:szCs w:val="24"/>
              </w:rPr>
            </w:pPr>
            <w:r>
              <w:rPr>
                <w:noProof/>
                <w:sz w:val="24"/>
                <w:szCs w:val="24"/>
              </w:rPr>
              <w:t>Discontinue support for processing</w:t>
            </w:r>
          </w:p>
          <w:p w:rsidR="00046CF8" w:rsidRDefault="00046CF8">
            <w:pPr>
              <w:rPr>
                <w:noProof/>
                <w:sz w:val="24"/>
                <w:szCs w:val="24"/>
              </w:rPr>
            </w:pPr>
          </w:p>
          <w:p w:rsidR="00046CF8" w:rsidRDefault="003561C2">
            <w:pPr>
              <w:rPr>
                <w:noProof/>
                <w:sz w:val="24"/>
                <w:szCs w:val="24"/>
              </w:rPr>
            </w:pPr>
            <w:r>
              <w:rPr>
                <w:noProof/>
                <w:sz w:val="24"/>
                <w:szCs w:val="24"/>
              </w:rPr>
              <w:t>Provide support through financial instruments for all but SMEs who could still get grants</w:t>
            </w:r>
          </w:p>
        </w:tc>
      </w:tr>
      <w:tr w:rsidR="00046CF8">
        <w:tc>
          <w:tcPr>
            <w:tcW w:w="2828" w:type="dxa"/>
          </w:tcPr>
          <w:p w:rsidR="00046CF8" w:rsidRDefault="003561C2">
            <w:pPr>
              <w:rPr>
                <w:noProof/>
                <w:sz w:val="24"/>
                <w:szCs w:val="24"/>
              </w:rPr>
            </w:pPr>
            <w:r>
              <w:rPr>
                <w:noProof/>
                <w:sz w:val="24"/>
                <w:szCs w:val="24"/>
              </w:rPr>
              <w:t>SO 3:1 Enabling an innovative, sustainable and knowledge-based blue</w:t>
            </w:r>
            <w:r>
              <w:rPr>
                <w:noProof/>
                <w:sz w:val="24"/>
                <w:szCs w:val="24"/>
              </w:rPr>
              <w:t xml:space="preserve"> economy</w:t>
            </w:r>
          </w:p>
        </w:tc>
        <w:tc>
          <w:tcPr>
            <w:tcW w:w="6778" w:type="dxa"/>
          </w:tcPr>
          <w:p w:rsidR="00046CF8" w:rsidRDefault="003561C2">
            <w:pPr>
              <w:rPr>
                <w:noProof/>
                <w:sz w:val="24"/>
                <w:szCs w:val="24"/>
              </w:rPr>
            </w:pPr>
            <w:r>
              <w:rPr>
                <w:noProof/>
                <w:sz w:val="24"/>
                <w:szCs w:val="24"/>
              </w:rPr>
              <w:t>Focus on providing funding for enabling conditions to facilitate innovation and market development in the blue economy by addressing market failures for the sustainable development of economic activities, safeguard ecosystems and reinforce securit</w:t>
            </w:r>
            <w:r>
              <w:rPr>
                <w:noProof/>
                <w:sz w:val="24"/>
                <w:szCs w:val="24"/>
              </w:rPr>
              <w:t xml:space="preserve">y at sea. It also includes enhancing marine and scientific knowledge (e.g. EMODNET and MSFD). </w:t>
            </w:r>
          </w:p>
          <w:p w:rsidR="00046CF8" w:rsidRDefault="003561C2">
            <w:pPr>
              <w:rPr>
                <w:noProof/>
                <w:sz w:val="24"/>
                <w:szCs w:val="24"/>
              </w:rPr>
            </w:pPr>
            <w:r>
              <w:rPr>
                <w:noProof/>
                <w:sz w:val="24"/>
                <w:szCs w:val="24"/>
              </w:rPr>
              <w:t>Outermost regions would be encouraged to draw up maritime sustainable development strategies.</w:t>
            </w:r>
          </w:p>
        </w:tc>
        <w:tc>
          <w:tcPr>
            <w:tcW w:w="4614" w:type="dxa"/>
          </w:tcPr>
          <w:p w:rsidR="00046CF8" w:rsidRDefault="003561C2">
            <w:pPr>
              <w:rPr>
                <w:noProof/>
                <w:sz w:val="24"/>
                <w:szCs w:val="24"/>
              </w:rPr>
            </w:pPr>
            <w:r>
              <w:rPr>
                <w:noProof/>
                <w:sz w:val="24"/>
                <w:szCs w:val="24"/>
              </w:rPr>
              <w:t>Focus future funding almost entirely on maritime policy and blue gr</w:t>
            </w:r>
            <w:r>
              <w:rPr>
                <w:noProof/>
                <w:sz w:val="24"/>
                <w:szCs w:val="24"/>
              </w:rPr>
              <w:t>owth and only keep a minor part for data, control and the CLLD-approach. The problem here is that available funding would still not be to enough to provide sufficient funding for unlocking the potential of the maritime economy while key objectives of the C</w:t>
            </w:r>
            <w:r>
              <w:rPr>
                <w:noProof/>
                <w:sz w:val="24"/>
                <w:szCs w:val="24"/>
              </w:rPr>
              <w:t>FP would risk not to be delivered.</w:t>
            </w:r>
          </w:p>
          <w:p w:rsidR="00046CF8" w:rsidRDefault="00046CF8">
            <w:pPr>
              <w:rPr>
                <w:noProof/>
                <w:sz w:val="24"/>
                <w:szCs w:val="24"/>
              </w:rPr>
            </w:pPr>
          </w:p>
          <w:p w:rsidR="00046CF8" w:rsidRDefault="003561C2">
            <w:pPr>
              <w:rPr>
                <w:noProof/>
                <w:sz w:val="24"/>
                <w:szCs w:val="24"/>
              </w:rPr>
            </w:pPr>
            <w:r>
              <w:rPr>
                <w:noProof/>
                <w:sz w:val="24"/>
                <w:szCs w:val="24"/>
              </w:rPr>
              <w:t xml:space="preserve">Fund maritime policy through other funding instruments </w:t>
            </w:r>
          </w:p>
        </w:tc>
      </w:tr>
      <w:tr w:rsidR="00046CF8">
        <w:tc>
          <w:tcPr>
            <w:tcW w:w="2828" w:type="dxa"/>
          </w:tcPr>
          <w:p w:rsidR="00046CF8" w:rsidRDefault="003561C2">
            <w:pPr>
              <w:rPr>
                <w:noProof/>
                <w:sz w:val="24"/>
                <w:szCs w:val="24"/>
              </w:rPr>
            </w:pPr>
            <w:r>
              <w:rPr>
                <w:noProof/>
                <w:sz w:val="24"/>
                <w:szCs w:val="24"/>
              </w:rPr>
              <w:t>SO 3:2 Prosperous blue coastal and inland communities</w:t>
            </w:r>
          </w:p>
        </w:tc>
        <w:tc>
          <w:tcPr>
            <w:tcW w:w="6778" w:type="dxa"/>
          </w:tcPr>
          <w:p w:rsidR="00046CF8" w:rsidRDefault="003561C2">
            <w:pPr>
              <w:rPr>
                <w:noProof/>
                <w:sz w:val="24"/>
                <w:szCs w:val="24"/>
              </w:rPr>
            </w:pPr>
            <w:r>
              <w:rPr>
                <w:noProof/>
                <w:sz w:val="24"/>
                <w:szCs w:val="24"/>
              </w:rPr>
              <w:t xml:space="preserve">Broaden the scope of the approach to include maritime policy/blue growth. </w:t>
            </w:r>
          </w:p>
          <w:p w:rsidR="00046CF8" w:rsidRDefault="003561C2">
            <w:pPr>
              <w:rPr>
                <w:noProof/>
                <w:sz w:val="24"/>
                <w:szCs w:val="24"/>
              </w:rPr>
            </w:pPr>
            <w:r>
              <w:rPr>
                <w:noProof/>
                <w:sz w:val="24"/>
                <w:szCs w:val="24"/>
              </w:rPr>
              <w:t>Further strengthen the role of the</w:t>
            </w:r>
            <w:r>
              <w:rPr>
                <w:noProof/>
                <w:sz w:val="24"/>
                <w:szCs w:val="24"/>
              </w:rPr>
              <w:t xml:space="preserve"> FLAGs is to introduce a new feature by aligning with the principles of the EAFRD and ensuring that a meaningful share of the post-2020 funding is delivered through CLLD. </w:t>
            </w:r>
          </w:p>
        </w:tc>
        <w:tc>
          <w:tcPr>
            <w:tcW w:w="4614" w:type="dxa"/>
          </w:tcPr>
          <w:p w:rsidR="00046CF8" w:rsidRDefault="003561C2">
            <w:pPr>
              <w:rPr>
                <w:noProof/>
                <w:sz w:val="24"/>
                <w:szCs w:val="24"/>
              </w:rPr>
            </w:pPr>
            <w:r>
              <w:rPr>
                <w:noProof/>
                <w:sz w:val="24"/>
                <w:szCs w:val="24"/>
              </w:rPr>
              <w:t>Continue as during 2014-2020 with the same coverage and roughly the same level of fu</w:t>
            </w:r>
            <w:r>
              <w:rPr>
                <w:noProof/>
                <w:sz w:val="24"/>
                <w:szCs w:val="24"/>
              </w:rPr>
              <w:t xml:space="preserve">nding. </w:t>
            </w:r>
          </w:p>
          <w:p w:rsidR="00046CF8" w:rsidRDefault="003561C2">
            <w:pPr>
              <w:rPr>
                <w:noProof/>
                <w:sz w:val="24"/>
                <w:szCs w:val="24"/>
              </w:rPr>
            </w:pPr>
            <w:r>
              <w:rPr>
                <w:noProof/>
                <w:sz w:val="24"/>
                <w:szCs w:val="24"/>
              </w:rPr>
              <w:t xml:space="preserve">Ring-fence the CLLD allocation      </w:t>
            </w:r>
          </w:p>
        </w:tc>
      </w:tr>
      <w:tr w:rsidR="00046CF8">
        <w:tc>
          <w:tcPr>
            <w:tcW w:w="2828" w:type="dxa"/>
          </w:tcPr>
          <w:p w:rsidR="00046CF8" w:rsidRDefault="003561C2">
            <w:pPr>
              <w:rPr>
                <w:noProof/>
                <w:sz w:val="24"/>
                <w:szCs w:val="24"/>
              </w:rPr>
            </w:pPr>
            <w:r>
              <w:rPr>
                <w:noProof/>
                <w:sz w:val="24"/>
                <w:szCs w:val="24"/>
              </w:rPr>
              <w:t>SO 4:1 International ocean governance</w:t>
            </w:r>
          </w:p>
        </w:tc>
        <w:tc>
          <w:tcPr>
            <w:tcW w:w="6778" w:type="dxa"/>
          </w:tcPr>
          <w:p w:rsidR="00046CF8" w:rsidRDefault="003561C2">
            <w:pPr>
              <w:rPr>
                <w:noProof/>
                <w:sz w:val="24"/>
                <w:szCs w:val="24"/>
              </w:rPr>
            </w:pPr>
            <w:r>
              <w:rPr>
                <w:noProof/>
                <w:sz w:val="24"/>
                <w:szCs w:val="24"/>
              </w:rPr>
              <w:t>Continue support for international and regional organizations (RFMOs, RSCs)</w:t>
            </w:r>
          </w:p>
          <w:p w:rsidR="00046CF8" w:rsidRDefault="003561C2">
            <w:pPr>
              <w:rPr>
                <w:noProof/>
                <w:sz w:val="24"/>
                <w:szCs w:val="24"/>
              </w:rPr>
            </w:pPr>
            <w:r>
              <w:rPr>
                <w:noProof/>
                <w:sz w:val="24"/>
                <w:szCs w:val="24"/>
              </w:rPr>
              <w:t>Broaden scope of support for international ocean governance through ; development of ocean partn</w:t>
            </w:r>
            <w:r>
              <w:rPr>
                <w:noProof/>
                <w:sz w:val="24"/>
                <w:szCs w:val="24"/>
              </w:rPr>
              <w:t xml:space="preserve">erships with key partners; building capacity for better ocean governance, conservation and restoration of marine biodiversity and sustainable blue economies with key partners, promote MSP worldwide and strengthening; international ocean research and data. </w:t>
            </w:r>
          </w:p>
          <w:p w:rsidR="00046CF8" w:rsidRDefault="003561C2">
            <w:pPr>
              <w:rPr>
                <w:noProof/>
                <w:sz w:val="24"/>
                <w:szCs w:val="24"/>
              </w:rPr>
            </w:pPr>
            <w:r>
              <w:rPr>
                <w:noProof/>
                <w:sz w:val="24"/>
                <w:szCs w:val="24"/>
              </w:rPr>
              <w:t>Include support needed to effectively implement the external part of the EU policy to fight against IUU fishing in the form of technical assistance to third countries to implement international obligations (ex. revision of legal frameworks, MCS capacity t</w:t>
            </w:r>
            <w:r>
              <w:rPr>
                <w:noProof/>
                <w:sz w:val="24"/>
                <w:szCs w:val="24"/>
              </w:rPr>
              <w:t>rainings, correct implementation of the EU catch certification scheme) and operational maintenance/update/development of the IT tool for the EU IUU catch certification scheme.</w:t>
            </w:r>
          </w:p>
        </w:tc>
        <w:tc>
          <w:tcPr>
            <w:tcW w:w="4614" w:type="dxa"/>
          </w:tcPr>
          <w:p w:rsidR="00046CF8" w:rsidRDefault="003561C2">
            <w:pPr>
              <w:rPr>
                <w:noProof/>
                <w:sz w:val="24"/>
                <w:szCs w:val="24"/>
              </w:rPr>
            </w:pPr>
            <w:r>
              <w:rPr>
                <w:noProof/>
                <w:sz w:val="24"/>
                <w:szCs w:val="24"/>
              </w:rPr>
              <w:t xml:space="preserve">Continue as during 2014-2020 </w:t>
            </w:r>
          </w:p>
        </w:tc>
      </w:tr>
      <w:tr w:rsidR="00046CF8">
        <w:tc>
          <w:tcPr>
            <w:tcW w:w="2828" w:type="dxa"/>
          </w:tcPr>
          <w:p w:rsidR="00046CF8" w:rsidRDefault="003561C2">
            <w:pPr>
              <w:rPr>
                <w:noProof/>
                <w:sz w:val="24"/>
                <w:szCs w:val="24"/>
              </w:rPr>
            </w:pPr>
            <w:r>
              <w:rPr>
                <w:noProof/>
                <w:sz w:val="24"/>
                <w:szCs w:val="24"/>
              </w:rPr>
              <w:t>SO 4:2 Maritime surveillance and coastguards coop</w:t>
            </w:r>
            <w:r>
              <w:rPr>
                <w:noProof/>
                <w:sz w:val="24"/>
                <w:szCs w:val="24"/>
              </w:rPr>
              <w:t>eration</w:t>
            </w:r>
          </w:p>
        </w:tc>
        <w:tc>
          <w:tcPr>
            <w:tcW w:w="6778" w:type="dxa"/>
          </w:tcPr>
          <w:p w:rsidR="00046CF8" w:rsidRDefault="003561C2">
            <w:pPr>
              <w:rPr>
                <w:noProof/>
                <w:sz w:val="24"/>
                <w:szCs w:val="24"/>
              </w:rPr>
            </w:pPr>
            <w:r>
              <w:rPr>
                <w:noProof/>
                <w:sz w:val="24"/>
                <w:szCs w:val="24"/>
              </w:rPr>
              <w:t>To promote, in line with the EUMSS Action Plan, enhanced international cooperation on maritime security (including on the fight against IUU), integrated maritime surveillance (particularly CISE), capability development and research &amp; innovation, ri</w:t>
            </w:r>
            <w:r>
              <w:rPr>
                <w:noProof/>
                <w:sz w:val="24"/>
                <w:szCs w:val="24"/>
              </w:rPr>
              <w:t xml:space="preserve">sk management and assessment as well as dedicated education and training activities in the field of maritime security. </w:t>
            </w:r>
          </w:p>
          <w:p w:rsidR="00046CF8" w:rsidRDefault="003561C2">
            <w:pPr>
              <w:rPr>
                <w:noProof/>
                <w:sz w:val="24"/>
                <w:szCs w:val="24"/>
              </w:rPr>
            </w:pPr>
            <w:r>
              <w:rPr>
                <w:noProof/>
                <w:sz w:val="24"/>
                <w:szCs w:val="24"/>
              </w:rPr>
              <w:t>Include support for interagency cooperation on coast guard functions, established following the revision of the mandates of the EFCA, EM</w:t>
            </w:r>
            <w:r>
              <w:rPr>
                <w:noProof/>
                <w:sz w:val="24"/>
                <w:szCs w:val="24"/>
              </w:rPr>
              <w:t xml:space="preserve">SA and FRONTEX </w:t>
            </w:r>
          </w:p>
        </w:tc>
        <w:tc>
          <w:tcPr>
            <w:tcW w:w="4614" w:type="dxa"/>
          </w:tcPr>
          <w:p w:rsidR="00046CF8" w:rsidRDefault="003561C2">
            <w:pPr>
              <w:rPr>
                <w:noProof/>
                <w:sz w:val="24"/>
                <w:szCs w:val="24"/>
              </w:rPr>
            </w:pPr>
            <w:r>
              <w:rPr>
                <w:noProof/>
                <w:sz w:val="24"/>
                <w:szCs w:val="24"/>
              </w:rPr>
              <w:t>Continue as during 2014-2020</w:t>
            </w:r>
          </w:p>
        </w:tc>
      </w:tr>
    </w:tbl>
    <w:p w:rsidR="00046CF8" w:rsidRDefault="00046CF8">
      <w:pPr>
        <w:rPr>
          <w:noProof/>
          <w:sz w:val="24"/>
          <w:szCs w:val="24"/>
        </w:rPr>
      </w:pPr>
    </w:p>
    <w:p w:rsidR="00046CF8" w:rsidRDefault="003561C2">
      <w:pPr>
        <w:spacing w:after="160" w:line="259" w:lineRule="auto"/>
        <w:rPr>
          <w:rFonts w:ascii="Times New Roman" w:eastAsia="Times New Roman" w:hAnsi="Times New Roman" w:cs="Times New Roman"/>
          <w:b/>
          <w:smallCaps/>
          <w:noProof/>
          <w:sz w:val="24"/>
          <w:szCs w:val="20"/>
        </w:rPr>
      </w:pPr>
      <w:r>
        <w:rPr>
          <w:noProof/>
        </w:rPr>
        <w:br w:type="page"/>
      </w:r>
    </w:p>
    <w:p w:rsidR="00046CF8" w:rsidRDefault="003561C2">
      <w:pPr>
        <w:pStyle w:val="Heading1"/>
        <w:numPr>
          <w:ilvl w:val="0"/>
          <w:numId w:val="25"/>
        </w:numPr>
        <w:rPr>
          <w:noProof/>
        </w:rPr>
      </w:pPr>
      <w:bookmarkStart w:id="54" w:name="_Toc514503209"/>
      <w:bookmarkStart w:id="55" w:name="_Toc514507428"/>
      <w:r>
        <w:rPr>
          <w:noProof/>
        </w:rPr>
        <w:t>CLLD implementation under the EFF and the EMFF</w:t>
      </w:r>
      <w:bookmarkEnd w:id="54"/>
      <w:bookmarkEnd w:id="55"/>
    </w:p>
    <w:p w:rsidR="00046CF8" w:rsidRDefault="00046CF8">
      <w:pPr>
        <w:spacing w:after="0" w:line="240" w:lineRule="auto"/>
        <w:jc w:val="both"/>
        <w:rPr>
          <w:rFonts w:ascii="Times New Roman" w:hAnsi="Times New Roman" w:cs="Times New Roman"/>
          <w:b/>
          <w:noProof/>
          <w:sz w:val="24"/>
          <w:szCs w:val="24"/>
        </w:rPr>
      </w:pPr>
    </w:p>
    <w:p w:rsidR="00046CF8" w:rsidRDefault="003561C2">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 Fisheries CLLD in the programming period 2007-2013</w:t>
      </w:r>
    </w:p>
    <w:p w:rsidR="00046CF8" w:rsidRDefault="00046CF8">
      <w:pPr>
        <w:spacing w:after="0" w:line="240" w:lineRule="auto"/>
        <w:jc w:val="both"/>
        <w:rPr>
          <w:rFonts w:ascii="Times New Roman" w:hAnsi="Times New Roman" w:cs="Times New Roman"/>
          <w:noProof/>
          <w:sz w:val="24"/>
          <w:szCs w:val="24"/>
        </w:rPr>
      </w:pP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Axis 4 of the European Fisheries Fund (EFF) was used by 312 Fisheries Local Action Groups (FLAGs) from 21 Member States (MS). It had a budget of 522 M€ (EFF contribution, 11.5% of total EFF budget). FLAGs covered an area of over 850 000 square km and a pop</w:t>
      </w:r>
      <w:r>
        <w:rPr>
          <w:rFonts w:ascii="Times New Roman" w:hAnsi="Times New Roman" w:cs="Times New Roman"/>
          <w:noProof/>
          <w:sz w:val="24"/>
          <w:szCs w:val="24"/>
        </w:rPr>
        <w:t xml:space="preserve">ulation of over 28 000 000 (based on data from 270 FLAGs for which such information is available). </w:t>
      </w:r>
    </w:p>
    <w:p w:rsidR="00046CF8" w:rsidRDefault="00046CF8">
      <w:pPr>
        <w:rPr>
          <w:noProof/>
        </w:rPr>
      </w:pPr>
    </w:p>
    <w:p w:rsidR="00046CF8" w:rsidRDefault="003561C2">
      <w:pPr>
        <w:jc w:val="center"/>
        <w:rPr>
          <w:noProof/>
        </w:rPr>
      </w:pPr>
      <w:r>
        <w:rPr>
          <w:noProof/>
          <w:color w:val="FFFFFF" w:themeColor="background1"/>
          <w:lang w:eastAsia="en-GB"/>
        </w:rPr>
        <w:drawing>
          <wp:inline distT="0" distB="0" distL="0" distR="0">
            <wp:extent cx="5334000" cy="2982686"/>
            <wp:effectExtent l="0" t="0" r="19050" b="27305"/>
            <wp:docPr id="5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Information collected by the FARNET support unit (FSU) indicates that FLAGs in 2007-2013 period supported </w:t>
      </w:r>
      <w:r>
        <w:rPr>
          <w:rFonts w:ascii="Times New Roman" w:hAnsi="Times New Roman" w:cs="Times New Roman"/>
          <w:b/>
          <w:noProof/>
          <w:sz w:val="24"/>
          <w:szCs w:val="24"/>
        </w:rPr>
        <w:t>over 11.000 projects</w:t>
      </w:r>
      <w:r>
        <w:rPr>
          <w:rFonts w:ascii="Times New Roman" w:hAnsi="Times New Roman" w:cs="Times New Roman"/>
          <w:noProof/>
          <w:sz w:val="24"/>
          <w:szCs w:val="24"/>
        </w:rPr>
        <w:t xml:space="preserve">. The graph below </w:t>
      </w:r>
      <w:r>
        <w:rPr>
          <w:rFonts w:ascii="Times New Roman" w:hAnsi="Times New Roman" w:cs="Times New Roman"/>
          <w:noProof/>
          <w:sz w:val="24"/>
          <w:szCs w:val="24"/>
        </w:rPr>
        <w:t>illustrates the purposes of projects (based on a sample of FLAGs from 15 MS, Cap Gemini study of 2014):</w:t>
      </w:r>
    </w:p>
    <w:p w:rsidR="00046CF8" w:rsidRDefault="003561C2">
      <w:pPr>
        <w:rPr>
          <w:noProof/>
        </w:rPr>
      </w:pPr>
      <w:r>
        <w:rPr>
          <w:noProof/>
          <w:lang w:eastAsia="en-GB"/>
        </w:rPr>
        <mc:AlternateContent>
          <mc:Choice Requires="wps">
            <w:drawing>
              <wp:anchor distT="0" distB="0" distL="114300" distR="114300" simplePos="0" relativeHeight="251659264" behindDoc="0" locked="0" layoutInCell="1" allowOverlap="1">
                <wp:simplePos x="0" y="0"/>
                <wp:positionH relativeFrom="page">
                  <wp:posOffset>3896722</wp:posOffset>
                </wp:positionH>
                <wp:positionV relativeFrom="paragraph">
                  <wp:posOffset>199935</wp:posOffset>
                </wp:positionV>
                <wp:extent cx="1981200" cy="2852058"/>
                <wp:effectExtent l="0" t="0" r="0" b="0"/>
                <wp:wrapNone/>
                <wp:docPr id="32" name="Rectangle 6"/>
                <wp:cNvGraphicFramePr/>
                <a:graphic xmlns:a="http://schemas.openxmlformats.org/drawingml/2006/main">
                  <a:graphicData uri="http://schemas.microsoft.com/office/word/2010/wordprocessingShape">
                    <wps:wsp>
                      <wps:cNvSpPr/>
                      <wps:spPr>
                        <a:xfrm>
                          <a:off x="0" y="0"/>
                          <a:ext cx="1981200" cy="2852058"/>
                        </a:xfrm>
                        <a:prstGeom prst="rect">
                          <a:avLst/>
                        </a:prstGeom>
                      </wps:spPr>
                      <wps:txbx>
                        <w:txbxContent>
                          <w:p w:rsidR="00046CF8" w:rsidRDefault="003561C2">
                            <w:pPr>
                              <w:spacing w:after="120"/>
                              <w:rPr>
                                <w:rFonts w:ascii="Times New Roman" w:hAnsi="Times New Roman" w:cs="Times New Roman"/>
                                <w:color w:val="0070C0"/>
                                <w:sz w:val="24"/>
                                <w:szCs w:val="24"/>
                              </w:rPr>
                            </w:pPr>
                            <w:r>
                              <w:rPr>
                                <w:rFonts w:ascii="Times New Roman" w:hAnsi="Times New Roman" w:cs="Times New Roman"/>
                                <w:color w:val="0070C0"/>
                                <w:sz w:val="24"/>
                                <w:szCs w:val="24"/>
                              </w:rPr>
                              <w:t>Adding value, creating jobs and promoting innovation</w:t>
                            </w:r>
                          </w:p>
                          <w:p w:rsidR="00046CF8" w:rsidRDefault="003561C2">
                            <w:pPr>
                              <w:spacing w:after="120"/>
                              <w:rPr>
                                <w:rFonts w:ascii="Times New Roman" w:hAnsi="Times New Roman" w:cs="Times New Roman"/>
                                <w:color w:val="92CDDC" w:themeColor="accent5" w:themeTint="99"/>
                                <w:sz w:val="24"/>
                                <w:szCs w:val="24"/>
                              </w:rPr>
                            </w:pPr>
                            <w:r>
                              <w:rPr>
                                <w:rFonts w:ascii="Times New Roman" w:hAnsi="Times New Roman" w:cs="Times New Roman"/>
                                <w:color w:val="92CDDC" w:themeColor="accent5" w:themeTint="99"/>
                                <w:sz w:val="24"/>
                                <w:szCs w:val="24"/>
                              </w:rPr>
                              <w:t>Supporting diversification</w:t>
                            </w:r>
                          </w:p>
                          <w:p w:rsidR="00046CF8" w:rsidRDefault="003561C2">
                            <w:pPr>
                              <w:spacing w:after="120"/>
                              <w:rPr>
                                <w:rFonts w:ascii="Times New Roman" w:hAnsi="Times New Roman" w:cs="Times New Roman"/>
                                <w:color w:val="C4BC96" w:themeColor="background2" w:themeShade="BF"/>
                                <w:sz w:val="24"/>
                                <w:szCs w:val="24"/>
                              </w:rPr>
                            </w:pPr>
                            <w:r>
                              <w:rPr>
                                <w:rFonts w:ascii="Times New Roman" w:hAnsi="Times New Roman" w:cs="Times New Roman"/>
                                <w:color w:val="C4BC96" w:themeColor="background2" w:themeShade="BF"/>
                                <w:sz w:val="24"/>
                                <w:szCs w:val="24"/>
                              </w:rPr>
                              <w:t>Enhancing and capitalising on environmental assets</w:t>
                            </w:r>
                          </w:p>
                          <w:p w:rsidR="00046CF8" w:rsidRDefault="003561C2">
                            <w:pPr>
                              <w:spacing w:after="120"/>
                              <w:rPr>
                                <w:rFonts w:ascii="Times New Roman" w:hAnsi="Times New Roman" w:cs="Times New Roman"/>
                                <w:color w:val="FABF8F" w:themeColor="accent6" w:themeTint="99"/>
                                <w:sz w:val="24"/>
                                <w:szCs w:val="24"/>
                              </w:rPr>
                            </w:pPr>
                            <w:r>
                              <w:rPr>
                                <w:rFonts w:ascii="Times New Roman" w:hAnsi="Times New Roman" w:cs="Times New Roman"/>
                                <w:color w:val="FABF8F" w:themeColor="accent6" w:themeTint="99"/>
                                <w:sz w:val="24"/>
                                <w:szCs w:val="24"/>
                              </w:rPr>
                              <w:t>Social wellbeing a</w:t>
                            </w:r>
                            <w:r>
                              <w:rPr>
                                <w:rFonts w:ascii="Times New Roman" w:hAnsi="Times New Roman" w:cs="Times New Roman"/>
                                <w:color w:val="FABF8F" w:themeColor="accent6" w:themeTint="99"/>
                                <w:sz w:val="24"/>
                                <w:szCs w:val="24"/>
                              </w:rPr>
                              <w:t>nd cultural heritage</w:t>
                            </w:r>
                          </w:p>
                          <w:p w:rsidR="00046CF8" w:rsidRDefault="003561C2">
                            <w:pPr>
                              <w:spacing w:after="12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Strengthening the role of fisheries communities in local development</w:t>
                            </w:r>
                          </w:p>
                          <w:p w:rsidR="00046CF8" w:rsidRDefault="00046CF8">
                            <w:pPr>
                              <w:pStyle w:val="NormalWeb"/>
                              <w:spacing w:after="120"/>
                              <w:jc w:val="right"/>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
            <w:pict>
              <v:rect id="Rectangle 6" o:spid="_x0000_s1026" style="position:absolute;margin-left:306.85pt;margin-top:15.75pt;width:156pt;height:22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TqhgEAAPECAAAOAAAAZHJzL2Uyb0RvYy54bWysUsFu2zAMvQ/oPwi6L3Y8tMiMOMWAYr0M&#10;W9FuH8DIUizAEjVRiZ2/L6V46bDdhl0kSiSf3nvU9n52ozjpSBZ9J9erWgrtFfbWHzr54/vn9xsp&#10;KIHvYUSvO3nWJO93N++2U2h1gwOOvY6CQTy1U+jkkFJoq4rUoB3QCoP2nDQYHSQ+xkPVR5gY3Y1V&#10;U9d31YSxDxGVJuLbh0tS7gq+MVqlb8aQTmLsJHNLZY1l3ee12m2hPUQIg1ULDfgHFg6s50evUA+Q&#10;QByj/QvKWRWR0KSVQlehMVbpooHVrOs/1LwMEHTRwuZQuNpE/w9WfT09RWH7Tn5opPDgeEbP7Br4&#10;w6jFXfZnCtRy2Ut4isuJOMxiZxNd3lmGmIun56unek5C8eX642bNg5JCca7Z3Db17SajVm/tIVJ6&#10;1OhEDjoZ+fniJZy+ULqU/irhvkznQiBHad7PC6s99mfWMvEwO0k/jxCzd9B6/HRMaGyByj2XwgWK&#10;fS1klj+QB/f7uVS9/dTdKwAAAP//AwBQSwMEFAAGAAgAAAAhAK/GHubiAAAACgEAAA8AAABkcnMv&#10;ZG93bnJldi54bWxMj8FKw0AQhu+C77CM4EXaTVqb1phNkYJYilBMtedtMibB7Gya3Sbx7R1PepyZ&#10;j3++P1mPphE9dq62pCCcBiCQclvUVCp4PzxPViCc11ToxhIq+EYH6/T6KtFxYQd6wz7zpeAQcrFW&#10;UHnfxlK6vEKj3dS2SHz7tJ3RnseulEWnBw43jZwFQSSNrok/VLrFTYX5V3YxCoZ83x8Pry9yf3fc&#10;Wjpvz5vsY6fU7c349AjC4+j/YPjVZ3VI2elkL1Q40SiIwvmSUQXzcAGCgYfZghcnBferIAKZJvJ/&#10;hfQHAAD//wMAUEsBAi0AFAAGAAgAAAAhALaDOJL+AAAA4QEAABMAAAAAAAAAAAAAAAAAAAAAAFtD&#10;b250ZW50X1R5cGVzXS54bWxQSwECLQAUAAYACAAAACEAOP0h/9YAAACUAQAACwAAAAAAAAAAAAAA&#10;AAAvAQAAX3JlbHMvLnJlbHNQSwECLQAUAAYACAAAACEAq0W06oYBAADxAgAADgAAAAAAAAAAAAAA&#10;AAAuAgAAZHJzL2Uyb0RvYy54bWxQSwECLQAUAAYACAAAACEAr8Ye5uIAAAAKAQAADwAAAAAAAAAA&#10;AAAAAADgAwAAZHJzL2Rvd25yZXYueG1sUEsFBgAAAAAEAAQA8wAAAO8EAAAAAA==&#10;" filled="f" stroked="f">
                <v:textbox>
                  <w:txbxContent>
                    <w:p>
                      <w:pPr>
                        <w:spacing w:after="120"/>
                        <w:rPr>
                          <w:rFonts w:ascii="Times New Roman" w:hAnsi="Times New Roman" w:cs="Times New Roman"/>
                          <w:color w:val="0070C0"/>
                          <w:sz w:val="24"/>
                          <w:szCs w:val="24"/>
                        </w:rPr>
                      </w:pPr>
                      <w:r>
                        <w:rPr>
                          <w:rFonts w:ascii="Times New Roman" w:hAnsi="Times New Roman" w:cs="Times New Roman"/>
                          <w:color w:val="0070C0"/>
                          <w:sz w:val="24"/>
                          <w:szCs w:val="24"/>
                        </w:rPr>
                        <w:t>Adding value, creating jobs and promoting innovation</w:t>
                      </w:r>
                    </w:p>
                    <w:p>
                      <w:pPr>
                        <w:spacing w:after="120"/>
                        <w:rPr>
                          <w:rFonts w:ascii="Times New Roman" w:hAnsi="Times New Roman" w:cs="Times New Roman"/>
                          <w:color w:val="92CDDC" w:themeColor="accent5" w:themeTint="99"/>
                          <w:sz w:val="24"/>
                          <w:szCs w:val="24"/>
                        </w:rPr>
                      </w:pPr>
                      <w:r>
                        <w:rPr>
                          <w:rFonts w:ascii="Times New Roman" w:hAnsi="Times New Roman" w:cs="Times New Roman"/>
                          <w:color w:val="92CDDC" w:themeColor="accent5" w:themeTint="99"/>
                          <w:sz w:val="24"/>
                          <w:szCs w:val="24"/>
                        </w:rPr>
                        <w:t>Supporting diversification</w:t>
                      </w:r>
                    </w:p>
                    <w:p>
                      <w:pPr>
                        <w:spacing w:after="120"/>
                        <w:rPr>
                          <w:rFonts w:ascii="Times New Roman" w:hAnsi="Times New Roman" w:cs="Times New Roman"/>
                          <w:color w:val="C4BC96" w:themeColor="background2" w:themeShade="BF"/>
                          <w:sz w:val="24"/>
                          <w:szCs w:val="24"/>
                        </w:rPr>
                      </w:pPr>
                      <w:r>
                        <w:rPr>
                          <w:rFonts w:ascii="Times New Roman" w:hAnsi="Times New Roman" w:cs="Times New Roman"/>
                          <w:color w:val="C4BC96" w:themeColor="background2" w:themeShade="BF"/>
                          <w:sz w:val="24"/>
                          <w:szCs w:val="24"/>
                        </w:rPr>
                        <w:t>Enhancing and capitalising on environmental assets</w:t>
                      </w:r>
                    </w:p>
                    <w:p>
                      <w:pPr>
                        <w:spacing w:after="120"/>
                        <w:rPr>
                          <w:rFonts w:ascii="Times New Roman" w:hAnsi="Times New Roman" w:cs="Times New Roman"/>
                          <w:color w:val="FABF8F" w:themeColor="accent6" w:themeTint="99"/>
                          <w:sz w:val="24"/>
                          <w:szCs w:val="24"/>
                        </w:rPr>
                      </w:pPr>
                      <w:r>
                        <w:rPr>
                          <w:rFonts w:ascii="Times New Roman" w:hAnsi="Times New Roman" w:cs="Times New Roman"/>
                          <w:color w:val="FABF8F" w:themeColor="accent6" w:themeTint="99"/>
                          <w:sz w:val="24"/>
                          <w:szCs w:val="24"/>
                        </w:rPr>
                        <w:t>Social wellbeing and cultural heritage</w:t>
                      </w:r>
                    </w:p>
                    <w:p>
                      <w:pPr>
                        <w:spacing w:after="12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Strengthening the role of fisheries communities in local development</w:t>
                      </w:r>
                    </w:p>
                    <w:p>
                      <w:pPr>
                        <w:pStyle w:val="NormalWeb"/>
                        <w:spacing w:after="120"/>
                        <w:jc w:val="right"/>
                      </w:pPr>
                    </w:p>
                  </w:txbxContent>
                </v:textbox>
                <w10:wrap anchorx="page"/>
              </v:rect>
            </w:pict>
          </mc:Fallback>
        </mc:AlternateContent>
      </w:r>
    </w:p>
    <w:p w:rsidR="00046CF8" w:rsidRDefault="003561C2">
      <w:pPr>
        <w:rPr>
          <w:noProof/>
        </w:rPr>
      </w:pPr>
      <w:r>
        <w:rPr>
          <w:noProof/>
          <w:lang w:eastAsia="en-GB"/>
        </w:rPr>
        <w:drawing>
          <wp:inline distT="0" distB="0" distL="0" distR="0">
            <wp:extent cx="2558143" cy="2601360"/>
            <wp:effectExtent l="0" t="0" r="0" b="8890"/>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8"/>
                    <a:stretch>
                      <a:fillRect/>
                    </a:stretch>
                  </pic:blipFill>
                  <pic:spPr>
                    <a:xfrm>
                      <a:off x="0" y="0"/>
                      <a:ext cx="2585153" cy="2628826"/>
                    </a:xfrm>
                    <a:prstGeom prst="rect">
                      <a:avLst/>
                    </a:prstGeom>
                  </pic:spPr>
                </pic:pic>
              </a:graphicData>
            </a:graphic>
          </wp:inline>
        </w:drawing>
      </w:r>
    </w:p>
    <w:p w:rsidR="00046CF8" w:rsidRDefault="00046CF8">
      <w:pPr>
        <w:rPr>
          <w:noProof/>
        </w:rPr>
      </w:pP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a FLAG survey carried out by FSU in 2016, projects supported by EFF in 151 FLAGs which responded to the survey (almost 50% of the total number of FLAGs) helped to </w:t>
      </w:r>
      <w:r>
        <w:rPr>
          <w:rFonts w:ascii="Times New Roman" w:hAnsi="Times New Roman" w:cs="Times New Roman"/>
          <w:b/>
          <w:noProof/>
          <w:sz w:val="24"/>
          <w:szCs w:val="24"/>
        </w:rPr>
        <w:t>create nearly 3900 jobs</w:t>
      </w:r>
      <w:r>
        <w:rPr>
          <w:rFonts w:ascii="Times New Roman" w:hAnsi="Times New Roman" w:cs="Times New Roman"/>
          <w:noProof/>
          <w:sz w:val="24"/>
          <w:szCs w:val="24"/>
        </w:rPr>
        <w:t xml:space="preserve"> and </w:t>
      </w:r>
      <w:r>
        <w:rPr>
          <w:rFonts w:ascii="Times New Roman" w:hAnsi="Times New Roman" w:cs="Times New Roman"/>
          <w:b/>
          <w:noProof/>
          <w:sz w:val="24"/>
          <w:szCs w:val="24"/>
        </w:rPr>
        <w:t>maintain a further 4500</w:t>
      </w:r>
      <w:r>
        <w:rPr>
          <w:rFonts w:ascii="Times New Roman" w:hAnsi="Times New Roman" w:cs="Times New Roman"/>
          <w:noProof/>
          <w:sz w:val="24"/>
          <w:szCs w:val="24"/>
        </w:rPr>
        <w:t xml:space="preserve">, and to create </w:t>
      </w:r>
      <w:r>
        <w:rPr>
          <w:rFonts w:ascii="Times New Roman" w:hAnsi="Times New Roman" w:cs="Times New Roman"/>
          <w:b/>
          <w:noProof/>
          <w:sz w:val="24"/>
          <w:szCs w:val="24"/>
        </w:rPr>
        <w:t>1050 new busi</w:t>
      </w:r>
      <w:r>
        <w:rPr>
          <w:rFonts w:ascii="Times New Roman" w:hAnsi="Times New Roman" w:cs="Times New Roman"/>
          <w:b/>
          <w:noProof/>
          <w:sz w:val="24"/>
          <w:szCs w:val="24"/>
        </w:rPr>
        <w:t>nesses</w:t>
      </w:r>
      <w:r>
        <w:rPr>
          <w:rFonts w:ascii="Times New Roman" w:hAnsi="Times New Roman" w:cs="Times New Roman"/>
          <w:noProof/>
          <w:sz w:val="24"/>
          <w:szCs w:val="24"/>
        </w:rPr>
        <w:t xml:space="preserve">. Approximately </w:t>
      </w:r>
      <w:r>
        <w:rPr>
          <w:rFonts w:ascii="Times New Roman" w:hAnsi="Times New Roman" w:cs="Times New Roman"/>
          <w:b/>
          <w:noProof/>
          <w:sz w:val="24"/>
          <w:szCs w:val="24"/>
        </w:rPr>
        <w:t>2700</w:t>
      </w:r>
      <w:r>
        <w:rPr>
          <w:rFonts w:ascii="Times New Roman" w:hAnsi="Times New Roman" w:cs="Times New Roman"/>
          <w:noProof/>
          <w:sz w:val="24"/>
          <w:szCs w:val="24"/>
        </w:rPr>
        <w:t xml:space="preserve"> projects have specifically targeted the </w:t>
      </w:r>
      <w:r>
        <w:rPr>
          <w:rFonts w:ascii="Times New Roman" w:hAnsi="Times New Roman" w:cs="Times New Roman"/>
          <w:b/>
          <w:noProof/>
          <w:sz w:val="24"/>
          <w:szCs w:val="24"/>
        </w:rPr>
        <w:t>small-scale coastal fisheries</w:t>
      </w:r>
      <w:r>
        <w:rPr>
          <w:rFonts w:ascii="Times New Roman" w:hAnsi="Times New Roman" w:cs="Times New Roman"/>
          <w:noProof/>
          <w:sz w:val="24"/>
          <w:szCs w:val="24"/>
        </w:rPr>
        <w:t xml:space="preserve"> sector.</w:t>
      </w:r>
    </w:p>
    <w:p w:rsidR="00046CF8" w:rsidRDefault="00046CF8">
      <w:pPr>
        <w:spacing w:line="240" w:lineRule="auto"/>
        <w:jc w:val="both"/>
        <w:rPr>
          <w:rFonts w:ascii="Times New Roman" w:hAnsi="Times New Roman" w:cs="Times New Roman"/>
          <w:noProof/>
          <w:sz w:val="24"/>
          <w:szCs w:val="24"/>
        </w:rPr>
      </w:pPr>
    </w:p>
    <w:p w:rsidR="00046CF8" w:rsidRDefault="003561C2">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 Fisheries CLLD in the period 2014-2020</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2014-2020, Union Priority 4 of the EMFF is implemented by 20 Member States who, by the end of 2017, had </w:t>
      </w:r>
      <w:r>
        <w:rPr>
          <w:rFonts w:ascii="Times New Roman" w:hAnsi="Times New Roman" w:cs="Times New Roman"/>
          <w:noProof/>
          <w:sz w:val="24"/>
          <w:szCs w:val="24"/>
        </w:rPr>
        <w:t>selected 368 FLAGs. Complete data is not yet available, but 228 FLAGs cover an area of nearly 250 000 square km and a population of nearly 24 000 000.</w:t>
      </w:r>
    </w:p>
    <w:p w:rsidR="00046CF8" w:rsidRDefault="00046CF8">
      <w:pPr>
        <w:spacing w:line="240" w:lineRule="auto"/>
        <w:jc w:val="both"/>
        <w:rPr>
          <w:rFonts w:ascii="Times New Roman" w:hAnsi="Times New Roman" w:cs="Times New Roman"/>
          <w:noProof/>
          <w:sz w:val="24"/>
          <w:szCs w:val="24"/>
        </w:rPr>
      </w:pPr>
    </w:p>
    <w:p w:rsidR="00046CF8" w:rsidRDefault="003561C2">
      <w:pPr>
        <w:jc w:val="center"/>
        <w:rPr>
          <w:rFonts w:ascii="Times New Roman" w:hAnsi="Times New Roman" w:cs="Times New Roman"/>
          <w:noProof/>
          <w:sz w:val="24"/>
          <w:szCs w:val="24"/>
        </w:rPr>
      </w:pPr>
      <w:r>
        <w:rPr>
          <w:noProof/>
          <w:lang w:eastAsia="en-GB"/>
        </w:rPr>
        <w:drawing>
          <wp:inline distT="0" distB="0" distL="0" distR="0">
            <wp:extent cx="5162843" cy="2293034"/>
            <wp:effectExtent l="0" t="0" r="0" b="12065"/>
            <wp:docPr id="225" name="Chart 2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xmlns:mv="urn:schemas-microsoft-com:mac:vml" xmlns:mo="http://schemas.microsoft.com/office/mac/office/2008/main" id="{0786D288-B57A-42E5-BB62-D9949E7CF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46CF8" w:rsidRDefault="00046CF8">
      <w:pPr>
        <w:jc w:val="both"/>
        <w:rPr>
          <w:rFonts w:ascii="Times New Roman" w:hAnsi="Times New Roman" w:cs="Times New Roman"/>
          <w:noProof/>
          <w:sz w:val="24"/>
          <w:szCs w:val="24"/>
        </w:rPr>
      </w:pPr>
    </w:p>
    <w:p w:rsidR="00046CF8" w:rsidRDefault="003561C2">
      <w:pPr>
        <w:jc w:val="both"/>
        <w:rPr>
          <w:rFonts w:ascii="Times New Roman" w:hAnsi="Times New Roman" w:cs="Times New Roman"/>
          <w:noProof/>
          <w:sz w:val="24"/>
          <w:szCs w:val="24"/>
        </w:rPr>
      </w:pPr>
      <w:r>
        <w:rPr>
          <w:rFonts w:ascii="Times New Roman" w:hAnsi="Times New Roman" w:cs="Times New Roman"/>
          <w:noProof/>
          <w:sz w:val="24"/>
          <w:szCs w:val="24"/>
        </w:rPr>
        <w:t>These FLAGs have at their disposal a total budget of 522 M€ (EMFF contribution, ca. 12% of the EMFF</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w:t>
      </w:r>
      <w:r>
        <w:rPr>
          <w:rFonts w:ascii="Times New Roman" w:hAnsi="Times New Roman" w:cs="Times New Roman"/>
          <w:noProof/>
          <w:sz w:val="24"/>
          <w:szCs w:val="24"/>
        </w:rPr>
        <w:t>, plus ca. 170 M€ of national/regional public funding. The average total public funding per FLAG by Member State (in M€) is presented below:</w:t>
      </w:r>
    </w:p>
    <w:p w:rsidR="00046CF8" w:rsidRDefault="003561C2">
      <w:pPr>
        <w:jc w:val="center"/>
        <w:rPr>
          <w:noProof/>
        </w:rPr>
      </w:pPr>
      <w:r>
        <w:rPr>
          <w:noProof/>
          <w:lang w:eastAsia="en-GB"/>
        </w:rPr>
        <w:drawing>
          <wp:inline distT="0" distB="0" distL="0" distR="0">
            <wp:extent cx="5731510" cy="2811780"/>
            <wp:effectExtent l="0" t="0" r="21590" b="26670"/>
            <wp:docPr id="226" name="Chart 22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xmlns:mv="urn:schemas-microsoft-com:mac:vml" xmlns:mo="http://schemas.microsoft.com/office/mac/office/2008/main" id="{6CB029AB-3BAD-4A22-97AE-E1DF8E361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information collected by FSU, 170 FLAGs for which such data is already available have </w:t>
      </w:r>
      <w:r>
        <w:rPr>
          <w:rFonts w:ascii="Times New Roman" w:hAnsi="Times New Roman" w:cs="Times New Roman"/>
          <w:b/>
          <w:noProof/>
          <w:sz w:val="24"/>
          <w:szCs w:val="24"/>
        </w:rPr>
        <w:t>mobilised over</w:t>
      </w:r>
      <w:r>
        <w:rPr>
          <w:rFonts w:ascii="Times New Roman" w:hAnsi="Times New Roman" w:cs="Times New Roman"/>
          <w:b/>
          <w:noProof/>
          <w:sz w:val="24"/>
          <w:szCs w:val="24"/>
        </w:rPr>
        <w:t xml:space="preserve"> 8500 stakeholders</w:t>
      </w:r>
      <w:r>
        <w:rPr>
          <w:rFonts w:ascii="Times New Roman" w:hAnsi="Times New Roman" w:cs="Times New Roman"/>
          <w:noProof/>
          <w:sz w:val="24"/>
          <w:szCs w:val="24"/>
        </w:rPr>
        <w:t xml:space="preserve"> (members of the FLAG partnerships), of which over </w:t>
      </w:r>
      <w:r>
        <w:rPr>
          <w:rFonts w:ascii="Times New Roman" w:hAnsi="Times New Roman" w:cs="Times New Roman"/>
          <w:b/>
          <w:noProof/>
          <w:sz w:val="24"/>
          <w:szCs w:val="24"/>
        </w:rPr>
        <w:t>2300</w:t>
      </w:r>
      <w:r>
        <w:rPr>
          <w:rFonts w:ascii="Times New Roman" w:hAnsi="Times New Roman" w:cs="Times New Roman"/>
          <w:noProof/>
          <w:sz w:val="24"/>
          <w:szCs w:val="24"/>
        </w:rPr>
        <w:t xml:space="preserve"> represented the </w:t>
      </w:r>
      <w:r>
        <w:rPr>
          <w:rFonts w:ascii="Times New Roman" w:hAnsi="Times New Roman" w:cs="Times New Roman"/>
          <w:b/>
          <w:noProof/>
          <w:sz w:val="24"/>
          <w:szCs w:val="24"/>
        </w:rPr>
        <w:t xml:space="preserve">fisheries and aquaculture </w:t>
      </w:r>
      <w:r>
        <w:rPr>
          <w:rFonts w:ascii="Times New Roman" w:hAnsi="Times New Roman" w:cs="Times New Roman"/>
          <w:noProof/>
          <w:sz w:val="24"/>
          <w:szCs w:val="24"/>
        </w:rPr>
        <w:t>sectors.</w:t>
      </w:r>
    </w:p>
    <w:p w:rsidR="00046CF8" w:rsidRDefault="00046CF8">
      <w:pPr>
        <w:spacing w:after="0" w:line="240" w:lineRule="auto"/>
        <w:jc w:val="both"/>
        <w:rPr>
          <w:rFonts w:ascii="Times New Roman" w:hAnsi="Times New Roman" w:cs="Times New Roman"/>
          <w:noProof/>
          <w:sz w:val="24"/>
          <w:szCs w:val="24"/>
        </w:rPr>
      </w:pPr>
    </w:p>
    <w:p w:rsidR="00046CF8" w:rsidRDefault="003561C2">
      <w:pPr>
        <w:spacing w:line="240" w:lineRule="auto"/>
        <w:jc w:val="both"/>
        <w:rPr>
          <w:noProof/>
        </w:rPr>
      </w:pPr>
      <w:r>
        <w:rPr>
          <w:rFonts w:ascii="Times New Roman" w:hAnsi="Times New Roman" w:cs="Times New Roman"/>
          <w:noProof/>
          <w:sz w:val="24"/>
          <w:szCs w:val="24"/>
        </w:rPr>
        <w:t xml:space="preserve">By the end of December 2017, </w:t>
      </w:r>
      <w:r>
        <w:rPr>
          <w:rFonts w:ascii="Times New Roman" w:hAnsi="Times New Roman" w:cs="Times New Roman"/>
          <w:b/>
          <w:noProof/>
          <w:sz w:val="24"/>
          <w:szCs w:val="24"/>
        </w:rPr>
        <w:t>1317 projects</w:t>
      </w:r>
      <w:r>
        <w:rPr>
          <w:rFonts w:ascii="Times New Roman" w:hAnsi="Times New Roman" w:cs="Times New Roman"/>
          <w:noProof/>
          <w:sz w:val="24"/>
          <w:szCs w:val="24"/>
        </w:rPr>
        <w:t xml:space="preserve"> had been selected for implementation and approved by the relevant authority:</w:t>
      </w:r>
    </w:p>
    <w:p w:rsidR="00046CF8" w:rsidRDefault="003561C2">
      <w:pPr>
        <w:jc w:val="center"/>
        <w:rPr>
          <w:noProof/>
        </w:rPr>
      </w:pPr>
      <w:r>
        <w:rPr>
          <w:noProof/>
          <w:lang w:eastAsia="en-GB"/>
        </w:rPr>
        <w:drawing>
          <wp:inline distT="0" distB="0" distL="0" distR="0">
            <wp:extent cx="5731510" cy="2903220"/>
            <wp:effectExtent l="0" t="0" r="21590" b="11430"/>
            <wp:docPr id="227" name="Chart 22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xmlns:mv="urn:schemas-microsoft-com:mac:vml" xmlns:mo="http://schemas.microsoft.com/office/mac/office/2008/main" id="{49784F46-4176-4A1C-88BD-B60DCBA73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46CF8" w:rsidRDefault="003561C2">
      <w:pPr>
        <w:rPr>
          <w:noProof/>
        </w:rPr>
      </w:pPr>
      <w:r>
        <w:rPr>
          <w:noProof/>
        </w:rPr>
        <w:t xml:space="preserve"> </w:t>
      </w:r>
    </w:p>
    <w:p w:rsidR="00046CF8" w:rsidRDefault="00046CF8">
      <w:pPr>
        <w:tabs>
          <w:tab w:val="left" w:pos="3060"/>
        </w:tabs>
        <w:spacing w:line="240" w:lineRule="auto"/>
        <w:jc w:val="both"/>
        <w:rPr>
          <w:rFonts w:ascii="Times New Roman" w:hAnsi="Times New Roman" w:cs="Times New Roman"/>
          <w:noProof/>
          <w:sz w:val="24"/>
          <w:szCs w:val="24"/>
        </w:rPr>
      </w:pPr>
    </w:p>
    <w:p w:rsidR="00046CF8" w:rsidRDefault="00046CF8">
      <w:pPr>
        <w:tabs>
          <w:tab w:val="left" w:pos="3060"/>
        </w:tabs>
        <w:spacing w:line="240" w:lineRule="auto"/>
        <w:jc w:val="both"/>
        <w:rPr>
          <w:rFonts w:ascii="Times New Roman" w:hAnsi="Times New Roman" w:cs="Times New Roman"/>
          <w:noProof/>
          <w:sz w:val="24"/>
          <w:szCs w:val="24"/>
        </w:rPr>
      </w:pPr>
    </w:p>
    <w:p w:rsidR="00046CF8" w:rsidRDefault="00046CF8">
      <w:pPr>
        <w:tabs>
          <w:tab w:val="left" w:pos="3060"/>
        </w:tabs>
        <w:spacing w:line="240" w:lineRule="auto"/>
        <w:jc w:val="both"/>
        <w:rPr>
          <w:rFonts w:ascii="Times New Roman" w:hAnsi="Times New Roman" w:cs="Times New Roman"/>
          <w:noProof/>
          <w:sz w:val="24"/>
          <w:szCs w:val="24"/>
        </w:rPr>
      </w:pPr>
    </w:p>
    <w:p w:rsidR="00046CF8" w:rsidRDefault="003561C2">
      <w:pPr>
        <w:tabs>
          <w:tab w:val="left" w:pos="306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nine MS, FLAGs also have access to other ESI funds to implement their local strategy. The graph below shows how many FLAGs in those countries use which combination of funds: </w:t>
      </w:r>
    </w:p>
    <w:p w:rsidR="00046CF8" w:rsidRDefault="003561C2">
      <w:pPr>
        <w:tabs>
          <w:tab w:val="left" w:pos="3060"/>
        </w:tabs>
        <w:rPr>
          <w:noProof/>
        </w:rPr>
      </w:pPr>
      <w:r>
        <w:rPr>
          <w:noProof/>
          <w:lang w:eastAsia="en-GB"/>
        </w:rPr>
        <w:drawing>
          <wp:inline distT="0" distB="0" distL="0" distR="0">
            <wp:extent cx="5731510" cy="3185160"/>
            <wp:effectExtent l="0" t="0" r="2540" b="15240"/>
            <wp:docPr id="228" name="Chart 22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xmlns:mv="urn:schemas-microsoft-com:mac:vml" xmlns:mo="http://schemas.microsoft.com/office/mac/office/2008/main" id="{9C76D147-4872-4C94-84F4-A276ED424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46CF8" w:rsidRDefault="00046CF8">
      <w:pPr>
        <w:rPr>
          <w:noProof/>
        </w:rPr>
      </w:pPr>
    </w:p>
    <w:p w:rsidR="00046CF8" w:rsidRDefault="003561C2">
      <w:pPr>
        <w:rPr>
          <w:noProof/>
        </w:rPr>
      </w:pPr>
      <w:r>
        <w:rPr>
          <w:noProof/>
        </w:rPr>
        <w:br w:type="page"/>
      </w:r>
    </w:p>
    <w:p w:rsidR="00046CF8" w:rsidRDefault="003561C2">
      <w:pPr>
        <w:pStyle w:val="Heading1"/>
        <w:numPr>
          <w:ilvl w:val="0"/>
          <w:numId w:val="0"/>
        </w:numPr>
        <w:ind w:left="480" w:hanging="480"/>
        <w:rPr>
          <w:noProof/>
        </w:rPr>
      </w:pPr>
      <w:bookmarkStart w:id="56" w:name="_Toc514503210"/>
      <w:bookmarkStart w:id="57" w:name="_Toc514507429"/>
      <w:r>
        <w:rPr>
          <w:noProof/>
        </w:rPr>
        <w:t>FLAG support to small scale coastal fisheries</w:t>
      </w:r>
      <w:bookmarkEnd w:id="56"/>
      <w:bookmarkEnd w:id="57"/>
    </w:p>
    <w:p w:rsidR="00046CF8" w:rsidRDefault="003561C2">
      <w:pPr>
        <w:pStyle w:val="ListParagraph"/>
        <w:numPr>
          <w:ilvl w:val="0"/>
          <w:numId w:val="26"/>
        </w:numPr>
        <w:spacing w:after="240" w:line="240" w:lineRule="auto"/>
        <w:ind w:left="717"/>
        <w:jc w:val="both"/>
        <w:rPr>
          <w:b/>
          <w:noProof/>
          <w:szCs w:val="24"/>
          <w:lang w:val="en-US"/>
        </w:rPr>
      </w:pPr>
      <w:r>
        <w:rPr>
          <w:b/>
          <w:noProof/>
          <w:szCs w:val="24"/>
          <w:lang w:val="en-US"/>
        </w:rPr>
        <w:t>Objective &amp; Methodology</w:t>
      </w:r>
    </w:p>
    <w:p w:rsidR="00046CF8" w:rsidRDefault="003561C2">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w:t>
      </w:r>
      <w:r>
        <w:rPr>
          <w:rFonts w:ascii="Times New Roman" w:hAnsi="Times New Roman" w:cs="Times New Roman"/>
          <w:noProof/>
          <w:sz w:val="24"/>
          <w:szCs w:val="24"/>
          <w:lang w:val="en-US"/>
        </w:rPr>
        <w:t xml:space="preserve"> FARNET Support unit carried out a study to assess the level of support channeled through the Fisheries Local Action Groups (FLAGs) towards Small Scale Coastal Fisheries (SSCF) as no data was systematically collected on this topic. The study consisted in a</w:t>
      </w:r>
      <w:r>
        <w:rPr>
          <w:rFonts w:ascii="Times New Roman" w:hAnsi="Times New Roman" w:cs="Times New Roman"/>
          <w:noProof/>
          <w:sz w:val="24"/>
          <w:szCs w:val="24"/>
          <w:lang w:val="en-US"/>
        </w:rPr>
        <w:t xml:space="preserve"> survey addressed to all FLAGs in existence in the 2007-2013 programming period as well as in 4 case studies on 4 FLAGs which harbored significant SSCF.  The definition of Small Scale Coastal Fisheries used was based regulation 508/2014 but adapted to acco</w:t>
      </w:r>
      <w:r>
        <w:rPr>
          <w:rFonts w:ascii="Times New Roman" w:hAnsi="Times New Roman" w:cs="Times New Roman"/>
          <w:noProof/>
          <w:sz w:val="24"/>
          <w:szCs w:val="24"/>
          <w:lang w:val="en-US"/>
        </w:rPr>
        <w:t>unt specifically for inland fisheries and on foot fishing/shellfish gathering.</w:t>
      </w:r>
    </w:p>
    <w:p w:rsidR="00046CF8" w:rsidRDefault="003561C2">
      <w:pPr>
        <w:pStyle w:val="ListParagraph"/>
        <w:numPr>
          <w:ilvl w:val="0"/>
          <w:numId w:val="26"/>
        </w:numPr>
        <w:spacing w:after="240" w:line="240" w:lineRule="auto"/>
        <w:ind w:left="711" w:hanging="357"/>
        <w:jc w:val="both"/>
        <w:rPr>
          <w:b/>
          <w:noProof/>
          <w:szCs w:val="24"/>
          <w:lang w:val="en-US"/>
        </w:rPr>
      </w:pPr>
      <w:r>
        <w:rPr>
          <w:b/>
          <w:noProof/>
          <w:szCs w:val="24"/>
          <w:lang w:val="en-US"/>
        </w:rPr>
        <w:t xml:space="preserve">Importance of SSCF in FLAG Areas </w:t>
      </w:r>
    </w:p>
    <w:p w:rsidR="00046CF8" w:rsidRDefault="003561C2">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There is a clear tendency for FLAGs to be located in areas with strong SSCF presence: 50 % of surveyed FLAGs report SSCF to represent 80 to 100</w:t>
      </w:r>
      <w:r>
        <w:rPr>
          <w:rFonts w:ascii="Times New Roman" w:hAnsi="Times New Roman" w:cs="Times New Roman"/>
          <w:noProof/>
          <w:sz w:val="24"/>
          <w:szCs w:val="24"/>
          <w:lang w:val="en-US"/>
        </w:rPr>
        <w:t xml:space="preserve">% of the fisheries sector locally.  There is a strong but not systematic relationship between the importance of SSCF locally and the budget devoted by FLAGs to support SSCF. </w:t>
      </w:r>
    </w:p>
    <w:p w:rsidR="00046CF8" w:rsidRDefault="003561C2">
      <w:pPr>
        <w:pStyle w:val="ListParagraph"/>
        <w:numPr>
          <w:ilvl w:val="0"/>
          <w:numId w:val="26"/>
        </w:numPr>
        <w:spacing w:before="120" w:after="240" w:line="240" w:lineRule="auto"/>
        <w:ind w:left="711" w:hanging="357"/>
        <w:jc w:val="both"/>
        <w:rPr>
          <w:b/>
          <w:noProof/>
          <w:szCs w:val="24"/>
          <w:lang w:val="en-US"/>
        </w:rPr>
      </w:pPr>
      <w:r>
        <w:rPr>
          <w:b/>
          <w:noProof/>
          <w:szCs w:val="24"/>
          <w:lang w:val="en-US"/>
        </w:rPr>
        <w:t>FLAG Projects 2007-2013 (EFF)</w:t>
      </w:r>
    </w:p>
    <w:p w:rsidR="00046CF8" w:rsidRDefault="003561C2">
      <w:pPr>
        <w:spacing w:after="120" w:line="24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An estimated 2682 projects were targeted at small s</w:t>
      </w:r>
      <w:r>
        <w:rPr>
          <w:rFonts w:ascii="Times New Roman" w:hAnsi="Times New Roman" w:cs="Times New Roman"/>
          <w:noProof/>
          <w:sz w:val="24"/>
          <w:szCs w:val="24"/>
          <w:lang w:val="en-US"/>
        </w:rPr>
        <w:t>cale coastal fisheries in the period 2007-2013 accounting for around 23% of FLAG projects. The share of projects targeting SSCF jumps to around 40% if inland areas without commercial fishing are taken out of the population. In other words, those FLAGs wher</w:t>
      </w:r>
      <w:r>
        <w:rPr>
          <w:rFonts w:ascii="Times New Roman" w:hAnsi="Times New Roman" w:cs="Times New Roman"/>
          <w:noProof/>
          <w:sz w:val="24"/>
          <w:szCs w:val="24"/>
          <w:lang w:val="en-US"/>
        </w:rPr>
        <w:t>e SSCF was potentially present devoted around 40 % of their projects to support that segment of the fleet. Areas with important inland commercial fishing activities (Finland, Estonia) were heavily supported by FLAGs.</w:t>
      </w:r>
    </w:p>
    <w:p w:rsidR="00046CF8" w:rsidRDefault="003561C2">
      <w:pPr>
        <w:pStyle w:val="ListParagraph"/>
        <w:numPr>
          <w:ilvl w:val="0"/>
          <w:numId w:val="26"/>
        </w:numPr>
        <w:spacing w:after="240" w:line="240" w:lineRule="auto"/>
        <w:ind w:left="717"/>
        <w:jc w:val="both"/>
        <w:rPr>
          <w:b/>
          <w:noProof/>
          <w:szCs w:val="24"/>
          <w:lang w:val="en-US"/>
        </w:rPr>
      </w:pPr>
      <w:r>
        <w:rPr>
          <w:b/>
          <w:noProof/>
          <w:szCs w:val="24"/>
          <w:lang w:val="en-US"/>
        </w:rPr>
        <w:t>Financial  Support 2007-2013 (EFF)</w:t>
      </w:r>
    </w:p>
    <w:p w:rsidR="00046CF8" w:rsidRDefault="003561C2">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w:t>
      </w:r>
      <w:r>
        <w:rPr>
          <w:rFonts w:ascii="Times New Roman" w:hAnsi="Times New Roman" w:cs="Times New Roman"/>
          <w:noProof/>
          <w:sz w:val="24"/>
          <w:szCs w:val="24"/>
          <w:lang w:val="en-US"/>
        </w:rPr>
        <w:t>level of total public support (EFF and national co-financing) channeled through the FLAGs in support of SSCF for the period 2007-2013 can be estimated was about EUR 140 million (of which around EUR 90 million EFF and 50 million national co-financing).  Thi</w:t>
      </w:r>
      <w:r>
        <w:rPr>
          <w:rFonts w:ascii="Times New Roman" w:hAnsi="Times New Roman" w:cs="Times New Roman"/>
          <w:noProof/>
          <w:sz w:val="24"/>
          <w:szCs w:val="24"/>
          <w:lang w:val="en-US"/>
        </w:rPr>
        <w:t>s represents close to 20% of the total public money available to the FLAGs in the period 2007/2013.</w:t>
      </w:r>
    </w:p>
    <w:p w:rsidR="00046CF8" w:rsidRDefault="003561C2">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share of the budget devoted to SSCF increases to close to 30 % of total public expenditure if inland areas without commercial fishing are taken out of t</w:t>
      </w:r>
      <w:r>
        <w:rPr>
          <w:rFonts w:ascii="Times New Roman" w:hAnsi="Times New Roman" w:cs="Times New Roman"/>
          <w:noProof/>
          <w:sz w:val="24"/>
          <w:szCs w:val="24"/>
          <w:lang w:val="en-US"/>
        </w:rPr>
        <w:t>he population. In other words, those FLAGs where SSCF was potentially present devoted around 30 % of their budget to support that segment of the fleet.</w:t>
      </w:r>
    </w:p>
    <w:p w:rsidR="00046CF8" w:rsidRDefault="003561C2">
      <w:pPr>
        <w:pStyle w:val="ListParagraph"/>
        <w:numPr>
          <w:ilvl w:val="0"/>
          <w:numId w:val="26"/>
        </w:numPr>
        <w:spacing w:after="240" w:line="240" w:lineRule="auto"/>
        <w:ind w:left="717"/>
        <w:jc w:val="both"/>
        <w:rPr>
          <w:b/>
          <w:noProof/>
          <w:szCs w:val="24"/>
          <w:lang w:val="en-US"/>
        </w:rPr>
      </w:pPr>
      <w:r>
        <w:rPr>
          <w:b/>
          <w:noProof/>
          <w:szCs w:val="24"/>
          <w:lang w:val="en-US"/>
        </w:rPr>
        <w:t>Project Size and Types of Projects (EFF)</w:t>
      </w:r>
    </w:p>
    <w:p w:rsidR="00046CF8" w:rsidRDefault="003561C2">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average size of SSCF projects supported by FLAGs amounts to</w:t>
      </w:r>
      <w:r>
        <w:rPr>
          <w:rFonts w:ascii="Times New Roman" w:hAnsi="Times New Roman" w:cs="Times New Roman"/>
          <w:noProof/>
          <w:sz w:val="24"/>
          <w:szCs w:val="24"/>
          <w:lang w:val="en-US"/>
        </w:rPr>
        <w:t xml:space="preserve"> around EUR 41 000. This is below the average project size of around EUR 62 000. SSCF projects are therefore generally smaller than other types of projects financed by Axis 4. The two more popular categories of projects are those linked with product promot</w:t>
      </w:r>
      <w:r>
        <w:rPr>
          <w:rFonts w:ascii="Times New Roman" w:hAnsi="Times New Roman" w:cs="Times New Roman"/>
          <w:noProof/>
          <w:sz w:val="24"/>
          <w:szCs w:val="24"/>
          <w:lang w:val="en-US"/>
        </w:rPr>
        <w:t xml:space="preserve">ion and support to diversification of activities outside fisheries. Supporting forms of diversification within the sector itself and supportto small scale infrastructure and working conditions come not far behind.  The types of project supported vary very </w:t>
      </w:r>
      <w:r>
        <w:rPr>
          <w:rFonts w:ascii="Times New Roman" w:hAnsi="Times New Roman" w:cs="Times New Roman"/>
          <w:noProof/>
          <w:sz w:val="24"/>
          <w:szCs w:val="24"/>
          <w:lang w:val="en-US"/>
        </w:rPr>
        <w:t>much per Member State.</w:t>
      </w:r>
    </w:p>
    <w:p w:rsidR="00046CF8" w:rsidRDefault="00046CF8">
      <w:pPr>
        <w:spacing w:after="120" w:line="240" w:lineRule="auto"/>
        <w:jc w:val="both"/>
        <w:rPr>
          <w:rFonts w:ascii="Times New Roman" w:hAnsi="Times New Roman" w:cs="Times New Roman"/>
          <w:noProof/>
          <w:sz w:val="24"/>
          <w:szCs w:val="24"/>
          <w:lang w:val="en-US"/>
        </w:rPr>
      </w:pPr>
    </w:p>
    <w:p w:rsidR="00046CF8" w:rsidRDefault="003561C2">
      <w:pPr>
        <w:pStyle w:val="ListParagraph"/>
        <w:numPr>
          <w:ilvl w:val="0"/>
          <w:numId w:val="26"/>
        </w:numPr>
        <w:spacing w:after="240" w:line="240" w:lineRule="auto"/>
        <w:ind w:left="711" w:hanging="357"/>
        <w:jc w:val="both"/>
        <w:rPr>
          <w:b/>
          <w:noProof/>
          <w:szCs w:val="24"/>
          <w:lang w:val="en-US"/>
        </w:rPr>
      </w:pPr>
      <w:r>
        <w:rPr>
          <w:b/>
          <w:noProof/>
          <w:szCs w:val="24"/>
          <w:lang w:val="en-US"/>
        </w:rPr>
        <w:t>Non-Financial Support</w:t>
      </w:r>
    </w:p>
    <w:p w:rsidR="00046CF8" w:rsidRDefault="003561C2">
      <w:pPr>
        <w:spacing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90 % of FLAG surveyed provided non-financial type of support to SSCF.  Support to access funding from other programmes and support to foster collaboration with other stakeholders were the two most common non-fi</w:t>
      </w:r>
      <w:r>
        <w:rPr>
          <w:rFonts w:ascii="Times New Roman" w:hAnsi="Times New Roman" w:cs="Times New Roman"/>
          <w:noProof/>
          <w:sz w:val="24"/>
          <w:szCs w:val="24"/>
          <w:lang w:val="en-US"/>
        </w:rPr>
        <w:t>nancial types of support FLAG provide to SSCF.</w:t>
      </w:r>
    </w:p>
    <w:p w:rsidR="00046CF8" w:rsidRDefault="003561C2">
      <w:pPr>
        <w:pStyle w:val="ListParagraph"/>
        <w:numPr>
          <w:ilvl w:val="0"/>
          <w:numId w:val="26"/>
        </w:numPr>
        <w:spacing w:after="240" w:line="240" w:lineRule="auto"/>
        <w:ind w:left="711" w:hanging="357"/>
        <w:jc w:val="both"/>
        <w:rPr>
          <w:noProof/>
          <w:szCs w:val="24"/>
          <w:lang w:val="en-US"/>
        </w:rPr>
      </w:pPr>
      <w:r>
        <w:rPr>
          <w:b/>
          <w:noProof/>
          <w:szCs w:val="24"/>
          <w:lang w:val="en-US"/>
        </w:rPr>
        <w:t>Planned Financial Support 2014-2020 (EMFF)</w:t>
      </w:r>
    </w:p>
    <w:p w:rsidR="00046CF8" w:rsidRDefault="003561C2">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Financial support to SSCF was expected to increase in the current period with several elements pointing in the same direction.   An estimate of EUR 210 million was proposed but should be treated with caution as it represents a 13% increase in the level of </w:t>
      </w:r>
      <w:r>
        <w:rPr>
          <w:rFonts w:ascii="Times New Roman" w:hAnsi="Times New Roman" w:cs="Times New Roman"/>
          <w:noProof/>
          <w:sz w:val="24"/>
          <w:szCs w:val="24"/>
          <w:lang w:val="en-US"/>
        </w:rPr>
        <w:t xml:space="preserve">support compared to the period 2007-2013. In absolute terms, this represents an increase of around EUR 70 million. </w:t>
      </w:r>
    </w:p>
    <w:p w:rsidR="00046CF8" w:rsidRDefault="003561C2">
      <w:pPr>
        <w:rPr>
          <w:noProof/>
          <w:lang w:val="en-US"/>
        </w:rPr>
      </w:pPr>
      <w:r>
        <w:rPr>
          <w:noProof/>
          <w:lang w:val="en-US"/>
        </w:rPr>
        <w:br w:type="page"/>
      </w:r>
    </w:p>
    <w:p w:rsidR="00046CF8" w:rsidRDefault="003561C2">
      <w:pPr>
        <w:pStyle w:val="Heading1"/>
        <w:numPr>
          <w:ilvl w:val="0"/>
          <w:numId w:val="25"/>
        </w:numPr>
        <w:rPr>
          <w:noProof/>
        </w:rPr>
      </w:pPr>
      <w:bookmarkStart w:id="58" w:name="_Toc514503211"/>
      <w:bookmarkStart w:id="59" w:name="_Toc514507430"/>
      <w:r>
        <w:rPr>
          <w:noProof/>
        </w:rPr>
        <w:t>Financial Instruments using EMFF – 2014-2020 Programming Period</w:t>
      </w:r>
      <w:bookmarkEnd w:id="58"/>
      <w:bookmarkEnd w:id="59"/>
      <w:r>
        <w:rPr>
          <w:noProof/>
        </w:rPr>
        <w:t xml:space="preserve"> </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Three Member States have started or intend to start using EMFF in Financi</w:t>
      </w:r>
      <w:r>
        <w:rPr>
          <w:rFonts w:ascii="Times New Roman" w:hAnsi="Times New Roman" w:cs="Times New Roman"/>
          <w:noProof/>
          <w:sz w:val="24"/>
          <w:szCs w:val="24"/>
        </w:rPr>
        <w:t>al Instruments.</w:t>
      </w:r>
    </w:p>
    <w:p w:rsidR="00046CF8" w:rsidRDefault="003561C2">
      <w:pPr>
        <w:spacing w:after="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Estonia:</w:t>
      </w:r>
    </w:p>
    <w:p w:rsidR="00046CF8" w:rsidRDefault="003561C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are three FI products supported through the EMFF OP: two for the fish processing sector and one for the aquaculture sector: </w:t>
      </w:r>
    </w:p>
    <w:p w:rsidR="00046CF8" w:rsidRDefault="003561C2">
      <w:pPr>
        <w:pStyle w:val="ListParagraph"/>
        <w:numPr>
          <w:ilvl w:val="0"/>
          <w:numId w:val="26"/>
        </w:numPr>
        <w:spacing w:after="0" w:line="240" w:lineRule="auto"/>
        <w:jc w:val="both"/>
        <w:rPr>
          <w:noProof/>
          <w:color w:val="000000"/>
          <w:szCs w:val="24"/>
        </w:rPr>
      </w:pPr>
      <w:r>
        <w:rPr>
          <w:noProof/>
          <w:color w:val="000000"/>
          <w:szCs w:val="24"/>
        </w:rPr>
        <w:t>Growth loan (processing) fund: EUR 3.2 m; started in 2017; Loaned: approx. EUR 300 000 (5 beneficiar</w:t>
      </w:r>
      <w:r>
        <w:rPr>
          <w:noProof/>
          <w:color w:val="000000"/>
          <w:szCs w:val="24"/>
        </w:rPr>
        <w:t>ies)</w:t>
      </w:r>
    </w:p>
    <w:p w:rsidR="00046CF8" w:rsidRDefault="003561C2">
      <w:pPr>
        <w:pStyle w:val="ListParagraph"/>
        <w:numPr>
          <w:ilvl w:val="0"/>
          <w:numId w:val="26"/>
        </w:numPr>
        <w:spacing w:before="100" w:beforeAutospacing="1" w:after="100" w:afterAutospacing="1" w:line="240" w:lineRule="auto"/>
        <w:jc w:val="both"/>
        <w:rPr>
          <w:noProof/>
          <w:color w:val="000000"/>
          <w:szCs w:val="24"/>
        </w:rPr>
      </w:pPr>
      <w:r>
        <w:rPr>
          <w:noProof/>
          <w:color w:val="000000"/>
          <w:szCs w:val="24"/>
        </w:rPr>
        <w:t>Long – term investment loan( processing):  EUR 4m; started in 2017; Loaned: EUR 500 000 (2 beneficiaries)</w:t>
      </w:r>
    </w:p>
    <w:p w:rsidR="00046CF8" w:rsidRDefault="003561C2">
      <w:pPr>
        <w:pStyle w:val="ListParagraph"/>
        <w:numPr>
          <w:ilvl w:val="0"/>
          <w:numId w:val="26"/>
        </w:numPr>
        <w:spacing w:after="0" w:line="240" w:lineRule="auto"/>
        <w:jc w:val="both"/>
        <w:rPr>
          <w:noProof/>
          <w:szCs w:val="24"/>
        </w:rPr>
      </w:pPr>
      <w:r>
        <w:rPr>
          <w:noProof/>
          <w:color w:val="000000"/>
          <w:szCs w:val="24"/>
        </w:rPr>
        <w:t>Investment loan for aquaculture development: EUR 4m; available from June 2017 (no loans to date)</w:t>
      </w:r>
    </w:p>
    <w:p w:rsidR="00046CF8" w:rsidRDefault="00046CF8">
      <w:pPr>
        <w:pStyle w:val="ListParagraph"/>
        <w:spacing w:after="0"/>
        <w:ind w:left="360"/>
        <w:contextualSpacing w:val="0"/>
        <w:rPr>
          <w:noProof/>
          <w:szCs w:val="24"/>
        </w:rPr>
      </w:pP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2018 will be the first year for the Estonia aut</w:t>
      </w:r>
      <w:r>
        <w:rPr>
          <w:rFonts w:ascii="Times New Roman" w:hAnsi="Times New Roman" w:cs="Times New Roman"/>
          <w:noProof/>
          <w:sz w:val="24"/>
          <w:szCs w:val="24"/>
        </w:rPr>
        <w:t>horities to report on this.</w:t>
      </w:r>
    </w:p>
    <w:p w:rsidR="00046CF8" w:rsidRDefault="00046CF8">
      <w:pPr>
        <w:pStyle w:val="ListParagraph"/>
        <w:spacing w:after="0"/>
        <w:ind w:left="360"/>
        <w:contextualSpacing w:val="0"/>
        <w:rPr>
          <w:noProof/>
          <w:szCs w:val="24"/>
        </w:rPr>
      </w:pPr>
    </w:p>
    <w:p w:rsidR="00046CF8" w:rsidRDefault="003561C2">
      <w:pPr>
        <w:spacing w:after="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Spain:</w:t>
      </w:r>
    </w:p>
    <w:p w:rsidR="00046CF8" w:rsidRDefault="003561C2">
      <w:pPr>
        <w:spacing w:line="240" w:lineRule="auto"/>
        <w:jc w:val="both"/>
        <w:rPr>
          <w:rFonts w:ascii="Times New Roman" w:eastAsia="Times New Roman" w:hAnsi="Times New Roman" w:cs="Times New Roman"/>
          <w:b/>
          <w:bCs/>
          <w:noProof/>
          <w:sz w:val="24"/>
          <w:szCs w:val="24"/>
        </w:rPr>
      </w:pPr>
      <w:r>
        <w:rPr>
          <w:rFonts w:ascii="Times New Roman" w:hAnsi="Times New Roman" w:cs="Times New Roman"/>
          <w:noProof/>
          <w:sz w:val="24"/>
          <w:szCs w:val="24"/>
        </w:rPr>
        <w:t xml:space="preserve">The EIB is to be the fund manager for a fund of funds (FoF) to promote new investments in fishery, aquaculture, fishery transformation industry and the commercialization of the products. </w:t>
      </w:r>
      <w:r>
        <w:rPr>
          <w:rFonts w:ascii="Times New Roman" w:eastAsia="Times New Roman" w:hAnsi="Times New Roman" w:cs="Times New Roman"/>
          <w:noProof/>
          <w:sz w:val="24"/>
          <w:szCs w:val="24"/>
        </w:rPr>
        <w:t xml:space="preserve">According to the Operational </w:t>
      </w:r>
      <w:r>
        <w:rPr>
          <w:rFonts w:ascii="Times New Roman" w:eastAsia="Times New Roman" w:hAnsi="Times New Roman" w:cs="Times New Roman"/>
          <w:noProof/>
          <w:sz w:val="24"/>
          <w:szCs w:val="24"/>
        </w:rPr>
        <w:t>Programme under EMFF approved for Spain, a total amount of EUR 57m is available for the Instrument (42.75m EMFF, 14.25m national) -of which 25m is earmarked for Galicia.</w:t>
      </w:r>
    </w:p>
    <w:p w:rsidR="00046CF8" w:rsidRDefault="003561C2">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Following discussions with MAPAMA (Ministerio de Agricultura y Pesca, Alimentación y M</w:t>
      </w:r>
      <w:r>
        <w:rPr>
          <w:rFonts w:ascii="Times New Roman" w:hAnsi="Times New Roman" w:cs="Times New Roman"/>
          <w:noProof/>
          <w:sz w:val="24"/>
          <w:szCs w:val="24"/>
        </w:rPr>
        <w:t>edio Ambiente) and the EIB, it has been decided to establish a funded loan instrument. This is also considered the most appropriate instrument in view of the amount of the FoF. EMFF and national contribution will represent 50% of the loans provided to fina</w:t>
      </w:r>
      <w:r>
        <w:rPr>
          <w:rFonts w:ascii="Times New Roman" w:hAnsi="Times New Roman" w:cs="Times New Roman"/>
          <w:noProof/>
          <w:sz w:val="24"/>
          <w:szCs w:val="24"/>
        </w:rPr>
        <w:t>l beneficiaries, the remainder being co-financed by the selected financial intermediaries with own funds. An EIB funding (potentially under EFSI) of the commercial banks’ contribution is envisaged once the participating commercial banks have been selected.</w:t>
      </w:r>
      <w:r>
        <w:rPr>
          <w:rFonts w:ascii="Times New Roman" w:hAnsi="Times New Roman" w:cs="Times New Roman"/>
          <w:noProof/>
          <w:sz w:val="24"/>
          <w:szCs w:val="24"/>
        </w:rPr>
        <w:t xml:space="preserve"> The Fund is due to be launched in June 2018.</w:t>
      </w:r>
    </w:p>
    <w:p w:rsidR="00046CF8" w:rsidRDefault="003561C2">
      <w:pPr>
        <w:spacing w:after="0" w:line="240" w:lineRule="auto"/>
        <w:jc w:val="both"/>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lang w:eastAsia="en-GB"/>
        </w:rPr>
        <w:t>Italy:</w:t>
      </w:r>
    </w:p>
    <w:p w:rsidR="00046CF8" w:rsidRDefault="003561C2">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MA is currently working to setup a financial instrument. In particular, the MA has contracted a feasibility study to find out what kind of instruments will be best to address market failure and stake</w:t>
      </w:r>
      <w:r>
        <w:rPr>
          <w:rFonts w:ascii="Times New Roman" w:eastAsia="Times New Roman" w:hAnsi="Times New Roman" w:cs="Times New Roman"/>
          <w:noProof/>
          <w:sz w:val="24"/>
          <w:szCs w:val="24"/>
          <w:lang w:eastAsia="en-GB"/>
        </w:rPr>
        <w:t>holders expectations.</w:t>
      </w:r>
    </w:p>
    <w:p w:rsidR="00046CF8" w:rsidRDefault="003561C2">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On 23 January 2017 MA entrusted the Department of Economics and Law of the University of Cassino and Southern Lazio to carry the ex-ante evaluation. Activities are now being finalised and the MA expects to be able to launch the financ</w:t>
      </w:r>
      <w:r>
        <w:rPr>
          <w:rFonts w:ascii="Times New Roman" w:eastAsia="Times New Roman" w:hAnsi="Times New Roman" w:cs="Times New Roman"/>
          <w:noProof/>
          <w:sz w:val="24"/>
          <w:szCs w:val="24"/>
          <w:lang w:eastAsia="en-GB"/>
        </w:rPr>
        <w:t>ial instruments in 2018.</w:t>
      </w:r>
    </w:p>
    <w:p w:rsidR="00046CF8" w:rsidRDefault="003561C2">
      <w:pPr>
        <w:rPr>
          <w:noProof/>
          <w:lang w:eastAsia="en-GB"/>
        </w:rPr>
      </w:pPr>
      <w:r>
        <w:rPr>
          <w:noProof/>
          <w:lang w:eastAsia="en-GB"/>
        </w:rPr>
        <w:br w:type="page"/>
      </w:r>
    </w:p>
    <w:p w:rsidR="00046CF8" w:rsidRDefault="003561C2">
      <w:pPr>
        <w:pStyle w:val="Heading1"/>
        <w:numPr>
          <w:ilvl w:val="0"/>
          <w:numId w:val="25"/>
        </w:numPr>
        <w:rPr>
          <w:noProof/>
        </w:rPr>
      </w:pPr>
      <w:bookmarkStart w:id="60" w:name="_Toc514503212"/>
      <w:bookmarkStart w:id="61" w:name="_Toc514507431"/>
      <w:r>
        <w:rPr>
          <w:noProof/>
        </w:rPr>
        <w:t>Outermost Regions and the EMFF</w:t>
      </w:r>
      <w:bookmarkEnd w:id="60"/>
      <w:bookmarkEnd w:id="61"/>
    </w:p>
    <w:p w:rsidR="00046CF8" w:rsidRDefault="003561C2">
      <w:pPr>
        <w:tabs>
          <w:tab w:val="num" w:pos="108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current programming period (2014-2020), structural support is available to Outermost Regions (OR) operators involved in fishery and aquaculture with the same types of measures as in the </w:t>
      </w:r>
      <w:r>
        <w:rPr>
          <w:rFonts w:ascii="Times New Roman" w:hAnsi="Times New Roman" w:cs="Times New Roman"/>
          <w:noProof/>
          <w:sz w:val="24"/>
          <w:szCs w:val="24"/>
        </w:rPr>
        <w:t>mainland. However, given that fishing activities in the outermost regions of the Union are facing difficulties, in particular because of their remoteness and special climatic conditions, the EMFF take into account the particular constraints of such regions</w:t>
      </w:r>
      <w:r>
        <w:rPr>
          <w:rFonts w:ascii="Times New Roman" w:hAnsi="Times New Roman" w:cs="Times New Roman"/>
          <w:noProof/>
          <w:sz w:val="24"/>
          <w:szCs w:val="24"/>
        </w:rPr>
        <w:t>, recognised in Article 349 TFEU.</w:t>
      </w:r>
    </w:p>
    <w:p w:rsidR="00046CF8" w:rsidRDefault="003561C2">
      <w:pPr>
        <w:tabs>
          <w:tab w:val="num" w:pos="108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recognition of the specific characteristics of ORs lies in a higher rate of support for most of these measures (increase by 35 percentage points of aid intensity), except for engine replacement for which the aid intens</w:t>
      </w:r>
      <w:r>
        <w:rPr>
          <w:rFonts w:ascii="Times New Roman" w:hAnsi="Times New Roman" w:cs="Times New Roman"/>
          <w:noProof/>
          <w:sz w:val="24"/>
          <w:szCs w:val="24"/>
        </w:rPr>
        <w:t>ity remains the same that in the mainland (30%). In the other hand, it was considered necessary to continue to provide support in order to offset the additional costs for the fishing, farming, processing and marketing of certain fishery and aquaculture pro</w:t>
      </w:r>
      <w:r>
        <w:rPr>
          <w:rFonts w:ascii="Times New Roman" w:hAnsi="Times New Roman" w:cs="Times New Roman"/>
          <w:noProof/>
          <w:sz w:val="24"/>
          <w:szCs w:val="24"/>
        </w:rPr>
        <w:t>ducts from the ORs of the Union, so that the compensation contributes to the retaining of the economic viability of operators from those regions.</w:t>
      </w:r>
    </w:p>
    <w:p w:rsidR="00046CF8" w:rsidRDefault="003561C2">
      <w:pPr>
        <w:tabs>
          <w:tab w:val="num" w:pos="108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Support to ORs under the EMFF is composed of </w:t>
      </w:r>
      <w:r>
        <w:rPr>
          <w:rFonts w:ascii="Times New Roman" w:hAnsi="Times New Roman" w:cs="Times New Roman"/>
          <w:b/>
          <w:noProof/>
          <w:sz w:val="24"/>
          <w:szCs w:val="24"/>
        </w:rPr>
        <w:t>two very separate envelopes</w:t>
      </w:r>
      <w:r>
        <w:rPr>
          <w:rFonts w:ascii="Times New Roman" w:hAnsi="Times New Roman" w:cs="Times New Roman"/>
          <w:noProof/>
          <w:sz w:val="24"/>
          <w:szCs w:val="24"/>
        </w:rPr>
        <w:t>:</w:t>
      </w:r>
    </w:p>
    <w:p w:rsidR="00046CF8" w:rsidRDefault="003561C2">
      <w:pPr>
        <w:pStyle w:val="ListParagraph"/>
        <w:numPr>
          <w:ilvl w:val="0"/>
          <w:numId w:val="27"/>
        </w:numPr>
        <w:tabs>
          <w:tab w:val="num" w:pos="1080"/>
        </w:tabs>
        <w:spacing w:before="120" w:after="120" w:line="240" w:lineRule="auto"/>
        <w:jc w:val="both"/>
        <w:rPr>
          <w:noProof/>
          <w:szCs w:val="24"/>
        </w:rPr>
      </w:pPr>
      <w:r>
        <w:rPr>
          <w:noProof/>
          <w:szCs w:val="24"/>
        </w:rPr>
        <w:t xml:space="preserve">The first consists of the </w:t>
      </w:r>
      <w:r>
        <w:rPr>
          <w:b/>
          <w:noProof/>
          <w:szCs w:val="24"/>
        </w:rPr>
        <w:t>regular</w:t>
      </w:r>
      <w:r>
        <w:rPr>
          <w:noProof/>
          <w:szCs w:val="24"/>
        </w:rPr>
        <w:t xml:space="preserve"> structural measures </w:t>
      </w:r>
    </w:p>
    <w:p w:rsidR="00046CF8" w:rsidRDefault="003561C2">
      <w:pPr>
        <w:pStyle w:val="ListParagraph"/>
        <w:numPr>
          <w:ilvl w:val="0"/>
          <w:numId w:val="27"/>
        </w:numPr>
        <w:tabs>
          <w:tab w:val="num" w:pos="1080"/>
        </w:tabs>
        <w:spacing w:before="120" w:after="120" w:line="240" w:lineRule="auto"/>
        <w:jc w:val="both"/>
        <w:rPr>
          <w:noProof/>
          <w:szCs w:val="24"/>
        </w:rPr>
      </w:pPr>
      <w:r>
        <w:rPr>
          <w:noProof/>
          <w:szCs w:val="24"/>
        </w:rPr>
        <w:t xml:space="preserve">The second includes ring-fenced amounts to </w:t>
      </w:r>
      <w:r>
        <w:rPr>
          <w:b/>
          <w:noProof/>
          <w:szCs w:val="24"/>
        </w:rPr>
        <w:t>compensate</w:t>
      </w:r>
      <w:r>
        <w:rPr>
          <w:noProof/>
          <w:szCs w:val="24"/>
        </w:rPr>
        <w:t xml:space="preserve"> ORs producers (catch, aquaculture, processing and marketing sectors) for the difference of costs between ORs and mainland. </w:t>
      </w:r>
    </w:p>
    <w:p w:rsidR="00046CF8" w:rsidRDefault="003561C2">
      <w:pPr>
        <w:tabs>
          <w:tab w:val="num" w:pos="108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latter is a novelty of the EMFF, as it was previousl</w:t>
      </w:r>
      <w:r>
        <w:rPr>
          <w:rFonts w:ascii="Times New Roman" w:hAnsi="Times New Roman" w:cs="Times New Roman"/>
          <w:noProof/>
          <w:sz w:val="24"/>
          <w:szCs w:val="24"/>
        </w:rPr>
        <w:t>y managed directly by the Commission under a self-standing regulation.</w:t>
      </w:r>
    </w:p>
    <w:p w:rsidR="00046CF8" w:rsidRDefault="003561C2">
      <w:pPr>
        <w:tabs>
          <w:tab w:val="num" w:pos="108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Regular structural measures in the OR are the same as for other parts of the EU, except that the co-funding rates are higher. The maximum aid intensity (share of public funding in the t</w:t>
      </w:r>
      <w:r>
        <w:rPr>
          <w:rFonts w:ascii="Times New Roman" w:hAnsi="Times New Roman" w:cs="Times New Roman"/>
          <w:noProof/>
          <w:sz w:val="24"/>
          <w:szCs w:val="24"/>
        </w:rPr>
        <w:t>otal costs) for the other EMFF measures in the ORs - at 85% - is 35pp higher than for other regions</w:t>
      </w:r>
      <w:r>
        <w:rPr>
          <w:rFonts w:ascii="Times New Roman" w:hAnsi="Times New Roman" w:cs="Times New Roman"/>
          <w:noProof/>
          <w:sz w:val="24"/>
          <w:szCs w:val="24"/>
          <w:vertAlign w:val="superscript"/>
        </w:rPr>
        <w:footnoteReference w:id="85"/>
      </w:r>
      <w:r>
        <w:rPr>
          <w:rFonts w:ascii="Times New Roman" w:hAnsi="Times New Roman" w:cs="Times New Roman"/>
          <w:noProof/>
          <w:sz w:val="24"/>
          <w:szCs w:val="24"/>
        </w:rPr>
        <w:t>.</w:t>
      </w:r>
    </w:p>
    <w:p w:rsidR="00046CF8" w:rsidRDefault="003561C2">
      <w:pPr>
        <w:tabs>
          <w:tab w:val="num" w:pos="108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Compensation for additional costs allows Member States to allocate close to EUR 200 million to their OR operators. This amount is ring fenced for the whol</w:t>
      </w:r>
      <w:r>
        <w:rPr>
          <w:rFonts w:ascii="Times New Roman" w:hAnsi="Times New Roman" w:cs="Times New Roman"/>
          <w:noProof/>
          <w:sz w:val="24"/>
          <w:szCs w:val="24"/>
        </w:rPr>
        <w:t>e of the 2014-2020 programming period as follows: Azores and Madeira (EUR 45.2 million, EUR 6.4 million per year), Canary Islands (EUR 60.9 million, EUR 8.7 million per year), French outermost regions (EUR 86.5 million, EUR 12.3 million per year). This rep</w:t>
      </w:r>
      <w:r>
        <w:rPr>
          <w:rFonts w:ascii="Times New Roman" w:hAnsi="Times New Roman" w:cs="Times New Roman"/>
          <w:noProof/>
          <w:sz w:val="24"/>
          <w:szCs w:val="24"/>
        </w:rPr>
        <w:t>resents an increase in overall total amounts of almost 50% for PT and ES ORs, and 150% for FR ORs. The geographic coverage was extended to all FR ORs (Mayotte, Martinique, Guadeloupe et Saint Martin, not previously covered). The EU co-financing rate for th</w:t>
      </w:r>
      <w:r>
        <w:rPr>
          <w:rFonts w:ascii="Times New Roman" w:hAnsi="Times New Roman" w:cs="Times New Roman"/>
          <w:noProof/>
          <w:sz w:val="24"/>
          <w:szCs w:val="24"/>
        </w:rPr>
        <w:t xml:space="preserve">e compensation regime remains at 100%. </w:t>
      </w:r>
    </w:p>
    <w:p w:rsidR="00046CF8" w:rsidRDefault="003561C2">
      <w:pPr>
        <w:rPr>
          <w:noProof/>
        </w:rPr>
      </w:pPr>
      <w:r>
        <w:rPr>
          <w:noProof/>
        </w:rPr>
        <w:br w:type="page"/>
      </w:r>
    </w:p>
    <w:p w:rsidR="00046CF8" w:rsidRDefault="003561C2">
      <w:pPr>
        <w:pStyle w:val="Heading1"/>
        <w:numPr>
          <w:ilvl w:val="0"/>
          <w:numId w:val="25"/>
        </w:numPr>
        <w:rPr>
          <w:noProof/>
        </w:rPr>
      </w:pPr>
      <w:bookmarkStart w:id="62" w:name="_Toc514503213"/>
      <w:bookmarkStart w:id="63" w:name="_Toc514507432"/>
      <w:r>
        <w:rPr>
          <w:noProof/>
        </w:rPr>
        <w:t>Summary of the State of Play of the CFP</w:t>
      </w:r>
      <w:bookmarkEnd w:id="62"/>
      <w:bookmarkEnd w:id="63"/>
    </w:p>
    <w:p w:rsidR="00046CF8" w:rsidRDefault="003561C2">
      <w:pPr>
        <w:spacing w:before="240"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Over the past few years there has been significant progress in implementing the 2013 CFP reform, in particular in the following areas:</w:t>
      </w:r>
    </w:p>
    <w:p w:rsidR="00046CF8" w:rsidRDefault="00046CF8">
      <w:pPr>
        <w:spacing w:after="0" w:line="240" w:lineRule="auto"/>
        <w:jc w:val="both"/>
        <w:rPr>
          <w:rFonts w:ascii="Times New Roman" w:eastAsia="Times New Roman" w:hAnsi="Times New Roman" w:cs="Times New Roman"/>
          <w:i/>
          <w:noProof/>
          <w:sz w:val="24"/>
          <w:szCs w:val="20"/>
        </w:rPr>
      </w:pPr>
    </w:p>
    <w:p w:rsidR="00046CF8" w:rsidRDefault="003561C2">
      <w:pPr>
        <w:spacing w:after="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1) Meeting the MSY objective</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Accordin</w:t>
      </w:r>
      <w:r>
        <w:rPr>
          <w:rFonts w:ascii="Times New Roman" w:eastAsia="Times New Roman" w:hAnsi="Times New Roman" w:cs="Times New Roman"/>
          <w:noProof/>
          <w:sz w:val="24"/>
          <w:szCs w:val="20"/>
        </w:rPr>
        <w:t>g to the latest assessment from the Scientific, Technical and Economic Committee for Fisheries (STECF), based on 2015 data, 39 of 66 stocks assessed in the North-East Atlantic were exploited within FMSY (equating to 59 %, up from 52 % in the previous year)</w:t>
      </w:r>
      <w:r>
        <w:rPr>
          <w:rFonts w:ascii="Times New Roman" w:eastAsia="Times New Roman" w:hAnsi="Times New Roman" w:cs="Times New Roman"/>
          <w:noProof/>
          <w:sz w:val="24"/>
          <w:szCs w:val="20"/>
        </w:rPr>
        <w:t>. Median fishing mortality has now stabilised at around 1.0. In 2017, the number of total allowable catches (TACs) set in line with MSY advice increased to 44, representing 61 % of all catches in the North-East Atlantic.</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Progress towards fishing stocks at</w:t>
      </w:r>
      <w:r>
        <w:rPr>
          <w:rFonts w:ascii="Times New Roman" w:eastAsia="Times New Roman" w:hAnsi="Times New Roman" w:cs="Times New Roman"/>
          <w:noProof/>
          <w:sz w:val="24"/>
          <w:szCs w:val="20"/>
        </w:rPr>
        <w:t xml:space="preserve"> levels consistent with FMSY has continued. In all TAC regions the rate of fishing above FMSY has decreased considerably. Fishing compared to FMSY was at 99 % in 2015 (down from 158 % in 2003 and 129 % in 2008). Overall, overexploitation has declined drast</w:t>
      </w:r>
      <w:r>
        <w:rPr>
          <w:rFonts w:ascii="Times New Roman" w:eastAsia="Times New Roman" w:hAnsi="Times New Roman" w:cs="Times New Roman"/>
          <w:noProof/>
          <w:sz w:val="24"/>
          <w:szCs w:val="20"/>
        </w:rPr>
        <w:t>ically across all areas (with the exception of the Mediterranean and the Black Sea).</w:t>
      </w:r>
    </w:p>
    <w:p w:rsidR="00046CF8" w:rsidRDefault="00046CF8">
      <w:pPr>
        <w:spacing w:after="0" w:line="240" w:lineRule="auto"/>
        <w:jc w:val="both"/>
        <w:rPr>
          <w:rFonts w:ascii="Times New Roman" w:eastAsia="Times New Roman" w:hAnsi="Times New Roman" w:cs="Times New Roman"/>
          <w:i/>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t>2) Rebuilding stocks</w:t>
      </w:r>
      <w:r>
        <w:rPr>
          <w:rFonts w:ascii="Times New Roman" w:eastAsia="Times New Roman" w:hAnsi="Times New Roman" w:cs="Times New Roman"/>
          <w:noProof/>
          <w:sz w:val="24"/>
          <w:szCs w:val="20"/>
        </w:rPr>
        <w:t xml:space="preserve"> </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Both ICES and the STECF provide information on spawning stock biomass trends for the North-East Atlantic and STECF also for the Mediterranean. </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analysis shows that average biomass in the North-East Atlantic was 35 % higher in 2015 than in 2003. The percentage of stocks within safe biological limits is also increasing in this area. In 2015, 68 % of stocks were classified as being within safe bi</w:t>
      </w:r>
      <w:r>
        <w:rPr>
          <w:rFonts w:ascii="Times New Roman" w:eastAsia="Times New Roman" w:hAnsi="Times New Roman" w:cs="Times New Roman"/>
          <w:noProof/>
          <w:sz w:val="24"/>
          <w:szCs w:val="20"/>
        </w:rPr>
        <w:t xml:space="preserve">ological limits. A less pronounced upward trend is apparent for data-poor stocks. By contrast, in the Mediterranean Sea average biomass declined by 20 % from 2003 until 2014. </w:t>
      </w:r>
    </w:p>
    <w:p w:rsidR="00046CF8" w:rsidRDefault="00046CF8">
      <w:pPr>
        <w:spacing w:after="0" w:line="240" w:lineRule="auto"/>
        <w:jc w:val="both"/>
        <w:rPr>
          <w:rFonts w:ascii="Times New Roman" w:eastAsia="Times New Roman" w:hAnsi="Times New Roman" w:cs="Times New Roman"/>
          <w:i/>
          <w:noProof/>
          <w:sz w:val="24"/>
          <w:szCs w:val="20"/>
        </w:rPr>
      </w:pPr>
    </w:p>
    <w:p w:rsidR="00046CF8" w:rsidRDefault="003561C2">
      <w:pPr>
        <w:spacing w:after="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3) Shaping multiannual plans in line with the reformed CFP</w:t>
      </w:r>
    </w:p>
    <w:p w:rsidR="00046CF8" w:rsidRDefault="00046CF8">
      <w:pPr>
        <w:spacing w:after="0" w:line="240" w:lineRule="auto"/>
        <w:jc w:val="both"/>
        <w:rPr>
          <w:rFonts w:ascii="Times New Roman" w:eastAsia="Times New Roman" w:hAnsi="Times New Roman" w:cs="Times New Roman"/>
          <w:i/>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After the adoption </w:t>
      </w:r>
      <w:r>
        <w:rPr>
          <w:rFonts w:ascii="Times New Roman" w:eastAsia="Times New Roman" w:hAnsi="Times New Roman" w:cs="Times New Roman"/>
          <w:noProof/>
          <w:sz w:val="24"/>
          <w:szCs w:val="20"/>
        </w:rPr>
        <w:t>of the Baltic plan in 2016, the Commission proposed multiannual plans for demersal fish stocks in the North Sea and for small pelagics in the Adriatic.  Whereas a political agreement was reached for the North Sea MAP in late 2017, progress in reaching agre</w:t>
      </w:r>
      <w:r>
        <w:rPr>
          <w:rFonts w:ascii="Times New Roman" w:eastAsia="Times New Roman" w:hAnsi="Times New Roman" w:cs="Times New Roman"/>
          <w:noProof/>
          <w:sz w:val="24"/>
          <w:szCs w:val="20"/>
        </w:rPr>
        <w:t>ement on the Adriatic MAP is slow. The slow progress in adopting MAPs led to a situation in 2017 in which the first generation of discard plans were set to expire without the appropriate provisions in place in the MAPs. This led to an adjustment of the Bas</w:t>
      </w:r>
      <w:r>
        <w:rPr>
          <w:rFonts w:ascii="Times New Roman" w:eastAsia="Times New Roman" w:hAnsi="Times New Roman" w:cs="Times New Roman"/>
          <w:noProof/>
          <w:sz w:val="24"/>
          <w:szCs w:val="20"/>
        </w:rPr>
        <w:t xml:space="preserve">ic Regulation to allow for a new set of discard plans.   </w:t>
      </w:r>
    </w:p>
    <w:p w:rsidR="00046CF8" w:rsidRDefault="00046CF8">
      <w:pPr>
        <w:spacing w:after="0" w:line="240" w:lineRule="auto"/>
        <w:jc w:val="both"/>
        <w:rPr>
          <w:rFonts w:ascii="Times New Roman" w:eastAsia="Times New Roman" w:hAnsi="Times New Roman" w:cs="Times New Roman"/>
          <w:i/>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t>4) Decentralising governance</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CFP governance has clearly shifted to a more decentralised governance, including multiannual plans and delegated acts adopted through regionalisation.</w:t>
      </w:r>
    </w:p>
    <w:p w:rsidR="00046CF8" w:rsidRDefault="00046CF8">
      <w:pPr>
        <w:spacing w:after="0" w:line="240" w:lineRule="auto"/>
        <w:jc w:val="both"/>
        <w:rPr>
          <w:rFonts w:ascii="Times New Roman" w:eastAsia="Times New Roman" w:hAnsi="Times New Roman" w:cs="Times New Roman"/>
          <w:i/>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t xml:space="preserve">5) Commitments </w:t>
      </w:r>
      <w:r>
        <w:rPr>
          <w:rFonts w:ascii="Times New Roman" w:eastAsia="Times New Roman" w:hAnsi="Times New Roman" w:cs="Times New Roman"/>
          <w:i/>
          <w:noProof/>
          <w:sz w:val="24"/>
          <w:szCs w:val="20"/>
        </w:rPr>
        <w:t>for the Mediterranean and Black Sea</w:t>
      </w:r>
      <w:r>
        <w:rPr>
          <w:rFonts w:ascii="Times New Roman" w:eastAsia="Times New Roman" w:hAnsi="Times New Roman" w:cs="Times New Roman"/>
          <w:noProof/>
          <w:sz w:val="24"/>
          <w:szCs w:val="20"/>
        </w:rPr>
        <w:t xml:space="preserve"> </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Important political agreements to achieve environmental, economic and social sustainability have been reached – in the Mediterranean Sea through the Medfish4Ever Ministerial declaration, and in the Black Sea through th</w:t>
      </w:r>
      <w:r>
        <w:rPr>
          <w:rFonts w:ascii="Times New Roman" w:eastAsia="Times New Roman" w:hAnsi="Times New Roman" w:cs="Times New Roman"/>
          <w:noProof/>
          <w:sz w:val="24"/>
          <w:szCs w:val="20"/>
        </w:rPr>
        <w:t xml:space="preserve">e Bucharest Declaration. </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However, despite this progress, further efforts are needed in particular:</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pStyle w:val="ListParagraph"/>
        <w:numPr>
          <w:ilvl w:val="1"/>
          <w:numId w:val="24"/>
        </w:numPr>
        <w:spacing w:after="0" w:line="240" w:lineRule="auto"/>
        <w:ind w:left="360"/>
        <w:jc w:val="both"/>
        <w:rPr>
          <w:noProof/>
        </w:rPr>
      </w:pPr>
      <w:r>
        <w:rPr>
          <w:noProof/>
        </w:rPr>
        <w:t xml:space="preserve">to bring down the </w:t>
      </w:r>
      <w:r>
        <w:rPr>
          <w:b/>
          <w:noProof/>
        </w:rPr>
        <w:t>high levels of overfishing in the Mediterranean</w:t>
      </w:r>
      <w:r>
        <w:rPr>
          <w:noProof/>
        </w:rPr>
        <w:t xml:space="preserve"> (with 90% of the stocks overfished and the 2 stocks of anchovy and sardines in the Adria</w:t>
      </w:r>
      <w:r>
        <w:rPr>
          <w:noProof/>
        </w:rPr>
        <w:t xml:space="preserve">tic likely to collapse in the near future), </w:t>
      </w:r>
    </w:p>
    <w:p w:rsidR="00046CF8" w:rsidRDefault="003561C2">
      <w:pPr>
        <w:pStyle w:val="ListParagraph"/>
        <w:numPr>
          <w:ilvl w:val="1"/>
          <w:numId w:val="24"/>
        </w:numPr>
        <w:spacing w:after="0" w:line="240" w:lineRule="auto"/>
        <w:ind w:left="360"/>
        <w:jc w:val="both"/>
        <w:rPr>
          <w:noProof/>
        </w:rPr>
      </w:pPr>
      <w:r>
        <w:rPr>
          <w:b/>
          <w:noProof/>
        </w:rPr>
        <w:t>to reduce the number of individual stocks exploited above FMSY in the North-East Atlantic</w:t>
      </w:r>
      <w:r>
        <w:rPr>
          <w:noProof/>
        </w:rPr>
        <w:t xml:space="preserve"> and </w:t>
      </w:r>
    </w:p>
    <w:p w:rsidR="00046CF8" w:rsidRDefault="003561C2">
      <w:pPr>
        <w:pStyle w:val="ListParagraph"/>
        <w:numPr>
          <w:ilvl w:val="1"/>
          <w:numId w:val="24"/>
        </w:numPr>
        <w:spacing w:after="0" w:line="240" w:lineRule="auto"/>
        <w:ind w:left="360"/>
        <w:jc w:val="both"/>
        <w:rPr>
          <w:b/>
          <w:noProof/>
        </w:rPr>
      </w:pPr>
      <w:r>
        <w:rPr>
          <w:b/>
          <w:noProof/>
        </w:rPr>
        <w:t>to implement the landing obligation.</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addition, in 2017 the Commission proposed </w:t>
      </w:r>
      <w:r>
        <w:rPr>
          <w:rFonts w:ascii="Times New Roman" w:eastAsia="Times New Roman" w:hAnsi="Times New Roman" w:cs="Times New Roman"/>
          <w:i/>
          <w:noProof/>
          <w:sz w:val="24"/>
          <w:szCs w:val="20"/>
        </w:rPr>
        <w:t>a prohibition of eels fishing.</w:t>
      </w:r>
      <w:r>
        <w:rPr>
          <w:rFonts w:ascii="Times New Roman" w:eastAsia="Times New Roman" w:hAnsi="Times New Roman" w:cs="Times New Roman"/>
          <w:noProof/>
          <w:sz w:val="24"/>
          <w:szCs w:val="20"/>
        </w:rPr>
        <w:t xml:space="preserve"> Wh</w:t>
      </w:r>
      <w:r>
        <w:rPr>
          <w:rFonts w:ascii="Times New Roman" w:eastAsia="Times New Roman" w:hAnsi="Times New Roman" w:cs="Times New Roman"/>
          <w:noProof/>
          <w:sz w:val="24"/>
          <w:szCs w:val="20"/>
        </w:rPr>
        <w:t>ereas it was initially foreseen to postpone prohibition of eels fishing in December 2018, it was finally decided at December Council to ban fishing for eel of an overall length of 12 cm or more in EU waters of ICES areas, including the Baltic Sea, for a co</w:t>
      </w:r>
      <w:r>
        <w:rPr>
          <w:rFonts w:ascii="Times New Roman" w:eastAsia="Times New Roman" w:hAnsi="Times New Roman" w:cs="Times New Roman"/>
          <w:noProof/>
          <w:sz w:val="24"/>
          <w:szCs w:val="20"/>
        </w:rPr>
        <w:t>nsecutive three-month period to be determined by each Member State between 1 September 2018 and 31 January 2019- when eels are migrating. In addition, the Member States will be required to strengthen national management plans in order to protect eels in th</w:t>
      </w:r>
      <w:r>
        <w:rPr>
          <w:rFonts w:ascii="Times New Roman" w:eastAsia="Times New Roman" w:hAnsi="Times New Roman" w:cs="Times New Roman"/>
          <w:noProof/>
          <w:sz w:val="24"/>
          <w:szCs w:val="20"/>
        </w:rPr>
        <w:t xml:space="preserve">e inland waters. </w:t>
      </w:r>
    </w:p>
    <w:p w:rsidR="00046CF8" w:rsidRDefault="00046CF8">
      <w:pPr>
        <w:spacing w:after="0" w:line="240" w:lineRule="auto"/>
        <w:jc w:val="both"/>
        <w:rPr>
          <w:rFonts w:ascii="Times New Roman" w:eastAsia="Times New Roman" w:hAnsi="Times New Roman" w:cs="Times New Roman"/>
          <w:noProof/>
          <w:sz w:val="24"/>
          <w:szCs w:val="20"/>
        </w:rPr>
      </w:pPr>
    </w:p>
    <w:p w:rsidR="00046CF8" w:rsidRDefault="003561C2">
      <w:pPr>
        <w:rPr>
          <w:noProof/>
        </w:rPr>
      </w:pPr>
      <w:r>
        <w:rPr>
          <w:noProof/>
        </w:rPr>
        <w:br w:type="page"/>
      </w:r>
    </w:p>
    <w:p w:rsidR="00046CF8" w:rsidRDefault="003561C2">
      <w:pPr>
        <w:pStyle w:val="Heading1"/>
        <w:numPr>
          <w:ilvl w:val="0"/>
          <w:numId w:val="25"/>
        </w:numPr>
        <w:rPr>
          <w:noProof/>
        </w:rPr>
      </w:pPr>
      <w:bookmarkStart w:id="64" w:name="_Toc514503214"/>
      <w:bookmarkStart w:id="65" w:name="_Toc514507433"/>
      <w:r>
        <w:rPr>
          <w:noProof/>
        </w:rPr>
        <w:t>Contribution on International Ocean Governance to the EMFF post-2020 impact assessment</w:t>
      </w:r>
      <w:bookmarkStart w:id="66" w:name="_GoBack"/>
      <w:bookmarkEnd w:id="64"/>
      <w:bookmarkEnd w:id="65"/>
      <w:bookmarkEnd w:id="66"/>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Oceans play a cross-cutting and central role for human well-being. They provide vital services to people and the planet including food, nutrition, </w:t>
      </w:r>
      <w:r>
        <w:rPr>
          <w:rFonts w:ascii="Times New Roman" w:hAnsi="Times New Roman" w:cs="Times New Roman"/>
          <w:noProof/>
          <w:sz w:val="24"/>
          <w:szCs w:val="24"/>
        </w:rPr>
        <w:t>climate regulation, oxygen production and hold a strong potential for economic growth. However, the oceans' capacities to provide these services are strongly impaired to date for example by pollution, ocean warming and acidification, over-exploitation of m</w:t>
      </w:r>
      <w:r>
        <w:rPr>
          <w:rFonts w:ascii="Times New Roman" w:hAnsi="Times New Roman" w:cs="Times New Roman"/>
          <w:noProof/>
          <w:sz w:val="24"/>
          <w:szCs w:val="24"/>
        </w:rPr>
        <w:t>arine resources, illegal and criminal activities. The situation is expected to aggravate with climate change and further growth of the world population. A transformation towards better conservation and sustainable use of oceans is urgently needed. Challeng</w:t>
      </w:r>
      <w:r>
        <w:rPr>
          <w:rFonts w:ascii="Times New Roman" w:hAnsi="Times New Roman" w:cs="Times New Roman"/>
          <w:noProof/>
          <w:sz w:val="24"/>
          <w:szCs w:val="24"/>
        </w:rPr>
        <w:t>es to ocean sustainability in light of their essential role for sustainable development are increasingly in the focus of major policy discussions and processes.</w:t>
      </w:r>
    </w:p>
    <w:p w:rsidR="00046CF8" w:rsidRDefault="003561C2">
      <w:pPr>
        <w:pStyle w:val="ListParagraph"/>
        <w:numPr>
          <w:ilvl w:val="0"/>
          <w:numId w:val="2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UN recognized the need for ocean sustainability by adopting a dedicated goal for oceans as </w:t>
      </w:r>
      <w:r>
        <w:rPr>
          <w:rFonts w:ascii="Times New Roman" w:hAnsi="Times New Roman" w:cs="Times New Roman"/>
          <w:noProof/>
          <w:sz w:val="24"/>
          <w:szCs w:val="24"/>
        </w:rPr>
        <w:t>part of the 2030 Agenda (SDG14) in 2015 and organising the first UN High Level conference on oceans in June 2017. The call for action adopted at the conference confirmed the urgent need for action and implementation of SDG 14.</w:t>
      </w:r>
    </w:p>
    <w:p w:rsidR="00046CF8" w:rsidRDefault="003561C2">
      <w:pPr>
        <w:pStyle w:val="ListParagraph"/>
        <w:numPr>
          <w:ilvl w:val="0"/>
          <w:numId w:val="2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G7 summit in 2015 adopted</w:t>
      </w:r>
      <w:r>
        <w:rPr>
          <w:rFonts w:ascii="Times New Roman" w:hAnsi="Times New Roman" w:cs="Times New Roman"/>
          <w:noProof/>
          <w:sz w:val="24"/>
          <w:szCs w:val="24"/>
        </w:rPr>
        <w:t xml:space="preserve"> an action plan to combat marine litter, which was echoed by a statement at the G20 in 2017. </w:t>
      </w:r>
    </w:p>
    <w:p w:rsidR="00046CF8" w:rsidRDefault="003561C2">
      <w:pPr>
        <w:pStyle w:val="ListParagraph"/>
        <w:numPr>
          <w:ilvl w:val="0"/>
          <w:numId w:val="2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OECD report on the "Ocean Economy in 2030" recognized the strong potential of the ocean to boost economic growth while highlighting the need to tackle existin</w:t>
      </w:r>
      <w:r>
        <w:rPr>
          <w:rFonts w:ascii="Times New Roman" w:hAnsi="Times New Roman" w:cs="Times New Roman"/>
          <w:noProof/>
          <w:sz w:val="24"/>
          <w:szCs w:val="24"/>
        </w:rPr>
        <w:t xml:space="preserve">g challenges to ocean health and sustainability and ensuring further growth in respect of ecosystem boundaries. </w:t>
      </w:r>
    </w:p>
    <w:p w:rsidR="00046CF8" w:rsidRDefault="003561C2">
      <w:pPr>
        <w:pStyle w:val="ListParagraph"/>
        <w:numPr>
          <w:ilvl w:val="0"/>
          <w:numId w:val="2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Growing recognition of the oceans double role vis a vis climate change in being subject to climate change effects and mitigating its impacts in</w:t>
      </w:r>
      <w:r>
        <w:rPr>
          <w:rFonts w:ascii="Times New Roman" w:hAnsi="Times New Roman" w:cs="Times New Roman"/>
          <w:noProof/>
          <w:sz w:val="24"/>
          <w:szCs w:val="24"/>
        </w:rPr>
        <w:t xml:space="preserve"> the process under the Paris agreement as reflected in the discussions and outcome of the COP23 in Bonn, November 2017.</w:t>
      </w:r>
    </w:p>
    <w:p w:rsidR="00046CF8" w:rsidRDefault="003561C2">
      <w:pPr>
        <w:pStyle w:val="ListParagraph"/>
        <w:numPr>
          <w:ilvl w:val="0"/>
          <w:numId w:val="2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Our Ocean Conference organised by the EU on 5 and 6 October 2017 in Malta, spurring more than 400 commitments from 112 countries and</w:t>
      </w:r>
      <w:r>
        <w:rPr>
          <w:rFonts w:ascii="Times New Roman" w:hAnsi="Times New Roman" w:cs="Times New Roman"/>
          <w:noProof/>
          <w:sz w:val="24"/>
          <w:szCs w:val="24"/>
        </w:rPr>
        <w:t xml:space="preserve"> by other public and private actors around the world reached over €6 billion focusing to strengthen the fight against marine pollution, enlarge protected areas, reinforce security of the oceans, foster blue economy initiatives and sustainable fisheries and</w:t>
      </w:r>
      <w:r>
        <w:rPr>
          <w:rFonts w:ascii="Times New Roman" w:hAnsi="Times New Roman" w:cs="Times New Roman"/>
          <w:noProof/>
          <w:sz w:val="24"/>
          <w:szCs w:val="24"/>
        </w:rPr>
        <w:t xml:space="preserve"> intensify the EU efforts against climate change. </w:t>
      </w:r>
    </w:p>
    <w:p w:rsidR="00046CF8" w:rsidRDefault="003561C2">
      <w:pPr>
        <w:pStyle w:val="ListParagraph"/>
        <w:numPr>
          <w:ilvl w:val="0"/>
          <w:numId w:val="2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urgent need to act for ocean sustainability and the need for further dedicated research in this regard has also been confirmed by the report of the high-level group chaired by Pascal Lamy to maximise t</w:t>
      </w:r>
      <w:r>
        <w:rPr>
          <w:rFonts w:ascii="Times New Roman" w:hAnsi="Times New Roman" w:cs="Times New Roman"/>
          <w:noProof/>
          <w:sz w:val="24"/>
          <w:szCs w:val="24"/>
        </w:rPr>
        <w:t>he impact of R&amp;I programmes which specifically mentions "keeping our oceans clean and productive" as one the global societal challenges of our time.</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Delivering ocean sustainability and tackling the underlying challenges to it, while facilitating economic d</w:t>
      </w:r>
      <w:r>
        <w:rPr>
          <w:rFonts w:ascii="Times New Roman" w:hAnsi="Times New Roman" w:cs="Times New Roman"/>
          <w:noProof/>
          <w:sz w:val="24"/>
          <w:szCs w:val="24"/>
        </w:rPr>
        <w:t>evelopment requires an ocean governance framework fit for purpose. There is general consensus that the current system for ocean governance is highly fragmented and incomplete and its efficiency limited by lack of implementation and coordination, illegal ac</w:t>
      </w:r>
      <w:r>
        <w:rPr>
          <w:rFonts w:ascii="Times New Roman" w:hAnsi="Times New Roman" w:cs="Times New Roman"/>
          <w:noProof/>
          <w:sz w:val="24"/>
          <w:szCs w:val="24"/>
        </w:rPr>
        <w:t>tivities inadequate engagement of all relevant actors and stakeholders, knowledge gaps and a partly ill-suited monitoring and advisory system.</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EC jointly with the EEAS therefore adopted an agenda to strengthen international ocean governance (IOG) in No</w:t>
      </w:r>
      <w:r>
        <w:rPr>
          <w:rFonts w:ascii="Times New Roman" w:hAnsi="Times New Roman" w:cs="Times New Roman"/>
          <w:noProof/>
          <w:sz w:val="24"/>
          <w:szCs w:val="24"/>
        </w:rPr>
        <w:t>vember 2016 to ensure that oceans are safe, secure, and clean and sustainability managed. The IOG agenda for the future of our oceans is a major building block in the EU's response to the 2030 Agenda, particularly the ocean goal, SDG14. It specifies 50 act</w:t>
      </w:r>
      <w:r>
        <w:rPr>
          <w:rFonts w:ascii="Times New Roman" w:hAnsi="Times New Roman" w:cs="Times New Roman"/>
          <w:noProof/>
          <w:sz w:val="24"/>
          <w:szCs w:val="24"/>
        </w:rPr>
        <w:t>ions in 15 categories under three strands of work:</w:t>
      </w: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1) Improving the international ocean governance framework</w:t>
      </w: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 Reducing pressures on oceans and seas and creating the conditions for a sustainable blue economy</w:t>
      </w:r>
    </w:p>
    <w:p w:rsidR="00046CF8" w:rsidRDefault="003561C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3) Strengthening international ocean research a</w:t>
      </w:r>
      <w:r>
        <w:rPr>
          <w:rFonts w:ascii="Times New Roman" w:hAnsi="Times New Roman" w:cs="Times New Roman"/>
          <w:noProof/>
          <w:sz w:val="24"/>
          <w:szCs w:val="24"/>
        </w:rPr>
        <w:t>nd data</w:t>
      </w:r>
    </w:p>
    <w:p w:rsidR="00046CF8" w:rsidRDefault="00046CF8">
      <w:pPr>
        <w:spacing w:after="0" w:line="240" w:lineRule="auto"/>
        <w:jc w:val="both"/>
        <w:rPr>
          <w:rFonts w:ascii="Times New Roman" w:hAnsi="Times New Roman" w:cs="Times New Roman"/>
          <w:noProof/>
          <w:sz w:val="24"/>
          <w:szCs w:val="24"/>
        </w:rPr>
      </w:pP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Some examples of the actions and the related rationale are as follows:</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Important instruments for oceans governance, such as the </w:t>
      </w:r>
      <w:r>
        <w:rPr>
          <w:rFonts w:ascii="Times New Roman" w:hAnsi="Times New Roman" w:cs="Times New Roman"/>
          <w:b/>
          <w:noProof/>
          <w:sz w:val="24"/>
          <w:szCs w:val="24"/>
        </w:rPr>
        <w:t xml:space="preserve">FAO Port State Measures Agreement </w:t>
      </w:r>
      <w:r>
        <w:rPr>
          <w:rFonts w:ascii="Times New Roman" w:hAnsi="Times New Roman" w:cs="Times New Roman"/>
          <w:noProof/>
          <w:sz w:val="24"/>
          <w:szCs w:val="24"/>
        </w:rPr>
        <w:t xml:space="preserve">to Prevent, Deter and Eliminate Illegal, Unreported and Unregulated Fishing, need to </w:t>
      </w:r>
      <w:r>
        <w:rPr>
          <w:rFonts w:ascii="Times New Roman" w:hAnsi="Times New Roman" w:cs="Times New Roman"/>
          <w:noProof/>
          <w:sz w:val="24"/>
          <w:szCs w:val="24"/>
        </w:rPr>
        <w:t xml:space="preserve">be, ratified and be effectively implemented.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Regional Fisheries Management Organisations (RFMOs) are the key international organisations for the </w:t>
      </w:r>
      <w:r>
        <w:rPr>
          <w:rFonts w:ascii="Times New Roman" w:hAnsi="Times New Roman" w:cs="Times New Roman"/>
          <w:b/>
          <w:noProof/>
          <w:sz w:val="24"/>
          <w:szCs w:val="24"/>
        </w:rPr>
        <w:t>conservation and sustainable use of marine resources, including straddling and highly migratory fish stocks</w:t>
      </w:r>
      <w:r>
        <w:rPr>
          <w:rFonts w:ascii="Times New Roman" w:hAnsi="Times New Roman" w:cs="Times New Roman"/>
          <w:noProof/>
          <w:sz w:val="24"/>
          <w:szCs w:val="24"/>
        </w:rPr>
        <w:t xml:space="preserve">. </w:t>
      </w:r>
      <w:r>
        <w:rPr>
          <w:rFonts w:ascii="Times New Roman" w:hAnsi="Times New Roman" w:cs="Times New Roman"/>
          <w:noProof/>
          <w:sz w:val="24"/>
          <w:szCs w:val="24"/>
        </w:rPr>
        <w:t xml:space="preserve">In line of this, it is therefore important to increase participation in relevant international instruments particularly the UN Fish Stocks Agreement.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Overfishing and overcapacity of fleets harm the sustainable management of fish stocks. We need to urgentl</w:t>
      </w:r>
      <w:r>
        <w:rPr>
          <w:rFonts w:ascii="Times New Roman" w:hAnsi="Times New Roman" w:cs="Times New Roman"/>
          <w:noProof/>
          <w:sz w:val="24"/>
          <w:szCs w:val="24"/>
        </w:rPr>
        <w:t xml:space="preserve">y address </w:t>
      </w:r>
      <w:r>
        <w:rPr>
          <w:rFonts w:ascii="Times New Roman" w:hAnsi="Times New Roman" w:cs="Times New Roman"/>
          <w:b/>
          <w:noProof/>
          <w:sz w:val="24"/>
          <w:szCs w:val="24"/>
        </w:rPr>
        <w:t>harmful fisheries subsidies</w:t>
      </w:r>
      <w:r>
        <w:rPr>
          <w:rFonts w:ascii="Times New Roman" w:hAnsi="Times New Roman" w:cs="Times New Roman"/>
          <w:noProof/>
          <w:sz w:val="24"/>
          <w:szCs w:val="24"/>
        </w:rPr>
        <w:t xml:space="preserve">. (Following the Ministerial Conference 10-13 December 2017, in Buenos Aires failure to agree a draft text on subsidy prohibitions relating to (IUU) fishing and overfished stocks, even more).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We need to protect biodive</w:t>
      </w:r>
      <w:r>
        <w:rPr>
          <w:rFonts w:ascii="Times New Roman" w:hAnsi="Times New Roman" w:cs="Times New Roman"/>
          <w:noProof/>
          <w:sz w:val="24"/>
          <w:szCs w:val="24"/>
        </w:rPr>
        <w:t xml:space="preserve">rsity. We need to meet the agreed target to conserve at least 10 per cent of coastal and marine areas in the coming three years. We will also need the UN to convene the Intergovernmental Conference next year to negotiate an </w:t>
      </w:r>
      <w:r>
        <w:rPr>
          <w:rFonts w:ascii="Times New Roman" w:hAnsi="Times New Roman" w:cs="Times New Roman"/>
          <w:b/>
          <w:noProof/>
          <w:sz w:val="24"/>
          <w:szCs w:val="24"/>
        </w:rPr>
        <w:t>implementing Agreement under the</w:t>
      </w:r>
      <w:r>
        <w:rPr>
          <w:rFonts w:ascii="Times New Roman" w:hAnsi="Times New Roman" w:cs="Times New Roman"/>
          <w:b/>
          <w:noProof/>
          <w:sz w:val="24"/>
          <w:szCs w:val="24"/>
        </w:rPr>
        <w:t xml:space="preserve"> United Nations Convention on the Law of the Sea (UNCLOS) on marine biodiversity beyond national jurisdiction</w:t>
      </w:r>
      <w:r>
        <w:rPr>
          <w:rFonts w:ascii="Times New Roman" w:hAnsi="Times New Roman" w:cs="Times New Roman"/>
          <w:noProof/>
          <w:sz w:val="24"/>
          <w:szCs w:val="24"/>
        </w:rPr>
        <w:t xml:space="preserve">, which can enable the establishment and management of marine protected areas in the high seas.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We need to overcome our current fragmented approac</w:t>
      </w:r>
      <w:r>
        <w:rPr>
          <w:rFonts w:ascii="Times New Roman" w:hAnsi="Times New Roman" w:cs="Times New Roman"/>
          <w:noProof/>
          <w:sz w:val="24"/>
          <w:szCs w:val="24"/>
        </w:rPr>
        <w:t xml:space="preserve">h: we need to improve </w:t>
      </w:r>
      <w:r>
        <w:rPr>
          <w:rFonts w:ascii="Times New Roman" w:hAnsi="Times New Roman" w:cs="Times New Roman"/>
          <w:b/>
          <w:noProof/>
          <w:sz w:val="24"/>
          <w:szCs w:val="24"/>
        </w:rPr>
        <w:t>cooperation and coordination</w:t>
      </w:r>
      <w:r>
        <w:rPr>
          <w:rFonts w:ascii="Times New Roman" w:hAnsi="Times New Roman" w:cs="Times New Roman"/>
          <w:noProof/>
          <w:sz w:val="24"/>
          <w:szCs w:val="24"/>
        </w:rPr>
        <w:t xml:space="preserve"> between international bodies that carry responsibility for ocean management.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Developing countries need support to build their capacity to </w:t>
      </w:r>
      <w:r>
        <w:rPr>
          <w:rFonts w:ascii="Times New Roman" w:hAnsi="Times New Roman" w:cs="Times New Roman"/>
          <w:b/>
          <w:noProof/>
          <w:sz w:val="24"/>
          <w:szCs w:val="24"/>
        </w:rPr>
        <w:t>develop a sustainable ocean economy</w:t>
      </w:r>
      <w:r>
        <w:rPr>
          <w:rFonts w:ascii="Times New Roman" w:hAnsi="Times New Roman" w:cs="Times New Roman"/>
          <w:noProof/>
          <w:sz w:val="24"/>
          <w:szCs w:val="24"/>
        </w:rPr>
        <w:t xml:space="preserve">.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Building on the universal ap</w:t>
      </w:r>
      <w:r>
        <w:rPr>
          <w:rFonts w:ascii="Times New Roman" w:hAnsi="Times New Roman" w:cs="Times New Roman"/>
          <w:noProof/>
          <w:sz w:val="24"/>
          <w:szCs w:val="24"/>
        </w:rPr>
        <w:t xml:space="preserve">plication of the UNCLOS, maritime multilateralism and the rule of law at sea, including the importance of cooperation should be promoted for the benefit of global </w:t>
      </w:r>
      <w:r>
        <w:rPr>
          <w:rFonts w:ascii="Times New Roman" w:hAnsi="Times New Roman" w:cs="Times New Roman"/>
          <w:b/>
          <w:noProof/>
          <w:sz w:val="24"/>
          <w:szCs w:val="24"/>
        </w:rPr>
        <w:t>maritime security</w:t>
      </w:r>
      <w:r>
        <w:rPr>
          <w:rFonts w:ascii="Times New Roman" w:hAnsi="Times New Roman" w:cs="Times New Roman"/>
          <w:noProof/>
          <w:sz w:val="24"/>
          <w:szCs w:val="24"/>
        </w:rPr>
        <w:t xml:space="preserve">.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Oceans are important regulators for our climate. It is therefore key that</w:t>
      </w:r>
      <w:r>
        <w:rPr>
          <w:rFonts w:ascii="Times New Roman" w:hAnsi="Times New Roman" w:cs="Times New Roman"/>
          <w:noProof/>
          <w:sz w:val="24"/>
          <w:szCs w:val="24"/>
        </w:rPr>
        <w:t xml:space="preserve"> the Paris Agreement is implemented with an ambitious strategy and targets set by countries to </w:t>
      </w:r>
      <w:r>
        <w:rPr>
          <w:rFonts w:ascii="Times New Roman" w:hAnsi="Times New Roman" w:cs="Times New Roman"/>
          <w:b/>
          <w:noProof/>
          <w:sz w:val="24"/>
          <w:szCs w:val="24"/>
        </w:rPr>
        <w:t>reduce greenhouse gases</w:t>
      </w:r>
      <w:r>
        <w:rPr>
          <w:rFonts w:ascii="Times New Roman" w:hAnsi="Times New Roman" w:cs="Times New Roman"/>
          <w:noProof/>
          <w:sz w:val="24"/>
          <w:szCs w:val="24"/>
        </w:rPr>
        <w:t>. Meanwhile, we all need to take measures and support those in need to deal with the consequences of ocean warming, sea-level rise and aci</w:t>
      </w:r>
      <w:r>
        <w:rPr>
          <w:rFonts w:ascii="Times New Roman" w:hAnsi="Times New Roman" w:cs="Times New Roman"/>
          <w:noProof/>
          <w:sz w:val="24"/>
          <w:szCs w:val="24"/>
        </w:rPr>
        <w:t xml:space="preserve">dification.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Marine pollution, particularly from land-based activities and from plastics, needs to be tackled – a circular economy based on the "three Rs": Reduce, Reuse and Recycle, is to be promoted to rethink waste management: from production to consump</w:t>
      </w:r>
      <w:r>
        <w:rPr>
          <w:rFonts w:ascii="Times New Roman" w:hAnsi="Times New Roman" w:cs="Times New Roman"/>
          <w:noProof/>
          <w:sz w:val="24"/>
          <w:szCs w:val="24"/>
        </w:rPr>
        <w:t xml:space="preserve">tion, so that </w:t>
      </w:r>
      <w:r>
        <w:rPr>
          <w:rFonts w:ascii="Times New Roman" w:hAnsi="Times New Roman" w:cs="Times New Roman"/>
          <w:b/>
          <w:noProof/>
          <w:sz w:val="24"/>
          <w:szCs w:val="24"/>
        </w:rPr>
        <w:t>waste leakage</w:t>
      </w:r>
      <w:r>
        <w:rPr>
          <w:rFonts w:ascii="Times New Roman" w:hAnsi="Times New Roman" w:cs="Times New Roman"/>
          <w:noProof/>
          <w:sz w:val="24"/>
          <w:szCs w:val="24"/>
        </w:rPr>
        <w:t xml:space="preserve"> into the environment is minimised.   </w:t>
      </w:r>
    </w:p>
    <w:p w:rsidR="00046CF8" w:rsidRDefault="003561C2">
      <w:pPr>
        <w:pStyle w:val="ListParagraph"/>
        <w:numPr>
          <w:ilvl w:val="0"/>
          <w:numId w:val="2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New technologies need to be developed and embraced to further advance our knowledge and understanding of the oceans. Global marine research and science partnerships need to be facilitated ac</w:t>
      </w:r>
      <w:r>
        <w:rPr>
          <w:rFonts w:ascii="Times New Roman" w:hAnsi="Times New Roman" w:cs="Times New Roman"/>
          <w:noProof/>
          <w:sz w:val="24"/>
          <w:szCs w:val="24"/>
        </w:rPr>
        <w:t xml:space="preserve">ross the globe spanning a </w:t>
      </w:r>
      <w:r>
        <w:rPr>
          <w:rFonts w:ascii="Times New Roman" w:hAnsi="Times New Roman" w:cs="Times New Roman"/>
          <w:b/>
          <w:noProof/>
          <w:sz w:val="24"/>
          <w:szCs w:val="24"/>
        </w:rPr>
        <w:t>worldwide marine data network</w:t>
      </w:r>
      <w:r>
        <w:rPr>
          <w:rFonts w:ascii="Times New Roman" w:hAnsi="Times New Roman" w:cs="Times New Roman"/>
          <w:noProof/>
          <w:sz w:val="24"/>
          <w:szCs w:val="24"/>
        </w:rPr>
        <w:t xml:space="preserve"> open to all.</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full list of the 50 actions specified to deliver these work strands is provided in the annex. As indicated in the list, several of these actions aim to be achieved by 2020 or earlier. H</w:t>
      </w:r>
      <w:r>
        <w:rPr>
          <w:rFonts w:ascii="Times New Roman" w:hAnsi="Times New Roman" w:cs="Times New Roman"/>
          <w:noProof/>
          <w:sz w:val="24"/>
          <w:szCs w:val="24"/>
        </w:rPr>
        <w:t xml:space="preserve">owever, it is important to note that several of these like the </w:t>
      </w:r>
      <w:r>
        <w:rPr>
          <w:rFonts w:ascii="Times New Roman" w:hAnsi="Times New Roman" w:cs="Times New Roman"/>
          <w:noProof/>
          <w:color w:val="000000" w:themeColor="text1"/>
          <w:sz w:val="24"/>
          <w:szCs w:val="24"/>
        </w:rPr>
        <w:t>UNGA decision to start the negotiation of an intergovernmental Instrument under UNCLOS on the conservation and sustainable use of marine biodiversity in areas beyond national jurisdiction (BBNJ</w:t>
      </w:r>
      <w:r>
        <w:rPr>
          <w:rFonts w:ascii="Times New Roman" w:hAnsi="Times New Roman" w:cs="Times New Roman"/>
          <w:noProof/>
          <w:color w:val="000000" w:themeColor="text1"/>
          <w:sz w:val="24"/>
          <w:szCs w:val="24"/>
        </w:rPr>
        <w:t>) are just the beginning and will require follow-up actions. Others marked as "ongoing" will have to be continued beyond 2020. Finally, with the global discourse on oceans developing, new ones will emerge.</w:t>
      </w:r>
      <w:r>
        <w:rPr>
          <w:rStyle w:val="FootnoteReference"/>
          <w:rFonts w:ascii="Times New Roman" w:hAnsi="Times New Roman" w:cs="Times New Roman"/>
          <w:noProof/>
          <w:color w:val="000000" w:themeColor="text1"/>
          <w:sz w:val="24"/>
          <w:szCs w:val="24"/>
        </w:rPr>
        <w:footnoteReference w:id="86"/>
      </w:r>
    </w:p>
    <w:p w:rsidR="00046CF8" w:rsidRDefault="003561C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EU plays a major role in International Ocean </w:t>
      </w:r>
      <w:r>
        <w:rPr>
          <w:rFonts w:ascii="Times New Roman" w:hAnsi="Times New Roman" w:cs="Times New Roman"/>
          <w:noProof/>
          <w:color w:val="000000" w:themeColor="text1"/>
          <w:sz w:val="24"/>
          <w:szCs w:val="24"/>
        </w:rPr>
        <w:t>Governance with being a member in almost all relevant global and regional fora and numerous bilateral relations with key ocean players. Furthermore, European business &amp; industry is engaged in many maritime activities which are not limited to the EU waters,</w:t>
      </w:r>
      <w:r>
        <w:rPr>
          <w:rFonts w:ascii="Times New Roman" w:hAnsi="Times New Roman" w:cs="Times New Roman"/>
          <w:noProof/>
          <w:color w:val="000000" w:themeColor="text1"/>
          <w:sz w:val="24"/>
          <w:szCs w:val="24"/>
        </w:rPr>
        <w:t xml:space="preserve"> e.g. fisheries, transport, cruise industry, seabed mining, biotech, ocean energy. This brings high responsibility and the need for ensuring a level playing field for competitiveness.</w:t>
      </w:r>
    </w:p>
    <w:p w:rsidR="00046CF8" w:rsidRDefault="003561C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IOG agenda facilitates the EU to use its position and interests to t</w:t>
      </w:r>
      <w:r>
        <w:rPr>
          <w:rFonts w:ascii="Times New Roman" w:hAnsi="Times New Roman" w:cs="Times New Roman"/>
          <w:noProof/>
          <w:color w:val="000000" w:themeColor="text1"/>
          <w:sz w:val="24"/>
          <w:szCs w:val="24"/>
        </w:rPr>
        <w:t xml:space="preserve">ake a leading role in shaping and advancing ocean governance in the international context to ensure an adequate and enforceable ocean governance framework. </w:t>
      </w:r>
    </w:p>
    <w:p w:rsidR="00046CF8" w:rsidRDefault="003561C2">
      <w:pPr>
        <w:spacing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Risk of non-delivery</w:t>
      </w:r>
    </w:p>
    <w:p w:rsidR="00046CF8" w:rsidRDefault="003561C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Not delivering on International Ocean Governance will not only threaten the EU</w:t>
      </w:r>
      <w:r>
        <w:rPr>
          <w:rFonts w:ascii="Times New Roman" w:hAnsi="Times New Roman" w:cs="Times New Roman"/>
          <w:noProof/>
          <w:color w:val="000000" w:themeColor="text1"/>
          <w:sz w:val="24"/>
          <w:szCs w:val="24"/>
        </w:rPr>
        <w:t>'s economic, environmental and security interests in relation to oceans, seas and marine resources but also undermine the EU's role as a key ocean player and question its stated commitment to the delivery of key global processes like the Agenda 2030, the P</w:t>
      </w:r>
      <w:r>
        <w:rPr>
          <w:rFonts w:ascii="Times New Roman" w:hAnsi="Times New Roman" w:cs="Times New Roman"/>
          <w:noProof/>
          <w:color w:val="000000" w:themeColor="text1"/>
          <w:sz w:val="24"/>
          <w:szCs w:val="24"/>
        </w:rPr>
        <w:t>aris Agreement, the UN process on establishing a legally binding instrument for BBNJ or the WTO negotiations on fisheries subsidies to name just a few.</w:t>
      </w:r>
    </w:p>
    <w:p w:rsidR="00046CF8" w:rsidRDefault="003561C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br w:type="page"/>
      </w:r>
    </w:p>
    <w:p w:rsidR="00046CF8" w:rsidRDefault="003561C2">
      <w:pPr>
        <w:pStyle w:val="NormalCentered"/>
        <w:jc w:val="left"/>
        <w:rPr>
          <w:noProof/>
          <w:szCs w:val="24"/>
        </w:rPr>
      </w:pPr>
      <w:r>
        <w:rPr>
          <w:noProof/>
        </w:rPr>
        <w:tab/>
      </w:r>
      <w:r>
        <w:rPr>
          <w:noProof/>
        </w:rPr>
        <w:tab/>
      </w:r>
      <w:r>
        <w:rPr>
          <w:noProof/>
        </w:rPr>
        <w:tab/>
      </w:r>
      <w:r>
        <w:rPr>
          <w:noProof/>
        </w:rPr>
        <w:tab/>
      </w:r>
      <w:r>
        <w:rPr>
          <w:noProof/>
        </w:rPr>
        <w:tab/>
      </w:r>
      <w:r>
        <w:rPr>
          <w:noProof/>
          <w:szCs w:val="24"/>
        </w:rPr>
        <w:t xml:space="preserve">List of Actions </w:t>
      </w:r>
    </w:p>
    <w:p w:rsidR="00046CF8" w:rsidRDefault="003561C2">
      <w:pPr>
        <w:pStyle w:val="Objetacteprincipal"/>
        <w:rPr>
          <w:noProof/>
          <w:szCs w:val="24"/>
        </w:rPr>
      </w:pPr>
      <w:r>
        <w:rPr>
          <w:noProof/>
          <w:szCs w:val="24"/>
        </w:rPr>
        <w:t>International Ocean Governance: an agenda for the future of our oceans</w:t>
      </w:r>
    </w:p>
    <w:tbl>
      <w:tblPr>
        <w:tblStyle w:val="TableGrid"/>
        <w:tblW w:w="0" w:type="auto"/>
        <w:tblLook w:val="04A0" w:firstRow="1" w:lastRow="0" w:firstColumn="1" w:lastColumn="0" w:noHBand="0" w:noVBand="1"/>
      </w:tblPr>
      <w:tblGrid>
        <w:gridCol w:w="6204"/>
        <w:gridCol w:w="2624"/>
      </w:tblGrid>
      <w:tr w:rsidR="00046CF8">
        <w:tc>
          <w:tcPr>
            <w:tcW w:w="6204" w:type="dxa"/>
          </w:tcPr>
          <w:p w:rsidR="00046CF8" w:rsidRDefault="003561C2">
            <w:pPr>
              <w:pStyle w:val="ListDash"/>
              <w:spacing w:after="120"/>
              <w:jc w:val="center"/>
              <w:rPr>
                <w:rFonts w:cs="Times New Roman"/>
                <w:b/>
                <w:noProof/>
                <w:color w:val="000000" w:themeColor="text1"/>
              </w:rPr>
            </w:pPr>
            <w:r>
              <w:rPr>
                <w:rFonts w:cs="Times New Roman"/>
                <w:b/>
                <w:noProof/>
                <w:color w:val="000000" w:themeColor="text1"/>
              </w:rPr>
              <w:t>Action</w:t>
            </w:r>
          </w:p>
        </w:tc>
        <w:tc>
          <w:tcPr>
            <w:tcW w:w="2624" w:type="dxa"/>
          </w:tcPr>
          <w:p w:rsidR="00046CF8" w:rsidRDefault="003561C2">
            <w:pPr>
              <w:pStyle w:val="ListDash"/>
              <w:spacing w:after="120"/>
              <w:jc w:val="center"/>
              <w:rPr>
                <w:rFonts w:cs="Times New Roman"/>
                <w:b/>
                <w:noProof/>
                <w:color w:val="000000" w:themeColor="text1"/>
              </w:rPr>
            </w:pPr>
            <w:r>
              <w:rPr>
                <w:rFonts w:cs="Times New Roman"/>
                <w:b/>
                <w:noProof/>
                <w:color w:val="000000" w:themeColor="text1"/>
              </w:rPr>
              <w:t>Ti</w:t>
            </w:r>
            <w:r>
              <w:rPr>
                <w:rFonts w:cs="Times New Roman"/>
                <w:b/>
                <w:noProof/>
                <w:color w:val="000000" w:themeColor="text1"/>
              </w:rPr>
              <w:t>ming</w:t>
            </w:r>
          </w:p>
        </w:tc>
      </w:tr>
      <w:tr w:rsidR="00046CF8">
        <w:tc>
          <w:tcPr>
            <w:tcW w:w="8828" w:type="dxa"/>
            <w:gridSpan w:val="2"/>
            <w:shd w:val="clear" w:color="auto" w:fill="C6D9F1" w:themeFill="text2" w:themeFillTint="33"/>
          </w:tcPr>
          <w:p w:rsidR="00046CF8" w:rsidRDefault="003561C2">
            <w:pPr>
              <w:pStyle w:val="ListDash"/>
              <w:numPr>
                <w:ilvl w:val="0"/>
                <w:numId w:val="35"/>
              </w:numPr>
              <w:spacing w:after="120"/>
              <w:jc w:val="center"/>
              <w:rPr>
                <w:rFonts w:cs="Times New Roman"/>
                <w:b/>
                <w:noProof/>
                <w:color w:val="000000" w:themeColor="text1"/>
              </w:rPr>
            </w:pPr>
            <w:r>
              <w:rPr>
                <w:rFonts w:cs="Times New Roman"/>
                <w:b/>
                <w:noProof/>
                <w:color w:val="000000" w:themeColor="text1"/>
              </w:rPr>
              <w:t>Filling the gaps in the international ocean governance framework</w:t>
            </w:r>
          </w:p>
        </w:tc>
      </w:tr>
      <w:tr w:rsidR="00046CF8">
        <w:tc>
          <w:tcPr>
            <w:tcW w:w="6204" w:type="dxa"/>
          </w:tcPr>
          <w:p w:rsidR="00046CF8" w:rsidRDefault="003561C2">
            <w:pPr>
              <w:pStyle w:val="ListDash"/>
              <w:tabs>
                <w:tab w:val="clear" w:pos="283"/>
                <w:tab w:val="left" w:pos="426"/>
              </w:tabs>
              <w:spacing w:after="0"/>
              <w:rPr>
                <w:rFonts w:cs="Times New Roman"/>
                <w:noProof/>
                <w:color w:val="000000" w:themeColor="text1"/>
              </w:rPr>
            </w:pPr>
            <w:r>
              <w:rPr>
                <w:rFonts w:cs="Times New Roman"/>
                <w:b/>
                <w:noProof/>
                <w:color w:val="000000" w:themeColor="text1"/>
              </w:rPr>
              <w:t xml:space="preserve">1.1. </w:t>
            </w:r>
            <w:r>
              <w:rPr>
                <w:rFonts w:cs="Times New Roman"/>
                <w:noProof/>
                <w:color w:val="000000" w:themeColor="text1"/>
              </w:rPr>
              <w:t>Work with Member States and international partners for adoption, ratification and implementation of ocean governance instruments.</w:t>
            </w:r>
          </w:p>
          <w:p w:rsidR="00046CF8" w:rsidRDefault="003561C2">
            <w:pPr>
              <w:pStyle w:val="ListDash"/>
              <w:tabs>
                <w:tab w:val="left" w:pos="426"/>
              </w:tabs>
              <w:spacing w:after="0"/>
              <w:rPr>
                <w:rFonts w:cs="Times New Roman"/>
                <w:noProof/>
                <w:color w:val="000000" w:themeColor="text1"/>
              </w:rPr>
            </w:pPr>
            <w:r>
              <w:rPr>
                <w:rFonts w:cs="Times New Roman"/>
                <w:noProof/>
                <w:color w:val="000000" w:themeColor="text1"/>
              </w:rPr>
              <w:t xml:space="preserve">FAO Port State Measures Agreement: </w:t>
            </w:r>
          </w:p>
          <w:p w:rsidR="00046CF8" w:rsidRDefault="003561C2">
            <w:pPr>
              <w:pStyle w:val="ListDash"/>
              <w:tabs>
                <w:tab w:val="left" w:pos="426"/>
              </w:tabs>
              <w:spacing w:after="0"/>
              <w:rPr>
                <w:rFonts w:cs="Times New Roman"/>
                <w:noProof/>
                <w:color w:val="000000" w:themeColor="text1"/>
              </w:rPr>
            </w:pPr>
            <w:r>
              <w:rPr>
                <w:rFonts w:cs="Times New Roman"/>
                <w:noProof/>
                <w:color w:val="000000" w:themeColor="text1"/>
              </w:rPr>
              <w:t xml:space="preserve">- Inception meeting </w:t>
            </w:r>
          </w:p>
          <w:p w:rsidR="00046CF8" w:rsidRDefault="003561C2">
            <w:pPr>
              <w:pStyle w:val="ListDash"/>
              <w:tabs>
                <w:tab w:val="left" w:pos="426"/>
              </w:tabs>
              <w:spacing w:after="0"/>
              <w:rPr>
                <w:rFonts w:cs="Times New Roman"/>
                <w:b/>
                <w:noProof/>
                <w:color w:val="000000" w:themeColor="text1"/>
              </w:rPr>
            </w:pPr>
            <w:r>
              <w:rPr>
                <w:rFonts w:cs="Times New Roman"/>
                <w:noProof/>
                <w:color w:val="000000" w:themeColor="text1"/>
              </w:rPr>
              <w:t>- Adoption of Article 21 Trust Fund at FAO Committee of Fisheries</w:t>
            </w:r>
          </w:p>
        </w:tc>
        <w:tc>
          <w:tcPr>
            <w:tcW w:w="2624" w:type="dxa"/>
          </w:tcPr>
          <w:p w:rsidR="00046CF8" w:rsidRDefault="003561C2">
            <w:pPr>
              <w:pStyle w:val="ListDash"/>
              <w:spacing w:after="0"/>
              <w:rPr>
                <w:rFonts w:cs="Times New Roman"/>
                <w:noProof/>
                <w:color w:val="000000" w:themeColor="text1"/>
              </w:rPr>
            </w:pPr>
            <w:r>
              <w:rPr>
                <w:rFonts w:cs="Times New Roman"/>
                <w:noProof/>
                <w:color w:val="000000" w:themeColor="text1"/>
              </w:rPr>
              <w:t xml:space="preserve">Ongoing </w:t>
            </w:r>
          </w:p>
          <w:p w:rsidR="00046CF8" w:rsidRDefault="00046CF8">
            <w:pPr>
              <w:pStyle w:val="ListDash"/>
              <w:spacing w:after="0"/>
              <w:rPr>
                <w:rFonts w:cs="Times New Roman"/>
                <w:noProof/>
                <w:color w:val="000000" w:themeColor="text1"/>
              </w:rPr>
            </w:pPr>
          </w:p>
          <w:p w:rsidR="00046CF8" w:rsidRDefault="00046CF8">
            <w:pPr>
              <w:pStyle w:val="ListDash"/>
              <w:spacing w:before="120" w:after="0"/>
              <w:rPr>
                <w:rFonts w:cs="Times New Roman"/>
                <w:noProof/>
                <w:color w:val="000000" w:themeColor="text1"/>
              </w:rPr>
            </w:pPr>
          </w:p>
          <w:p w:rsidR="00046CF8" w:rsidRDefault="003561C2">
            <w:pPr>
              <w:pStyle w:val="ListDash"/>
              <w:spacing w:after="0"/>
              <w:rPr>
                <w:rFonts w:cs="Times New Roman"/>
                <w:noProof/>
                <w:color w:val="000000" w:themeColor="text1"/>
              </w:rPr>
            </w:pPr>
            <w:r>
              <w:rPr>
                <w:rFonts w:cs="Times New Roman"/>
                <w:noProof/>
                <w:color w:val="000000" w:themeColor="text1"/>
              </w:rPr>
              <w:t>2017</w:t>
            </w:r>
          </w:p>
          <w:p w:rsidR="00046CF8" w:rsidRDefault="003561C2">
            <w:pPr>
              <w:pStyle w:val="ListDash"/>
              <w:spacing w:after="0"/>
              <w:rPr>
                <w:rFonts w:cs="Times New Roman"/>
                <w:noProof/>
                <w:color w:val="000000" w:themeColor="text1"/>
              </w:rPr>
            </w:pPr>
            <w:r>
              <w:rPr>
                <w:rFonts w:cs="Times New Roman"/>
                <w:noProof/>
                <w:color w:val="000000" w:themeColor="text1"/>
              </w:rPr>
              <w:t>2018</w:t>
            </w:r>
          </w:p>
        </w:tc>
      </w:tr>
      <w:tr w:rsidR="00046CF8">
        <w:tc>
          <w:tcPr>
            <w:tcW w:w="6204" w:type="dxa"/>
          </w:tcPr>
          <w:p w:rsidR="00046CF8" w:rsidRDefault="003561C2">
            <w:pPr>
              <w:pStyle w:val="ListDash"/>
              <w:tabs>
                <w:tab w:val="left" w:pos="426"/>
              </w:tabs>
              <w:spacing w:after="0"/>
              <w:rPr>
                <w:rFonts w:cs="Times New Roman"/>
                <w:b/>
                <w:noProof/>
                <w:color w:val="000000" w:themeColor="text1"/>
              </w:rPr>
            </w:pPr>
            <w:r>
              <w:rPr>
                <w:rFonts w:cs="Times New Roman"/>
                <w:b/>
                <w:noProof/>
                <w:color w:val="000000" w:themeColor="text1"/>
              </w:rPr>
              <w:t xml:space="preserve">1.2. </w:t>
            </w:r>
            <w:r>
              <w:rPr>
                <w:rFonts w:cs="Times New Roman"/>
                <w:noProof/>
                <w:color w:val="000000" w:themeColor="text1"/>
              </w:rPr>
              <w:t xml:space="preserve">UNGA decision to hold an intergovernmental conference for the negotiation of an intergovernmental Instrument under UNCLOS on the conservation </w:t>
            </w:r>
            <w:r>
              <w:rPr>
                <w:rFonts w:cs="Times New Roman"/>
                <w:noProof/>
                <w:color w:val="000000" w:themeColor="text1"/>
              </w:rPr>
              <w:t>and sustainable use of marine biodiversity in areas beyond national jurisdiction (BBNJ) based on the recommendations by the BBNJ Preparatory Committee in 2016 and 2017.</w:t>
            </w:r>
          </w:p>
        </w:tc>
        <w:tc>
          <w:tcPr>
            <w:tcW w:w="2624" w:type="dxa"/>
          </w:tcPr>
          <w:p w:rsidR="00046CF8" w:rsidRDefault="003561C2">
            <w:pPr>
              <w:pStyle w:val="ListDash"/>
              <w:spacing w:after="0"/>
              <w:rPr>
                <w:rFonts w:cs="Times New Roman"/>
                <w:noProof/>
                <w:color w:val="000000" w:themeColor="text1"/>
              </w:rPr>
            </w:pPr>
            <w:r>
              <w:rPr>
                <w:rFonts w:cs="Times New Roman"/>
                <w:noProof/>
                <w:color w:val="000000" w:themeColor="text1"/>
              </w:rPr>
              <w:t>2017</w:t>
            </w:r>
          </w:p>
        </w:tc>
      </w:tr>
      <w:tr w:rsidR="00046CF8">
        <w:tc>
          <w:tcPr>
            <w:tcW w:w="6204" w:type="dxa"/>
          </w:tcPr>
          <w:p w:rsidR="00046CF8" w:rsidRDefault="003561C2">
            <w:pPr>
              <w:pStyle w:val="ListDash"/>
              <w:tabs>
                <w:tab w:val="clear" w:pos="283"/>
                <w:tab w:val="left" w:pos="426"/>
              </w:tabs>
              <w:spacing w:after="0"/>
              <w:rPr>
                <w:rFonts w:cs="Times New Roman"/>
                <w:noProof/>
                <w:color w:val="000000" w:themeColor="text1"/>
              </w:rPr>
            </w:pPr>
            <w:r>
              <w:rPr>
                <w:rFonts w:cs="Times New Roman"/>
                <w:b/>
                <w:noProof/>
                <w:color w:val="000000" w:themeColor="text1"/>
              </w:rPr>
              <w:t xml:space="preserve">1.3. </w:t>
            </w:r>
            <w:r>
              <w:rPr>
                <w:rFonts w:cs="Times New Roman"/>
                <w:noProof/>
                <w:color w:val="000000" w:themeColor="text1"/>
              </w:rPr>
              <w:t>Support international efforts for the protection of marine biodiversity in r</w:t>
            </w:r>
            <w:r>
              <w:rPr>
                <w:rFonts w:cs="Times New Roman"/>
                <w:noProof/>
                <w:color w:val="000000" w:themeColor="text1"/>
              </w:rPr>
              <w:t xml:space="preserve">elevant international institutions </w:t>
            </w:r>
          </w:p>
        </w:tc>
        <w:tc>
          <w:tcPr>
            <w:tcW w:w="2624" w:type="dxa"/>
          </w:tcPr>
          <w:p w:rsidR="00046CF8" w:rsidRDefault="003561C2">
            <w:pPr>
              <w:pStyle w:val="ListDash"/>
              <w:spacing w:after="0"/>
              <w:rPr>
                <w:rFonts w:cs="Times New Roman"/>
                <w:noProof/>
                <w:color w:val="000000" w:themeColor="text1"/>
              </w:rPr>
            </w:pPr>
            <w:r>
              <w:rPr>
                <w:rFonts w:cs="Times New Roman"/>
                <w:noProof/>
                <w:color w:val="000000" w:themeColor="text1"/>
              </w:rPr>
              <w:t>Ongoing</w:t>
            </w:r>
          </w:p>
        </w:tc>
      </w:tr>
      <w:tr w:rsidR="00046CF8">
        <w:tc>
          <w:tcPr>
            <w:tcW w:w="6204" w:type="dxa"/>
          </w:tcPr>
          <w:p w:rsidR="00046CF8" w:rsidRDefault="003561C2">
            <w:pPr>
              <w:pStyle w:val="ListDash"/>
              <w:tabs>
                <w:tab w:val="left" w:pos="426"/>
              </w:tabs>
              <w:spacing w:after="0"/>
              <w:rPr>
                <w:rFonts w:cs="Times New Roman"/>
                <w:noProof/>
                <w:color w:val="000000" w:themeColor="text1"/>
              </w:rPr>
            </w:pPr>
            <w:r>
              <w:rPr>
                <w:rFonts w:eastAsia="Times New Roman" w:cs="Times New Roman"/>
                <w:b/>
                <w:noProof/>
                <w:color w:val="000000" w:themeColor="text1"/>
              </w:rPr>
              <w:t xml:space="preserve">1.4. </w:t>
            </w:r>
            <w:r>
              <w:rPr>
                <w:rFonts w:cs="Times New Roman"/>
                <w:noProof/>
                <w:color w:val="000000" w:themeColor="text1"/>
              </w:rPr>
              <w:t>Produce guidance on the exploration and exploitation of natural resources on the seabed in areas under national jurisdiction</w:t>
            </w:r>
          </w:p>
        </w:tc>
        <w:tc>
          <w:tcPr>
            <w:tcW w:w="2624" w:type="dxa"/>
          </w:tcPr>
          <w:p w:rsidR="00046CF8" w:rsidRDefault="003561C2">
            <w:pPr>
              <w:pStyle w:val="ListDash"/>
              <w:spacing w:after="0"/>
              <w:rPr>
                <w:rFonts w:cs="Times New Roman"/>
                <w:noProof/>
                <w:color w:val="000000" w:themeColor="text1"/>
              </w:rPr>
            </w:pPr>
            <w:r>
              <w:rPr>
                <w:rFonts w:cs="Times New Roman"/>
                <w:noProof/>
                <w:color w:val="000000" w:themeColor="text1"/>
              </w:rPr>
              <w:t>By 2018</w:t>
            </w:r>
          </w:p>
        </w:tc>
      </w:tr>
      <w:tr w:rsidR="00046CF8">
        <w:tc>
          <w:tcPr>
            <w:tcW w:w="6204" w:type="dxa"/>
          </w:tcPr>
          <w:p w:rsidR="00046CF8" w:rsidRDefault="003561C2">
            <w:pPr>
              <w:tabs>
                <w:tab w:val="left" w:pos="284"/>
                <w:tab w:val="left" w:pos="426"/>
              </w:tabs>
              <w:rPr>
                <w:noProof/>
                <w:color w:val="000000" w:themeColor="text1"/>
                <w:sz w:val="24"/>
                <w:szCs w:val="24"/>
              </w:rPr>
            </w:pPr>
            <w:r>
              <w:rPr>
                <w:b/>
                <w:noProof/>
                <w:color w:val="000000" w:themeColor="text1"/>
                <w:sz w:val="24"/>
                <w:szCs w:val="24"/>
                <w:lang w:val="en-US"/>
              </w:rPr>
              <w:t xml:space="preserve">1.5. </w:t>
            </w:r>
            <w:r>
              <w:rPr>
                <w:noProof/>
                <w:color w:val="000000" w:themeColor="text1"/>
                <w:sz w:val="24"/>
                <w:szCs w:val="24"/>
                <w:lang w:val="en-US"/>
              </w:rPr>
              <w:t>P</w:t>
            </w:r>
            <w:r>
              <w:rPr>
                <w:noProof/>
                <w:color w:val="000000" w:themeColor="text1"/>
                <w:sz w:val="24"/>
                <w:szCs w:val="24"/>
              </w:rPr>
              <w:t xml:space="preserve">ursue regional initiatives for sustainable development and/or </w:t>
            </w:r>
            <w:r>
              <w:rPr>
                <w:noProof/>
                <w:color w:val="000000" w:themeColor="text1"/>
                <w:sz w:val="24"/>
                <w:szCs w:val="24"/>
              </w:rPr>
              <w:t>safety and security in sea basins outside the EU.</w:t>
            </w:r>
          </w:p>
        </w:tc>
        <w:tc>
          <w:tcPr>
            <w:tcW w:w="2624" w:type="dxa"/>
          </w:tcPr>
          <w:p w:rsidR="00046CF8" w:rsidRDefault="003561C2">
            <w:pPr>
              <w:rPr>
                <w:noProof/>
                <w:color w:val="000000" w:themeColor="text1"/>
                <w:sz w:val="24"/>
                <w:szCs w:val="24"/>
              </w:rPr>
            </w:pPr>
            <w:r>
              <w:rPr>
                <w:noProof/>
                <w:color w:val="000000" w:themeColor="text1"/>
                <w:sz w:val="24"/>
                <w:szCs w:val="24"/>
              </w:rPr>
              <w:t>Ongoing</w:t>
            </w:r>
          </w:p>
        </w:tc>
      </w:tr>
      <w:tr w:rsidR="00046CF8">
        <w:tc>
          <w:tcPr>
            <w:tcW w:w="8828" w:type="dxa"/>
            <w:gridSpan w:val="2"/>
            <w:shd w:val="clear" w:color="auto" w:fill="C6D9F1" w:themeFill="text2" w:themeFillTint="33"/>
          </w:tcPr>
          <w:p w:rsidR="00046CF8" w:rsidRDefault="003561C2">
            <w:pPr>
              <w:pStyle w:val="ListDash"/>
              <w:numPr>
                <w:ilvl w:val="0"/>
                <w:numId w:val="35"/>
              </w:numPr>
              <w:spacing w:after="120"/>
              <w:jc w:val="center"/>
              <w:rPr>
                <w:rFonts w:cs="Times New Roman"/>
                <w:b/>
                <w:iCs/>
                <w:noProof/>
              </w:rPr>
            </w:pPr>
            <w:r>
              <w:rPr>
                <w:rFonts w:cs="Times New Roman"/>
                <w:b/>
                <w:noProof/>
                <w:color w:val="000000" w:themeColor="text1"/>
              </w:rPr>
              <w:t>Promoting</w:t>
            </w:r>
            <w:r>
              <w:rPr>
                <w:rFonts w:cs="Times New Roman"/>
                <w:b/>
                <w:iCs/>
                <w:noProof/>
              </w:rPr>
              <w:t xml:space="preserve"> regional fisheries management and cooperation in key ocean areas to fill regional governance gaps</w:t>
            </w:r>
          </w:p>
        </w:tc>
      </w:tr>
      <w:tr w:rsidR="00046CF8">
        <w:tc>
          <w:tcPr>
            <w:tcW w:w="6204" w:type="dxa"/>
          </w:tcPr>
          <w:p w:rsidR="00046CF8" w:rsidRDefault="003561C2">
            <w:pPr>
              <w:rPr>
                <w:iCs/>
                <w:noProof/>
                <w:sz w:val="24"/>
                <w:szCs w:val="24"/>
              </w:rPr>
            </w:pPr>
            <w:r>
              <w:rPr>
                <w:b/>
                <w:iCs/>
                <w:noProof/>
                <w:sz w:val="24"/>
                <w:szCs w:val="24"/>
              </w:rPr>
              <w:t>2.1.</w:t>
            </w:r>
            <w:r>
              <w:rPr>
                <w:iCs/>
                <w:noProof/>
                <w:sz w:val="24"/>
                <w:szCs w:val="24"/>
              </w:rPr>
              <w:t>.Support a multilateral agreement or RFMO to prevent unregulated high seas fisheries</w:t>
            </w:r>
            <w:r>
              <w:rPr>
                <w:iCs/>
                <w:noProof/>
                <w:sz w:val="24"/>
                <w:szCs w:val="24"/>
              </w:rPr>
              <w:t xml:space="preserve"> in the Central Arctic Ocean</w:t>
            </w:r>
          </w:p>
        </w:tc>
        <w:tc>
          <w:tcPr>
            <w:tcW w:w="2624" w:type="dxa"/>
          </w:tcPr>
          <w:p w:rsidR="00046CF8" w:rsidRDefault="003561C2">
            <w:pPr>
              <w:rPr>
                <w:iCs/>
                <w:noProof/>
                <w:sz w:val="24"/>
                <w:szCs w:val="24"/>
              </w:rPr>
            </w:pPr>
            <w:r>
              <w:rPr>
                <w:iCs/>
                <w:noProof/>
                <w:sz w:val="24"/>
                <w:szCs w:val="24"/>
              </w:rPr>
              <w:t>2017-2018</w:t>
            </w:r>
          </w:p>
        </w:tc>
      </w:tr>
      <w:tr w:rsidR="00046CF8">
        <w:tc>
          <w:tcPr>
            <w:tcW w:w="6204" w:type="dxa"/>
          </w:tcPr>
          <w:p w:rsidR="00046CF8" w:rsidRDefault="003561C2">
            <w:pPr>
              <w:pStyle w:val="ListBullet1"/>
              <w:tabs>
                <w:tab w:val="clear" w:pos="765"/>
              </w:tabs>
              <w:spacing w:after="120"/>
              <w:rPr>
                <w:rFonts w:cs="Times New Roman"/>
                <w:noProof/>
              </w:rPr>
            </w:pPr>
            <w:r>
              <w:rPr>
                <w:rFonts w:cs="Times New Roman"/>
                <w:b/>
                <w:noProof/>
              </w:rPr>
              <w:t>2.2.</w:t>
            </w:r>
            <w:r>
              <w:rPr>
                <w:rFonts w:cs="Times New Roman"/>
                <w:noProof/>
              </w:rPr>
              <w:t xml:space="preserve"> Support the upgrading of the Fishery Committee for the Eastern Central Atlantic and the Western Central Atlantic Fishery Commission. </w:t>
            </w:r>
          </w:p>
          <w:p w:rsidR="00046CF8" w:rsidRDefault="003561C2">
            <w:pPr>
              <w:pStyle w:val="ListBullet1"/>
              <w:spacing w:after="0"/>
              <w:rPr>
                <w:rFonts w:cs="Times New Roman"/>
                <w:noProof/>
              </w:rPr>
            </w:pPr>
            <w:r>
              <w:rPr>
                <w:rFonts w:cs="Times New Roman"/>
                <w:noProof/>
              </w:rPr>
              <w:t xml:space="preserve">CECAF: availability of a study on cost and benefits of different options for </w:t>
            </w:r>
            <w:r>
              <w:rPr>
                <w:rFonts w:cs="Times New Roman"/>
                <w:noProof/>
              </w:rPr>
              <w:t>the status of CECAF</w:t>
            </w:r>
          </w:p>
          <w:p w:rsidR="00046CF8" w:rsidRDefault="00046CF8">
            <w:pPr>
              <w:pStyle w:val="ListBullet1"/>
              <w:spacing w:after="0"/>
              <w:rPr>
                <w:rFonts w:cs="Times New Roman"/>
                <w:noProof/>
              </w:rPr>
            </w:pPr>
          </w:p>
          <w:p w:rsidR="00046CF8" w:rsidRDefault="003561C2">
            <w:pPr>
              <w:pStyle w:val="ListBullet1"/>
              <w:tabs>
                <w:tab w:val="clear" w:pos="765"/>
              </w:tabs>
              <w:spacing w:after="120"/>
              <w:rPr>
                <w:rFonts w:cs="Times New Roman"/>
                <w:noProof/>
              </w:rPr>
            </w:pPr>
            <w:r>
              <w:rPr>
                <w:rFonts w:cs="Times New Roman"/>
                <w:noProof/>
              </w:rPr>
              <w:t xml:space="preserve">WECAFC decision in on way forward </w:t>
            </w:r>
          </w:p>
        </w:tc>
        <w:tc>
          <w:tcPr>
            <w:tcW w:w="2624" w:type="dxa"/>
          </w:tcPr>
          <w:p w:rsidR="00046CF8" w:rsidRDefault="003561C2">
            <w:pPr>
              <w:pStyle w:val="ListBullet1"/>
              <w:tabs>
                <w:tab w:val="clear" w:pos="765"/>
              </w:tabs>
              <w:spacing w:after="0"/>
              <w:rPr>
                <w:rFonts w:cs="Times New Roman"/>
                <w:noProof/>
              </w:rPr>
            </w:pPr>
            <w:r>
              <w:rPr>
                <w:rFonts w:cs="Times New Roman"/>
                <w:noProof/>
              </w:rPr>
              <w:t>By 2020</w:t>
            </w:r>
          </w:p>
          <w:p w:rsidR="00046CF8" w:rsidRDefault="00046CF8">
            <w:pPr>
              <w:pStyle w:val="ListBullet1"/>
              <w:tabs>
                <w:tab w:val="clear" w:pos="765"/>
              </w:tabs>
              <w:spacing w:after="0"/>
              <w:rPr>
                <w:rFonts w:cs="Times New Roman"/>
                <w:noProof/>
              </w:rPr>
            </w:pPr>
          </w:p>
          <w:p w:rsidR="00046CF8" w:rsidRDefault="00046CF8">
            <w:pPr>
              <w:pStyle w:val="ListBullet1"/>
              <w:tabs>
                <w:tab w:val="clear" w:pos="765"/>
              </w:tabs>
              <w:spacing w:after="0"/>
              <w:rPr>
                <w:rFonts w:cs="Times New Roman"/>
                <w:noProof/>
              </w:rPr>
            </w:pPr>
          </w:p>
          <w:p w:rsidR="00046CF8" w:rsidRDefault="003561C2">
            <w:pPr>
              <w:pStyle w:val="ListBullet1"/>
              <w:tabs>
                <w:tab w:val="clear" w:pos="765"/>
              </w:tabs>
              <w:spacing w:after="0"/>
              <w:rPr>
                <w:rFonts w:cs="Times New Roman"/>
                <w:noProof/>
              </w:rPr>
            </w:pPr>
            <w:r>
              <w:rPr>
                <w:rFonts w:cs="Times New Roman"/>
                <w:noProof/>
              </w:rPr>
              <w:t>2017</w:t>
            </w:r>
          </w:p>
          <w:p w:rsidR="00046CF8" w:rsidRDefault="00046CF8">
            <w:pPr>
              <w:pStyle w:val="ListBullet1"/>
              <w:tabs>
                <w:tab w:val="clear" w:pos="765"/>
              </w:tabs>
              <w:spacing w:after="0"/>
              <w:rPr>
                <w:rFonts w:cs="Times New Roman"/>
                <w:noProof/>
              </w:rPr>
            </w:pPr>
          </w:p>
          <w:p w:rsidR="00046CF8" w:rsidRDefault="00046CF8">
            <w:pPr>
              <w:pStyle w:val="ListBullet1"/>
              <w:tabs>
                <w:tab w:val="clear" w:pos="765"/>
              </w:tabs>
              <w:spacing w:after="0"/>
              <w:rPr>
                <w:rFonts w:cs="Times New Roman"/>
                <w:noProof/>
              </w:rPr>
            </w:pPr>
          </w:p>
          <w:p w:rsidR="00046CF8" w:rsidRDefault="003561C2">
            <w:pPr>
              <w:pStyle w:val="ListBullet1"/>
              <w:tabs>
                <w:tab w:val="clear" w:pos="765"/>
              </w:tabs>
              <w:spacing w:after="0"/>
              <w:rPr>
                <w:rFonts w:cs="Times New Roman"/>
                <w:noProof/>
              </w:rPr>
            </w:pPr>
            <w:r>
              <w:rPr>
                <w:rFonts w:cs="Times New Roman"/>
                <w:noProof/>
              </w:rPr>
              <w:t>2018</w:t>
            </w:r>
          </w:p>
          <w:p w:rsidR="00046CF8" w:rsidRDefault="00046CF8">
            <w:pPr>
              <w:pStyle w:val="ListBullet1"/>
              <w:tabs>
                <w:tab w:val="clear" w:pos="765"/>
              </w:tabs>
              <w:spacing w:after="0"/>
              <w:rPr>
                <w:rFonts w:cs="Times New Roman"/>
                <w:noProof/>
              </w:rPr>
            </w:pPr>
          </w:p>
        </w:tc>
      </w:tr>
      <w:tr w:rsidR="00046CF8">
        <w:tc>
          <w:tcPr>
            <w:tcW w:w="6204" w:type="dxa"/>
          </w:tcPr>
          <w:p w:rsidR="00046CF8" w:rsidRDefault="003561C2">
            <w:pPr>
              <w:pStyle w:val="ListBullet1"/>
              <w:tabs>
                <w:tab w:val="clear" w:pos="765"/>
              </w:tabs>
              <w:spacing w:after="0"/>
              <w:rPr>
                <w:rFonts w:cs="Times New Roman"/>
                <w:noProof/>
              </w:rPr>
            </w:pPr>
            <w:r>
              <w:rPr>
                <w:rFonts w:cs="Times New Roman"/>
                <w:b/>
                <w:noProof/>
              </w:rPr>
              <w:t xml:space="preserve">2.3. </w:t>
            </w:r>
            <w:r>
              <w:rPr>
                <w:rFonts w:cs="Times New Roman"/>
                <w:noProof/>
              </w:rPr>
              <w:t>Support regional fisheries bodies and initiatives in improving cooperation between countries on issues such as IUU fishing.</w:t>
            </w:r>
          </w:p>
          <w:p w:rsidR="00046CF8" w:rsidRDefault="003561C2">
            <w:pPr>
              <w:pStyle w:val="ListBullet1"/>
              <w:tabs>
                <w:tab w:val="clear" w:pos="765"/>
              </w:tabs>
              <w:spacing w:after="0"/>
              <w:rPr>
                <w:rFonts w:cs="Times New Roman"/>
                <w:noProof/>
              </w:rPr>
            </w:pPr>
            <w:r>
              <w:rPr>
                <w:rFonts w:cs="Times New Roman"/>
                <w:noProof/>
              </w:rPr>
              <w:t>Establishment of IUU procedures in all RFMOs, t</w:t>
            </w:r>
            <w:r>
              <w:rPr>
                <w:rFonts w:cs="Times New Roman"/>
                <w:noProof/>
              </w:rPr>
              <w:t>heir harmonisation and mutual recognition of IUU listings in all relevant RFMOs</w:t>
            </w:r>
          </w:p>
          <w:p w:rsidR="00046CF8" w:rsidRDefault="003561C2">
            <w:pPr>
              <w:rPr>
                <w:b/>
                <w:iCs/>
                <w:noProof/>
                <w:sz w:val="24"/>
                <w:szCs w:val="24"/>
              </w:rPr>
            </w:pPr>
            <w:r>
              <w:rPr>
                <w:noProof/>
                <w:sz w:val="24"/>
                <w:szCs w:val="24"/>
              </w:rPr>
              <w:t>General Fisheries Commission for the Mediterranean (GFCM): development of a holistic regional plan of action to fight IUU fishing.</w:t>
            </w:r>
          </w:p>
        </w:tc>
        <w:tc>
          <w:tcPr>
            <w:tcW w:w="2624" w:type="dxa"/>
          </w:tcPr>
          <w:p w:rsidR="00046CF8" w:rsidRDefault="003561C2">
            <w:pPr>
              <w:pStyle w:val="ListBullet1"/>
              <w:tabs>
                <w:tab w:val="clear" w:pos="765"/>
              </w:tabs>
              <w:spacing w:after="0"/>
              <w:rPr>
                <w:rFonts w:cs="Times New Roman"/>
                <w:noProof/>
              </w:rPr>
            </w:pPr>
            <w:r>
              <w:rPr>
                <w:rFonts w:cs="Times New Roman"/>
                <w:noProof/>
              </w:rPr>
              <w:t xml:space="preserve">Ongoing </w:t>
            </w:r>
          </w:p>
          <w:p w:rsidR="00046CF8" w:rsidRDefault="00046CF8">
            <w:pPr>
              <w:pStyle w:val="ListBullet1"/>
              <w:tabs>
                <w:tab w:val="clear" w:pos="765"/>
              </w:tabs>
              <w:spacing w:after="0"/>
              <w:rPr>
                <w:rFonts w:cs="Times New Roman"/>
                <w:noProof/>
              </w:rPr>
            </w:pPr>
          </w:p>
          <w:p w:rsidR="00046CF8" w:rsidRDefault="00046CF8">
            <w:pPr>
              <w:pStyle w:val="ListBullet1"/>
              <w:tabs>
                <w:tab w:val="clear" w:pos="765"/>
              </w:tabs>
              <w:spacing w:after="120"/>
              <w:rPr>
                <w:rFonts w:cs="Times New Roman"/>
                <w:noProof/>
              </w:rPr>
            </w:pPr>
          </w:p>
          <w:p w:rsidR="00046CF8" w:rsidRDefault="003561C2">
            <w:pPr>
              <w:pStyle w:val="ListBullet1"/>
              <w:tabs>
                <w:tab w:val="clear" w:pos="765"/>
              </w:tabs>
              <w:spacing w:after="0"/>
              <w:rPr>
                <w:rFonts w:cs="Times New Roman"/>
                <w:noProof/>
              </w:rPr>
            </w:pPr>
            <w:r>
              <w:rPr>
                <w:rFonts w:cs="Times New Roman"/>
                <w:noProof/>
              </w:rPr>
              <w:t>By 2020.</w:t>
            </w:r>
          </w:p>
          <w:p w:rsidR="00046CF8" w:rsidRDefault="00046CF8">
            <w:pPr>
              <w:pStyle w:val="ListBullet1"/>
              <w:tabs>
                <w:tab w:val="clear" w:pos="765"/>
              </w:tabs>
              <w:spacing w:after="0"/>
              <w:rPr>
                <w:rFonts w:cs="Times New Roman"/>
                <w:noProof/>
              </w:rPr>
            </w:pPr>
          </w:p>
          <w:p w:rsidR="00046CF8" w:rsidRDefault="00046CF8">
            <w:pPr>
              <w:pStyle w:val="ListBullet1"/>
              <w:tabs>
                <w:tab w:val="clear" w:pos="765"/>
              </w:tabs>
              <w:spacing w:after="120"/>
              <w:rPr>
                <w:rFonts w:cs="Times New Roman"/>
                <w:noProof/>
              </w:rPr>
            </w:pPr>
          </w:p>
          <w:p w:rsidR="00046CF8" w:rsidRDefault="003561C2">
            <w:pPr>
              <w:pStyle w:val="ListBullet1"/>
              <w:tabs>
                <w:tab w:val="clear" w:pos="765"/>
              </w:tabs>
              <w:spacing w:after="0"/>
              <w:rPr>
                <w:rFonts w:cs="Times New Roman"/>
                <w:noProof/>
              </w:rPr>
            </w:pPr>
            <w:r>
              <w:rPr>
                <w:rFonts w:cs="Times New Roman"/>
                <w:noProof/>
              </w:rPr>
              <w:t>2017</w:t>
            </w:r>
          </w:p>
          <w:p w:rsidR="00046CF8" w:rsidRDefault="00046CF8">
            <w:pPr>
              <w:rPr>
                <w:iCs/>
                <w:noProof/>
                <w:sz w:val="24"/>
                <w:szCs w:val="24"/>
              </w:rPr>
            </w:pPr>
          </w:p>
        </w:tc>
      </w:tr>
      <w:tr w:rsidR="00046CF8">
        <w:tc>
          <w:tcPr>
            <w:tcW w:w="6204" w:type="dxa"/>
          </w:tcPr>
          <w:p w:rsidR="00046CF8" w:rsidRDefault="003561C2">
            <w:pPr>
              <w:rPr>
                <w:iCs/>
                <w:noProof/>
                <w:sz w:val="24"/>
                <w:szCs w:val="24"/>
              </w:rPr>
            </w:pPr>
            <w:r>
              <w:rPr>
                <w:b/>
                <w:iCs/>
                <w:noProof/>
                <w:sz w:val="24"/>
                <w:szCs w:val="24"/>
              </w:rPr>
              <w:t xml:space="preserve">2.4. </w:t>
            </w:r>
            <w:r>
              <w:rPr>
                <w:iCs/>
                <w:noProof/>
                <w:sz w:val="24"/>
                <w:szCs w:val="24"/>
              </w:rPr>
              <w:t xml:space="preserve">Promote </w:t>
            </w:r>
            <w:r>
              <w:rPr>
                <w:iCs/>
                <w:noProof/>
                <w:sz w:val="24"/>
                <w:szCs w:val="24"/>
              </w:rPr>
              <w:t>improvements to the functioning of existing regional fisheries management bodies including regular performance reviews.</w:t>
            </w:r>
          </w:p>
          <w:p w:rsidR="00046CF8" w:rsidRDefault="003561C2">
            <w:pPr>
              <w:rPr>
                <w:iCs/>
                <w:noProof/>
                <w:sz w:val="24"/>
                <w:szCs w:val="24"/>
              </w:rPr>
            </w:pPr>
            <w:r>
              <w:rPr>
                <w:iCs/>
                <w:noProof/>
                <w:sz w:val="24"/>
                <w:szCs w:val="24"/>
              </w:rPr>
              <w:t>Second performance reviews in all RFMOs to which the EU is party [for IATTC the first performance review]</w:t>
            </w:r>
          </w:p>
        </w:tc>
        <w:tc>
          <w:tcPr>
            <w:tcW w:w="2624" w:type="dxa"/>
          </w:tcPr>
          <w:p w:rsidR="00046CF8" w:rsidRDefault="00046CF8">
            <w:pPr>
              <w:rPr>
                <w:iCs/>
                <w:noProof/>
                <w:sz w:val="24"/>
                <w:szCs w:val="24"/>
              </w:rPr>
            </w:pPr>
          </w:p>
          <w:p w:rsidR="00046CF8" w:rsidRDefault="00046CF8">
            <w:pPr>
              <w:rPr>
                <w:iCs/>
                <w:noProof/>
                <w:sz w:val="24"/>
                <w:szCs w:val="24"/>
              </w:rPr>
            </w:pPr>
          </w:p>
          <w:p w:rsidR="00046CF8" w:rsidRDefault="00046CF8">
            <w:pPr>
              <w:rPr>
                <w:iCs/>
                <w:noProof/>
                <w:sz w:val="24"/>
                <w:szCs w:val="24"/>
              </w:rPr>
            </w:pPr>
          </w:p>
          <w:p w:rsidR="00046CF8" w:rsidRDefault="003561C2">
            <w:pPr>
              <w:rPr>
                <w:iCs/>
                <w:noProof/>
                <w:sz w:val="24"/>
                <w:szCs w:val="24"/>
              </w:rPr>
            </w:pPr>
            <w:r>
              <w:rPr>
                <w:iCs/>
                <w:noProof/>
                <w:sz w:val="24"/>
                <w:szCs w:val="24"/>
              </w:rPr>
              <w:t>By 2020</w:t>
            </w:r>
          </w:p>
        </w:tc>
      </w:tr>
      <w:tr w:rsidR="00046CF8">
        <w:tc>
          <w:tcPr>
            <w:tcW w:w="8828" w:type="dxa"/>
            <w:gridSpan w:val="2"/>
            <w:shd w:val="clear" w:color="auto" w:fill="C6D9F1" w:themeFill="text2" w:themeFillTint="33"/>
          </w:tcPr>
          <w:p w:rsidR="00046CF8" w:rsidRDefault="003561C2">
            <w:pPr>
              <w:pStyle w:val="Text2"/>
              <w:numPr>
                <w:ilvl w:val="0"/>
                <w:numId w:val="35"/>
              </w:numPr>
              <w:tabs>
                <w:tab w:val="clear" w:pos="2302"/>
              </w:tabs>
              <w:spacing w:before="120" w:after="120"/>
              <w:jc w:val="center"/>
              <w:rPr>
                <w:b/>
                <w:noProof/>
                <w:szCs w:val="24"/>
              </w:rPr>
            </w:pPr>
            <w:r>
              <w:rPr>
                <w:b/>
                <w:noProof/>
                <w:szCs w:val="24"/>
              </w:rPr>
              <w:t>Improving coordina</w:t>
            </w:r>
            <w:r>
              <w:rPr>
                <w:b/>
                <w:noProof/>
                <w:szCs w:val="24"/>
              </w:rPr>
              <w:t>tion and cooperation between international organisations and launching Ocean Partnerships for ocean management</w:t>
            </w:r>
          </w:p>
        </w:tc>
      </w:tr>
      <w:tr w:rsidR="00046CF8">
        <w:tc>
          <w:tcPr>
            <w:tcW w:w="6204" w:type="dxa"/>
          </w:tcPr>
          <w:p w:rsidR="00046CF8" w:rsidRDefault="003561C2">
            <w:pPr>
              <w:pStyle w:val="Text2"/>
              <w:spacing w:after="0"/>
              <w:ind w:left="0"/>
              <w:rPr>
                <w:noProof/>
                <w:szCs w:val="24"/>
              </w:rPr>
            </w:pPr>
            <w:r>
              <w:rPr>
                <w:b/>
                <w:noProof/>
                <w:szCs w:val="24"/>
              </w:rPr>
              <w:t>3.1.</w:t>
            </w:r>
            <w:r>
              <w:rPr>
                <w:noProof/>
                <w:szCs w:val="24"/>
              </w:rPr>
              <w:t xml:space="preserve"> Support better cooperation and coordination between global and regional organisations with a mandate related to the oceans, including through new or existing frameworks.</w:t>
            </w:r>
          </w:p>
          <w:p w:rsidR="00046CF8" w:rsidRDefault="003561C2">
            <w:pPr>
              <w:pStyle w:val="Text2"/>
              <w:spacing w:after="0"/>
              <w:ind w:left="0"/>
              <w:rPr>
                <w:noProof/>
                <w:szCs w:val="24"/>
              </w:rPr>
            </w:pPr>
            <w:r>
              <w:rPr>
                <w:noProof/>
                <w:szCs w:val="24"/>
              </w:rPr>
              <w:t>UNEA 2 Oceans and Seas</w:t>
            </w:r>
          </w:p>
          <w:p w:rsidR="00046CF8" w:rsidRDefault="00046CF8">
            <w:pPr>
              <w:pStyle w:val="Text2"/>
              <w:spacing w:after="0"/>
              <w:ind w:left="0"/>
              <w:rPr>
                <w:noProof/>
                <w:szCs w:val="24"/>
              </w:rPr>
            </w:pPr>
          </w:p>
          <w:p w:rsidR="00046CF8" w:rsidRDefault="003561C2">
            <w:pPr>
              <w:pStyle w:val="Text2"/>
              <w:spacing w:after="0"/>
              <w:ind w:left="0"/>
              <w:rPr>
                <w:noProof/>
                <w:szCs w:val="24"/>
              </w:rPr>
            </w:pPr>
            <w:r>
              <w:rPr>
                <w:noProof/>
                <w:szCs w:val="24"/>
              </w:rPr>
              <w:t>RFMO coordination mechanism established</w:t>
            </w:r>
          </w:p>
        </w:tc>
        <w:tc>
          <w:tcPr>
            <w:tcW w:w="2624" w:type="dxa"/>
          </w:tcPr>
          <w:p w:rsidR="00046CF8" w:rsidRDefault="003561C2">
            <w:pPr>
              <w:pStyle w:val="Text2"/>
              <w:spacing w:after="0"/>
              <w:ind w:left="0"/>
              <w:rPr>
                <w:noProof/>
                <w:szCs w:val="24"/>
              </w:rPr>
            </w:pPr>
            <w:r>
              <w:rPr>
                <w:noProof/>
                <w:szCs w:val="24"/>
              </w:rPr>
              <w:t>Ongoing</w:t>
            </w:r>
          </w:p>
          <w:p w:rsidR="00046CF8" w:rsidRDefault="00046CF8">
            <w:pPr>
              <w:pStyle w:val="Text2"/>
              <w:spacing w:after="0"/>
              <w:ind w:left="0"/>
              <w:rPr>
                <w:noProof/>
                <w:szCs w:val="24"/>
              </w:rPr>
            </w:pPr>
          </w:p>
          <w:p w:rsidR="00046CF8" w:rsidRDefault="003561C2">
            <w:pPr>
              <w:pStyle w:val="Text2"/>
              <w:spacing w:after="0"/>
              <w:ind w:left="0"/>
              <w:rPr>
                <w:noProof/>
                <w:szCs w:val="24"/>
              </w:rPr>
            </w:pPr>
            <w:r>
              <w:rPr>
                <w:noProof/>
                <w:szCs w:val="24"/>
              </w:rPr>
              <w:t xml:space="preserve">As of </w:t>
            </w:r>
            <w:r>
              <w:rPr>
                <w:noProof/>
                <w:szCs w:val="24"/>
              </w:rPr>
              <w:t>2016-progress review by December 2017</w:t>
            </w:r>
          </w:p>
          <w:p w:rsidR="00046CF8" w:rsidRDefault="003561C2">
            <w:pPr>
              <w:pStyle w:val="Text2"/>
              <w:spacing w:after="0"/>
              <w:ind w:left="0"/>
              <w:rPr>
                <w:noProof/>
                <w:szCs w:val="24"/>
              </w:rPr>
            </w:pPr>
            <w:r>
              <w:rPr>
                <w:noProof/>
                <w:szCs w:val="24"/>
              </w:rPr>
              <w:t>2020</w:t>
            </w:r>
          </w:p>
        </w:tc>
      </w:tr>
      <w:tr w:rsidR="00046CF8">
        <w:tc>
          <w:tcPr>
            <w:tcW w:w="6204" w:type="dxa"/>
          </w:tcPr>
          <w:p w:rsidR="00046CF8" w:rsidRDefault="003561C2">
            <w:pPr>
              <w:pStyle w:val="Text2"/>
              <w:spacing w:after="0"/>
              <w:ind w:left="0"/>
              <w:rPr>
                <w:noProof/>
                <w:szCs w:val="24"/>
              </w:rPr>
            </w:pPr>
            <w:r>
              <w:rPr>
                <w:b/>
                <w:noProof/>
                <w:szCs w:val="24"/>
              </w:rPr>
              <w:t>3.2.</w:t>
            </w:r>
            <w:r>
              <w:rPr>
                <w:noProof/>
                <w:szCs w:val="24"/>
              </w:rPr>
              <w:t xml:space="preserve"> Support better coordination between RFMOs and regional seas conventions (RSCs) and cooperation with global organisations.</w:t>
            </w:r>
          </w:p>
          <w:p w:rsidR="00046CF8" w:rsidRDefault="003561C2">
            <w:pPr>
              <w:pStyle w:val="Text2"/>
              <w:spacing w:after="0"/>
              <w:ind w:left="0"/>
              <w:rPr>
                <w:noProof/>
                <w:szCs w:val="24"/>
              </w:rPr>
            </w:pPr>
            <w:r>
              <w:rPr>
                <w:noProof/>
                <w:szCs w:val="24"/>
              </w:rPr>
              <w:t>Priority under EU HELCOM presidency</w:t>
            </w:r>
          </w:p>
          <w:p w:rsidR="00046CF8" w:rsidRDefault="003561C2">
            <w:pPr>
              <w:pStyle w:val="Text2"/>
              <w:spacing w:after="0"/>
              <w:ind w:left="0"/>
              <w:rPr>
                <w:noProof/>
                <w:szCs w:val="24"/>
              </w:rPr>
            </w:pPr>
            <w:r>
              <w:rPr>
                <w:noProof/>
                <w:szCs w:val="24"/>
              </w:rPr>
              <w:t>ICCAT-OSPAR cooperation agreement</w:t>
            </w:r>
          </w:p>
        </w:tc>
        <w:tc>
          <w:tcPr>
            <w:tcW w:w="2624" w:type="dxa"/>
          </w:tcPr>
          <w:p w:rsidR="00046CF8" w:rsidRDefault="003561C2">
            <w:pPr>
              <w:pStyle w:val="Text2"/>
              <w:spacing w:after="0"/>
              <w:ind w:left="0"/>
              <w:rPr>
                <w:noProof/>
                <w:szCs w:val="24"/>
              </w:rPr>
            </w:pPr>
            <w:r>
              <w:rPr>
                <w:noProof/>
                <w:szCs w:val="24"/>
              </w:rPr>
              <w:t>Progress review</w:t>
            </w:r>
            <w:r>
              <w:rPr>
                <w:noProof/>
                <w:szCs w:val="24"/>
              </w:rPr>
              <w:t xml:space="preserve"> by December 2017</w:t>
            </w:r>
          </w:p>
          <w:p w:rsidR="00046CF8" w:rsidRDefault="003561C2">
            <w:pPr>
              <w:pStyle w:val="Text2"/>
              <w:spacing w:after="0"/>
              <w:ind w:left="0"/>
              <w:rPr>
                <w:noProof/>
                <w:szCs w:val="24"/>
              </w:rPr>
            </w:pPr>
            <w:r>
              <w:rPr>
                <w:noProof/>
                <w:szCs w:val="24"/>
              </w:rPr>
              <w:t>Progress review by June 2018</w:t>
            </w:r>
          </w:p>
          <w:p w:rsidR="00046CF8" w:rsidRDefault="003561C2">
            <w:pPr>
              <w:pStyle w:val="Text2"/>
              <w:spacing w:after="0"/>
              <w:ind w:left="0"/>
              <w:rPr>
                <w:noProof/>
                <w:szCs w:val="24"/>
              </w:rPr>
            </w:pPr>
            <w:r>
              <w:rPr>
                <w:noProof/>
                <w:szCs w:val="24"/>
              </w:rPr>
              <w:t>2018</w:t>
            </w:r>
          </w:p>
        </w:tc>
      </w:tr>
      <w:tr w:rsidR="00046CF8">
        <w:trPr>
          <w:trHeight w:val="1693"/>
        </w:trPr>
        <w:tc>
          <w:tcPr>
            <w:tcW w:w="6204" w:type="dxa"/>
          </w:tcPr>
          <w:p w:rsidR="00046CF8" w:rsidRDefault="003561C2">
            <w:pPr>
              <w:pStyle w:val="Text2"/>
              <w:spacing w:after="0"/>
              <w:ind w:left="0"/>
              <w:rPr>
                <w:noProof/>
                <w:szCs w:val="24"/>
              </w:rPr>
            </w:pPr>
            <w:r>
              <w:rPr>
                <w:b/>
                <w:noProof/>
                <w:szCs w:val="24"/>
              </w:rPr>
              <w:t xml:space="preserve">3.3. </w:t>
            </w:r>
            <w:r>
              <w:rPr>
                <w:noProof/>
                <w:szCs w:val="24"/>
              </w:rPr>
              <w:t>Support global efforts for the protection of marine biodiversity such as:</w:t>
            </w:r>
          </w:p>
          <w:p w:rsidR="00046CF8" w:rsidRDefault="003561C2">
            <w:pPr>
              <w:pStyle w:val="Text2"/>
              <w:numPr>
                <w:ilvl w:val="0"/>
                <w:numId w:val="34"/>
              </w:numPr>
              <w:spacing w:after="0"/>
              <w:rPr>
                <w:noProof/>
                <w:szCs w:val="24"/>
              </w:rPr>
            </w:pPr>
            <w:r>
              <w:rPr>
                <w:noProof/>
                <w:szCs w:val="24"/>
              </w:rPr>
              <w:t xml:space="preserve">the priority actions adopted by the 12th meeting of the Conference of the Parties to the CBD on marine and coastal </w:t>
            </w:r>
            <w:r>
              <w:rPr>
                <w:noProof/>
                <w:szCs w:val="24"/>
              </w:rPr>
              <w:t>biodiversity</w:t>
            </w:r>
          </w:p>
          <w:p w:rsidR="00046CF8" w:rsidRDefault="003561C2">
            <w:pPr>
              <w:pStyle w:val="Text2"/>
              <w:numPr>
                <w:ilvl w:val="0"/>
                <w:numId w:val="34"/>
              </w:numPr>
              <w:spacing w:after="0"/>
              <w:rPr>
                <w:noProof/>
                <w:szCs w:val="24"/>
              </w:rPr>
            </w:pPr>
            <w:r>
              <w:rPr>
                <w:noProof/>
                <w:szCs w:val="24"/>
              </w:rPr>
              <w:t xml:space="preserve">decisions identifying Ecologically and Biologically Significant Marine Areas (EBSAs)  </w:t>
            </w:r>
          </w:p>
        </w:tc>
        <w:tc>
          <w:tcPr>
            <w:tcW w:w="2624" w:type="dxa"/>
          </w:tcPr>
          <w:p w:rsidR="00046CF8" w:rsidRDefault="003561C2">
            <w:pPr>
              <w:pStyle w:val="Text2"/>
              <w:spacing w:after="0"/>
              <w:ind w:left="0"/>
              <w:rPr>
                <w:noProof/>
                <w:szCs w:val="24"/>
              </w:rPr>
            </w:pPr>
            <w:r>
              <w:rPr>
                <w:noProof/>
                <w:szCs w:val="24"/>
              </w:rPr>
              <w:t xml:space="preserve">Regular review by CBD COPs </w:t>
            </w:r>
          </w:p>
        </w:tc>
      </w:tr>
      <w:tr w:rsidR="00046CF8">
        <w:tc>
          <w:tcPr>
            <w:tcW w:w="6204" w:type="dxa"/>
          </w:tcPr>
          <w:p w:rsidR="00046CF8" w:rsidRDefault="003561C2">
            <w:pPr>
              <w:pStyle w:val="Text2"/>
              <w:spacing w:after="0"/>
              <w:ind w:left="0"/>
              <w:rPr>
                <w:noProof/>
                <w:szCs w:val="24"/>
              </w:rPr>
            </w:pPr>
            <w:r>
              <w:rPr>
                <w:b/>
                <w:noProof/>
                <w:szCs w:val="24"/>
              </w:rPr>
              <w:t xml:space="preserve">3.4. </w:t>
            </w:r>
            <w:r>
              <w:rPr>
                <w:noProof/>
                <w:szCs w:val="24"/>
              </w:rPr>
              <w:t>Ensure the effective implementation of decisions taken for the protection of marine species at the CITES CoP 16 and 17</w:t>
            </w:r>
          </w:p>
        </w:tc>
        <w:tc>
          <w:tcPr>
            <w:tcW w:w="2624" w:type="dxa"/>
          </w:tcPr>
          <w:p w:rsidR="00046CF8" w:rsidRDefault="003561C2">
            <w:pPr>
              <w:pStyle w:val="Text2"/>
              <w:spacing w:after="0"/>
              <w:ind w:left="0"/>
              <w:rPr>
                <w:noProof/>
                <w:szCs w:val="24"/>
              </w:rPr>
            </w:pPr>
            <w:r>
              <w:rPr>
                <w:noProof/>
                <w:szCs w:val="24"/>
              </w:rPr>
              <w:t>Reg</w:t>
            </w:r>
            <w:r>
              <w:rPr>
                <w:noProof/>
                <w:szCs w:val="24"/>
              </w:rPr>
              <w:t>ular review by CITES COPs</w:t>
            </w:r>
          </w:p>
        </w:tc>
      </w:tr>
      <w:tr w:rsidR="00046CF8">
        <w:tc>
          <w:tcPr>
            <w:tcW w:w="6204" w:type="dxa"/>
          </w:tcPr>
          <w:p w:rsidR="00046CF8" w:rsidRDefault="003561C2">
            <w:pPr>
              <w:pStyle w:val="Text2"/>
              <w:spacing w:after="0"/>
              <w:ind w:left="0"/>
              <w:rPr>
                <w:noProof/>
                <w:szCs w:val="24"/>
              </w:rPr>
            </w:pPr>
            <w:r>
              <w:rPr>
                <w:b/>
                <w:noProof/>
                <w:szCs w:val="24"/>
              </w:rPr>
              <w:t>3.5.</w:t>
            </w:r>
            <w:r>
              <w:rPr>
                <w:noProof/>
                <w:szCs w:val="24"/>
              </w:rPr>
              <w:t xml:space="preserve"> Support strengthening UN</w:t>
            </w:r>
            <w:r>
              <w:rPr>
                <w:noProof/>
                <w:szCs w:val="24"/>
              </w:rPr>
              <w:noBreakHyphen/>
              <w:t>Oceans, in the context of the upcoming review of its mandate</w:t>
            </w:r>
          </w:p>
        </w:tc>
        <w:tc>
          <w:tcPr>
            <w:tcW w:w="2624" w:type="dxa"/>
          </w:tcPr>
          <w:p w:rsidR="00046CF8" w:rsidRDefault="003561C2">
            <w:pPr>
              <w:pStyle w:val="Text2"/>
              <w:spacing w:after="0"/>
              <w:ind w:left="0"/>
              <w:rPr>
                <w:noProof/>
                <w:szCs w:val="24"/>
              </w:rPr>
            </w:pPr>
            <w:r>
              <w:rPr>
                <w:noProof/>
                <w:szCs w:val="24"/>
              </w:rPr>
              <w:t>2017</w:t>
            </w:r>
          </w:p>
        </w:tc>
      </w:tr>
      <w:tr w:rsidR="00046CF8">
        <w:tc>
          <w:tcPr>
            <w:tcW w:w="6204" w:type="dxa"/>
          </w:tcPr>
          <w:p w:rsidR="00046CF8" w:rsidRDefault="003561C2">
            <w:pPr>
              <w:rPr>
                <w:noProof/>
                <w:sz w:val="24"/>
                <w:szCs w:val="24"/>
              </w:rPr>
            </w:pPr>
            <w:r>
              <w:rPr>
                <w:b/>
                <w:noProof/>
                <w:sz w:val="24"/>
                <w:szCs w:val="24"/>
              </w:rPr>
              <w:t>3.6.</w:t>
            </w:r>
            <w:r>
              <w:rPr>
                <w:noProof/>
                <w:sz w:val="24"/>
                <w:szCs w:val="24"/>
              </w:rPr>
              <w:t xml:space="preserve"> Propose to develop ocean partnerships with key players.</w:t>
            </w:r>
          </w:p>
        </w:tc>
        <w:tc>
          <w:tcPr>
            <w:tcW w:w="2624" w:type="dxa"/>
          </w:tcPr>
          <w:p w:rsidR="00046CF8" w:rsidRDefault="003561C2">
            <w:pPr>
              <w:rPr>
                <w:noProof/>
                <w:sz w:val="24"/>
                <w:szCs w:val="24"/>
              </w:rPr>
            </w:pPr>
            <w:r>
              <w:rPr>
                <w:noProof/>
                <w:sz w:val="24"/>
                <w:szCs w:val="24"/>
              </w:rPr>
              <w:t>As of 2017</w:t>
            </w:r>
          </w:p>
        </w:tc>
      </w:tr>
      <w:tr w:rsidR="00046CF8">
        <w:tc>
          <w:tcPr>
            <w:tcW w:w="8828" w:type="dxa"/>
            <w:gridSpan w:val="2"/>
            <w:shd w:val="clear" w:color="auto" w:fill="C6D9F1" w:themeFill="text2" w:themeFillTint="33"/>
          </w:tcPr>
          <w:p w:rsidR="00046CF8" w:rsidRDefault="003561C2">
            <w:pPr>
              <w:pStyle w:val="ListBullet1"/>
              <w:numPr>
                <w:ilvl w:val="0"/>
                <w:numId w:val="35"/>
              </w:numPr>
              <w:spacing w:after="120"/>
              <w:jc w:val="center"/>
              <w:rPr>
                <w:rStyle w:val="None"/>
                <w:rFonts w:cs="Times New Roman"/>
                <w:b/>
                <w:noProof/>
                <w:color w:val="auto"/>
                <w:u w:color="FF0000"/>
              </w:rPr>
            </w:pPr>
            <w:r>
              <w:rPr>
                <w:rStyle w:val="None"/>
                <w:rFonts w:cs="Times New Roman"/>
                <w:b/>
                <w:noProof/>
                <w:color w:val="auto"/>
                <w:u w:color="FF0000"/>
              </w:rPr>
              <w:t>Capacity Building</w:t>
            </w:r>
          </w:p>
        </w:tc>
      </w:tr>
      <w:tr w:rsidR="00046CF8">
        <w:tc>
          <w:tcPr>
            <w:tcW w:w="6204" w:type="dxa"/>
          </w:tcPr>
          <w:p w:rsidR="00046CF8" w:rsidRDefault="003561C2">
            <w:pPr>
              <w:pStyle w:val="ListBullet1"/>
              <w:spacing w:after="0"/>
              <w:rPr>
                <w:rStyle w:val="None"/>
                <w:rFonts w:cs="Times New Roman"/>
                <w:noProof/>
                <w:color w:val="auto"/>
                <w:u w:color="FF0000"/>
                <w:lang w:eastAsia="en-US"/>
              </w:rPr>
            </w:pPr>
            <w:r>
              <w:rPr>
                <w:rStyle w:val="None"/>
                <w:rFonts w:cs="Times New Roman"/>
                <w:b/>
                <w:noProof/>
                <w:color w:val="auto"/>
                <w:u w:color="FF0000"/>
              </w:rPr>
              <w:t>4.1.</w:t>
            </w:r>
            <w:r>
              <w:rPr>
                <w:rStyle w:val="None"/>
                <w:rFonts w:cs="Times New Roman"/>
                <w:noProof/>
                <w:color w:val="auto"/>
                <w:u w:color="FF0000"/>
              </w:rPr>
              <w:t xml:space="preserve"> Promote and build capacity for better ocean governance and sustainable blue economies with EU partners – in particular in the Pacific ocean, in the Indian Ocean and in Western Africa.</w:t>
            </w:r>
          </w:p>
        </w:tc>
        <w:tc>
          <w:tcPr>
            <w:tcW w:w="2624" w:type="dxa"/>
          </w:tcPr>
          <w:p w:rsidR="00046CF8" w:rsidRDefault="003561C2">
            <w:pPr>
              <w:pStyle w:val="ListBullet1"/>
              <w:spacing w:after="0"/>
              <w:rPr>
                <w:rStyle w:val="None"/>
                <w:rFonts w:cs="Times New Roman"/>
                <w:noProof/>
                <w:color w:val="auto"/>
                <w:u w:color="FF0000"/>
              </w:rPr>
            </w:pPr>
            <w:r>
              <w:rPr>
                <w:rStyle w:val="None"/>
                <w:rFonts w:cs="Times New Roman"/>
                <w:noProof/>
                <w:color w:val="auto"/>
                <w:u w:color="FF0000"/>
              </w:rPr>
              <w:t>Ongoing/As of 2016</w:t>
            </w:r>
          </w:p>
        </w:tc>
      </w:tr>
      <w:tr w:rsidR="00046CF8">
        <w:tc>
          <w:tcPr>
            <w:tcW w:w="6204" w:type="dxa"/>
          </w:tcPr>
          <w:p w:rsidR="00046CF8" w:rsidRDefault="003561C2">
            <w:pPr>
              <w:pStyle w:val="ListBullet1"/>
              <w:spacing w:after="0"/>
              <w:rPr>
                <w:rStyle w:val="None"/>
                <w:rFonts w:cs="Times New Roman"/>
                <w:noProof/>
                <w:color w:val="auto"/>
                <w:lang w:eastAsia="en-US"/>
              </w:rPr>
            </w:pPr>
            <w:r>
              <w:rPr>
                <w:rStyle w:val="None"/>
                <w:rFonts w:cs="Times New Roman"/>
                <w:b/>
                <w:noProof/>
                <w:color w:val="auto"/>
                <w:u w:color="FF0000"/>
              </w:rPr>
              <w:t>4.2.</w:t>
            </w:r>
            <w:r>
              <w:rPr>
                <w:rStyle w:val="None"/>
                <w:rFonts w:cs="Times New Roman"/>
                <w:noProof/>
                <w:color w:val="auto"/>
                <w:u w:color="FF0000"/>
              </w:rPr>
              <w:t xml:space="preserve"> Engage in maritime security capacity</w:t>
            </w:r>
            <w:r>
              <w:rPr>
                <w:rStyle w:val="None"/>
                <w:rFonts w:cs="Times New Roman"/>
                <w:noProof/>
                <w:color w:val="auto"/>
                <w:u w:color="FF0000"/>
              </w:rPr>
              <w:noBreakHyphen/>
              <w:t xml:space="preserve">building </w:t>
            </w:r>
            <w:r>
              <w:rPr>
                <w:rStyle w:val="None"/>
                <w:rFonts w:cs="Times New Roman"/>
                <w:noProof/>
                <w:color w:val="auto"/>
                <w:u w:color="FF0000"/>
              </w:rPr>
              <w:t>with other countries and regional organisations –notably in the Gulf of Guinea and in the Indian Ocean.</w:t>
            </w:r>
          </w:p>
        </w:tc>
        <w:tc>
          <w:tcPr>
            <w:tcW w:w="2624" w:type="dxa"/>
          </w:tcPr>
          <w:p w:rsidR="00046CF8" w:rsidRDefault="003561C2">
            <w:pPr>
              <w:pStyle w:val="ListBullet1"/>
              <w:spacing w:after="0"/>
              <w:rPr>
                <w:rStyle w:val="None"/>
                <w:rFonts w:cs="Times New Roman"/>
                <w:noProof/>
                <w:color w:val="auto"/>
                <w:u w:color="FF0000"/>
              </w:rPr>
            </w:pPr>
            <w:r>
              <w:rPr>
                <w:rStyle w:val="None"/>
                <w:rFonts w:cs="Times New Roman"/>
                <w:noProof/>
                <w:color w:val="auto"/>
                <w:u w:color="FF0000"/>
              </w:rPr>
              <w:t>2017</w:t>
            </w:r>
          </w:p>
        </w:tc>
      </w:tr>
      <w:tr w:rsidR="00046CF8">
        <w:tc>
          <w:tcPr>
            <w:tcW w:w="6204" w:type="dxa"/>
          </w:tcPr>
          <w:p w:rsidR="00046CF8" w:rsidRDefault="003561C2">
            <w:pPr>
              <w:pStyle w:val="ListBullet1"/>
              <w:spacing w:after="0"/>
              <w:rPr>
                <w:rStyle w:val="None"/>
                <w:rFonts w:cs="Times New Roman"/>
                <w:noProof/>
                <w:color w:val="auto"/>
              </w:rPr>
            </w:pPr>
            <w:r>
              <w:rPr>
                <w:rStyle w:val="None"/>
                <w:rFonts w:cs="Times New Roman"/>
                <w:b/>
                <w:noProof/>
                <w:color w:val="auto"/>
              </w:rPr>
              <w:t>4.3.</w:t>
            </w:r>
            <w:r>
              <w:rPr>
                <w:rStyle w:val="None"/>
                <w:rFonts w:cs="Times New Roman"/>
                <w:noProof/>
                <w:color w:val="auto"/>
              </w:rPr>
              <w:t xml:space="preserve"> Support the development of a robust, evidence-based Blue Economy Development Framework.</w:t>
            </w:r>
          </w:p>
        </w:tc>
        <w:tc>
          <w:tcPr>
            <w:tcW w:w="2624" w:type="dxa"/>
          </w:tcPr>
          <w:p w:rsidR="00046CF8" w:rsidRDefault="003561C2">
            <w:pPr>
              <w:pStyle w:val="ListBullet1"/>
              <w:spacing w:after="0"/>
              <w:rPr>
                <w:rStyle w:val="None"/>
                <w:rFonts w:cs="Times New Roman"/>
                <w:noProof/>
                <w:color w:val="auto"/>
              </w:rPr>
            </w:pPr>
            <w:r>
              <w:rPr>
                <w:rStyle w:val="None"/>
                <w:rFonts w:cs="Times New Roman"/>
                <w:noProof/>
                <w:color w:val="auto"/>
              </w:rPr>
              <w:t>As of 2017</w:t>
            </w:r>
          </w:p>
        </w:tc>
      </w:tr>
      <w:tr w:rsidR="00046CF8">
        <w:trPr>
          <w:trHeight w:val="553"/>
        </w:trPr>
        <w:tc>
          <w:tcPr>
            <w:tcW w:w="6204" w:type="dxa"/>
          </w:tcPr>
          <w:p w:rsidR="00046CF8" w:rsidRDefault="003561C2">
            <w:pPr>
              <w:pStyle w:val="ListBullet1"/>
              <w:spacing w:after="120"/>
              <w:rPr>
                <w:rStyle w:val="None"/>
                <w:rFonts w:cs="Times New Roman"/>
                <w:noProof/>
                <w:color w:val="auto"/>
              </w:rPr>
            </w:pPr>
            <w:r>
              <w:rPr>
                <w:rStyle w:val="None"/>
                <w:rFonts w:cs="Times New Roman"/>
                <w:b/>
                <w:noProof/>
                <w:color w:val="auto"/>
              </w:rPr>
              <w:t>4.4.</w:t>
            </w:r>
            <w:r>
              <w:rPr>
                <w:rStyle w:val="None"/>
                <w:rFonts w:cs="Times New Roman"/>
                <w:noProof/>
                <w:color w:val="auto"/>
              </w:rPr>
              <w:t xml:space="preserve"> Identify ways to improve ocean gover</w:t>
            </w:r>
            <w:r>
              <w:rPr>
                <w:rStyle w:val="None"/>
                <w:rFonts w:cs="Times New Roman"/>
                <w:noProof/>
                <w:color w:val="auto"/>
              </w:rPr>
              <w:t>nance through the implementation of the SDGs, including capacity building in focus areas, such as the Gulf of Guinea</w:t>
            </w:r>
            <w:r>
              <w:rPr>
                <w:rStyle w:val="None"/>
                <w:rFonts w:cs="Times New Roman"/>
                <w:strike/>
                <w:noProof/>
                <w:color w:val="auto"/>
              </w:rPr>
              <w:t>,</w:t>
            </w:r>
            <w:r>
              <w:rPr>
                <w:rStyle w:val="None"/>
                <w:rFonts w:cs="Times New Roman"/>
                <w:noProof/>
                <w:color w:val="auto"/>
              </w:rPr>
              <w:t xml:space="preserve"> South-East Asia.</w:t>
            </w:r>
          </w:p>
        </w:tc>
        <w:tc>
          <w:tcPr>
            <w:tcW w:w="2624" w:type="dxa"/>
          </w:tcPr>
          <w:p w:rsidR="00046CF8" w:rsidRDefault="003561C2">
            <w:pPr>
              <w:pStyle w:val="ListBullet1"/>
              <w:spacing w:after="120"/>
              <w:rPr>
                <w:rStyle w:val="None"/>
                <w:rFonts w:cs="Times New Roman"/>
                <w:noProof/>
                <w:color w:val="auto"/>
              </w:rPr>
            </w:pPr>
            <w:r>
              <w:rPr>
                <w:rStyle w:val="None"/>
                <w:rFonts w:cs="Times New Roman"/>
                <w:noProof/>
                <w:color w:val="auto"/>
              </w:rPr>
              <w:t>As of 2017-2030</w:t>
            </w:r>
          </w:p>
        </w:tc>
      </w:tr>
      <w:tr w:rsidR="00046CF8">
        <w:tc>
          <w:tcPr>
            <w:tcW w:w="6204" w:type="dxa"/>
          </w:tcPr>
          <w:p w:rsidR="00046CF8" w:rsidRDefault="003561C2">
            <w:pPr>
              <w:pStyle w:val="ListBullet1"/>
              <w:spacing w:after="0"/>
              <w:rPr>
                <w:rStyle w:val="None"/>
                <w:rFonts w:cs="Times New Roman"/>
                <w:b/>
                <w:noProof/>
                <w:color w:val="auto"/>
              </w:rPr>
            </w:pPr>
            <w:r>
              <w:rPr>
                <w:rStyle w:val="None"/>
                <w:rFonts w:cs="Times New Roman"/>
                <w:b/>
                <w:noProof/>
              </w:rPr>
              <w:t>4.5.</w:t>
            </w:r>
            <w:r>
              <w:rPr>
                <w:rStyle w:val="None"/>
                <w:rFonts w:cs="Times New Roman"/>
                <w:noProof/>
              </w:rPr>
              <w:t xml:space="preserve"> Promote technical cooperation in collaboration with the IMO aimed at bolstering </w:t>
            </w:r>
            <w:r>
              <w:rPr>
                <w:rFonts w:cs="Times New Roman"/>
                <w:bCs/>
                <w:noProof/>
              </w:rPr>
              <w:t xml:space="preserve">implementation and </w:t>
            </w:r>
            <w:r>
              <w:rPr>
                <w:rFonts w:cs="Times New Roman"/>
                <w:bCs/>
                <w:noProof/>
              </w:rPr>
              <w:t>enforcement of IMO instruments</w:t>
            </w:r>
            <w:r>
              <w:rPr>
                <w:rStyle w:val="None"/>
                <w:rFonts w:cs="Times New Roman"/>
                <w:noProof/>
              </w:rPr>
              <w:t>.</w:t>
            </w:r>
          </w:p>
        </w:tc>
        <w:tc>
          <w:tcPr>
            <w:tcW w:w="2624" w:type="dxa"/>
          </w:tcPr>
          <w:p w:rsidR="00046CF8" w:rsidRDefault="003561C2">
            <w:pPr>
              <w:pStyle w:val="ListBullet1"/>
              <w:spacing w:after="0"/>
              <w:rPr>
                <w:rStyle w:val="None"/>
                <w:rFonts w:cs="Times New Roman"/>
                <w:noProof/>
                <w:color w:val="auto"/>
              </w:rPr>
            </w:pPr>
            <w:r>
              <w:rPr>
                <w:rStyle w:val="None"/>
                <w:rFonts w:cs="Times New Roman"/>
                <w:noProof/>
                <w:color w:val="auto"/>
              </w:rPr>
              <w:t>2018</w:t>
            </w:r>
          </w:p>
        </w:tc>
      </w:tr>
      <w:tr w:rsidR="00046CF8">
        <w:tc>
          <w:tcPr>
            <w:tcW w:w="6204" w:type="dxa"/>
          </w:tcPr>
          <w:p w:rsidR="00046CF8" w:rsidRDefault="003561C2">
            <w:pPr>
              <w:rPr>
                <w:noProof/>
                <w:color w:val="000000" w:themeColor="text1"/>
                <w:sz w:val="24"/>
                <w:szCs w:val="24"/>
              </w:rPr>
            </w:pPr>
            <w:r>
              <w:rPr>
                <w:rStyle w:val="None"/>
                <w:b/>
                <w:noProof/>
                <w:sz w:val="24"/>
                <w:szCs w:val="24"/>
              </w:rPr>
              <w:t>4.6.</w:t>
            </w:r>
            <w:r>
              <w:rPr>
                <w:rStyle w:val="None"/>
                <w:noProof/>
                <w:sz w:val="24"/>
                <w:szCs w:val="24"/>
              </w:rPr>
              <w:t xml:space="preserve"> Support capacity building towards a blue economy in the Mediterranean, in the context of the Union for the Mediterranean and other organisations, including</w:t>
            </w:r>
            <w:r>
              <w:rPr>
                <w:noProof/>
                <w:color w:val="000000" w:themeColor="text1"/>
                <w:sz w:val="24"/>
                <w:szCs w:val="24"/>
              </w:rPr>
              <w:t xml:space="preserve"> the Barcelona Convention</w:t>
            </w:r>
          </w:p>
        </w:tc>
        <w:tc>
          <w:tcPr>
            <w:tcW w:w="2624" w:type="dxa"/>
          </w:tcPr>
          <w:p w:rsidR="00046CF8" w:rsidRDefault="003561C2">
            <w:pPr>
              <w:rPr>
                <w:rStyle w:val="None"/>
                <w:noProof/>
                <w:sz w:val="24"/>
                <w:szCs w:val="24"/>
              </w:rPr>
            </w:pPr>
            <w:r>
              <w:rPr>
                <w:rStyle w:val="None"/>
                <w:noProof/>
                <w:sz w:val="24"/>
                <w:szCs w:val="24"/>
              </w:rPr>
              <w:t>2017-2018</w:t>
            </w:r>
          </w:p>
        </w:tc>
      </w:tr>
      <w:tr w:rsidR="00046CF8">
        <w:tc>
          <w:tcPr>
            <w:tcW w:w="8828" w:type="dxa"/>
            <w:gridSpan w:val="2"/>
            <w:shd w:val="clear" w:color="auto" w:fill="C6D9F1" w:themeFill="text2" w:themeFillTint="33"/>
          </w:tcPr>
          <w:p w:rsidR="00046CF8" w:rsidRDefault="003561C2">
            <w:pPr>
              <w:pStyle w:val="Text2"/>
              <w:numPr>
                <w:ilvl w:val="0"/>
                <w:numId w:val="35"/>
              </w:numPr>
              <w:tabs>
                <w:tab w:val="clear" w:pos="2302"/>
              </w:tabs>
              <w:spacing w:before="120" w:after="120"/>
              <w:jc w:val="center"/>
              <w:rPr>
                <w:b/>
                <w:noProof/>
                <w:color w:val="000000" w:themeColor="text1"/>
                <w:szCs w:val="24"/>
              </w:rPr>
            </w:pPr>
            <w:r>
              <w:rPr>
                <w:b/>
                <w:noProof/>
                <w:color w:val="000000" w:themeColor="text1"/>
                <w:szCs w:val="24"/>
              </w:rPr>
              <w:t xml:space="preserve">Ensuring the safety </w:t>
            </w:r>
            <w:r>
              <w:rPr>
                <w:b/>
                <w:noProof/>
                <w:color w:val="000000" w:themeColor="text1"/>
                <w:szCs w:val="24"/>
              </w:rPr>
              <w:t>and security of seas and oceans</w:t>
            </w:r>
          </w:p>
        </w:tc>
      </w:tr>
      <w:tr w:rsidR="00046CF8">
        <w:tc>
          <w:tcPr>
            <w:tcW w:w="6204" w:type="dxa"/>
          </w:tcPr>
          <w:p w:rsidR="00046CF8" w:rsidRDefault="003561C2">
            <w:pPr>
              <w:pStyle w:val="Text2"/>
              <w:spacing w:after="0"/>
              <w:ind w:left="0"/>
              <w:rPr>
                <w:noProof/>
                <w:color w:val="000000" w:themeColor="text1"/>
                <w:szCs w:val="24"/>
              </w:rPr>
            </w:pPr>
            <w:r>
              <w:rPr>
                <w:b/>
                <w:noProof/>
                <w:color w:val="000000" w:themeColor="text1"/>
                <w:szCs w:val="24"/>
              </w:rPr>
              <w:t>5.1.</w:t>
            </w:r>
            <w:r>
              <w:rPr>
                <w:noProof/>
                <w:color w:val="000000" w:themeColor="text1"/>
                <w:szCs w:val="24"/>
              </w:rPr>
              <w:t xml:space="preserve"> Build on the EUMSS to reduce and eliminate maritime security threats and risks</w:t>
            </w:r>
          </w:p>
        </w:tc>
        <w:tc>
          <w:tcPr>
            <w:tcW w:w="2624" w:type="dxa"/>
          </w:tcPr>
          <w:p w:rsidR="00046CF8" w:rsidRDefault="003561C2">
            <w:pPr>
              <w:pStyle w:val="Text2"/>
              <w:spacing w:after="0"/>
              <w:ind w:left="0"/>
              <w:rPr>
                <w:noProof/>
                <w:color w:val="000000" w:themeColor="text1"/>
                <w:szCs w:val="24"/>
              </w:rPr>
            </w:pPr>
            <w:r>
              <w:rPr>
                <w:noProof/>
                <w:color w:val="000000" w:themeColor="text1"/>
                <w:szCs w:val="24"/>
              </w:rPr>
              <w:t>2017</w:t>
            </w:r>
          </w:p>
        </w:tc>
      </w:tr>
      <w:tr w:rsidR="00046CF8">
        <w:tc>
          <w:tcPr>
            <w:tcW w:w="6204" w:type="dxa"/>
          </w:tcPr>
          <w:p w:rsidR="00046CF8" w:rsidRDefault="003561C2">
            <w:pPr>
              <w:pStyle w:val="Text2"/>
              <w:spacing w:after="0"/>
              <w:ind w:left="0"/>
              <w:rPr>
                <w:noProof/>
                <w:color w:val="000000" w:themeColor="text1"/>
                <w:szCs w:val="24"/>
              </w:rPr>
            </w:pPr>
            <w:r>
              <w:rPr>
                <w:b/>
                <w:noProof/>
                <w:color w:val="000000" w:themeColor="text1"/>
                <w:szCs w:val="24"/>
              </w:rPr>
              <w:t>5.2.</w:t>
            </w:r>
            <w:r>
              <w:rPr>
                <w:noProof/>
                <w:color w:val="000000" w:themeColor="text1"/>
                <w:szCs w:val="24"/>
              </w:rPr>
              <w:t xml:space="preserve"> Enhance the exchange of cross-sectoral maritime surveillance information between Member States, and with non EU countries.</w:t>
            </w:r>
          </w:p>
        </w:tc>
        <w:tc>
          <w:tcPr>
            <w:tcW w:w="2624" w:type="dxa"/>
          </w:tcPr>
          <w:p w:rsidR="00046CF8" w:rsidRDefault="003561C2">
            <w:pPr>
              <w:pStyle w:val="Text2"/>
              <w:spacing w:after="0"/>
              <w:ind w:left="0"/>
              <w:rPr>
                <w:noProof/>
                <w:color w:val="000000" w:themeColor="text1"/>
                <w:szCs w:val="24"/>
              </w:rPr>
            </w:pPr>
            <w:r>
              <w:rPr>
                <w:noProof/>
                <w:color w:val="000000" w:themeColor="text1"/>
                <w:szCs w:val="24"/>
              </w:rPr>
              <w:t>2018-2020</w:t>
            </w:r>
          </w:p>
        </w:tc>
      </w:tr>
      <w:tr w:rsidR="00046CF8">
        <w:tc>
          <w:tcPr>
            <w:tcW w:w="6204" w:type="dxa"/>
          </w:tcPr>
          <w:p w:rsidR="00046CF8" w:rsidRDefault="003561C2">
            <w:pPr>
              <w:pStyle w:val="Text2"/>
              <w:spacing w:after="0"/>
              <w:ind w:left="0"/>
              <w:rPr>
                <w:noProof/>
                <w:color w:val="000000" w:themeColor="text1"/>
                <w:szCs w:val="24"/>
              </w:rPr>
            </w:pPr>
            <w:r>
              <w:rPr>
                <w:b/>
                <w:noProof/>
                <w:color w:val="000000" w:themeColor="text1"/>
                <w:szCs w:val="24"/>
              </w:rPr>
              <w:t>5.3.</w:t>
            </w:r>
            <w:r>
              <w:rPr>
                <w:noProof/>
                <w:color w:val="000000" w:themeColor="text1"/>
                <w:szCs w:val="24"/>
              </w:rPr>
              <w:t xml:space="preserve"> Assess how to facilitate the interoperability of maritime surveillance environments, such as the CISE.</w:t>
            </w:r>
          </w:p>
        </w:tc>
        <w:tc>
          <w:tcPr>
            <w:tcW w:w="2624" w:type="dxa"/>
          </w:tcPr>
          <w:p w:rsidR="00046CF8" w:rsidRDefault="003561C2">
            <w:pPr>
              <w:pStyle w:val="Text2"/>
              <w:spacing w:after="0"/>
              <w:ind w:left="0"/>
              <w:rPr>
                <w:noProof/>
                <w:color w:val="000000" w:themeColor="text1"/>
                <w:szCs w:val="24"/>
              </w:rPr>
            </w:pPr>
            <w:r>
              <w:rPr>
                <w:noProof/>
                <w:color w:val="000000" w:themeColor="text1"/>
                <w:szCs w:val="24"/>
              </w:rPr>
              <w:t>2018-2020</w:t>
            </w:r>
          </w:p>
        </w:tc>
      </w:tr>
      <w:tr w:rsidR="00046CF8">
        <w:tc>
          <w:tcPr>
            <w:tcW w:w="6204" w:type="dxa"/>
          </w:tcPr>
          <w:p w:rsidR="00046CF8" w:rsidRDefault="003561C2">
            <w:pPr>
              <w:pStyle w:val="Text2"/>
              <w:spacing w:after="0"/>
              <w:ind w:left="0"/>
              <w:rPr>
                <w:noProof/>
                <w:color w:val="000000" w:themeColor="text1"/>
                <w:szCs w:val="24"/>
              </w:rPr>
            </w:pPr>
            <w:r>
              <w:rPr>
                <w:b/>
                <w:noProof/>
                <w:color w:val="000000" w:themeColor="text1"/>
                <w:szCs w:val="24"/>
              </w:rPr>
              <w:t>5.4.</w:t>
            </w:r>
            <w:r>
              <w:rPr>
                <w:noProof/>
                <w:color w:val="000000" w:themeColor="text1"/>
                <w:szCs w:val="24"/>
              </w:rPr>
              <w:t xml:space="preserve"> Launch a pilot project to monitor illegal fishing worldwide, and explore possibilities for expanding monitoring to other </w:t>
            </w:r>
            <w:r>
              <w:rPr>
                <w:noProof/>
                <w:color w:val="000000" w:themeColor="text1"/>
                <w:szCs w:val="24"/>
              </w:rPr>
              <w:t>sectors.</w:t>
            </w:r>
          </w:p>
        </w:tc>
        <w:tc>
          <w:tcPr>
            <w:tcW w:w="2624" w:type="dxa"/>
          </w:tcPr>
          <w:p w:rsidR="00046CF8" w:rsidRDefault="003561C2">
            <w:pPr>
              <w:pStyle w:val="Text2"/>
              <w:spacing w:after="0"/>
              <w:ind w:left="0"/>
              <w:rPr>
                <w:noProof/>
                <w:color w:val="000000" w:themeColor="text1"/>
                <w:szCs w:val="24"/>
              </w:rPr>
            </w:pPr>
            <w:r>
              <w:rPr>
                <w:noProof/>
                <w:color w:val="000000" w:themeColor="text1"/>
                <w:szCs w:val="24"/>
              </w:rPr>
              <w:t>As of 2017</w:t>
            </w:r>
          </w:p>
        </w:tc>
      </w:tr>
      <w:tr w:rsidR="00046CF8">
        <w:tc>
          <w:tcPr>
            <w:tcW w:w="8828" w:type="dxa"/>
            <w:gridSpan w:val="2"/>
            <w:shd w:val="clear" w:color="auto" w:fill="C6D9F1" w:themeFill="text2" w:themeFillTint="33"/>
          </w:tcPr>
          <w:p w:rsidR="00046CF8" w:rsidRDefault="003561C2">
            <w:pPr>
              <w:pStyle w:val="Text2"/>
              <w:numPr>
                <w:ilvl w:val="0"/>
                <w:numId w:val="35"/>
              </w:numPr>
              <w:tabs>
                <w:tab w:val="clear" w:pos="2302"/>
              </w:tabs>
              <w:spacing w:before="120" w:after="120"/>
              <w:jc w:val="center"/>
              <w:rPr>
                <w:b/>
                <w:noProof/>
                <w:color w:val="000000" w:themeColor="text1"/>
                <w:szCs w:val="24"/>
              </w:rPr>
            </w:pPr>
            <w:r>
              <w:rPr>
                <w:b/>
                <w:noProof/>
                <w:color w:val="000000" w:themeColor="text1"/>
                <w:szCs w:val="24"/>
              </w:rPr>
              <w:t>Implementing the COP21 Agreement and mitigating the harmful impact of climate change on oceans, coastlines and ecosystems</w:t>
            </w:r>
          </w:p>
        </w:tc>
      </w:tr>
      <w:tr w:rsidR="00046CF8">
        <w:tc>
          <w:tcPr>
            <w:tcW w:w="6204" w:type="dxa"/>
          </w:tcPr>
          <w:p w:rsidR="00046CF8" w:rsidRDefault="003561C2">
            <w:pPr>
              <w:pStyle w:val="Text2"/>
              <w:spacing w:after="0"/>
              <w:ind w:left="0"/>
              <w:rPr>
                <w:noProof/>
                <w:color w:val="000000" w:themeColor="text1"/>
                <w:szCs w:val="24"/>
              </w:rPr>
            </w:pPr>
            <w:r>
              <w:rPr>
                <w:b/>
                <w:noProof/>
                <w:color w:val="000000" w:themeColor="text1"/>
                <w:szCs w:val="24"/>
              </w:rPr>
              <w:t>6.1.</w:t>
            </w:r>
            <w:r>
              <w:rPr>
                <w:noProof/>
                <w:color w:val="000000" w:themeColor="text1"/>
                <w:szCs w:val="24"/>
              </w:rPr>
              <w:t xml:space="preserve"> Step up work with international partners on joint action to protect and restore marine and coastal ecosyste</w:t>
            </w:r>
            <w:r>
              <w:rPr>
                <w:noProof/>
                <w:color w:val="000000" w:themeColor="text1"/>
                <w:szCs w:val="24"/>
              </w:rPr>
              <w:t xml:space="preserve">ms. </w:t>
            </w:r>
          </w:p>
        </w:tc>
        <w:tc>
          <w:tcPr>
            <w:tcW w:w="2624" w:type="dxa"/>
          </w:tcPr>
          <w:p w:rsidR="00046CF8" w:rsidRDefault="003561C2">
            <w:pPr>
              <w:pStyle w:val="Text2"/>
              <w:spacing w:after="0"/>
              <w:ind w:left="0"/>
              <w:rPr>
                <w:noProof/>
                <w:color w:val="000000" w:themeColor="text1"/>
                <w:szCs w:val="24"/>
              </w:rPr>
            </w:pPr>
            <w:r>
              <w:rPr>
                <w:noProof/>
                <w:color w:val="000000" w:themeColor="text1"/>
                <w:szCs w:val="24"/>
              </w:rPr>
              <w:t>As of 2017</w:t>
            </w:r>
          </w:p>
        </w:tc>
      </w:tr>
      <w:tr w:rsidR="00046CF8">
        <w:tc>
          <w:tcPr>
            <w:tcW w:w="6204" w:type="dxa"/>
          </w:tcPr>
          <w:p w:rsidR="00046CF8" w:rsidRDefault="003561C2">
            <w:pPr>
              <w:pStyle w:val="Text2"/>
              <w:tabs>
                <w:tab w:val="left" w:pos="709"/>
              </w:tabs>
              <w:spacing w:after="0"/>
              <w:ind w:left="0"/>
              <w:rPr>
                <w:noProof/>
                <w:color w:val="000000" w:themeColor="text1"/>
                <w:szCs w:val="24"/>
              </w:rPr>
            </w:pPr>
            <w:r>
              <w:rPr>
                <w:b/>
                <w:noProof/>
                <w:color w:val="000000" w:themeColor="text1"/>
                <w:szCs w:val="24"/>
              </w:rPr>
              <w:t>6.2.</w:t>
            </w:r>
            <w:r>
              <w:rPr>
                <w:noProof/>
                <w:color w:val="000000" w:themeColor="text1"/>
                <w:szCs w:val="24"/>
              </w:rPr>
              <w:t xml:space="preserve"> Launch international public</w:t>
            </w:r>
            <w:r>
              <w:rPr>
                <w:noProof/>
                <w:color w:val="000000" w:themeColor="text1"/>
                <w:szCs w:val="24"/>
              </w:rPr>
              <w:noBreakHyphen/>
              <w:t>private partnerships aimed at restoring, adapting or developing ‘green/blue infrastructure’.</w:t>
            </w:r>
          </w:p>
        </w:tc>
        <w:tc>
          <w:tcPr>
            <w:tcW w:w="2624" w:type="dxa"/>
          </w:tcPr>
          <w:p w:rsidR="00046CF8" w:rsidRDefault="003561C2">
            <w:pPr>
              <w:pStyle w:val="Text2"/>
              <w:tabs>
                <w:tab w:val="left" w:pos="709"/>
              </w:tabs>
              <w:spacing w:after="0"/>
              <w:ind w:left="0"/>
              <w:rPr>
                <w:noProof/>
                <w:color w:val="000000" w:themeColor="text1"/>
                <w:szCs w:val="24"/>
              </w:rPr>
            </w:pPr>
            <w:r>
              <w:rPr>
                <w:noProof/>
                <w:color w:val="000000" w:themeColor="text1"/>
                <w:szCs w:val="24"/>
              </w:rPr>
              <w:t>By 2020</w:t>
            </w:r>
          </w:p>
        </w:tc>
      </w:tr>
      <w:tr w:rsidR="00046CF8">
        <w:tc>
          <w:tcPr>
            <w:tcW w:w="6204" w:type="dxa"/>
          </w:tcPr>
          <w:p w:rsidR="00046CF8" w:rsidRDefault="003561C2">
            <w:pPr>
              <w:pStyle w:val="Text2"/>
              <w:spacing w:after="0"/>
              <w:ind w:left="0"/>
              <w:rPr>
                <w:noProof/>
                <w:color w:val="000000" w:themeColor="text1"/>
                <w:szCs w:val="24"/>
              </w:rPr>
            </w:pPr>
            <w:r>
              <w:rPr>
                <w:b/>
                <w:noProof/>
                <w:color w:val="000000" w:themeColor="text1"/>
                <w:szCs w:val="24"/>
              </w:rPr>
              <w:t>6.3.</w:t>
            </w:r>
            <w:r>
              <w:rPr>
                <w:noProof/>
                <w:color w:val="000000" w:themeColor="text1"/>
                <w:szCs w:val="24"/>
              </w:rPr>
              <w:t xml:space="preserve"> Promote the inclusion of ocean</w:t>
            </w:r>
            <w:r>
              <w:rPr>
                <w:noProof/>
                <w:color w:val="000000" w:themeColor="text1"/>
                <w:szCs w:val="24"/>
              </w:rPr>
              <w:noBreakHyphen/>
              <w:t xml:space="preserve">related action in national follow-up to the commitments under the </w:t>
            </w:r>
            <w:r>
              <w:rPr>
                <w:noProof/>
                <w:color w:val="000000" w:themeColor="text1"/>
                <w:szCs w:val="24"/>
              </w:rPr>
              <w:t>Paris Agreement.</w:t>
            </w:r>
          </w:p>
          <w:p w:rsidR="00046CF8" w:rsidRDefault="003561C2">
            <w:pPr>
              <w:pStyle w:val="Text2"/>
              <w:spacing w:after="0"/>
              <w:ind w:left="0"/>
              <w:rPr>
                <w:noProof/>
                <w:color w:val="000000" w:themeColor="text1"/>
                <w:szCs w:val="24"/>
              </w:rPr>
            </w:pPr>
            <w:r>
              <w:rPr>
                <w:noProof/>
                <w:color w:val="000000" w:themeColor="text1"/>
                <w:szCs w:val="24"/>
              </w:rPr>
              <w:t xml:space="preserve">Present state of play in the Global Stock take exercise as laid down in the Paris Agreement. </w:t>
            </w:r>
          </w:p>
        </w:tc>
        <w:tc>
          <w:tcPr>
            <w:tcW w:w="2624" w:type="dxa"/>
          </w:tcPr>
          <w:p w:rsidR="00046CF8" w:rsidRDefault="003561C2">
            <w:pPr>
              <w:pStyle w:val="Text2"/>
              <w:spacing w:after="0"/>
              <w:ind w:left="0"/>
              <w:rPr>
                <w:noProof/>
                <w:color w:val="000000" w:themeColor="text1"/>
                <w:szCs w:val="24"/>
              </w:rPr>
            </w:pPr>
            <w:r>
              <w:rPr>
                <w:noProof/>
                <w:color w:val="000000" w:themeColor="text1"/>
                <w:szCs w:val="24"/>
              </w:rPr>
              <w:t>As of 2017</w:t>
            </w:r>
          </w:p>
          <w:p w:rsidR="00046CF8" w:rsidRDefault="00046CF8">
            <w:pPr>
              <w:pStyle w:val="Text2"/>
              <w:spacing w:before="160" w:after="0"/>
              <w:ind w:left="0"/>
              <w:rPr>
                <w:noProof/>
                <w:color w:val="000000" w:themeColor="text1"/>
                <w:szCs w:val="24"/>
              </w:rPr>
            </w:pPr>
          </w:p>
          <w:p w:rsidR="00046CF8" w:rsidRDefault="003561C2">
            <w:pPr>
              <w:pStyle w:val="Text2"/>
              <w:spacing w:after="0"/>
              <w:ind w:left="0"/>
              <w:rPr>
                <w:noProof/>
                <w:color w:val="000000" w:themeColor="text1"/>
                <w:szCs w:val="24"/>
              </w:rPr>
            </w:pPr>
            <w:r>
              <w:rPr>
                <w:noProof/>
                <w:color w:val="000000" w:themeColor="text1"/>
                <w:szCs w:val="24"/>
              </w:rPr>
              <w:t>2018</w:t>
            </w:r>
          </w:p>
        </w:tc>
      </w:tr>
      <w:tr w:rsidR="00046CF8">
        <w:tc>
          <w:tcPr>
            <w:tcW w:w="6204" w:type="dxa"/>
          </w:tcPr>
          <w:p w:rsidR="00046CF8" w:rsidRDefault="003561C2">
            <w:pPr>
              <w:rPr>
                <w:noProof/>
                <w:color w:val="000000" w:themeColor="text1"/>
                <w:sz w:val="24"/>
                <w:szCs w:val="24"/>
              </w:rPr>
            </w:pPr>
            <w:r>
              <w:rPr>
                <w:b/>
                <w:noProof/>
                <w:color w:val="000000" w:themeColor="text1"/>
                <w:sz w:val="24"/>
                <w:szCs w:val="24"/>
              </w:rPr>
              <w:t>6.4.</w:t>
            </w:r>
            <w:r>
              <w:rPr>
                <w:noProof/>
                <w:color w:val="000000" w:themeColor="text1"/>
                <w:sz w:val="24"/>
                <w:szCs w:val="24"/>
              </w:rPr>
              <w:t xml:space="preserve"> Propose international action to follow up on the consequences inter alia of ocean warming, sea</w:t>
            </w:r>
            <w:r>
              <w:rPr>
                <w:noProof/>
                <w:color w:val="000000" w:themeColor="text1"/>
                <w:sz w:val="24"/>
                <w:szCs w:val="24"/>
              </w:rPr>
              <w:noBreakHyphen/>
              <w:t xml:space="preserve">level rise and </w:t>
            </w:r>
            <w:r>
              <w:rPr>
                <w:noProof/>
                <w:color w:val="000000" w:themeColor="text1"/>
                <w:sz w:val="24"/>
                <w:szCs w:val="24"/>
              </w:rPr>
              <w:t>acidification.</w:t>
            </w:r>
          </w:p>
        </w:tc>
        <w:tc>
          <w:tcPr>
            <w:tcW w:w="2624" w:type="dxa"/>
          </w:tcPr>
          <w:p w:rsidR="00046CF8" w:rsidRDefault="003561C2">
            <w:pPr>
              <w:rPr>
                <w:noProof/>
                <w:color w:val="000000" w:themeColor="text1"/>
                <w:sz w:val="24"/>
                <w:szCs w:val="24"/>
              </w:rPr>
            </w:pPr>
            <w:r>
              <w:rPr>
                <w:noProof/>
                <w:color w:val="000000" w:themeColor="text1"/>
                <w:sz w:val="24"/>
                <w:szCs w:val="24"/>
              </w:rPr>
              <w:t>2018</w:t>
            </w:r>
          </w:p>
        </w:tc>
      </w:tr>
      <w:tr w:rsidR="00046CF8">
        <w:tc>
          <w:tcPr>
            <w:tcW w:w="8828" w:type="dxa"/>
            <w:gridSpan w:val="2"/>
            <w:shd w:val="clear" w:color="auto" w:fill="C6D9F1" w:themeFill="text2" w:themeFillTint="33"/>
          </w:tcPr>
          <w:p w:rsidR="00046CF8" w:rsidRDefault="003561C2">
            <w:pPr>
              <w:pStyle w:val="ListDash"/>
              <w:numPr>
                <w:ilvl w:val="0"/>
                <w:numId w:val="35"/>
              </w:numPr>
              <w:spacing w:after="120"/>
              <w:jc w:val="center"/>
              <w:rPr>
                <w:rFonts w:cs="Times New Roman"/>
                <w:b/>
                <w:noProof/>
                <w:color w:val="auto"/>
              </w:rPr>
            </w:pPr>
            <w:r>
              <w:rPr>
                <w:rFonts w:cs="Times New Roman"/>
                <w:b/>
                <w:noProof/>
                <w:color w:val="auto"/>
              </w:rPr>
              <w:t>Fighting illegal fishing and strengthening the sustainable management of ocean food resources globally</w:t>
            </w:r>
          </w:p>
        </w:tc>
      </w:tr>
      <w:tr w:rsidR="00046CF8">
        <w:tc>
          <w:tcPr>
            <w:tcW w:w="6204" w:type="dxa"/>
          </w:tcPr>
          <w:p w:rsidR="00046CF8" w:rsidRDefault="003561C2">
            <w:pPr>
              <w:pStyle w:val="ListDash"/>
              <w:spacing w:after="0"/>
              <w:rPr>
                <w:rFonts w:cs="Times New Roman"/>
                <w:noProof/>
                <w:color w:val="auto"/>
              </w:rPr>
            </w:pPr>
            <w:r>
              <w:rPr>
                <w:rFonts w:cs="Times New Roman"/>
                <w:b/>
                <w:noProof/>
                <w:color w:val="auto"/>
              </w:rPr>
              <w:t>7.1.</w:t>
            </w:r>
            <w:r>
              <w:rPr>
                <w:rFonts w:cs="Times New Roman"/>
                <w:noProof/>
                <w:color w:val="auto"/>
              </w:rPr>
              <w:t xml:space="preserve"> Improving current systems and supporting Member States in ensuring efficient controls through the development of electronic tools on IUU.</w:t>
            </w:r>
          </w:p>
        </w:tc>
        <w:tc>
          <w:tcPr>
            <w:tcW w:w="2624" w:type="dxa"/>
          </w:tcPr>
          <w:p w:rsidR="00046CF8" w:rsidRDefault="003561C2">
            <w:pPr>
              <w:pStyle w:val="ListDash"/>
              <w:spacing w:after="0"/>
              <w:rPr>
                <w:rFonts w:cs="Times New Roman"/>
                <w:noProof/>
                <w:color w:val="auto"/>
              </w:rPr>
            </w:pPr>
            <w:r>
              <w:rPr>
                <w:rFonts w:cs="Times New Roman"/>
                <w:noProof/>
                <w:color w:val="auto"/>
              </w:rPr>
              <w:t>As of 2018</w:t>
            </w:r>
          </w:p>
        </w:tc>
      </w:tr>
      <w:tr w:rsidR="00046CF8">
        <w:trPr>
          <w:trHeight w:val="2537"/>
        </w:trPr>
        <w:tc>
          <w:tcPr>
            <w:tcW w:w="6204" w:type="dxa"/>
          </w:tcPr>
          <w:p w:rsidR="00046CF8" w:rsidRDefault="003561C2">
            <w:pPr>
              <w:pStyle w:val="ListDash"/>
              <w:spacing w:after="0"/>
              <w:rPr>
                <w:rFonts w:cs="Times New Roman"/>
                <w:noProof/>
                <w:color w:val="auto"/>
              </w:rPr>
            </w:pPr>
            <w:r>
              <w:rPr>
                <w:rFonts w:cs="Times New Roman"/>
                <w:b/>
                <w:noProof/>
                <w:color w:val="auto"/>
              </w:rPr>
              <w:t>7.2.</w:t>
            </w:r>
            <w:r>
              <w:rPr>
                <w:rFonts w:cs="Times New Roman"/>
                <w:noProof/>
                <w:color w:val="auto"/>
              </w:rPr>
              <w:t xml:space="preserve"> Strengthen cooperation on IUU with third countries through</w:t>
            </w:r>
          </w:p>
          <w:p w:rsidR="00046CF8" w:rsidRDefault="003561C2">
            <w:pPr>
              <w:pStyle w:val="ListDash"/>
              <w:numPr>
                <w:ilvl w:val="0"/>
                <w:numId w:val="30"/>
              </w:numPr>
              <w:spacing w:after="0"/>
              <w:rPr>
                <w:rFonts w:cs="Times New Roman"/>
                <w:noProof/>
                <w:color w:val="auto"/>
              </w:rPr>
            </w:pPr>
            <w:r>
              <w:rPr>
                <w:rFonts w:cs="Times New Roman"/>
                <w:noProof/>
                <w:color w:val="auto"/>
              </w:rPr>
              <w:t>capacity</w:t>
            </w:r>
            <w:r>
              <w:rPr>
                <w:rFonts w:cs="Times New Roman"/>
                <w:noProof/>
                <w:color w:val="auto"/>
              </w:rPr>
              <w:noBreakHyphen/>
              <w:t>building and partnership with EF</w:t>
            </w:r>
            <w:r>
              <w:rPr>
                <w:rFonts w:cs="Times New Roman"/>
                <w:noProof/>
                <w:color w:val="auto"/>
              </w:rPr>
              <w:t>CA.</w:t>
            </w:r>
          </w:p>
          <w:p w:rsidR="00046CF8" w:rsidRDefault="003561C2">
            <w:pPr>
              <w:pStyle w:val="ListDash"/>
              <w:numPr>
                <w:ilvl w:val="0"/>
                <w:numId w:val="30"/>
              </w:numPr>
              <w:spacing w:after="0"/>
              <w:rPr>
                <w:rFonts w:cs="Times New Roman"/>
                <w:noProof/>
                <w:color w:val="auto"/>
              </w:rPr>
            </w:pPr>
            <w:r>
              <w:rPr>
                <w:rFonts w:cs="Times New Roman"/>
                <w:noProof/>
                <w:color w:val="auto"/>
              </w:rPr>
              <w:t>Use of available EU development funding to support action on IUU.</w:t>
            </w:r>
          </w:p>
          <w:p w:rsidR="00046CF8" w:rsidRDefault="003561C2">
            <w:pPr>
              <w:pStyle w:val="ListDash"/>
              <w:numPr>
                <w:ilvl w:val="0"/>
                <w:numId w:val="30"/>
              </w:numPr>
              <w:spacing w:after="0"/>
              <w:rPr>
                <w:rFonts w:cs="Times New Roman"/>
                <w:noProof/>
                <w:color w:val="auto"/>
              </w:rPr>
            </w:pPr>
            <w:r>
              <w:rPr>
                <w:rFonts w:cs="Times New Roman"/>
                <w:noProof/>
                <w:color w:val="auto"/>
              </w:rPr>
              <w:t>Addressing IUU-related challenges such as forced labour and other forms of work that violate human rights</w:t>
            </w:r>
          </w:p>
        </w:tc>
        <w:tc>
          <w:tcPr>
            <w:tcW w:w="2624" w:type="dxa"/>
          </w:tcPr>
          <w:p w:rsidR="00046CF8" w:rsidRDefault="003561C2">
            <w:pPr>
              <w:pStyle w:val="ListDash"/>
              <w:spacing w:after="0"/>
              <w:rPr>
                <w:rFonts w:cs="Times New Roman"/>
                <w:noProof/>
                <w:color w:val="auto"/>
              </w:rPr>
            </w:pPr>
            <w:r>
              <w:rPr>
                <w:rFonts w:cs="Times New Roman"/>
                <w:noProof/>
                <w:color w:val="auto"/>
              </w:rPr>
              <w:t>As of 2017</w:t>
            </w:r>
          </w:p>
        </w:tc>
      </w:tr>
      <w:tr w:rsidR="00046CF8">
        <w:tc>
          <w:tcPr>
            <w:tcW w:w="6204" w:type="dxa"/>
          </w:tcPr>
          <w:p w:rsidR="00046CF8" w:rsidRDefault="003561C2">
            <w:pPr>
              <w:pStyle w:val="ListDash"/>
              <w:spacing w:after="0"/>
              <w:rPr>
                <w:rFonts w:cs="Times New Roman"/>
                <w:b/>
                <w:noProof/>
                <w:color w:val="auto"/>
              </w:rPr>
            </w:pPr>
            <w:r>
              <w:rPr>
                <w:rFonts w:cs="Times New Roman"/>
                <w:b/>
                <w:noProof/>
                <w:color w:val="auto"/>
              </w:rPr>
              <w:t xml:space="preserve">7.3. </w:t>
            </w:r>
            <w:r>
              <w:rPr>
                <w:rFonts w:cs="Times New Roman"/>
                <w:b/>
                <w:noProof/>
                <w:color w:val="auto"/>
              </w:rPr>
              <w:tab/>
            </w:r>
            <w:r>
              <w:rPr>
                <w:rFonts w:cs="Times New Roman"/>
                <w:noProof/>
                <w:color w:val="auto"/>
              </w:rPr>
              <w:t>Cooperate with non-EU countries through bilateral dialogues an</w:t>
            </w:r>
            <w:r>
              <w:rPr>
                <w:rFonts w:cs="Times New Roman"/>
                <w:noProof/>
                <w:color w:val="auto"/>
              </w:rPr>
              <w:t>d formal processes (pre-identification, identification and listing) under the IUU Regulation.</w:t>
            </w:r>
          </w:p>
        </w:tc>
        <w:tc>
          <w:tcPr>
            <w:tcW w:w="2624" w:type="dxa"/>
          </w:tcPr>
          <w:p w:rsidR="00046CF8" w:rsidRDefault="003561C2">
            <w:pPr>
              <w:pStyle w:val="ListDash"/>
              <w:spacing w:after="0"/>
              <w:rPr>
                <w:rFonts w:cs="Times New Roman"/>
                <w:noProof/>
                <w:color w:val="auto"/>
              </w:rPr>
            </w:pPr>
            <w:r>
              <w:rPr>
                <w:rFonts w:cs="Times New Roman"/>
                <w:noProof/>
                <w:color w:val="auto"/>
              </w:rPr>
              <w:t>Ongoing</w:t>
            </w:r>
          </w:p>
        </w:tc>
      </w:tr>
      <w:tr w:rsidR="00046CF8">
        <w:tc>
          <w:tcPr>
            <w:tcW w:w="6204" w:type="dxa"/>
          </w:tcPr>
          <w:p w:rsidR="00046CF8" w:rsidRDefault="003561C2">
            <w:pPr>
              <w:pStyle w:val="ListDash"/>
              <w:spacing w:after="0"/>
              <w:rPr>
                <w:rFonts w:cs="Times New Roman"/>
                <w:noProof/>
                <w:color w:val="auto"/>
              </w:rPr>
            </w:pPr>
            <w:r>
              <w:rPr>
                <w:rFonts w:cs="Times New Roman"/>
                <w:b/>
                <w:noProof/>
              </w:rPr>
              <w:t>7.4.</w:t>
            </w:r>
            <w:r>
              <w:rPr>
                <w:rFonts w:cs="Times New Roman"/>
                <w:noProof/>
                <w:color w:val="auto"/>
              </w:rPr>
              <w:t xml:space="preserve"> Promote multilateral action on IUU, including:</w:t>
            </w:r>
          </w:p>
          <w:p w:rsidR="00046CF8" w:rsidRDefault="003561C2">
            <w:pPr>
              <w:pStyle w:val="ListDash"/>
              <w:numPr>
                <w:ilvl w:val="0"/>
                <w:numId w:val="31"/>
              </w:numPr>
              <w:spacing w:after="0"/>
              <w:rPr>
                <w:rFonts w:cs="Times New Roman"/>
                <w:noProof/>
                <w:color w:val="auto"/>
              </w:rPr>
            </w:pPr>
            <w:r>
              <w:rPr>
                <w:rFonts w:cs="Times New Roman"/>
                <w:noProof/>
                <w:color w:val="auto"/>
              </w:rPr>
              <w:t>the creation of a global fleet register; Termination of Phase I</w:t>
            </w:r>
          </w:p>
          <w:p w:rsidR="00046CF8" w:rsidRDefault="003561C2">
            <w:pPr>
              <w:pStyle w:val="ListDash"/>
              <w:numPr>
                <w:ilvl w:val="0"/>
                <w:numId w:val="31"/>
              </w:numPr>
              <w:spacing w:after="0"/>
              <w:rPr>
                <w:rFonts w:cs="Times New Roman"/>
                <w:noProof/>
                <w:color w:val="auto"/>
              </w:rPr>
            </w:pPr>
            <w:r>
              <w:rPr>
                <w:rFonts w:cs="Times New Roman"/>
                <w:noProof/>
                <w:color w:val="auto"/>
              </w:rPr>
              <w:t xml:space="preserve">the allocation of a unique vessel </w:t>
            </w:r>
            <w:r>
              <w:rPr>
                <w:rFonts w:cs="Times New Roman"/>
                <w:noProof/>
                <w:color w:val="auto"/>
              </w:rPr>
              <w:t>identifier (IMO number) to commercial fishing vessels; Application of IMO numbers in all RFMOs for vessels above 100 GT</w:t>
            </w:r>
          </w:p>
          <w:p w:rsidR="00046CF8" w:rsidRDefault="003561C2">
            <w:pPr>
              <w:pStyle w:val="ListDash"/>
              <w:numPr>
                <w:ilvl w:val="0"/>
                <w:numId w:val="31"/>
              </w:numPr>
              <w:spacing w:after="0"/>
              <w:rPr>
                <w:rFonts w:cs="Times New Roman"/>
                <w:noProof/>
                <w:color w:val="auto"/>
              </w:rPr>
            </w:pPr>
            <w:r>
              <w:rPr>
                <w:rFonts w:cs="Times New Roman"/>
                <w:noProof/>
                <w:color w:val="auto"/>
              </w:rPr>
              <w:t>the adoption of guidelines to develop and implement catch documentation schemes (global catch certificate).</w:t>
            </w:r>
          </w:p>
        </w:tc>
        <w:tc>
          <w:tcPr>
            <w:tcW w:w="2624" w:type="dxa"/>
          </w:tcPr>
          <w:p w:rsidR="00046CF8" w:rsidRDefault="00046CF8">
            <w:pPr>
              <w:pStyle w:val="ListDash"/>
              <w:spacing w:after="0"/>
              <w:rPr>
                <w:rFonts w:cs="Times New Roman"/>
                <w:noProof/>
                <w:color w:val="auto"/>
              </w:rPr>
            </w:pPr>
          </w:p>
          <w:p w:rsidR="00046CF8" w:rsidRDefault="00046CF8">
            <w:pPr>
              <w:pStyle w:val="ListDash"/>
              <w:spacing w:after="0"/>
              <w:rPr>
                <w:rFonts w:cs="Times New Roman"/>
                <w:noProof/>
                <w:color w:val="auto"/>
              </w:rPr>
            </w:pPr>
          </w:p>
          <w:p w:rsidR="00046CF8" w:rsidRDefault="003561C2">
            <w:pPr>
              <w:pStyle w:val="ListDash"/>
              <w:spacing w:after="0"/>
              <w:rPr>
                <w:rFonts w:cs="Times New Roman"/>
                <w:noProof/>
                <w:color w:val="auto"/>
              </w:rPr>
            </w:pPr>
            <w:r>
              <w:rPr>
                <w:rFonts w:cs="Times New Roman"/>
                <w:noProof/>
                <w:color w:val="auto"/>
              </w:rPr>
              <w:t>2018</w:t>
            </w:r>
          </w:p>
          <w:p w:rsidR="00046CF8" w:rsidRDefault="00046CF8">
            <w:pPr>
              <w:pStyle w:val="ListDash"/>
              <w:spacing w:after="0"/>
              <w:rPr>
                <w:rFonts w:cs="Times New Roman"/>
                <w:noProof/>
                <w:color w:val="auto"/>
              </w:rPr>
            </w:pPr>
          </w:p>
          <w:p w:rsidR="00046CF8" w:rsidRDefault="00046CF8">
            <w:pPr>
              <w:pStyle w:val="ListDash"/>
              <w:spacing w:after="0"/>
              <w:rPr>
                <w:rFonts w:cs="Times New Roman"/>
                <w:noProof/>
                <w:color w:val="auto"/>
              </w:rPr>
            </w:pPr>
          </w:p>
          <w:p w:rsidR="00046CF8" w:rsidRDefault="003561C2">
            <w:pPr>
              <w:pStyle w:val="ListDash"/>
              <w:spacing w:after="0"/>
              <w:rPr>
                <w:rFonts w:cs="Times New Roman"/>
                <w:noProof/>
                <w:color w:val="auto"/>
              </w:rPr>
            </w:pPr>
            <w:r>
              <w:rPr>
                <w:rFonts w:cs="Times New Roman"/>
                <w:noProof/>
                <w:color w:val="auto"/>
              </w:rPr>
              <w:t xml:space="preserve">By 2018 </w:t>
            </w:r>
          </w:p>
          <w:p w:rsidR="00046CF8" w:rsidRDefault="00046CF8">
            <w:pPr>
              <w:pStyle w:val="ListDash"/>
              <w:spacing w:after="0"/>
              <w:rPr>
                <w:rFonts w:cs="Times New Roman"/>
                <w:noProof/>
                <w:color w:val="auto"/>
              </w:rPr>
            </w:pPr>
          </w:p>
          <w:p w:rsidR="00046CF8" w:rsidRDefault="003561C2">
            <w:pPr>
              <w:pStyle w:val="ListDash"/>
              <w:spacing w:after="0"/>
              <w:rPr>
                <w:rFonts w:cs="Times New Roman"/>
                <w:noProof/>
                <w:color w:val="auto"/>
              </w:rPr>
            </w:pPr>
            <w:r>
              <w:rPr>
                <w:rFonts w:cs="Times New Roman"/>
                <w:noProof/>
                <w:color w:val="auto"/>
              </w:rPr>
              <w:t xml:space="preserve">2017 </w:t>
            </w:r>
          </w:p>
          <w:p w:rsidR="00046CF8" w:rsidRDefault="00046CF8">
            <w:pPr>
              <w:pStyle w:val="ListDash"/>
              <w:spacing w:after="0"/>
              <w:rPr>
                <w:rFonts w:cs="Times New Roman"/>
                <w:noProof/>
                <w:color w:val="auto"/>
              </w:rPr>
            </w:pPr>
          </w:p>
        </w:tc>
      </w:tr>
      <w:tr w:rsidR="00046CF8">
        <w:tc>
          <w:tcPr>
            <w:tcW w:w="6204" w:type="dxa"/>
          </w:tcPr>
          <w:p w:rsidR="00046CF8" w:rsidRDefault="003561C2">
            <w:pPr>
              <w:pStyle w:val="ListDash"/>
              <w:spacing w:after="0"/>
              <w:rPr>
                <w:rFonts w:cs="Times New Roman"/>
                <w:b/>
                <w:noProof/>
              </w:rPr>
            </w:pPr>
            <w:r>
              <w:rPr>
                <w:rFonts w:cs="Times New Roman"/>
                <w:b/>
                <w:noProof/>
              </w:rPr>
              <w:t>7.5.</w:t>
            </w:r>
            <w:r>
              <w:rPr>
                <w:rFonts w:cs="Times New Roman"/>
                <w:noProof/>
              </w:rPr>
              <w:t xml:space="preserve"> </w:t>
            </w:r>
            <w:r>
              <w:rPr>
                <w:rFonts w:cs="Times New Roman"/>
                <w:noProof/>
                <w:color w:val="auto"/>
              </w:rPr>
              <w:t>Strengthen the role of Interpol in the fight against IUU fishing</w:t>
            </w:r>
          </w:p>
        </w:tc>
        <w:tc>
          <w:tcPr>
            <w:tcW w:w="2624" w:type="dxa"/>
          </w:tcPr>
          <w:p w:rsidR="00046CF8" w:rsidRDefault="003561C2">
            <w:pPr>
              <w:pStyle w:val="ListDash"/>
              <w:spacing w:after="0"/>
              <w:rPr>
                <w:rFonts w:cs="Times New Roman"/>
                <w:noProof/>
                <w:color w:val="auto"/>
              </w:rPr>
            </w:pPr>
            <w:r>
              <w:rPr>
                <w:rFonts w:cs="Times New Roman"/>
                <w:noProof/>
                <w:color w:val="auto"/>
              </w:rPr>
              <w:t>Ongoing</w:t>
            </w:r>
          </w:p>
        </w:tc>
      </w:tr>
      <w:tr w:rsidR="00046CF8">
        <w:trPr>
          <w:trHeight w:val="1012"/>
        </w:trPr>
        <w:tc>
          <w:tcPr>
            <w:tcW w:w="6204" w:type="dxa"/>
          </w:tcPr>
          <w:p w:rsidR="00046CF8" w:rsidRDefault="003561C2">
            <w:pPr>
              <w:pStyle w:val="ListDash"/>
              <w:spacing w:after="0"/>
              <w:rPr>
                <w:rFonts w:cs="Times New Roman"/>
                <w:noProof/>
                <w:color w:val="auto"/>
              </w:rPr>
            </w:pPr>
            <w:r>
              <w:rPr>
                <w:rFonts w:cs="Times New Roman"/>
                <w:b/>
                <w:noProof/>
              </w:rPr>
              <w:t>7.6.</w:t>
            </w:r>
            <w:r>
              <w:rPr>
                <w:rFonts w:cs="Times New Roman"/>
                <w:noProof/>
              </w:rPr>
              <w:t xml:space="preserve"> Strengthen supervision of the EU's external fishing fleet wherever it operates, in line with the proposed regulation on sustainable management.</w:t>
            </w:r>
          </w:p>
        </w:tc>
        <w:tc>
          <w:tcPr>
            <w:tcW w:w="2624" w:type="dxa"/>
          </w:tcPr>
          <w:p w:rsidR="00046CF8" w:rsidRDefault="003561C2">
            <w:pPr>
              <w:pStyle w:val="ListDash"/>
              <w:spacing w:after="0"/>
              <w:rPr>
                <w:rFonts w:cs="Times New Roman"/>
                <w:noProof/>
                <w:color w:val="auto"/>
              </w:rPr>
            </w:pPr>
            <w:r>
              <w:rPr>
                <w:rFonts w:cs="Times New Roman"/>
                <w:noProof/>
                <w:color w:val="auto"/>
              </w:rPr>
              <w:t>(FAR adoption by EP and Coun</w:t>
            </w:r>
            <w:r>
              <w:rPr>
                <w:rFonts w:cs="Times New Roman"/>
                <w:noProof/>
                <w:color w:val="auto"/>
              </w:rPr>
              <w:t>cil in 2017)</w:t>
            </w:r>
          </w:p>
        </w:tc>
      </w:tr>
      <w:tr w:rsidR="00046CF8">
        <w:tc>
          <w:tcPr>
            <w:tcW w:w="8828" w:type="dxa"/>
            <w:gridSpan w:val="2"/>
            <w:shd w:val="clear" w:color="auto" w:fill="C6D9F1" w:themeFill="text2" w:themeFillTint="33"/>
          </w:tcPr>
          <w:p w:rsidR="00046CF8" w:rsidRDefault="003561C2">
            <w:pPr>
              <w:pStyle w:val="ListParagraph"/>
              <w:numPr>
                <w:ilvl w:val="0"/>
                <w:numId w:val="35"/>
              </w:numPr>
              <w:spacing w:after="240"/>
              <w:contextualSpacing w:val="0"/>
              <w:jc w:val="center"/>
              <w:rPr>
                <w:b/>
                <w:noProof/>
                <w:szCs w:val="24"/>
              </w:rPr>
            </w:pPr>
            <w:r>
              <w:rPr>
                <w:b/>
                <w:noProof/>
                <w:szCs w:val="24"/>
              </w:rPr>
              <w:t>Banning harmful fisheries subsidies</w:t>
            </w:r>
          </w:p>
        </w:tc>
      </w:tr>
      <w:tr w:rsidR="00046CF8">
        <w:tc>
          <w:tcPr>
            <w:tcW w:w="6204" w:type="dxa"/>
          </w:tcPr>
          <w:p w:rsidR="00046CF8" w:rsidRDefault="003561C2">
            <w:pPr>
              <w:rPr>
                <w:noProof/>
                <w:sz w:val="24"/>
                <w:szCs w:val="24"/>
              </w:rPr>
            </w:pPr>
            <w:r>
              <w:rPr>
                <w:b/>
                <w:iCs/>
                <w:noProof/>
                <w:sz w:val="24"/>
                <w:szCs w:val="24"/>
              </w:rPr>
              <w:t>8.1.</w:t>
            </w:r>
            <w:r>
              <w:rPr>
                <w:iCs/>
                <w:noProof/>
                <w:sz w:val="24"/>
                <w:szCs w:val="24"/>
              </w:rPr>
              <w:t xml:space="preserve"> Engage in multilateral negotiations in the WTO </w:t>
            </w:r>
            <w:r>
              <w:rPr>
                <w:noProof/>
                <w:sz w:val="24"/>
                <w:szCs w:val="24"/>
              </w:rPr>
              <w:t>to ban, by 2020, subsidies that contribute to overcapacity, overfishing and IUU fishing.</w:t>
            </w:r>
          </w:p>
          <w:p w:rsidR="00046CF8" w:rsidRDefault="003561C2">
            <w:pPr>
              <w:rPr>
                <w:noProof/>
                <w:sz w:val="24"/>
                <w:szCs w:val="24"/>
              </w:rPr>
            </w:pPr>
            <w:r>
              <w:rPr>
                <w:noProof/>
                <w:sz w:val="24"/>
                <w:szCs w:val="24"/>
              </w:rPr>
              <w:t>Decision at WTO Ministerial Conference</w:t>
            </w:r>
          </w:p>
        </w:tc>
        <w:tc>
          <w:tcPr>
            <w:tcW w:w="2624" w:type="dxa"/>
          </w:tcPr>
          <w:p w:rsidR="00046CF8" w:rsidRDefault="003561C2">
            <w:pPr>
              <w:rPr>
                <w:noProof/>
                <w:sz w:val="24"/>
                <w:szCs w:val="24"/>
              </w:rPr>
            </w:pPr>
            <w:r>
              <w:rPr>
                <w:noProof/>
                <w:sz w:val="24"/>
                <w:szCs w:val="24"/>
              </w:rPr>
              <w:t>October 2016</w:t>
            </w:r>
          </w:p>
          <w:p w:rsidR="00046CF8" w:rsidRDefault="00046CF8">
            <w:pPr>
              <w:rPr>
                <w:noProof/>
                <w:sz w:val="24"/>
                <w:szCs w:val="24"/>
              </w:rPr>
            </w:pPr>
          </w:p>
          <w:p w:rsidR="00046CF8" w:rsidRDefault="003561C2">
            <w:pPr>
              <w:rPr>
                <w:noProof/>
                <w:sz w:val="24"/>
                <w:szCs w:val="24"/>
              </w:rPr>
            </w:pPr>
            <w:r>
              <w:rPr>
                <w:noProof/>
                <w:sz w:val="24"/>
                <w:szCs w:val="24"/>
              </w:rPr>
              <w:t>2017</w:t>
            </w:r>
          </w:p>
        </w:tc>
      </w:tr>
      <w:tr w:rsidR="00046CF8">
        <w:tc>
          <w:tcPr>
            <w:tcW w:w="8828" w:type="dxa"/>
            <w:gridSpan w:val="2"/>
            <w:shd w:val="clear" w:color="auto" w:fill="C6D9F1" w:themeFill="text2" w:themeFillTint="33"/>
          </w:tcPr>
          <w:p w:rsidR="00046CF8" w:rsidRDefault="003561C2">
            <w:pPr>
              <w:pStyle w:val="ListParagraph"/>
              <w:numPr>
                <w:ilvl w:val="0"/>
                <w:numId w:val="35"/>
              </w:numPr>
              <w:spacing w:after="240"/>
              <w:contextualSpacing w:val="0"/>
              <w:jc w:val="center"/>
              <w:rPr>
                <w:b/>
                <w:iCs/>
                <w:noProof/>
                <w:szCs w:val="24"/>
              </w:rPr>
            </w:pPr>
            <w:r>
              <w:rPr>
                <w:b/>
                <w:iCs/>
                <w:noProof/>
                <w:szCs w:val="24"/>
              </w:rPr>
              <w:t>Fighting marine litter and the sea of plastic</w:t>
            </w:r>
          </w:p>
        </w:tc>
      </w:tr>
      <w:tr w:rsidR="00046CF8">
        <w:tc>
          <w:tcPr>
            <w:tcW w:w="6204" w:type="dxa"/>
          </w:tcPr>
          <w:p w:rsidR="00046CF8" w:rsidRDefault="003561C2">
            <w:pPr>
              <w:rPr>
                <w:noProof/>
                <w:sz w:val="24"/>
                <w:szCs w:val="24"/>
              </w:rPr>
            </w:pPr>
            <w:r>
              <w:rPr>
                <w:b/>
                <w:noProof/>
                <w:sz w:val="24"/>
                <w:szCs w:val="24"/>
              </w:rPr>
              <w:t>9.1.</w:t>
            </w:r>
            <w:r>
              <w:rPr>
                <w:noProof/>
                <w:sz w:val="24"/>
                <w:szCs w:val="24"/>
              </w:rPr>
              <w:t xml:space="preserve"> Propose action on Marine Litter: </w:t>
            </w:r>
          </w:p>
          <w:p w:rsidR="00046CF8" w:rsidRDefault="003561C2">
            <w:pPr>
              <w:pStyle w:val="ListParagraph"/>
              <w:numPr>
                <w:ilvl w:val="0"/>
                <w:numId w:val="32"/>
              </w:numPr>
              <w:contextualSpacing w:val="0"/>
              <w:rPr>
                <w:iCs/>
                <w:noProof/>
                <w:szCs w:val="24"/>
              </w:rPr>
            </w:pPr>
            <w:r>
              <w:rPr>
                <w:noProof/>
                <w:szCs w:val="24"/>
              </w:rPr>
              <w:t>a strategy on plastics, addressing marine litter</w:t>
            </w:r>
          </w:p>
          <w:p w:rsidR="00046CF8" w:rsidRDefault="003561C2">
            <w:pPr>
              <w:pStyle w:val="ListParagraph"/>
              <w:numPr>
                <w:ilvl w:val="0"/>
                <w:numId w:val="32"/>
              </w:numPr>
              <w:contextualSpacing w:val="0"/>
              <w:rPr>
                <w:iCs/>
                <w:noProof/>
                <w:szCs w:val="24"/>
              </w:rPr>
            </w:pPr>
            <w:r>
              <w:rPr>
                <w:noProof/>
                <w:szCs w:val="24"/>
              </w:rPr>
              <w:t>address sea</w:t>
            </w:r>
            <w:r>
              <w:rPr>
                <w:noProof/>
                <w:szCs w:val="24"/>
              </w:rPr>
              <w:noBreakHyphen/>
              <w:t xml:space="preserve">based sources of marine litter, through the revision of the Port Reception Facilities Directive and, if </w:t>
            </w:r>
            <w:r>
              <w:rPr>
                <w:noProof/>
                <w:szCs w:val="24"/>
              </w:rPr>
              <w:t>necessary, additional action relating to fishing activities and aquaculture.</w:t>
            </w:r>
          </w:p>
          <w:p w:rsidR="00046CF8" w:rsidRDefault="003561C2">
            <w:pPr>
              <w:pStyle w:val="ListParagraph"/>
              <w:numPr>
                <w:ilvl w:val="0"/>
                <w:numId w:val="32"/>
              </w:numPr>
              <w:contextualSpacing w:val="0"/>
              <w:rPr>
                <w:iCs/>
                <w:noProof/>
                <w:szCs w:val="24"/>
              </w:rPr>
            </w:pPr>
            <w:r>
              <w:rPr>
                <w:noProof/>
                <w:szCs w:val="24"/>
              </w:rPr>
              <w:t>Contribute to the assessment of governance strategies and approaches to combating marine plastic litter and microplastics, as requested by the UN Environment Assembly</w:t>
            </w:r>
            <w:r>
              <w:rPr>
                <w:noProof/>
                <w:color w:val="000000" w:themeColor="text1"/>
                <w:szCs w:val="24"/>
                <w:lang w:eastAsia="fr-FR"/>
              </w:rPr>
              <w:t>.</w:t>
            </w:r>
          </w:p>
          <w:p w:rsidR="00046CF8" w:rsidRDefault="003561C2">
            <w:pPr>
              <w:pStyle w:val="ListParagraph"/>
              <w:numPr>
                <w:ilvl w:val="0"/>
                <w:numId w:val="32"/>
              </w:numPr>
              <w:contextualSpacing w:val="0"/>
              <w:rPr>
                <w:iCs/>
                <w:noProof/>
                <w:szCs w:val="24"/>
              </w:rPr>
            </w:pPr>
            <w:r>
              <w:rPr>
                <w:noProof/>
                <w:szCs w:val="24"/>
              </w:rPr>
              <w:t>provide fin</w:t>
            </w:r>
            <w:r>
              <w:rPr>
                <w:noProof/>
                <w:szCs w:val="24"/>
              </w:rPr>
              <w:t>ancial support, to improve capacity to collect marine litter and the availability of data on litter concentrations in seas around the EU.</w:t>
            </w:r>
          </w:p>
          <w:p w:rsidR="00046CF8" w:rsidRDefault="003561C2">
            <w:pPr>
              <w:pStyle w:val="ListParagraph"/>
              <w:numPr>
                <w:ilvl w:val="0"/>
                <w:numId w:val="32"/>
              </w:numPr>
              <w:contextualSpacing w:val="0"/>
              <w:rPr>
                <w:iCs/>
                <w:noProof/>
                <w:szCs w:val="24"/>
              </w:rPr>
            </w:pPr>
            <w:r>
              <w:rPr>
                <w:noProof/>
                <w:color w:val="000000" w:themeColor="text1"/>
                <w:szCs w:val="24"/>
              </w:rPr>
              <w:t xml:space="preserve">propose to strengthen the institutional framework </w:t>
            </w:r>
            <w:r>
              <w:rPr>
                <w:noProof/>
                <w:szCs w:val="24"/>
              </w:rPr>
              <w:t>through better coordination of international efforts, the G7 plan to</w:t>
            </w:r>
            <w:r>
              <w:rPr>
                <w:noProof/>
                <w:szCs w:val="24"/>
              </w:rPr>
              <w:t xml:space="preserve"> combat marine litter, and the global partnership on marine litter.</w:t>
            </w:r>
          </w:p>
          <w:p w:rsidR="00046CF8" w:rsidRDefault="003561C2">
            <w:pPr>
              <w:pStyle w:val="ListParagraph"/>
              <w:numPr>
                <w:ilvl w:val="0"/>
                <w:numId w:val="32"/>
              </w:numPr>
              <w:spacing w:after="240"/>
              <w:contextualSpacing w:val="0"/>
              <w:rPr>
                <w:iCs/>
                <w:noProof/>
                <w:szCs w:val="24"/>
              </w:rPr>
            </w:pPr>
            <w:r>
              <w:rPr>
                <w:noProof/>
                <w:szCs w:val="24"/>
              </w:rPr>
              <w:t>promote marine litter action plans focusing on i.a. RSCs around Europe.</w:t>
            </w:r>
          </w:p>
        </w:tc>
        <w:tc>
          <w:tcPr>
            <w:tcW w:w="2624" w:type="dxa"/>
          </w:tcPr>
          <w:p w:rsidR="00046CF8" w:rsidRDefault="00046CF8">
            <w:pPr>
              <w:rPr>
                <w:iCs/>
                <w:noProof/>
                <w:sz w:val="24"/>
                <w:szCs w:val="24"/>
              </w:rPr>
            </w:pPr>
          </w:p>
          <w:p w:rsidR="00046CF8" w:rsidRDefault="003561C2">
            <w:pPr>
              <w:rPr>
                <w:iCs/>
                <w:noProof/>
                <w:sz w:val="24"/>
                <w:szCs w:val="24"/>
              </w:rPr>
            </w:pPr>
            <w:r>
              <w:rPr>
                <w:iCs/>
                <w:noProof/>
                <w:sz w:val="24"/>
                <w:szCs w:val="24"/>
              </w:rPr>
              <w:t>2017</w:t>
            </w:r>
          </w:p>
          <w:p w:rsidR="00046CF8" w:rsidRDefault="003561C2">
            <w:pPr>
              <w:rPr>
                <w:iCs/>
                <w:noProof/>
                <w:sz w:val="24"/>
                <w:szCs w:val="24"/>
              </w:rPr>
            </w:pPr>
            <w:r>
              <w:rPr>
                <w:iCs/>
                <w:noProof/>
                <w:sz w:val="24"/>
                <w:szCs w:val="24"/>
              </w:rPr>
              <w:t>2017-2019</w:t>
            </w:r>
          </w:p>
          <w:p w:rsidR="00046CF8" w:rsidRDefault="00046CF8">
            <w:pPr>
              <w:rPr>
                <w:iCs/>
                <w:noProof/>
                <w:sz w:val="24"/>
                <w:szCs w:val="24"/>
              </w:rPr>
            </w:pPr>
          </w:p>
          <w:p w:rsidR="00046CF8" w:rsidRDefault="00046CF8">
            <w:pPr>
              <w:rPr>
                <w:iCs/>
                <w:noProof/>
                <w:sz w:val="24"/>
                <w:szCs w:val="24"/>
              </w:rPr>
            </w:pPr>
          </w:p>
          <w:p w:rsidR="00046CF8" w:rsidRDefault="00046CF8">
            <w:pPr>
              <w:rPr>
                <w:iCs/>
                <w:noProof/>
                <w:sz w:val="24"/>
                <w:szCs w:val="24"/>
              </w:rPr>
            </w:pPr>
          </w:p>
          <w:p w:rsidR="00046CF8" w:rsidRDefault="00046CF8">
            <w:pPr>
              <w:rPr>
                <w:iCs/>
                <w:noProof/>
                <w:sz w:val="24"/>
                <w:szCs w:val="24"/>
              </w:rPr>
            </w:pPr>
          </w:p>
          <w:p w:rsidR="00046CF8" w:rsidRDefault="003561C2">
            <w:pPr>
              <w:rPr>
                <w:iCs/>
                <w:noProof/>
                <w:sz w:val="24"/>
                <w:szCs w:val="24"/>
              </w:rPr>
            </w:pPr>
            <w:r>
              <w:rPr>
                <w:iCs/>
                <w:noProof/>
                <w:sz w:val="24"/>
                <w:szCs w:val="24"/>
              </w:rPr>
              <w:t>2017</w:t>
            </w:r>
          </w:p>
          <w:p w:rsidR="00046CF8" w:rsidRDefault="00046CF8">
            <w:pPr>
              <w:rPr>
                <w:iCs/>
                <w:noProof/>
                <w:sz w:val="24"/>
                <w:szCs w:val="24"/>
              </w:rPr>
            </w:pPr>
          </w:p>
          <w:p w:rsidR="00046CF8" w:rsidRDefault="00046CF8">
            <w:pPr>
              <w:rPr>
                <w:iCs/>
                <w:noProof/>
                <w:sz w:val="24"/>
                <w:szCs w:val="24"/>
              </w:rPr>
            </w:pPr>
          </w:p>
          <w:p w:rsidR="00046CF8" w:rsidRDefault="00046CF8">
            <w:pPr>
              <w:rPr>
                <w:iCs/>
                <w:noProof/>
                <w:sz w:val="24"/>
                <w:szCs w:val="24"/>
              </w:rPr>
            </w:pPr>
          </w:p>
          <w:p w:rsidR="00046CF8" w:rsidRDefault="003561C2">
            <w:pPr>
              <w:rPr>
                <w:iCs/>
                <w:noProof/>
                <w:sz w:val="24"/>
                <w:szCs w:val="24"/>
              </w:rPr>
            </w:pPr>
            <w:r>
              <w:rPr>
                <w:iCs/>
                <w:noProof/>
                <w:sz w:val="24"/>
                <w:szCs w:val="24"/>
              </w:rPr>
              <w:t>2017-2020</w:t>
            </w:r>
          </w:p>
          <w:p w:rsidR="00046CF8" w:rsidRDefault="00046CF8">
            <w:pPr>
              <w:rPr>
                <w:iCs/>
                <w:noProof/>
                <w:sz w:val="24"/>
                <w:szCs w:val="24"/>
              </w:rPr>
            </w:pPr>
          </w:p>
          <w:p w:rsidR="00046CF8" w:rsidRDefault="003561C2">
            <w:pPr>
              <w:rPr>
                <w:iCs/>
                <w:noProof/>
                <w:sz w:val="24"/>
                <w:szCs w:val="24"/>
              </w:rPr>
            </w:pPr>
            <w:r>
              <w:rPr>
                <w:iCs/>
                <w:noProof/>
                <w:sz w:val="24"/>
                <w:szCs w:val="24"/>
              </w:rPr>
              <w:t>Ongoing</w:t>
            </w:r>
          </w:p>
          <w:p w:rsidR="00046CF8" w:rsidRDefault="00046CF8">
            <w:pPr>
              <w:rPr>
                <w:iCs/>
                <w:noProof/>
                <w:sz w:val="24"/>
                <w:szCs w:val="24"/>
              </w:rPr>
            </w:pPr>
          </w:p>
          <w:p w:rsidR="00046CF8" w:rsidRDefault="00046CF8">
            <w:pPr>
              <w:rPr>
                <w:iCs/>
                <w:noProof/>
                <w:sz w:val="24"/>
                <w:szCs w:val="24"/>
              </w:rPr>
            </w:pPr>
          </w:p>
          <w:p w:rsidR="00046CF8" w:rsidRDefault="003561C2">
            <w:pPr>
              <w:rPr>
                <w:iCs/>
                <w:noProof/>
                <w:sz w:val="24"/>
                <w:szCs w:val="24"/>
              </w:rPr>
            </w:pPr>
            <w:r>
              <w:rPr>
                <w:iCs/>
                <w:noProof/>
                <w:sz w:val="24"/>
                <w:szCs w:val="24"/>
              </w:rPr>
              <w:t>Progress review by December 2017</w:t>
            </w:r>
          </w:p>
        </w:tc>
      </w:tr>
      <w:tr w:rsidR="00046CF8">
        <w:tc>
          <w:tcPr>
            <w:tcW w:w="8828" w:type="dxa"/>
            <w:gridSpan w:val="2"/>
            <w:shd w:val="clear" w:color="auto" w:fill="C6D9F1" w:themeFill="text2" w:themeFillTint="33"/>
          </w:tcPr>
          <w:p w:rsidR="00046CF8" w:rsidRDefault="003561C2">
            <w:pPr>
              <w:pStyle w:val="NoSpacing"/>
              <w:numPr>
                <w:ilvl w:val="0"/>
                <w:numId w:val="35"/>
              </w:numPr>
              <w:jc w:val="center"/>
              <w:rPr>
                <w:rFonts w:cs="Times New Roman"/>
                <w:b/>
                <w:noProof/>
              </w:rPr>
            </w:pPr>
            <w:r>
              <w:rPr>
                <w:rFonts w:cs="Times New Roman"/>
                <w:b/>
                <w:noProof/>
              </w:rPr>
              <w:t xml:space="preserve">Promoting maritime spatial </w:t>
            </w:r>
            <w:r>
              <w:rPr>
                <w:rFonts w:cs="Times New Roman"/>
                <w:b/>
                <w:noProof/>
              </w:rPr>
              <w:t>planning at global level</w:t>
            </w:r>
          </w:p>
        </w:tc>
      </w:tr>
      <w:tr w:rsidR="00046CF8">
        <w:tc>
          <w:tcPr>
            <w:tcW w:w="6204" w:type="dxa"/>
          </w:tcPr>
          <w:p w:rsidR="00046CF8" w:rsidRDefault="003561C2">
            <w:pPr>
              <w:pStyle w:val="NoSpacing"/>
              <w:rPr>
                <w:rFonts w:cs="Times New Roman"/>
                <w:strike/>
                <w:noProof/>
              </w:rPr>
            </w:pPr>
            <w:r>
              <w:rPr>
                <w:rFonts w:cs="Times New Roman"/>
                <w:b/>
                <w:noProof/>
                <w:color w:val="000000" w:themeColor="text1"/>
              </w:rPr>
              <w:t>10.1.</w:t>
            </w:r>
            <w:r>
              <w:rPr>
                <w:rFonts w:cs="Times New Roman"/>
                <w:noProof/>
                <w:color w:val="000000" w:themeColor="text1"/>
              </w:rPr>
              <w:t xml:space="preserve"> Launch work towards proposals for international guidelines on MSP</w:t>
            </w:r>
          </w:p>
        </w:tc>
        <w:tc>
          <w:tcPr>
            <w:tcW w:w="2624" w:type="dxa"/>
          </w:tcPr>
          <w:p w:rsidR="00046CF8" w:rsidRDefault="003561C2">
            <w:pPr>
              <w:pStyle w:val="NoSpacing"/>
              <w:rPr>
                <w:rFonts w:cs="Times New Roman"/>
                <w:noProof/>
              </w:rPr>
            </w:pPr>
            <w:r>
              <w:rPr>
                <w:rFonts w:cs="Times New Roman"/>
                <w:noProof/>
              </w:rPr>
              <w:t>2017</w:t>
            </w:r>
          </w:p>
        </w:tc>
      </w:tr>
      <w:tr w:rsidR="00046CF8">
        <w:tc>
          <w:tcPr>
            <w:tcW w:w="8828" w:type="dxa"/>
            <w:gridSpan w:val="2"/>
            <w:shd w:val="clear" w:color="auto" w:fill="C6D9F1" w:themeFill="text2" w:themeFillTint="33"/>
          </w:tcPr>
          <w:p w:rsidR="00046CF8" w:rsidRDefault="003561C2">
            <w:pPr>
              <w:pStyle w:val="ListParagraph"/>
              <w:numPr>
                <w:ilvl w:val="0"/>
                <w:numId w:val="35"/>
              </w:numPr>
              <w:spacing w:after="240"/>
              <w:contextualSpacing w:val="0"/>
              <w:jc w:val="center"/>
              <w:rPr>
                <w:b/>
                <w:noProof/>
                <w:szCs w:val="24"/>
              </w:rPr>
            </w:pPr>
            <w:r>
              <w:rPr>
                <w:b/>
                <w:noProof/>
                <w:szCs w:val="24"/>
              </w:rPr>
              <w:t>Achieving the global target of conserving 10% of marine and coastal areas and promoting the effective management of MPAs</w:t>
            </w:r>
          </w:p>
        </w:tc>
      </w:tr>
      <w:tr w:rsidR="00046CF8">
        <w:tc>
          <w:tcPr>
            <w:tcW w:w="6204" w:type="dxa"/>
          </w:tcPr>
          <w:p w:rsidR="00046CF8" w:rsidRDefault="003561C2">
            <w:pPr>
              <w:rPr>
                <w:noProof/>
                <w:color w:val="000000" w:themeColor="text1"/>
                <w:sz w:val="24"/>
                <w:szCs w:val="24"/>
              </w:rPr>
            </w:pPr>
            <w:r>
              <w:rPr>
                <w:b/>
                <w:noProof/>
                <w:color w:val="000000" w:themeColor="text1"/>
                <w:sz w:val="24"/>
                <w:szCs w:val="24"/>
              </w:rPr>
              <w:t>11.1.</w:t>
            </w:r>
            <w:r>
              <w:rPr>
                <w:noProof/>
                <w:color w:val="000000" w:themeColor="text1"/>
                <w:sz w:val="24"/>
                <w:szCs w:val="24"/>
              </w:rPr>
              <w:t xml:space="preserve"> Promote the exchange of best practices and support efforts towards coherent networks of MPAs.</w:t>
            </w:r>
          </w:p>
        </w:tc>
        <w:tc>
          <w:tcPr>
            <w:tcW w:w="2624" w:type="dxa"/>
          </w:tcPr>
          <w:p w:rsidR="00046CF8" w:rsidRDefault="003561C2">
            <w:pPr>
              <w:rPr>
                <w:noProof/>
                <w:sz w:val="24"/>
                <w:szCs w:val="24"/>
              </w:rPr>
            </w:pPr>
            <w:r>
              <w:rPr>
                <w:noProof/>
                <w:sz w:val="24"/>
                <w:szCs w:val="24"/>
              </w:rPr>
              <w:t>Ongoing</w:t>
            </w:r>
          </w:p>
        </w:tc>
      </w:tr>
      <w:tr w:rsidR="00046CF8">
        <w:tc>
          <w:tcPr>
            <w:tcW w:w="6204" w:type="dxa"/>
          </w:tcPr>
          <w:p w:rsidR="00046CF8" w:rsidRDefault="003561C2">
            <w:pPr>
              <w:rPr>
                <w:noProof/>
                <w:color w:val="000000" w:themeColor="text1"/>
                <w:sz w:val="24"/>
                <w:szCs w:val="24"/>
              </w:rPr>
            </w:pPr>
            <w:r>
              <w:rPr>
                <w:b/>
                <w:noProof/>
                <w:color w:val="000000" w:themeColor="text1"/>
                <w:sz w:val="24"/>
                <w:szCs w:val="24"/>
              </w:rPr>
              <w:t>11.2.</w:t>
            </w:r>
            <w:r>
              <w:rPr>
                <w:noProof/>
                <w:color w:val="000000" w:themeColor="text1"/>
                <w:sz w:val="24"/>
                <w:szCs w:val="24"/>
              </w:rPr>
              <w:t xml:space="preserve"> Promote coordinated action on MPAs:</w:t>
            </w:r>
          </w:p>
          <w:p w:rsidR="00046CF8" w:rsidRDefault="003561C2">
            <w:pPr>
              <w:pStyle w:val="ListParagraph"/>
              <w:numPr>
                <w:ilvl w:val="0"/>
                <w:numId w:val="33"/>
              </w:numPr>
              <w:spacing w:after="240"/>
              <w:contextualSpacing w:val="0"/>
              <w:rPr>
                <w:noProof/>
                <w:szCs w:val="24"/>
              </w:rPr>
            </w:pPr>
            <w:r>
              <w:rPr>
                <w:noProof/>
                <w:color w:val="000000" w:themeColor="text1"/>
                <w:szCs w:val="24"/>
              </w:rPr>
              <w:t>regional and international cooperation to develop long-term, sustainable financing mechanisms, for MPAs</w:t>
            </w:r>
          </w:p>
          <w:p w:rsidR="00046CF8" w:rsidRDefault="003561C2">
            <w:pPr>
              <w:pStyle w:val="ListParagraph"/>
              <w:numPr>
                <w:ilvl w:val="0"/>
                <w:numId w:val="33"/>
              </w:numPr>
              <w:spacing w:after="240"/>
              <w:contextualSpacing w:val="0"/>
              <w:rPr>
                <w:noProof/>
                <w:szCs w:val="24"/>
              </w:rPr>
            </w:pPr>
            <w:r>
              <w:rPr>
                <w:noProof/>
                <w:szCs w:val="24"/>
              </w:rPr>
              <w:t xml:space="preserve">Complete an MPA twinning project on best practices and capacity building </w:t>
            </w:r>
            <w:r>
              <w:rPr>
                <w:iCs/>
                <w:noProof/>
                <w:szCs w:val="24"/>
              </w:rPr>
              <w:t xml:space="preserve">in the Atlantic from </w:t>
            </w:r>
            <w:r>
              <w:rPr>
                <w:noProof/>
                <w:szCs w:val="24"/>
              </w:rPr>
              <w:t>Europe to Africa, North and South America</w:t>
            </w:r>
          </w:p>
          <w:p w:rsidR="00046CF8" w:rsidRDefault="003561C2">
            <w:pPr>
              <w:pStyle w:val="ListParagraph"/>
              <w:numPr>
                <w:ilvl w:val="0"/>
                <w:numId w:val="33"/>
              </w:numPr>
              <w:spacing w:after="240"/>
              <w:contextualSpacing w:val="0"/>
              <w:rPr>
                <w:noProof/>
                <w:szCs w:val="24"/>
              </w:rPr>
            </w:pPr>
            <w:r>
              <w:rPr>
                <w:noProof/>
                <w:color w:val="000000" w:themeColor="text1"/>
                <w:szCs w:val="24"/>
              </w:rPr>
              <w:t>Provide funding under Horizon2020 and LIFE for marine research essential for the establishment of marine protected areas</w:t>
            </w:r>
            <w:r>
              <w:rPr>
                <w:noProof/>
                <w:color w:val="000000" w:themeColor="text1"/>
                <w:szCs w:val="24"/>
              </w:rPr>
              <w:t xml:space="preserve"> and liaise with international partners</w:t>
            </w:r>
          </w:p>
        </w:tc>
        <w:tc>
          <w:tcPr>
            <w:tcW w:w="2624" w:type="dxa"/>
          </w:tcPr>
          <w:p w:rsidR="00046CF8" w:rsidRDefault="00046CF8">
            <w:pPr>
              <w:rPr>
                <w:noProof/>
                <w:sz w:val="24"/>
                <w:szCs w:val="24"/>
              </w:rPr>
            </w:pPr>
          </w:p>
          <w:p w:rsidR="00046CF8" w:rsidRDefault="003561C2">
            <w:pPr>
              <w:rPr>
                <w:noProof/>
                <w:sz w:val="24"/>
                <w:szCs w:val="24"/>
              </w:rPr>
            </w:pPr>
            <w:r>
              <w:rPr>
                <w:noProof/>
                <w:sz w:val="24"/>
                <w:szCs w:val="24"/>
              </w:rPr>
              <w:t>Ongoing</w:t>
            </w:r>
          </w:p>
          <w:p w:rsidR="00046CF8" w:rsidRDefault="00046CF8">
            <w:pPr>
              <w:rPr>
                <w:noProof/>
                <w:sz w:val="24"/>
                <w:szCs w:val="24"/>
              </w:rPr>
            </w:pPr>
          </w:p>
          <w:p w:rsidR="00046CF8" w:rsidRDefault="00046CF8">
            <w:pPr>
              <w:rPr>
                <w:noProof/>
                <w:sz w:val="24"/>
                <w:szCs w:val="24"/>
              </w:rPr>
            </w:pPr>
          </w:p>
          <w:p w:rsidR="00046CF8" w:rsidRDefault="00046CF8">
            <w:pPr>
              <w:rPr>
                <w:noProof/>
                <w:sz w:val="24"/>
                <w:szCs w:val="24"/>
              </w:rPr>
            </w:pPr>
          </w:p>
          <w:p w:rsidR="00046CF8" w:rsidRDefault="003561C2">
            <w:pPr>
              <w:rPr>
                <w:noProof/>
                <w:sz w:val="24"/>
                <w:szCs w:val="24"/>
              </w:rPr>
            </w:pPr>
            <w:r>
              <w:rPr>
                <w:noProof/>
                <w:sz w:val="24"/>
                <w:szCs w:val="24"/>
              </w:rPr>
              <w:t>2016-2017</w:t>
            </w:r>
          </w:p>
          <w:p w:rsidR="00046CF8" w:rsidRDefault="00046CF8">
            <w:pPr>
              <w:rPr>
                <w:noProof/>
                <w:sz w:val="24"/>
                <w:szCs w:val="24"/>
              </w:rPr>
            </w:pPr>
          </w:p>
          <w:p w:rsidR="00046CF8" w:rsidRDefault="00046CF8">
            <w:pPr>
              <w:rPr>
                <w:noProof/>
                <w:sz w:val="24"/>
                <w:szCs w:val="24"/>
              </w:rPr>
            </w:pPr>
          </w:p>
          <w:p w:rsidR="00046CF8" w:rsidRDefault="00046CF8">
            <w:pPr>
              <w:rPr>
                <w:noProof/>
                <w:sz w:val="24"/>
                <w:szCs w:val="24"/>
              </w:rPr>
            </w:pPr>
          </w:p>
          <w:p w:rsidR="00046CF8" w:rsidRDefault="003561C2">
            <w:pPr>
              <w:rPr>
                <w:noProof/>
                <w:sz w:val="24"/>
                <w:szCs w:val="24"/>
              </w:rPr>
            </w:pPr>
            <w:r>
              <w:rPr>
                <w:noProof/>
                <w:sz w:val="24"/>
                <w:szCs w:val="24"/>
              </w:rPr>
              <w:t>Ongoing</w:t>
            </w:r>
          </w:p>
        </w:tc>
      </w:tr>
      <w:tr w:rsidR="00046CF8">
        <w:tc>
          <w:tcPr>
            <w:tcW w:w="8828" w:type="dxa"/>
            <w:gridSpan w:val="2"/>
            <w:shd w:val="clear" w:color="auto" w:fill="C6D9F1" w:themeFill="text2" w:themeFillTint="33"/>
          </w:tcPr>
          <w:p w:rsidR="00046CF8" w:rsidRDefault="003561C2">
            <w:pPr>
              <w:pStyle w:val="NoSpacing"/>
              <w:numPr>
                <w:ilvl w:val="0"/>
                <w:numId w:val="35"/>
              </w:numPr>
              <w:jc w:val="center"/>
              <w:rPr>
                <w:rFonts w:cs="Times New Roman"/>
                <w:b/>
                <w:noProof/>
                <w:color w:val="000000" w:themeColor="text1"/>
              </w:rPr>
            </w:pPr>
            <w:r>
              <w:rPr>
                <w:rFonts w:cs="Times New Roman"/>
                <w:b/>
                <w:noProof/>
                <w:color w:val="000000" w:themeColor="text1"/>
              </w:rPr>
              <w:t>A coherent EU strategy on ocean observation, data and marine accounting</w:t>
            </w:r>
          </w:p>
        </w:tc>
      </w:tr>
      <w:tr w:rsidR="00046CF8">
        <w:tc>
          <w:tcPr>
            <w:tcW w:w="6204" w:type="dxa"/>
          </w:tcPr>
          <w:p w:rsidR="00046CF8" w:rsidRDefault="003561C2">
            <w:pPr>
              <w:pStyle w:val="NoSpacing"/>
              <w:spacing w:after="0"/>
              <w:rPr>
                <w:rFonts w:cs="Times New Roman"/>
                <w:noProof/>
                <w:color w:val="000000" w:themeColor="text1"/>
              </w:rPr>
            </w:pPr>
            <w:r>
              <w:rPr>
                <w:rFonts w:cs="Times New Roman"/>
                <w:b/>
                <w:noProof/>
                <w:color w:val="000000" w:themeColor="text1"/>
              </w:rPr>
              <w:t>12.1.</w:t>
            </w:r>
            <w:r>
              <w:rPr>
                <w:rFonts w:cs="Times New Roman"/>
                <w:noProof/>
                <w:color w:val="000000" w:themeColor="text1"/>
              </w:rPr>
              <w:t xml:space="preserve"> Propose a coherent ocean observation in line with the G7 Tsukuba Communiqué.</w:t>
            </w:r>
          </w:p>
        </w:tc>
        <w:tc>
          <w:tcPr>
            <w:tcW w:w="2624" w:type="dxa"/>
          </w:tcPr>
          <w:p w:rsidR="00046CF8" w:rsidRDefault="003561C2">
            <w:pPr>
              <w:pStyle w:val="NoSpacing"/>
              <w:spacing w:after="0"/>
              <w:rPr>
                <w:rFonts w:cs="Times New Roman"/>
                <w:noProof/>
                <w:color w:val="000000" w:themeColor="text1"/>
              </w:rPr>
            </w:pPr>
            <w:r>
              <w:rPr>
                <w:rFonts w:cs="Times New Roman"/>
                <w:noProof/>
                <w:color w:val="000000" w:themeColor="text1"/>
              </w:rPr>
              <w:t>2018</w:t>
            </w:r>
          </w:p>
        </w:tc>
      </w:tr>
      <w:tr w:rsidR="00046CF8">
        <w:tc>
          <w:tcPr>
            <w:tcW w:w="6204" w:type="dxa"/>
          </w:tcPr>
          <w:p w:rsidR="00046CF8" w:rsidRDefault="003561C2">
            <w:pPr>
              <w:pStyle w:val="NoSpacing"/>
              <w:spacing w:after="0"/>
              <w:rPr>
                <w:rFonts w:cs="Times New Roman"/>
                <w:noProof/>
                <w:color w:val="000000" w:themeColor="text1"/>
              </w:rPr>
            </w:pPr>
            <w:r>
              <w:rPr>
                <w:rFonts w:cs="Times New Roman"/>
                <w:b/>
                <w:noProof/>
                <w:color w:val="000000" w:themeColor="text1"/>
              </w:rPr>
              <w:t>12.2.</w:t>
            </w:r>
            <w:r>
              <w:rPr>
                <w:rFonts w:cs="Times New Roman"/>
                <w:noProof/>
                <w:color w:val="000000" w:themeColor="text1"/>
              </w:rPr>
              <w:t xml:space="preserve"> Present proposal to align EMODnet with other international marine data collection efforts</w:t>
            </w:r>
          </w:p>
        </w:tc>
        <w:tc>
          <w:tcPr>
            <w:tcW w:w="2624" w:type="dxa"/>
          </w:tcPr>
          <w:p w:rsidR="00046CF8" w:rsidRDefault="003561C2">
            <w:pPr>
              <w:pStyle w:val="NoSpacing"/>
              <w:spacing w:after="0"/>
              <w:rPr>
                <w:rFonts w:cs="Times New Roman"/>
                <w:noProof/>
                <w:color w:val="000000" w:themeColor="text1"/>
              </w:rPr>
            </w:pPr>
            <w:r>
              <w:rPr>
                <w:rFonts w:cs="Times New Roman"/>
                <w:noProof/>
                <w:color w:val="000000" w:themeColor="text1"/>
              </w:rPr>
              <w:t>2018</w:t>
            </w:r>
          </w:p>
        </w:tc>
      </w:tr>
      <w:tr w:rsidR="00046CF8">
        <w:tc>
          <w:tcPr>
            <w:tcW w:w="6204" w:type="dxa"/>
          </w:tcPr>
          <w:p w:rsidR="00046CF8" w:rsidRDefault="003561C2">
            <w:pPr>
              <w:pStyle w:val="NoSpacing"/>
              <w:spacing w:after="0"/>
              <w:rPr>
                <w:rFonts w:cs="Times New Roman"/>
                <w:b/>
                <w:noProof/>
                <w:color w:val="000000" w:themeColor="text1"/>
              </w:rPr>
            </w:pPr>
            <w:r>
              <w:rPr>
                <w:rFonts w:cs="Times New Roman"/>
                <w:b/>
                <w:noProof/>
                <w:color w:val="000000" w:themeColor="text1"/>
              </w:rPr>
              <w:t>12.3.</w:t>
            </w:r>
            <w:r>
              <w:rPr>
                <w:rFonts w:cs="Times New Roman"/>
                <w:noProof/>
                <w:color w:val="000000" w:themeColor="text1"/>
              </w:rPr>
              <w:t xml:space="preserve"> Significantly strengthen the integrated system for natural capital and ecosystem services accounting (Commission, EEA and international partners). </w:t>
            </w:r>
          </w:p>
        </w:tc>
        <w:tc>
          <w:tcPr>
            <w:tcW w:w="2624" w:type="dxa"/>
          </w:tcPr>
          <w:p w:rsidR="00046CF8" w:rsidRDefault="003561C2">
            <w:pPr>
              <w:pStyle w:val="NoSpacing"/>
              <w:spacing w:after="0"/>
              <w:rPr>
                <w:rFonts w:cs="Times New Roman"/>
                <w:noProof/>
                <w:color w:val="000000" w:themeColor="text1"/>
              </w:rPr>
            </w:pPr>
            <w:r>
              <w:rPr>
                <w:rFonts w:cs="Times New Roman"/>
                <w:noProof/>
                <w:color w:val="000000" w:themeColor="text1"/>
              </w:rPr>
              <w:t>As of</w:t>
            </w:r>
            <w:r>
              <w:rPr>
                <w:rFonts w:cs="Times New Roman"/>
                <w:noProof/>
                <w:color w:val="000000" w:themeColor="text1"/>
              </w:rPr>
              <w:t xml:space="preserve"> 2017</w:t>
            </w:r>
          </w:p>
        </w:tc>
      </w:tr>
      <w:tr w:rsidR="00046CF8">
        <w:tc>
          <w:tcPr>
            <w:tcW w:w="8828" w:type="dxa"/>
            <w:gridSpan w:val="2"/>
            <w:shd w:val="clear" w:color="auto" w:fill="C6D9F1" w:themeFill="text2" w:themeFillTint="33"/>
          </w:tcPr>
          <w:p w:rsidR="00046CF8" w:rsidRDefault="003561C2">
            <w:pPr>
              <w:pStyle w:val="NoSpacing"/>
              <w:numPr>
                <w:ilvl w:val="0"/>
                <w:numId w:val="35"/>
              </w:numPr>
              <w:jc w:val="center"/>
              <w:rPr>
                <w:rFonts w:cs="Times New Roman"/>
                <w:b/>
                <w:noProof/>
                <w:color w:val="000000" w:themeColor="text1"/>
              </w:rPr>
            </w:pPr>
            <w:r>
              <w:rPr>
                <w:rFonts w:cs="Times New Roman"/>
                <w:b/>
                <w:noProof/>
                <w:color w:val="000000" w:themeColor="text1"/>
              </w:rPr>
              <w:t xml:space="preserve">Strengthening investment in ‘blue’ science and innovation </w:t>
            </w:r>
          </w:p>
        </w:tc>
      </w:tr>
      <w:tr w:rsidR="00046CF8">
        <w:tc>
          <w:tcPr>
            <w:tcW w:w="6204" w:type="dxa"/>
          </w:tcPr>
          <w:p w:rsidR="00046CF8" w:rsidRDefault="003561C2">
            <w:pPr>
              <w:rPr>
                <w:noProof/>
                <w:color w:val="000000" w:themeColor="text1"/>
                <w:sz w:val="24"/>
                <w:szCs w:val="24"/>
              </w:rPr>
            </w:pPr>
            <w:r>
              <w:rPr>
                <w:b/>
                <w:noProof/>
                <w:color w:val="000000" w:themeColor="text1"/>
                <w:sz w:val="24"/>
                <w:szCs w:val="24"/>
              </w:rPr>
              <w:t>13.1.</w:t>
            </w:r>
            <w:r>
              <w:rPr>
                <w:noProof/>
                <w:color w:val="000000" w:themeColor="text1"/>
                <w:sz w:val="24"/>
                <w:szCs w:val="24"/>
              </w:rPr>
              <w:t xml:space="preserve"> Set up a ‘blue</w:t>
            </w:r>
            <w:r>
              <w:rPr>
                <w:noProof/>
                <w:color w:val="000000" w:themeColor="text1"/>
                <w:sz w:val="24"/>
                <w:szCs w:val="24"/>
              </w:rPr>
              <w:noBreakHyphen/>
              <w:t xml:space="preserve">science cloud pilot’ </w:t>
            </w:r>
          </w:p>
        </w:tc>
        <w:tc>
          <w:tcPr>
            <w:tcW w:w="2624" w:type="dxa"/>
          </w:tcPr>
          <w:p w:rsidR="00046CF8" w:rsidRDefault="003561C2">
            <w:pPr>
              <w:rPr>
                <w:noProof/>
                <w:color w:val="000000" w:themeColor="text1"/>
                <w:sz w:val="24"/>
                <w:szCs w:val="24"/>
              </w:rPr>
            </w:pPr>
            <w:r>
              <w:rPr>
                <w:noProof/>
                <w:color w:val="000000" w:themeColor="text1"/>
                <w:sz w:val="24"/>
                <w:szCs w:val="24"/>
              </w:rPr>
              <w:t>2018</w:t>
            </w:r>
          </w:p>
        </w:tc>
      </w:tr>
      <w:tr w:rsidR="00046CF8">
        <w:tc>
          <w:tcPr>
            <w:tcW w:w="6204" w:type="dxa"/>
          </w:tcPr>
          <w:p w:rsidR="00046CF8" w:rsidRDefault="003561C2">
            <w:pPr>
              <w:rPr>
                <w:noProof/>
                <w:color w:val="000000" w:themeColor="text1"/>
                <w:sz w:val="24"/>
                <w:szCs w:val="24"/>
              </w:rPr>
            </w:pPr>
            <w:r>
              <w:rPr>
                <w:b/>
                <w:noProof/>
                <w:color w:val="000000" w:themeColor="text1"/>
                <w:sz w:val="24"/>
                <w:szCs w:val="24"/>
              </w:rPr>
              <w:t>13.2.</w:t>
            </w:r>
            <w:r>
              <w:rPr>
                <w:noProof/>
                <w:color w:val="000000" w:themeColor="text1"/>
                <w:sz w:val="24"/>
                <w:szCs w:val="24"/>
              </w:rPr>
              <w:t xml:space="preserve"> Work with G7 partners to advance the new G7 ‘Future of the Oceans’ initiative on research and observation of the oceans and seas.</w:t>
            </w:r>
          </w:p>
        </w:tc>
        <w:tc>
          <w:tcPr>
            <w:tcW w:w="2624" w:type="dxa"/>
          </w:tcPr>
          <w:p w:rsidR="00046CF8" w:rsidRDefault="003561C2">
            <w:pPr>
              <w:rPr>
                <w:noProof/>
                <w:color w:val="000000" w:themeColor="text1"/>
                <w:sz w:val="24"/>
                <w:szCs w:val="24"/>
              </w:rPr>
            </w:pPr>
            <w:r>
              <w:rPr>
                <w:noProof/>
                <w:color w:val="000000" w:themeColor="text1"/>
                <w:sz w:val="24"/>
                <w:szCs w:val="24"/>
              </w:rPr>
              <w:t>2017</w:t>
            </w:r>
          </w:p>
        </w:tc>
      </w:tr>
      <w:tr w:rsidR="00046CF8">
        <w:tc>
          <w:tcPr>
            <w:tcW w:w="8828" w:type="dxa"/>
            <w:gridSpan w:val="2"/>
            <w:shd w:val="clear" w:color="auto" w:fill="C6D9F1" w:themeFill="text2" w:themeFillTint="33"/>
          </w:tcPr>
          <w:p w:rsidR="00046CF8" w:rsidRDefault="003561C2">
            <w:pPr>
              <w:pStyle w:val="NoSpacing"/>
              <w:numPr>
                <w:ilvl w:val="0"/>
                <w:numId w:val="35"/>
              </w:numPr>
              <w:jc w:val="center"/>
              <w:rPr>
                <w:rFonts w:cs="Times New Roman"/>
                <w:b/>
                <w:noProof/>
                <w:color w:val="000000" w:themeColor="text1"/>
              </w:rPr>
            </w:pPr>
            <w:r>
              <w:rPr>
                <w:rStyle w:val="None"/>
                <w:rFonts w:cs="Times New Roman"/>
                <w:b/>
                <w:bCs/>
                <w:noProof/>
                <w:color w:val="000000" w:themeColor="text1"/>
              </w:rPr>
              <w:t>International ocean research, innovation and science partnerships</w:t>
            </w:r>
            <w:r>
              <w:rPr>
                <w:rFonts w:cs="Times New Roman"/>
                <w:b/>
                <w:noProof/>
                <w:color w:val="000000" w:themeColor="text1"/>
              </w:rPr>
              <w:t xml:space="preserve"> </w:t>
            </w:r>
          </w:p>
        </w:tc>
      </w:tr>
      <w:tr w:rsidR="00046CF8">
        <w:tc>
          <w:tcPr>
            <w:tcW w:w="6204" w:type="dxa"/>
          </w:tcPr>
          <w:p w:rsidR="00046CF8" w:rsidRDefault="003561C2">
            <w:pPr>
              <w:rPr>
                <w:noProof/>
                <w:color w:val="000000" w:themeColor="text1"/>
                <w:sz w:val="24"/>
                <w:szCs w:val="24"/>
              </w:rPr>
            </w:pPr>
            <w:r>
              <w:rPr>
                <w:b/>
                <w:noProof/>
                <w:color w:val="000000" w:themeColor="text1"/>
                <w:sz w:val="24"/>
                <w:szCs w:val="24"/>
              </w:rPr>
              <w:t>14.1.</w:t>
            </w:r>
            <w:r>
              <w:rPr>
                <w:noProof/>
                <w:color w:val="000000" w:themeColor="text1"/>
                <w:sz w:val="24"/>
                <w:szCs w:val="24"/>
              </w:rPr>
              <w:t xml:space="preserve"> Develop marine research and science partnerships with key partners, including in the context of </w:t>
            </w:r>
            <w:r>
              <w:rPr>
                <w:noProof/>
                <w:sz w:val="24"/>
                <w:szCs w:val="24"/>
              </w:rPr>
              <w:t>global alliances such as the Belmont Forum or the Group on Earth Observations</w:t>
            </w:r>
          </w:p>
        </w:tc>
        <w:tc>
          <w:tcPr>
            <w:tcW w:w="2624" w:type="dxa"/>
          </w:tcPr>
          <w:p w:rsidR="00046CF8" w:rsidRDefault="003561C2">
            <w:pPr>
              <w:rPr>
                <w:noProof/>
                <w:color w:val="000000" w:themeColor="text1"/>
                <w:sz w:val="24"/>
                <w:szCs w:val="24"/>
              </w:rPr>
            </w:pPr>
            <w:r>
              <w:rPr>
                <w:noProof/>
                <w:color w:val="000000" w:themeColor="text1"/>
                <w:sz w:val="24"/>
                <w:szCs w:val="24"/>
              </w:rPr>
              <w:t>Ongoin</w:t>
            </w:r>
            <w:r>
              <w:rPr>
                <w:noProof/>
                <w:color w:val="000000" w:themeColor="text1"/>
                <w:sz w:val="24"/>
                <w:szCs w:val="24"/>
              </w:rPr>
              <w:t>g</w:t>
            </w:r>
          </w:p>
        </w:tc>
      </w:tr>
      <w:tr w:rsidR="00046CF8">
        <w:tc>
          <w:tcPr>
            <w:tcW w:w="6204" w:type="dxa"/>
          </w:tcPr>
          <w:p w:rsidR="00046CF8" w:rsidRDefault="003561C2">
            <w:pPr>
              <w:pStyle w:val="Text2"/>
              <w:ind w:left="0"/>
              <w:rPr>
                <w:noProof/>
                <w:color w:val="000000" w:themeColor="text1"/>
                <w:szCs w:val="24"/>
              </w:rPr>
            </w:pPr>
            <w:r>
              <w:rPr>
                <w:b/>
                <w:noProof/>
                <w:color w:val="000000" w:themeColor="text1"/>
                <w:szCs w:val="24"/>
              </w:rPr>
              <w:t>14.2.</w:t>
            </w:r>
            <w:r>
              <w:rPr>
                <w:noProof/>
                <w:color w:val="000000" w:themeColor="text1"/>
                <w:szCs w:val="24"/>
              </w:rPr>
              <w:t xml:space="preserve"> Strengthen work on an All</w:t>
            </w:r>
            <w:r>
              <w:rPr>
                <w:noProof/>
                <w:color w:val="000000" w:themeColor="text1"/>
                <w:szCs w:val="24"/>
              </w:rPr>
              <w:noBreakHyphen/>
              <w:t>Atlantic Ocean Research Alliance</w:t>
            </w:r>
          </w:p>
        </w:tc>
        <w:tc>
          <w:tcPr>
            <w:tcW w:w="2624" w:type="dxa"/>
          </w:tcPr>
          <w:p w:rsidR="00046CF8" w:rsidRDefault="003561C2">
            <w:pPr>
              <w:pStyle w:val="Text2"/>
              <w:ind w:left="0"/>
              <w:rPr>
                <w:noProof/>
                <w:color w:val="000000" w:themeColor="text1"/>
                <w:szCs w:val="24"/>
              </w:rPr>
            </w:pPr>
            <w:r>
              <w:rPr>
                <w:noProof/>
                <w:color w:val="000000" w:themeColor="text1"/>
                <w:szCs w:val="24"/>
              </w:rPr>
              <w:t>2017</w:t>
            </w:r>
          </w:p>
        </w:tc>
      </w:tr>
      <w:tr w:rsidR="00046CF8">
        <w:tc>
          <w:tcPr>
            <w:tcW w:w="6204" w:type="dxa"/>
          </w:tcPr>
          <w:p w:rsidR="00046CF8" w:rsidRDefault="003561C2">
            <w:pPr>
              <w:rPr>
                <w:noProof/>
                <w:color w:val="000000" w:themeColor="text1"/>
                <w:sz w:val="24"/>
                <w:szCs w:val="24"/>
              </w:rPr>
            </w:pPr>
            <w:r>
              <w:rPr>
                <w:b/>
                <w:noProof/>
                <w:color w:val="000000" w:themeColor="text1"/>
                <w:sz w:val="24"/>
                <w:szCs w:val="24"/>
              </w:rPr>
              <w:t>14.3.</w:t>
            </w:r>
            <w:r>
              <w:rPr>
                <w:noProof/>
                <w:color w:val="000000" w:themeColor="text1"/>
                <w:sz w:val="24"/>
                <w:szCs w:val="24"/>
              </w:rPr>
              <w:t xml:space="preserve"> Advance work to include southern Mediterranean countries in the BLUEMED initiative</w:t>
            </w:r>
          </w:p>
        </w:tc>
        <w:tc>
          <w:tcPr>
            <w:tcW w:w="2624" w:type="dxa"/>
          </w:tcPr>
          <w:p w:rsidR="00046CF8" w:rsidRDefault="003561C2">
            <w:pPr>
              <w:rPr>
                <w:noProof/>
                <w:color w:val="000000" w:themeColor="text1"/>
                <w:sz w:val="24"/>
                <w:szCs w:val="24"/>
              </w:rPr>
            </w:pPr>
            <w:r>
              <w:rPr>
                <w:noProof/>
                <w:color w:val="000000" w:themeColor="text1"/>
                <w:sz w:val="24"/>
                <w:szCs w:val="24"/>
              </w:rPr>
              <w:t>2017</w:t>
            </w:r>
          </w:p>
          <w:p w:rsidR="00046CF8" w:rsidRDefault="00046CF8">
            <w:pPr>
              <w:rPr>
                <w:noProof/>
                <w:color w:val="000000" w:themeColor="text1"/>
                <w:sz w:val="24"/>
                <w:szCs w:val="24"/>
              </w:rPr>
            </w:pPr>
          </w:p>
        </w:tc>
      </w:tr>
      <w:tr w:rsidR="00046CF8">
        <w:tc>
          <w:tcPr>
            <w:tcW w:w="6204" w:type="dxa"/>
          </w:tcPr>
          <w:p w:rsidR="00046CF8" w:rsidRDefault="003561C2">
            <w:pPr>
              <w:rPr>
                <w:noProof/>
                <w:color w:val="000000" w:themeColor="text1"/>
                <w:sz w:val="24"/>
                <w:szCs w:val="24"/>
              </w:rPr>
            </w:pPr>
            <w:r>
              <w:rPr>
                <w:b/>
                <w:noProof/>
                <w:sz w:val="24"/>
                <w:szCs w:val="24"/>
              </w:rPr>
              <w:t>14.4.</w:t>
            </w:r>
            <w:r>
              <w:rPr>
                <w:noProof/>
                <w:sz w:val="24"/>
                <w:szCs w:val="24"/>
              </w:rPr>
              <w:t xml:space="preserve"> Strengthen science, research and innovation involvement in the Black Sea under t</w:t>
            </w:r>
            <w:r>
              <w:rPr>
                <w:noProof/>
                <w:sz w:val="24"/>
                <w:szCs w:val="24"/>
              </w:rPr>
              <w:t>he Black Sea Synergy.</w:t>
            </w:r>
          </w:p>
        </w:tc>
        <w:tc>
          <w:tcPr>
            <w:tcW w:w="2624" w:type="dxa"/>
          </w:tcPr>
          <w:p w:rsidR="00046CF8" w:rsidRDefault="003561C2">
            <w:pPr>
              <w:rPr>
                <w:noProof/>
                <w:color w:val="000000" w:themeColor="text1"/>
                <w:sz w:val="24"/>
                <w:szCs w:val="24"/>
              </w:rPr>
            </w:pPr>
            <w:r>
              <w:rPr>
                <w:noProof/>
                <w:color w:val="000000" w:themeColor="text1"/>
                <w:sz w:val="24"/>
                <w:szCs w:val="24"/>
              </w:rPr>
              <w:t>2017-2018</w:t>
            </w:r>
          </w:p>
        </w:tc>
      </w:tr>
      <w:tr w:rsidR="00046CF8">
        <w:tc>
          <w:tcPr>
            <w:tcW w:w="8828" w:type="dxa"/>
            <w:gridSpan w:val="2"/>
            <w:shd w:val="clear" w:color="auto" w:fill="C6D9F1" w:themeFill="text2" w:themeFillTint="33"/>
          </w:tcPr>
          <w:p w:rsidR="00046CF8" w:rsidRDefault="003561C2">
            <w:pPr>
              <w:pStyle w:val="Text2"/>
              <w:numPr>
                <w:ilvl w:val="0"/>
                <w:numId w:val="35"/>
              </w:numPr>
              <w:tabs>
                <w:tab w:val="clear" w:pos="2302"/>
              </w:tabs>
              <w:spacing w:before="120" w:after="120"/>
              <w:jc w:val="center"/>
              <w:rPr>
                <w:b/>
                <w:noProof/>
                <w:color w:val="000000" w:themeColor="text1"/>
                <w:szCs w:val="24"/>
              </w:rPr>
            </w:pPr>
            <w:r>
              <w:rPr>
                <w:b/>
                <w:noProof/>
                <w:color w:val="000000" w:themeColor="text1"/>
                <w:szCs w:val="24"/>
              </w:rPr>
              <w:t>Working with stakeholders</w:t>
            </w:r>
          </w:p>
        </w:tc>
      </w:tr>
      <w:tr w:rsidR="00046CF8">
        <w:tc>
          <w:tcPr>
            <w:tcW w:w="6204" w:type="dxa"/>
          </w:tcPr>
          <w:p w:rsidR="00046CF8" w:rsidRDefault="003561C2">
            <w:pPr>
              <w:pStyle w:val="Text2"/>
              <w:ind w:left="0"/>
              <w:rPr>
                <w:noProof/>
                <w:szCs w:val="24"/>
              </w:rPr>
            </w:pPr>
            <w:r>
              <w:rPr>
                <w:b/>
                <w:noProof/>
                <w:color w:val="000000" w:themeColor="text1"/>
                <w:szCs w:val="24"/>
              </w:rPr>
              <w:t>15.1.</w:t>
            </w:r>
            <w:r>
              <w:rPr>
                <w:noProof/>
                <w:color w:val="000000" w:themeColor="text1"/>
                <w:szCs w:val="24"/>
              </w:rPr>
              <w:t xml:space="preserve"> Set up an EU international oceans stakeholder forum </w:t>
            </w:r>
          </w:p>
        </w:tc>
        <w:tc>
          <w:tcPr>
            <w:tcW w:w="2624" w:type="dxa"/>
          </w:tcPr>
          <w:p w:rsidR="00046CF8" w:rsidRDefault="003561C2">
            <w:pPr>
              <w:pStyle w:val="Text2"/>
              <w:ind w:left="0"/>
              <w:rPr>
                <w:noProof/>
                <w:color w:val="000000" w:themeColor="text1"/>
                <w:szCs w:val="24"/>
              </w:rPr>
            </w:pPr>
            <w:r>
              <w:rPr>
                <w:noProof/>
                <w:color w:val="000000" w:themeColor="text1"/>
                <w:szCs w:val="24"/>
              </w:rPr>
              <w:t>October 2017</w:t>
            </w:r>
          </w:p>
        </w:tc>
      </w:tr>
    </w:tbl>
    <w:p w:rsidR="00046CF8" w:rsidRDefault="00046CF8">
      <w:pPr>
        <w:ind w:left="1080"/>
        <w:rPr>
          <w:noProof/>
        </w:rPr>
      </w:pPr>
    </w:p>
    <w:p w:rsidR="00046CF8" w:rsidRDefault="003561C2">
      <w:pP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br w:type="page"/>
      </w:r>
    </w:p>
    <w:p w:rsidR="00046CF8" w:rsidRDefault="003561C2">
      <w:pPr>
        <w:pStyle w:val="Heading1"/>
        <w:numPr>
          <w:ilvl w:val="0"/>
          <w:numId w:val="25"/>
        </w:numPr>
        <w:rPr>
          <w:noProof/>
        </w:rPr>
      </w:pPr>
      <w:bookmarkStart w:id="67" w:name="_Toc514503215"/>
      <w:bookmarkStart w:id="68" w:name="_Toc514507434"/>
      <w:r>
        <w:rPr>
          <w:noProof/>
        </w:rPr>
        <w:t>Results of the Simplification Survey</w:t>
      </w:r>
      <w:bookmarkEnd w:id="67"/>
      <w:bookmarkEnd w:id="68"/>
      <w:r>
        <w:rPr>
          <w:noProof/>
        </w:rPr>
        <w:t xml:space="preserve"> </w:t>
      </w:r>
    </w:p>
    <w:p w:rsidR="00046CF8" w:rsidRDefault="00046CF8">
      <w:pPr>
        <w:rPr>
          <w:noProof/>
        </w:rPr>
      </w:pPr>
    </w:p>
    <w:tbl>
      <w:tblPr>
        <w:tblW w:w="0" w:type="auto"/>
        <w:tblLayout w:type="fixed"/>
        <w:tblCellMar>
          <w:left w:w="0" w:type="dxa"/>
          <w:right w:w="0" w:type="dxa"/>
        </w:tblCellMar>
        <w:tblLook w:val="0000" w:firstRow="0" w:lastRow="0" w:firstColumn="0" w:lastColumn="0" w:noHBand="0" w:noVBand="0"/>
      </w:tblPr>
      <w:tblGrid>
        <w:gridCol w:w="2381"/>
        <w:gridCol w:w="7087"/>
      </w:tblGrid>
      <w:tr w:rsidR="00046CF8">
        <w:trPr>
          <w:trHeight w:val="1440"/>
        </w:trPr>
        <w:tc>
          <w:tcPr>
            <w:tcW w:w="2381" w:type="dxa"/>
            <w:tcBorders>
              <w:top w:val="nil"/>
              <w:left w:val="nil"/>
              <w:bottom w:val="nil"/>
              <w:right w:val="nil"/>
            </w:tcBorders>
          </w:tcPr>
          <w:p w:rsidR="00046CF8" w:rsidRDefault="003561C2">
            <w:pPr>
              <w:pStyle w:val="ZCom"/>
              <w:rPr>
                <w:noProof/>
              </w:rPr>
            </w:pPr>
            <w:r>
              <w:rPr>
                <w:noProof/>
                <w:sz w:val="20"/>
                <w:szCs w:val="20"/>
              </w:rPr>
              <w:drawing>
                <wp:inline distT="0" distB="0" distL="0" distR="0">
                  <wp:extent cx="1367790" cy="676910"/>
                  <wp:effectExtent l="0" t="0" r="381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367790" cy="676910"/>
                          </a:xfrm>
                          <a:prstGeom prst="rect">
                            <a:avLst/>
                          </a:prstGeom>
                          <a:noFill/>
                          <a:ln>
                            <a:noFill/>
                          </a:ln>
                        </pic:spPr>
                      </pic:pic>
                    </a:graphicData>
                  </a:graphic>
                </wp:inline>
              </w:drawing>
            </w:r>
          </w:p>
        </w:tc>
        <w:tc>
          <w:tcPr>
            <w:tcW w:w="7087" w:type="dxa"/>
            <w:tcBorders>
              <w:top w:val="nil"/>
              <w:left w:val="nil"/>
              <w:bottom w:val="nil"/>
              <w:right w:val="nil"/>
            </w:tcBorders>
          </w:tcPr>
          <w:p w:rsidR="00046CF8" w:rsidRDefault="003561C2">
            <w:pPr>
              <w:pStyle w:val="ZCom"/>
              <w:spacing w:before="90"/>
              <w:rPr>
                <w:noProof/>
              </w:rPr>
            </w:pPr>
            <w:r>
              <w:rPr>
                <w:noProof/>
              </w:rPr>
              <w:t>EUROPEAN COMMISSION</w:t>
            </w:r>
          </w:p>
          <w:p w:rsidR="00046CF8" w:rsidRDefault="003561C2">
            <w:pPr>
              <w:pStyle w:val="ZDGName"/>
              <w:rPr>
                <w:noProof/>
              </w:rPr>
            </w:pPr>
            <w:r>
              <w:rPr>
                <w:noProof/>
              </w:rPr>
              <w:t>DIRECTORATE-GENERAL FOR MARITIME AFFAIRS AND FISHERIES</w:t>
            </w:r>
          </w:p>
          <w:p w:rsidR="00046CF8" w:rsidRDefault="00046CF8">
            <w:pPr>
              <w:pStyle w:val="ZDGName"/>
              <w:rPr>
                <w:noProof/>
              </w:rPr>
            </w:pPr>
          </w:p>
          <w:p w:rsidR="00046CF8" w:rsidRDefault="00046CF8">
            <w:pPr>
              <w:pStyle w:val="ZDGName"/>
              <w:rPr>
                <w:noProof/>
              </w:rPr>
            </w:pPr>
          </w:p>
          <w:p w:rsidR="00046CF8" w:rsidRDefault="00046CF8">
            <w:pPr>
              <w:pStyle w:val="ZDGName"/>
              <w:rPr>
                <w:noProof/>
              </w:rPr>
            </w:pPr>
          </w:p>
          <w:p w:rsidR="00046CF8" w:rsidRDefault="00046CF8">
            <w:pPr>
              <w:pStyle w:val="ZDGName"/>
              <w:rPr>
                <w:noProof/>
              </w:rPr>
            </w:pPr>
          </w:p>
        </w:tc>
      </w:tr>
    </w:tbl>
    <w:p w:rsidR="00046CF8" w:rsidRDefault="003561C2">
      <w:pPr>
        <w:spacing w:after="120" w:line="240" w:lineRule="auto"/>
        <w:ind w:left="5103"/>
        <w:rPr>
          <w:rFonts w:ascii="Times New Roman" w:hAnsi="Times New Roman" w:cs="Times New Roman"/>
          <w:noProof/>
          <w:sz w:val="24"/>
          <w:szCs w:val="24"/>
        </w:rPr>
      </w:pPr>
      <w:r>
        <w:rPr>
          <w:rFonts w:ascii="Times New Roman" w:hAnsi="Times New Roman" w:cs="Times New Roman"/>
          <w:noProof/>
          <w:sz w:val="24"/>
          <w:szCs w:val="24"/>
        </w:rPr>
        <w:t>Brussels, 5 August, 2015</w:t>
      </w:r>
    </w:p>
    <w:p w:rsidR="00046CF8" w:rsidRDefault="00046CF8">
      <w:pPr>
        <w:spacing w:after="120" w:line="240" w:lineRule="auto"/>
        <w:jc w:val="right"/>
        <w:rPr>
          <w:rFonts w:ascii="Times New Roman" w:hAnsi="Times New Roman" w:cs="Times New Roman"/>
          <w:noProof/>
          <w:sz w:val="24"/>
          <w:szCs w:val="24"/>
        </w:rPr>
      </w:pPr>
    </w:p>
    <w:p w:rsidR="00046CF8" w:rsidRDefault="00046CF8">
      <w:pPr>
        <w:spacing w:after="120" w:line="240" w:lineRule="auto"/>
        <w:jc w:val="right"/>
        <w:rPr>
          <w:rFonts w:ascii="Times New Roman" w:hAnsi="Times New Roman" w:cs="Times New Roman"/>
          <w:noProof/>
          <w:sz w:val="24"/>
          <w:szCs w:val="24"/>
        </w:rPr>
      </w:pPr>
    </w:p>
    <w:p w:rsidR="00046CF8" w:rsidRDefault="003561C2">
      <w:pPr>
        <w:spacing w:after="120" w:line="240" w:lineRule="auto"/>
        <w:jc w:val="center"/>
        <w:rPr>
          <w:rFonts w:ascii="Times New Roman" w:hAnsi="Times New Roman" w:cs="Times New Roman"/>
          <w:b/>
          <w:smallCaps/>
          <w:noProof/>
          <w:sz w:val="28"/>
          <w:szCs w:val="28"/>
        </w:rPr>
      </w:pPr>
      <w:r>
        <w:rPr>
          <w:rFonts w:ascii="Times New Roman" w:hAnsi="Times New Roman" w:cs="Times New Roman"/>
          <w:b/>
          <w:smallCaps/>
          <w:noProof/>
          <w:sz w:val="28"/>
          <w:szCs w:val="28"/>
        </w:rPr>
        <w:t>Report</w:t>
      </w:r>
    </w:p>
    <w:p w:rsidR="00046CF8" w:rsidRDefault="003561C2">
      <w:pPr>
        <w:spacing w:after="12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on the results of the survey on simplification in the EMFF</w:t>
      </w:r>
    </w:p>
    <w:p w:rsidR="00046CF8" w:rsidRDefault="00046CF8">
      <w:pPr>
        <w:spacing w:after="120" w:line="240" w:lineRule="auto"/>
        <w:jc w:val="both"/>
        <w:rPr>
          <w:rFonts w:ascii="Times New Roman" w:hAnsi="Times New Roman" w:cs="Times New Roman"/>
          <w:noProof/>
          <w:sz w:val="24"/>
          <w:szCs w:val="24"/>
        </w:rPr>
      </w:pPr>
    </w:p>
    <w:p w:rsidR="00046CF8" w:rsidRDefault="00046CF8">
      <w:pPr>
        <w:spacing w:after="120" w:line="240" w:lineRule="auto"/>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Introduction</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new regulatory framework as agreed by the co-legislators by May 2014 has been to establish rules that simplify the legal framework, enhance the</w:t>
      </w:r>
      <w:r>
        <w:rPr>
          <w:rFonts w:ascii="Times New Roman" w:hAnsi="Times New Roman" w:cs="Times New Roman"/>
          <w:noProof/>
          <w:sz w:val="24"/>
          <w:szCs w:val="24"/>
        </w:rPr>
        <w:t xml:space="preserve"> principle of proportionality and reduce administrative burden both for beneficiaries and for Member States managing the funds. In addition to the general provisions on the reduction of administrative burden and the application of the principle of proporti</w:t>
      </w:r>
      <w:r>
        <w:rPr>
          <w:rFonts w:ascii="Times New Roman" w:hAnsi="Times New Roman" w:cs="Times New Roman"/>
          <w:noProof/>
          <w:sz w:val="24"/>
          <w:szCs w:val="24"/>
        </w:rPr>
        <w:t>onality, the regulatory framework comprises several concrete simplification measures. Besides simplification which is directly achieved by specific provisions, the new regulatory framework establishes some simplification options which the Member States can</w:t>
      </w:r>
      <w:r>
        <w:rPr>
          <w:rFonts w:ascii="Times New Roman" w:hAnsi="Times New Roman" w:cs="Times New Roman"/>
          <w:noProof/>
          <w:sz w:val="24"/>
          <w:szCs w:val="24"/>
        </w:rPr>
        <w:t xml:space="preserve"> decide to implement.</w:t>
      </w:r>
    </w:p>
    <w:p w:rsidR="00046CF8" w:rsidRDefault="003561C2">
      <w:pPr>
        <w:pStyle w:val="ListParagraph"/>
        <w:spacing w:after="120"/>
        <w:ind w:left="426"/>
        <w:contextualSpacing w:val="0"/>
        <w:jc w:val="both"/>
        <w:rPr>
          <w:rFonts w:ascii="Times New Roman" w:hAnsi="Times New Roman" w:cs="Times New Roman"/>
          <w:bCs/>
          <w:noProof/>
          <w:sz w:val="24"/>
          <w:szCs w:val="24"/>
        </w:rPr>
      </w:pPr>
      <w:r>
        <w:rPr>
          <w:rFonts w:ascii="Times New Roman" w:hAnsi="Times New Roman" w:cs="Times New Roman"/>
          <w:bCs/>
          <w:noProof/>
          <w:sz w:val="24"/>
          <w:szCs w:val="24"/>
        </w:rPr>
        <w:t>In June 2015, when out of the 27 beneficiary Member States</w:t>
      </w:r>
      <w:r>
        <w:rPr>
          <w:rStyle w:val="FootnoteReference"/>
          <w:rFonts w:ascii="Times New Roman" w:hAnsi="Times New Roman" w:cs="Times New Roman"/>
          <w:bCs/>
          <w:noProof/>
          <w:sz w:val="24"/>
          <w:szCs w:val="24"/>
        </w:rPr>
        <w:footnoteReference w:id="87"/>
      </w:r>
      <w:r>
        <w:rPr>
          <w:rFonts w:ascii="Times New Roman" w:hAnsi="Times New Roman" w:cs="Times New Roman"/>
          <w:bCs/>
          <w:noProof/>
          <w:sz w:val="24"/>
          <w:szCs w:val="24"/>
        </w:rPr>
        <w:t xml:space="preserve"> 24 countries have already formally submitted their operational programmes, DG MARE launched a questionnaire on simplification to map up the take-up of those simplification op</w:t>
      </w:r>
      <w:r>
        <w:rPr>
          <w:rFonts w:ascii="Times New Roman" w:hAnsi="Times New Roman" w:cs="Times New Roman"/>
          <w:bCs/>
          <w:noProof/>
          <w:sz w:val="24"/>
          <w:szCs w:val="24"/>
        </w:rPr>
        <w:t>tions provided by the legislative framework, to have an overview on what Member States are planning to do to simplify access to and implementation of funds by beneficiaries and to better understand eventual obstacles they face during this exercise.</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bCs/>
          <w:noProof/>
          <w:sz w:val="24"/>
          <w:szCs w:val="24"/>
        </w:rPr>
        <w:t>This re</w:t>
      </w:r>
      <w:r>
        <w:rPr>
          <w:rFonts w:ascii="Times New Roman" w:hAnsi="Times New Roman" w:cs="Times New Roman"/>
          <w:bCs/>
          <w:noProof/>
          <w:sz w:val="24"/>
          <w:szCs w:val="24"/>
        </w:rPr>
        <w:t>port provides a concise summary and analysis of the replies of Member States to the questionnaire.</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Participation in the survey</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questionnaire was launched via the Commission's EUSurvey application on 22 May 2015 with a 3-week deadline that has been ext</w:t>
      </w:r>
      <w:r>
        <w:rPr>
          <w:rFonts w:ascii="Times New Roman" w:hAnsi="Times New Roman" w:cs="Times New Roman"/>
          <w:noProof/>
          <w:sz w:val="24"/>
          <w:szCs w:val="24"/>
        </w:rPr>
        <w:t>ended once until 26 June 2015 to have a better coverage of Member States.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By that final deadline, altogether 18 completed questionnaires were submitted by the following Member States: BE, CZ, DK, DE, IE, FR, HR, CY, LV, LT, HU, MT, NL, PT, RO, SI, SK and U</w:t>
      </w:r>
      <w:r>
        <w:rPr>
          <w:rFonts w:ascii="Times New Roman" w:hAnsi="Times New Roman" w:cs="Times New Roman"/>
          <w:noProof/>
          <w:sz w:val="24"/>
          <w:szCs w:val="24"/>
        </w:rPr>
        <w:t>K.</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Member States completed the questionnaire represent only 47.65% in terms of the EMFF national allocations under shared management, they cover 62.8% of the population of the EU and more than half of the European Union from fisheries and </w:t>
      </w:r>
      <w:r>
        <w:rPr>
          <w:rFonts w:ascii="Times New Roman" w:hAnsi="Times New Roman" w:cs="Times New Roman"/>
          <w:noProof/>
          <w:sz w:val="24"/>
          <w:szCs w:val="24"/>
        </w:rPr>
        <w:t>aquaculture policy point of view:</w:t>
      </w:r>
    </w:p>
    <w:p w:rsidR="00046CF8" w:rsidRDefault="003561C2">
      <w:pPr>
        <w:pStyle w:val="ListParagraph"/>
        <w:numPr>
          <w:ilvl w:val="0"/>
          <w:numId w:val="37"/>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terms of fisheries fleet capacity (53.46% considering engine power and 55.24% considering vessel tonnage);</w:t>
      </w:r>
    </w:p>
    <w:p w:rsidR="00046CF8" w:rsidRDefault="003561C2">
      <w:pPr>
        <w:pStyle w:val="ListParagraph"/>
        <w:numPr>
          <w:ilvl w:val="0"/>
          <w:numId w:val="37"/>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aquaculture production (51.55% considering the volume of production and 58.7% considering the value </w:t>
      </w:r>
      <w:r>
        <w:rPr>
          <w:rFonts w:ascii="Times New Roman" w:hAnsi="Times New Roman" w:cs="Times New Roman"/>
          <w:noProof/>
          <w:sz w:val="24"/>
          <w:szCs w:val="24"/>
        </w:rPr>
        <w:t>of production).</w:t>
      </w:r>
    </w:p>
    <w:p w:rsidR="00046CF8" w:rsidRDefault="00046CF8">
      <w:pPr>
        <w:spacing w:after="0" w:line="240" w:lineRule="auto"/>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Part I - General behaviour towards simplification</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Member States consider the importance of simplification of access to and implementation of the EMFF quite high (on an average 4.3 and 4.5 on a scale from 0 to 5). There is a slight differen</w:t>
      </w:r>
      <w:r>
        <w:rPr>
          <w:rFonts w:ascii="Times New Roman" w:hAnsi="Times New Roman" w:cs="Times New Roman"/>
          <w:noProof/>
          <w:sz w:val="24"/>
          <w:szCs w:val="24"/>
        </w:rPr>
        <w:t>ce in favour of the implementation that is considered more important. We may assume that this could be explained by the regulatory framework itself: the relatively detailed requirements for Member States concerning information and publicity to the potentia</w:t>
      </w:r>
      <w:r>
        <w:rPr>
          <w:rFonts w:ascii="Times New Roman" w:hAnsi="Times New Roman" w:cs="Times New Roman"/>
          <w:noProof/>
          <w:sz w:val="24"/>
          <w:szCs w:val="24"/>
        </w:rPr>
        <w:t>l beneficiaries as well as the guidance to beneficiaries elaborated by the Commission in accordance with Article 13 of the CPR already provided substantial information for the effective access to the ESI Funds. The realistic self-assessment of Member State</w:t>
      </w:r>
      <w:r>
        <w:rPr>
          <w:rFonts w:ascii="Times New Roman" w:hAnsi="Times New Roman" w:cs="Times New Roman"/>
          <w:noProof/>
          <w:sz w:val="24"/>
          <w:szCs w:val="24"/>
        </w:rPr>
        <w:t>s demonstrates that although the competent authorities at the national level made already efforts for simplification, nevertheless, still there is room for improvement. There was only one Member State (HU) that evaluated its own performance higher than the</w:t>
      </w:r>
      <w:r>
        <w:rPr>
          <w:rFonts w:ascii="Times New Roman" w:hAnsi="Times New Roman" w:cs="Times New Roman"/>
          <w:noProof/>
          <w:sz w:val="24"/>
          <w:szCs w:val="24"/>
        </w:rPr>
        <w:t xml:space="preserve"> importance of simplification.</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Part II – Simplification options specific to the EMFF</w:t>
      </w:r>
    </w:p>
    <w:p w:rsidR="00046CF8" w:rsidRDefault="003561C2">
      <w:pPr>
        <w:spacing w:after="120" w:line="240" w:lineRule="auto"/>
        <w:ind w:left="425"/>
        <w:jc w:val="both"/>
        <w:rPr>
          <w:rFonts w:ascii="Times New Roman" w:hAnsi="Times New Roman" w:cs="Times New Roman"/>
          <w:noProof/>
          <w:sz w:val="24"/>
          <w:szCs w:val="24"/>
        </w:rPr>
      </w:pPr>
      <w:r>
        <w:rPr>
          <w:rFonts w:ascii="Times New Roman" w:hAnsi="Times New Roman" w:cs="Times New Roman"/>
          <w:noProof/>
          <w:sz w:val="24"/>
          <w:szCs w:val="24"/>
        </w:rPr>
        <w:t xml:space="preserve">The EMFF Regulation provides for options for simplification that are very specific for the fund and their implementation is subject to a political choice by the national </w:t>
      </w:r>
      <w:r>
        <w:rPr>
          <w:rFonts w:ascii="Times New Roman" w:hAnsi="Times New Roman" w:cs="Times New Roman"/>
          <w:noProof/>
          <w:sz w:val="24"/>
          <w:szCs w:val="24"/>
        </w:rPr>
        <w:t xml:space="preserve">level competent authorities. </w:t>
      </w:r>
    </w:p>
    <w:p w:rsidR="00046CF8" w:rsidRDefault="00046CF8">
      <w:pPr>
        <w:spacing w:after="0" w:line="240" w:lineRule="auto"/>
        <w:ind w:left="425"/>
        <w:jc w:val="both"/>
        <w:rPr>
          <w:rFonts w:ascii="Times New Roman" w:hAnsi="Times New Roman" w:cs="Times New Roman"/>
          <w:noProof/>
          <w:sz w:val="24"/>
          <w:szCs w:val="24"/>
        </w:rPr>
      </w:pPr>
    </w:p>
    <w:p w:rsidR="00046CF8" w:rsidRDefault="003561C2">
      <w:pPr>
        <w:pStyle w:val="ListParagraph"/>
        <w:numPr>
          <w:ilvl w:val="1"/>
          <w:numId w:val="36"/>
        </w:numPr>
        <w:spacing w:after="120" w:line="240" w:lineRule="auto"/>
        <w:ind w:left="567"/>
        <w:contextualSpacing w:val="0"/>
        <w:jc w:val="both"/>
        <w:rPr>
          <w:rFonts w:ascii="Times New Roman" w:hAnsi="Times New Roman" w:cs="Times New Roman"/>
          <w:b/>
          <w:smallCaps/>
          <w:noProof/>
          <w:sz w:val="24"/>
          <w:szCs w:val="24"/>
        </w:rPr>
      </w:pPr>
      <w:r>
        <w:rPr>
          <w:rFonts w:ascii="Times New Roman" w:hAnsi="Times New Roman" w:cs="Times New Roman"/>
          <w:b/>
          <w:noProof/>
          <w:sz w:val="24"/>
          <w:szCs w:val="24"/>
        </w:rPr>
        <w:t>Accelerated procedure for operations not exceeding 4,000 EUR in certain measures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Articles 27 and 49 of the EMFF Regulation on advisory services in fisheries and aquaculture respectively allow for the establishment of an </w:t>
      </w:r>
      <w:r>
        <w:rPr>
          <w:rFonts w:ascii="Times New Roman" w:hAnsi="Times New Roman" w:cs="Times New Roman"/>
          <w:noProof/>
          <w:sz w:val="24"/>
          <w:szCs w:val="24"/>
        </w:rPr>
        <w:t>accelerated selection procedure for operation where support from the EMFF remains below 4,000 EUR. Given the small size of the operation in terms of financing, the accelerated procedure could be coupled with a more limited volume of the content of the appl</w:t>
      </w:r>
      <w:r>
        <w:rPr>
          <w:rFonts w:ascii="Times New Roman" w:hAnsi="Times New Roman" w:cs="Times New Roman"/>
          <w:noProof/>
          <w:sz w:val="24"/>
          <w:szCs w:val="24"/>
        </w:rPr>
        <w:t>ications. The take-up of these provisions could be beneficial particularly for small beneficiaries (eg. natural persons or SMEs).</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472000" cy="2354400"/>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473034" cy="2354845"/>
                    </a:xfrm>
                    <a:prstGeom prst="rect">
                      <a:avLst/>
                    </a:prstGeom>
                    <a:noFill/>
                  </pic:spPr>
                </pic:pic>
              </a:graphicData>
            </a:graphic>
          </wp:inline>
        </w:drawing>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fisheries, two third of the Member States (FR, HR, IE, LT, PT, RO) that included this measure into their operational pr</w:t>
      </w:r>
      <w:r>
        <w:rPr>
          <w:rFonts w:ascii="Times New Roman" w:hAnsi="Times New Roman" w:cs="Times New Roman"/>
          <w:noProof/>
          <w:sz w:val="24"/>
          <w:szCs w:val="24"/>
        </w:rPr>
        <w:t>ogramme made the choice to establish such accelerated procedures. In aquaculture this ratio is 60% (CY, FR, HR, IE, PT, RO). However, in the current phase of implementation none of them actually established those procedures, therefore we do not have inform</w:t>
      </w:r>
      <w:r>
        <w:rPr>
          <w:rFonts w:ascii="Times New Roman" w:hAnsi="Times New Roman" w:cs="Times New Roman"/>
          <w:noProof/>
          <w:sz w:val="24"/>
          <w:szCs w:val="24"/>
        </w:rPr>
        <w:t>ation yet about the potential extent of simplification within this measure.</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numPr>
          <w:ilvl w:val="1"/>
          <w:numId w:val="36"/>
        </w:numPr>
        <w:spacing w:after="0" w:line="240" w:lineRule="auto"/>
        <w:ind w:left="567"/>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Advance payment to beneficiaries in certain measures</w:t>
      </w:r>
    </w:p>
    <w:p w:rsidR="00046CF8" w:rsidRDefault="003561C2">
      <w:pPr>
        <w:pStyle w:val="ListParagraph"/>
        <w:spacing w:after="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Articles 62 and 66 of the EMFF Regulation allows for the Member States to provide advance payment to the beneficiaries of thes</w:t>
      </w:r>
      <w:r>
        <w:rPr>
          <w:rFonts w:ascii="Times New Roman" w:hAnsi="Times New Roman" w:cs="Times New Roman"/>
          <w:noProof/>
          <w:sz w:val="24"/>
          <w:szCs w:val="24"/>
        </w:rPr>
        <w:t xml:space="preserve">e measures up to 50% of the public support. This could increase the liquidity of the beneficiary and thus facilitate the implementation of respective operations on the ground. </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522400" cy="2260800"/>
            <wp:effectExtent l="0" t="0" r="254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5533441" cy="2265320"/>
                    </a:xfrm>
                    <a:prstGeom prst="rect">
                      <a:avLst/>
                    </a:prstGeom>
                    <a:noFill/>
                  </pic:spPr>
                </pic:pic>
              </a:graphicData>
            </a:graphic>
          </wp:inline>
        </w:drawing>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case of community-led local development (Article 62 of the EMFF), the ad</w:t>
      </w:r>
      <w:r>
        <w:rPr>
          <w:rFonts w:ascii="Times New Roman" w:hAnsi="Times New Roman" w:cs="Times New Roman"/>
          <w:noProof/>
          <w:sz w:val="24"/>
          <w:szCs w:val="24"/>
        </w:rPr>
        <w:t xml:space="preserve">vance payment should not be more than 50% of public support to running cost and animation. So, this indicates that the objective of providing advance payment is clearly the facilitation of the launch of implementation of such operations. The need for that </w:t>
      </w:r>
      <w:r>
        <w:rPr>
          <w:rFonts w:ascii="Times New Roman" w:hAnsi="Times New Roman" w:cs="Times New Roman"/>
          <w:noProof/>
          <w:sz w:val="24"/>
          <w:szCs w:val="24"/>
        </w:rPr>
        <w:t xml:space="preserve">is also justified by the statistics: 83% of the replying Member States (CY, DK, FR, HR, IE, LT, LV, PT, RO, SI) will provide this advance payment to their beneficiaries. </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case of preparation and implementation of Production and Marketing Plans (PMPs), s</w:t>
      </w:r>
      <w:r>
        <w:rPr>
          <w:rFonts w:ascii="Times New Roman" w:hAnsi="Times New Roman" w:cs="Times New Roman"/>
          <w:noProof/>
          <w:sz w:val="24"/>
          <w:szCs w:val="24"/>
        </w:rPr>
        <w:t xml:space="preserve">upport to Producer Organisations (POs) is obligatory in accordance with the policy legislation, and advance payment could help overcoming the gap between the delayed launch of implementation of the EMFF programmes and the continuous activities of the POs. </w:t>
      </w:r>
      <w:r>
        <w:rPr>
          <w:rFonts w:ascii="Times New Roman" w:hAnsi="Times New Roman" w:cs="Times New Roman"/>
          <w:noProof/>
          <w:sz w:val="24"/>
          <w:szCs w:val="24"/>
        </w:rPr>
        <w:t xml:space="preserve">Despite the difficulties, only 57% of the Member States that included this measure into their operational programme (DK, FR, HR, IE, LT, PT, RO, UK) decided to provide advance payment to the Producer Organisations. </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There are several Member States (DK, FR,</w:t>
      </w:r>
      <w:r>
        <w:rPr>
          <w:rFonts w:ascii="Times New Roman" w:hAnsi="Times New Roman" w:cs="Times New Roman"/>
          <w:noProof/>
          <w:sz w:val="24"/>
          <w:szCs w:val="24"/>
        </w:rPr>
        <w:t xml:space="preserve"> LV, SI) that have already put in place provisions at national level to provide the advance payment.</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numPr>
          <w:ilvl w:val="1"/>
          <w:numId w:val="36"/>
        </w:numPr>
        <w:spacing w:after="120" w:line="240" w:lineRule="auto"/>
        <w:ind w:left="567"/>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Special rules of calculation of supporting compensation of mollusc farmers allowing for companies with less than three years of activity (article 55.2)</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w:t>
      </w:r>
      <w:r>
        <w:rPr>
          <w:rFonts w:ascii="Times New Roman" w:hAnsi="Times New Roman" w:cs="Times New Roman"/>
          <w:noProof/>
          <w:sz w:val="24"/>
          <w:szCs w:val="24"/>
        </w:rPr>
        <w:t>e EMFF may support compensation to mollusc farmers for the temporary suspension of harvesting of farmed molluscs, where such suspension occurs for public health reasons. However, one of the conditions of such support is that the threshold of the loss resul</w:t>
      </w:r>
      <w:r>
        <w:rPr>
          <w:rFonts w:ascii="Times New Roman" w:hAnsi="Times New Roman" w:cs="Times New Roman"/>
          <w:noProof/>
          <w:sz w:val="24"/>
          <w:szCs w:val="24"/>
        </w:rPr>
        <w:t xml:space="preserve">ting from the suspension of the harvest should be calculated on the basis of the average turnover of the business over the three calendar years preceding the year in which the suspension was introduced. This implies that only those aquaculture farms could </w:t>
      </w:r>
      <w:r>
        <w:rPr>
          <w:rFonts w:ascii="Times New Roman" w:hAnsi="Times New Roman" w:cs="Times New Roman"/>
          <w:noProof/>
          <w:sz w:val="24"/>
          <w:szCs w:val="24"/>
        </w:rPr>
        <w:t>be eligible that have at least 3 years of record of functioning. However, the EMFF Regulation allows for the Member State to establish special calculation rules in respect of companies with less than three years of activity. This would enable the access to</w:t>
      </w:r>
      <w:r>
        <w:rPr>
          <w:rFonts w:ascii="Times New Roman" w:hAnsi="Times New Roman" w:cs="Times New Roman"/>
          <w:noProof/>
          <w:sz w:val="24"/>
          <w:szCs w:val="24"/>
        </w:rPr>
        <w:t xml:space="preserve"> financing also for relatively newly established companies.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While the use of this measure is relatively low (72% of replying Member States do not finance this measure from the EMFF), only 40% of the Member States (HR, FR) which included this measure into t</w:t>
      </w:r>
      <w:r>
        <w:rPr>
          <w:rFonts w:ascii="Times New Roman" w:hAnsi="Times New Roman" w:cs="Times New Roman"/>
          <w:noProof/>
          <w:sz w:val="24"/>
          <w:szCs w:val="24"/>
        </w:rPr>
        <w:t>heir operational programme opted for establishing this special calculation and ensuring access to funding for a wider range of aquaculture companies.</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numPr>
          <w:ilvl w:val="1"/>
          <w:numId w:val="36"/>
        </w:numPr>
        <w:spacing w:after="120" w:line="240" w:lineRule="auto"/>
        <w:ind w:left="567"/>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 xml:space="preserve">For the purposes of aquaculture stock insurance, establishment of criteria in advance on the basis of </w:t>
      </w:r>
      <w:r>
        <w:rPr>
          <w:rFonts w:ascii="Times New Roman" w:hAnsi="Times New Roman" w:cs="Times New Roman"/>
          <w:b/>
          <w:noProof/>
          <w:sz w:val="24"/>
          <w:szCs w:val="24"/>
        </w:rPr>
        <w:t>which the formal recognition of the occurrence of circumstances listed shall be deemed to be granted (article 57.3)</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EMFF may contribute to an aquaculture stock insurance covering economic losses of aquaculture farmers in case of unforeseen natural disa</w:t>
      </w:r>
      <w:r>
        <w:rPr>
          <w:rFonts w:ascii="Times New Roman" w:hAnsi="Times New Roman" w:cs="Times New Roman"/>
          <w:noProof/>
          <w:sz w:val="24"/>
          <w:szCs w:val="24"/>
        </w:rPr>
        <w:t xml:space="preserve">sters or adverse climatic events, changes in water quality or diseases. The occurrence of such events should be formally recognised by the responsible authorities of the Member State. Nevertheless, the Member State may establish the criteria in advance on </w:t>
      </w:r>
      <w:r>
        <w:rPr>
          <w:rFonts w:ascii="Times New Roman" w:hAnsi="Times New Roman" w:cs="Times New Roman"/>
          <w:noProof/>
          <w:sz w:val="24"/>
          <w:szCs w:val="24"/>
        </w:rPr>
        <w:t>the basis of which formal recognition is deemed to be provided. This arrangement could substantially accelerate the granting of such financing for beneficiaries who are anyway in a difficult situation.</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Only one third of the replying Member States (FR, HR, </w:t>
      </w:r>
      <w:r>
        <w:rPr>
          <w:rFonts w:ascii="Times New Roman" w:hAnsi="Times New Roman" w:cs="Times New Roman"/>
          <w:noProof/>
          <w:sz w:val="24"/>
          <w:szCs w:val="24"/>
        </w:rPr>
        <w:t>IE, LT, PT, RO) included this measure into their operational programme, and out of those half of them (FR, IE, RO) will put in practice this option for simplification.</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Part III – Application of Simplified Cost Options (SCO)</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One of the key features for sim</w:t>
      </w:r>
      <w:r>
        <w:rPr>
          <w:rFonts w:ascii="Times New Roman" w:hAnsi="Times New Roman" w:cs="Times New Roman"/>
          <w:noProof/>
          <w:sz w:val="24"/>
          <w:szCs w:val="24"/>
        </w:rPr>
        <w:t>plification in the 2014-2020 is that based on the previous experiences in cohesion policy the possibility of using the Simplified Cos Options (SCOs) has been extended to the EMFF as well. Without the risk of increasing the error rate, SCOs could substantia</w:t>
      </w:r>
      <w:r>
        <w:rPr>
          <w:rFonts w:ascii="Times New Roman" w:hAnsi="Times New Roman" w:cs="Times New Roman"/>
          <w:noProof/>
          <w:sz w:val="24"/>
          <w:szCs w:val="24"/>
        </w:rPr>
        <w:t xml:space="preserve">lly accelerate reimbursement procedures while they reduce the administrative burden of the beneficiary, for instance in relation to the retention of documents. </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Despite all of those advantages, only slightly more than 50 % of the replying Member States pla</w:t>
      </w:r>
      <w:r>
        <w:rPr>
          <w:rFonts w:ascii="Times New Roman" w:hAnsi="Times New Roman" w:cs="Times New Roman"/>
          <w:noProof/>
          <w:sz w:val="24"/>
          <w:szCs w:val="24"/>
        </w:rPr>
        <w:t>n to use the SCOs in the context of the EMFF.</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584700" cy="2755900"/>
            <wp:effectExtent l="0" t="0" r="635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Among those Member States who do not plan to establish SCOs at all (BE, CY, CZ, HU, LT, LV, PT, SK) or will establish those only on a very limited scale (DE, FR, NL, RO, SI) – alleged obstacles or difficul</w:t>
      </w:r>
      <w:r>
        <w:rPr>
          <w:rFonts w:ascii="Times New Roman" w:hAnsi="Times New Roman" w:cs="Times New Roman"/>
          <w:noProof/>
          <w:sz w:val="24"/>
          <w:szCs w:val="24"/>
        </w:rPr>
        <w:t>ties that could justify their position were as follows:</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027715" cy="368118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4037442" cy="3690073"/>
                    </a:xfrm>
                    <a:prstGeom prst="rect">
                      <a:avLst/>
                    </a:prstGeom>
                    <a:noFill/>
                  </pic:spPr>
                </pic:pic>
              </a:graphicData>
            </a:graphic>
          </wp:inline>
        </w:drawing>
      </w:r>
    </w:p>
    <w:p w:rsidR="00046CF8" w:rsidRDefault="003561C2">
      <w:pPr>
        <w:pStyle w:val="ListParagraph"/>
        <w:spacing w:after="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numbers following the indication of a particular difficulty indicate the number of MS that referred to it, whereas multiple replies were possible.)</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While we believe that there needs to be a c</w:t>
      </w:r>
      <w:r>
        <w:rPr>
          <w:rFonts w:ascii="Times New Roman" w:hAnsi="Times New Roman" w:cs="Times New Roman"/>
          <w:noProof/>
          <w:sz w:val="24"/>
          <w:szCs w:val="24"/>
        </w:rPr>
        <w:t>ritical mass in place for the effective use of the SCOs, there seems to be no correlation between the policy choice made in relation to the use of the SCOs and the relative share of allocation within the EMFF.</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Article 67(1)(b)-(d) of the CPR defines the d</w:t>
      </w:r>
      <w:r>
        <w:rPr>
          <w:rFonts w:ascii="Times New Roman" w:hAnsi="Times New Roman" w:cs="Times New Roman"/>
          <w:noProof/>
          <w:sz w:val="24"/>
          <w:szCs w:val="24"/>
        </w:rPr>
        <w:t>ifferent types of SCOs available in the context of the EMFF. Member States that want to fully exploit the potential of SCOs (DK, HR, IE, MT, UK) or to use them at least on a limited scale, made the following choices as regards the different types of SCOs: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661944" cy="2165793"/>
            <wp:effectExtent l="0" t="0" r="5715"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4661449" cy="2165563"/>
                    </a:xfrm>
                    <a:prstGeom prst="rect">
                      <a:avLst/>
                    </a:prstGeom>
                    <a:noFill/>
                  </pic:spPr>
                </pic:pic>
              </a:graphicData>
            </a:graphic>
          </wp:inline>
        </w:drawing>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While the expectations towards SCOs are high, none of the Member States has previous experiences with SCOs in the period of 2007-2013 and only one of them (NL) has already established the methodology. In the remaining 9 Member States the elaboration of m</w:t>
      </w:r>
      <w:r>
        <w:rPr>
          <w:rFonts w:ascii="Times New Roman" w:hAnsi="Times New Roman" w:cs="Times New Roman"/>
          <w:noProof/>
          <w:sz w:val="24"/>
          <w:szCs w:val="24"/>
        </w:rPr>
        <w:t>ethodologies is in progress.</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Article 67 of the CPR allows for different methodologies along which lump sums or standard scales of unit cost (SSUC) may be established. The choices for different options by Member States are as follows (multiple replies were</w:t>
      </w:r>
      <w:r>
        <w:rPr>
          <w:rFonts w:ascii="Times New Roman" w:hAnsi="Times New Roman" w:cs="Times New Roman"/>
          <w:noProof/>
          <w:sz w:val="24"/>
          <w:szCs w:val="24"/>
        </w:rPr>
        <w:t xml:space="preserve"> allowed):</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211115" cy="2213752"/>
            <wp:effectExtent l="0" t="0" r="889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213396" cy="2214721"/>
                    </a:xfrm>
                    <a:prstGeom prst="rect">
                      <a:avLst/>
                    </a:prstGeom>
                    <a:noFill/>
                  </pic:spPr>
                </pic:pic>
              </a:graphicData>
            </a:graphic>
          </wp:inline>
        </w:drawing>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For both, lump sums and SSUC, the majority of the Member States (55% for lump sums, 64% for SSUC) decided to apply the fair, equitable and verifiable calculation method. Reusing SCOs applicable in other Union policies or those funded entirel</w:t>
      </w:r>
      <w:r>
        <w:rPr>
          <w:rFonts w:ascii="Times New Roman" w:hAnsi="Times New Roman" w:cs="Times New Roman"/>
          <w:noProof/>
          <w:sz w:val="24"/>
          <w:szCs w:val="24"/>
        </w:rPr>
        <w:t>y by the Member State itself were not so popular. This might be probably due to the lack of knowledge of SCOs in other policies or the lack of SCOs financed entirely from national resources.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regards flat rates, Article 68 of the CPR provides for differe</w:t>
      </w:r>
      <w:r>
        <w:rPr>
          <w:rFonts w:ascii="Times New Roman" w:hAnsi="Times New Roman" w:cs="Times New Roman"/>
          <w:noProof/>
          <w:sz w:val="24"/>
          <w:szCs w:val="24"/>
        </w:rPr>
        <w:t>nt methods of flat rates for financing indirect costs. Out of those methodologies</w:t>
      </w:r>
    </w:p>
    <w:p w:rsidR="00046CF8" w:rsidRDefault="003561C2">
      <w:pPr>
        <w:pStyle w:val="ListParagraph"/>
        <w:numPr>
          <w:ilvl w:val="0"/>
          <w:numId w:val="41"/>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4 Member States (DK, IE, MT, UK) will use the flat rate of up to 25% of eligible direct costs pursuant to paragraph (1)(a) of Article 68 of the CPR; and</w:t>
      </w:r>
    </w:p>
    <w:p w:rsidR="00046CF8" w:rsidRDefault="003561C2">
      <w:pPr>
        <w:pStyle w:val="ListParagraph"/>
        <w:numPr>
          <w:ilvl w:val="0"/>
          <w:numId w:val="41"/>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4 Member States (DE, </w:t>
      </w:r>
      <w:r>
        <w:rPr>
          <w:rFonts w:ascii="Times New Roman" w:hAnsi="Times New Roman" w:cs="Times New Roman"/>
          <w:noProof/>
          <w:sz w:val="24"/>
          <w:szCs w:val="24"/>
        </w:rPr>
        <w:t>HR, IE, NL) will apply the flat rate up to 15% of eligible direct staff costs pursuant to paragraph (1)(b) of Article 68 of the CPR.</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regards the intervention logic within the EMFF, establishment of SCOs will benefit the following Union priorities and m</w:t>
      </w:r>
      <w:r>
        <w:rPr>
          <w:rFonts w:ascii="Times New Roman" w:hAnsi="Times New Roman" w:cs="Times New Roman"/>
          <w:noProof/>
          <w:sz w:val="24"/>
          <w:szCs w:val="24"/>
        </w:rPr>
        <w:t>easures the most:</w:t>
      </w:r>
    </w:p>
    <w:p w:rsidR="00046CF8" w:rsidRDefault="003561C2">
      <w:pPr>
        <w:pStyle w:val="ListParagraph"/>
        <w:numPr>
          <w:ilvl w:val="0"/>
          <w:numId w:val="42"/>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at the level of Union priorities:</w:t>
      </w:r>
    </w:p>
    <w:p w:rsidR="00046CF8" w:rsidRDefault="003561C2">
      <w:pPr>
        <w:pStyle w:val="ListParagraph"/>
        <w:numPr>
          <w:ilvl w:val="1"/>
          <w:numId w:val="42"/>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highest ratio of application of SCOs (70% of Member States using SCOs) is for the Union priority on "Fostering environmentally sustainable, resource efficient, innovative, competitive and knowledge ba</w:t>
      </w:r>
      <w:r>
        <w:rPr>
          <w:rFonts w:ascii="Times New Roman" w:hAnsi="Times New Roman" w:cs="Times New Roman"/>
          <w:noProof/>
          <w:sz w:val="24"/>
          <w:szCs w:val="24"/>
        </w:rPr>
        <w:t xml:space="preserve">sed aquaculture". </w:t>
      </w:r>
    </w:p>
    <w:p w:rsidR="00046CF8" w:rsidRDefault="003561C2">
      <w:pPr>
        <w:pStyle w:val="ListParagraph"/>
        <w:numPr>
          <w:ilvl w:val="1"/>
          <w:numId w:val="42"/>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More than half (60%) of the Member States that wish to make use of the SCOs, will apply them for the Union priorities on "Promoting environmentally sustainable, resource efficient, innovative, competitive and knowledge based fisheries" a</w:t>
      </w:r>
      <w:r>
        <w:rPr>
          <w:rFonts w:ascii="Times New Roman" w:hAnsi="Times New Roman" w:cs="Times New Roman"/>
          <w:noProof/>
          <w:sz w:val="24"/>
          <w:szCs w:val="24"/>
        </w:rPr>
        <w:t>nd "Fostering the implementation of the CFP";</w:t>
      </w:r>
    </w:p>
    <w:p w:rsidR="00046CF8" w:rsidRDefault="003561C2">
      <w:pPr>
        <w:pStyle w:val="ListParagraph"/>
        <w:numPr>
          <w:ilvl w:val="1"/>
          <w:numId w:val="42"/>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case of the Union priority on "Fostering the implementation of the Integrated Maritime Policy" as well as for technical assistance, the use of SCOs shows the lowest rate (3 out of 10 Member States);</w:t>
      </w:r>
    </w:p>
    <w:p w:rsidR="00046CF8" w:rsidRDefault="003561C2">
      <w:pPr>
        <w:pStyle w:val="ListParagraph"/>
        <w:numPr>
          <w:ilvl w:val="0"/>
          <w:numId w:val="42"/>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at the l</w:t>
      </w:r>
      <w:r>
        <w:rPr>
          <w:rFonts w:ascii="Times New Roman" w:hAnsi="Times New Roman" w:cs="Times New Roman"/>
          <w:noProof/>
          <w:sz w:val="24"/>
          <w:szCs w:val="24"/>
        </w:rPr>
        <w:t>evel of measures:</w:t>
      </w:r>
    </w:p>
    <w:p w:rsidR="00046CF8" w:rsidRDefault="003561C2">
      <w:pPr>
        <w:pStyle w:val="ListParagraph"/>
        <w:numPr>
          <w:ilvl w:val="1"/>
          <w:numId w:val="42"/>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use of SCOs among the measures is fairly balanced, there is no measure that would be particularly preferred in the context of the SCOs. For each measures, on an average 2-3 Member States will apply SCOs. The only exceptions from this </w:t>
      </w:r>
      <w:r>
        <w:rPr>
          <w:rFonts w:ascii="Times New Roman" w:hAnsi="Times New Roman" w:cs="Times New Roman"/>
          <w:noProof/>
          <w:sz w:val="24"/>
          <w:szCs w:val="24"/>
        </w:rPr>
        <w:t>general observation are the two measures in Union priority 3 ("Fostering the implementation of the CFP"): Data collection and Control and enforcement. Here, more than half (6 out of 10) of the Member States wish to establish SCOs.</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There seems to be only a</w:t>
      </w:r>
      <w:r>
        <w:rPr>
          <w:rFonts w:ascii="Times New Roman" w:hAnsi="Times New Roman" w:cs="Times New Roman"/>
          <w:noProof/>
          <w:sz w:val="24"/>
          <w:szCs w:val="24"/>
        </w:rPr>
        <w:t xml:space="preserve"> very limited differentiation in the use of SCOs when considering the beneficiaries of such schemes: </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320000" cy="2657624"/>
            <wp:effectExtent l="0" t="0" r="444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4322173" cy="2658961"/>
                    </a:xfrm>
                    <a:prstGeom prst="rect">
                      <a:avLst/>
                    </a:prstGeom>
                    <a:noFill/>
                  </pic:spPr>
                </pic:pic>
              </a:graphicData>
            </a:graphic>
          </wp:inline>
        </w:drawing>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the 10 Member States that plans to put in practice SCOs in the context of the EMFF, the biggest beneficiaries of such schemes seem to be SMEs and p</w:t>
      </w:r>
      <w:r>
        <w:rPr>
          <w:rFonts w:ascii="Times New Roman" w:hAnsi="Times New Roman" w:cs="Times New Roman"/>
          <w:noProof/>
          <w:sz w:val="24"/>
          <w:szCs w:val="24"/>
        </w:rPr>
        <w:t>ublic bodies, while surprisingly natural persons (fishermen) are granted with this possibility on a somewhat lower scale.</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Part IV – E-cohesion</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cohesion policy, all communication between the beneficiaries and the competent authorities taking part in the</w:t>
      </w:r>
      <w:r>
        <w:rPr>
          <w:rFonts w:ascii="Times New Roman" w:hAnsi="Times New Roman" w:cs="Times New Roman"/>
          <w:noProof/>
          <w:sz w:val="24"/>
          <w:szCs w:val="24"/>
        </w:rPr>
        <w:t xml:space="preserve"> implementation of the Funds is carried out by means of electronic data exchange systems (this provision is labelled as "e-cohesion"). Member States should establish the necessary technical environment and enable such communication by the end of 2015.</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c</w:t>
      </w:r>
      <w:r>
        <w:rPr>
          <w:rFonts w:ascii="Times New Roman" w:hAnsi="Times New Roman" w:cs="Times New Roman"/>
          <w:noProof/>
          <w:sz w:val="24"/>
          <w:szCs w:val="24"/>
        </w:rPr>
        <w:t xml:space="preserve">ase of the EMFF, the provisions concerning "e-cohesion" do not apply. Nevertheless, several Member States plan to apply or introduce it for the period 2014-2020 on a voluntary basis. Only about 11% of the replying Member States indicated not making use of </w:t>
      </w:r>
      <w:r>
        <w:rPr>
          <w:rFonts w:ascii="Times New Roman" w:hAnsi="Times New Roman" w:cs="Times New Roman"/>
          <w:noProof/>
          <w:sz w:val="24"/>
          <w:szCs w:val="24"/>
        </w:rPr>
        <w:t>the benefits of such a paperless management and communication system.</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158028" cy="257802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4160767" cy="2579727"/>
                    </a:xfrm>
                    <a:prstGeom prst="rect">
                      <a:avLst/>
                    </a:prstGeom>
                    <a:noFill/>
                  </pic:spPr>
                </pic:pic>
              </a:graphicData>
            </a:graphic>
          </wp:inline>
        </w:drawing>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Around one fifth of the Member States (CZ, FR, LV, MT) already had in place this data exchange system in the previous period and the same amount of Member States (IE, NL, SI, UK) </w:t>
      </w:r>
      <w:r>
        <w:rPr>
          <w:rFonts w:ascii="Times New Roman" w:hAnsi="Times New Roman" w:cs="Times New Roman"/>
          <w:noProof/>
          <w:sz w:val="24"/>
          <w:szCs w:val="24"/>
        </w:rPr>
        <w:t>will newly establish fully fledged data exchange system for the purposes of the EMFF. Almost half of the Member States (BE, CY, DK, HR, HU, LT, PT, SK) will only apply paperless communication system only partly (in most of the cases only for the project ap</w:t>
      </w:r>
      <w:r>
        <w:rPr>
          <w:rFonts w:ascii="Times New Roman" w:hAnsi="Times New Roman" w:cs="Times New Roman"/>
          <w:noProof/>
          <w:sz w:val="24"/>
          <w:szCs w:val="24"/>
        </w:rPr>
        <w:t>plication and appraisal process).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Member States (DE and RO) that decided not to establish such information systems referred to either their federal system of public administration (DE) as an obstacle or the lack of financial resources (RO).</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Part V – Stati</w:t>
      </w:r>
      <w:r>
        <w:rPr>
          <w:rFonts w:ascii="Times New Roman" w:hAnsi="Times New Roman" w:cs="Times New Roman"/>
          <w:b/>
          <w:smallCaps/>
          <w:noProof/>
          <w:sz w:val="24"/>
          <w:szCs w:val="24"/>
        </w:rPr>
        <w:t>stics on procedures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survey also aimed at collecting certain baseline data of administrative burden on different types of beneficiaries in certain procedures at the national level or lower. Due to the very early stage of implementation of EMFF programme</w:t>
      </w:r>
      <w:r>
        <w:rPr>
          <w:rFonts w:ascii="Times New Roman" w:hAnsi="Times New Roman" w:cs="Times New Roman"/>
          <w:noProof/>
          <w:sz w:val="24"/>
          <w:szCs w:val="24"/>
        </w:rPr>
        <w:t>s, these data are mostly based on experiences in the 2007-2013 period.</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i/>
          <w:noProof/>
          <w:sz w:val="24"/>
          <w:szCs w:val="24"/>
        </w:rPr>
        <w:t>average volume of project applications</w:t>
      </w:r>
      <w:r>
        <w:rPr>
          <w:rFonts w:ascii="Times New Roman" w:hAnsi="Times New Roman" w:cs="Times New Roman"/>
          <w:noProof/>
          <w:sz w:val="24"/>
          <w:szCs w:val="24"/>
        </w:rPr>
        <w:t xml:space="preserve"> vary between 15 and 35 pages, but within this range clearly SMEs need to prepare the most extensive documentation for accessing funds. The ave</w:t>
      </w:r>
      <w:r>
        <w:rPr>
          <w:rFonts w:ascii="Times New Roman" w:hAnsi="Times New Roman" w:cs="Times New Roman"/>
          <w:noProof/>
          <w:sz w:val="24"/>
          <w:szCs w:val="24"/>
        </w:rPr>
        <w:t>rage volume of project application by SMEs is 33.5% more than for natural persons that are in the most advantageous situation, but also 17% more compared to Producer Organisations that are in the second worst position. While the SMEs are in a clearly disad</w:t>
      </w:r>
      <w:r>
        <w:rPr>
          <w:rFonts w:ascii="Times New Roman" w:hAnsi="Times New Roman" w:cs="Times New Roman"/>
          <w:noProof/>
          <w:sz w:val="24"/>
          <w:szCs w:val="24"/>
        </w:rPr>
        <w:t>vantaged situation, for the other types of beneficiaries the volume of applications is more balanced.</w:t>
      </w:r>
    </w:p>
    <w:p w:rsidR="00046CF8" w:rsidRDefault="003561C2">
      <w:pPr>
        <w:pStyle w:val="ListParagraph"/>
        <w:spacing w:after="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These averages, nevertheless, cover wide ranges of replies. Most of the replies placed the average volume of application between 10 and 50 pages, for each</w:t>
      </w:r>
      <w:r>
        <w:rPr>
          <w:rFonts w:ascii="Times New Roman" w:hAnsi="Times New Roman" w:cs="Times New Roman"/>
          <w:noProof/>
          <w:sz w:val="24"/>
          <w:szCs w:val="24"/>
        </w:rPr>
        <w:t xml:space="preserve"> type of beneficiaries there was at least one Member State where the average volume of a project application is over 100 pages.</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spacing w:after="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 similar tendency can be observed as regards the </w:t>
      </w:r>
      <w:r>
        <w:rPr>
          <w:rFonts w:ascii="Times New Roman" w:hAnsi="Times New Roman" w:cs="Times New Roman"/>
          <w:b/>
          <w:i/>
          <w:noProof/>
          <w:sz w:val="24"/>
          <w:szCs w:val="24"/>
        </w:rPr>
        <w:t>average period of time needed for the appraisal of the applications</w:t>
      </w:r>
      <w:r>
        <w:rPr>
          <w:rFonts w:ascii="Times New Roman" w:hAnsi="Times New Roman" w:cs="Times New Roman"/>
          <w:noProof/>
          <w:sz w:val="24"/>
          <w:szCs w:val="24"/>
        </w:rPr>
        <w:t xml:space="preserve"> (ie. from</w:t>
      </w:r>
      <w:r>
        <w:rPr>
          <w:rFonts w:ascii="Times New Roman" w:hAnsi="Times New Roman" w:cs="Times New Roman"/>
          <w:noProof/>
          <w:sz w:val="24"/>
          <w:szCs w:val="24"/>
        </w:rPr>
        <w:t xml:space="preserve"> the moment of submission of project application until the decision is made by the Managing Authority).</w:t>
      </w:r>
    </w:p>
    <w:p w:rsidR="00046CF8" w:rsidRDefault="00046CF8">
      <w:pPr>
        <w:spacing w:after="120"/>
        <w:jc w:val="both"/>
        <w:rPr>
          <w:rFonts w:ascii="Times New Roman" w:hAnsi="Times New Roman" w:cs="Times New Roman"/>
          <w:noProof/>
          <w:sz w:val="24"/>
          <w:szCs w:val="24"/>
        </w:rPr>
      </w:pPr>
    </w:p>
    <w:p w:rsidR="00046CF8" w:rsidRDefault="003561C2">
      <w:pPr>
        <w:pStyle w:val="ListParagraph"/>
        <w:spacing w:after="60"/>
        <w:ind w:left="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SMEs need to wait for the longest period of time to receive information on the official decision of the Managing Authority on their project application</w:t>
      </w:r>
      <w:r>
        <w:rPr>
          <w:rFonts w:ascii="Times New Roman" w:hAnsi="Times New Roman" w:cs="Times New Roman"/>
          <w:noProof/>
          <w:sz w:val="24"/>
          <w:szCs w:val="24"/>
        </w:rPr>
        <w:t>s. On an average, project appraisal for operations where the beneficiary is a SME takes 16.5% longer than in case of natural persons, 13.4% longer than in case of Producer Organisations and 10% longer than in case of public beneficiaries.</w:t>
      </w:r>
    </w:p>
    <w:p w:rsidR="00046CF8" w:rsidRDefault="003561C2">
      <w:pPr>
        <w:pStyle w:val="ListParagraph"/>
        <w:spacing w:after="60"/>
        <w:ind w:left="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Within the limits</w:t>
      </w:r>
      <w:r>
        <w:rPr>
          <w:rFonts w:ascii="Times New Roman" w:hAnsi="Times New Roman" w:cs="Times New Roman"/>
          <w:noProof/>
          <w:sz w:val="24"/>
          <w:szCs w:val="24"/>
        </w:rPr>
        <w:t xml:space="preserve"> set by the averages, most of the member States assumed the average time period needed for the appraisal of project applications between 15 and 90 working days. Nevertheless, in case of public bodies and Producer Organisations, there are two member States </w:t>
      </w:r>
      <w:r>
        <w:rPr>
          <w:rFonts w:ascii="Times New Roman" w:hAnsi="Times New Roman" w:cs="Times New Roman"/>
          <w:noProof/>
          <w:sz w:val="24"/>
          <w:szCs w:val="24"/>
        </w:rPr>
        <w:t>where this procedure takes more than 120 working days. In one Member State the same refer to SMEs as well.</w:t>
      </w:r>
    </w:p>
    <w:p w:rsidR="00046CF8" w:rsidRDefault="003561C2">
      <w:pPr>
        <w:pStyle w:val="ListParagraph"/>
        <w:spacing w:after="60"/>
        <w:ind w:left="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relative position of the different types of beneficiaries is only slightly different in case of </w:t>
      </w:r>
      <w:r>
        <w:rPr>
          <w:rFonts w:ascii="Times New Roman" w:hAnsi="Times New Roman" w:cs="Times New Roman"/>
          <w:b/>
          <w:i/>
          <w:noProof/>
          <w:sz w:val="24"/>
          <w:szCs w:val="24"/>
        </w:rPr>
        <w:t>reimbursement to beneficiaries</w:t>
      </w:r>
      <w:r>
        <w:rPr>
          <w:rFonts w:ascii="Times New Roman" w:hAnsi="Times New Roman" w:cs="Times New Roman"/>
          <w:noProof/>
          <w:sz w:val="24"/>
          <w:szCs w:val="24"/>
        </w:rPr>
        <w:t xml:space="preserve"> (ie. observing the</w:t>
      </w:r>
      <w:r>
        <w:rPr>
          <w:rFonts w:ascii="Times New Roman" w:hAnsi="Times New Roman" w:cs="Times New Roman"/>
          <w:noProof/>
          <w:sz w:val="24"/>
          <w:szCs w:val="24"/>
        </w:rPr>
        <w:t xml:space="preserve"> average length of period of time from submission of a payment claim by the beneficiary to the actual payment to the same beneficiary). </w:t>
      </w:r>
    </w:p>
    <w:p w:rsidR="00046CF8" w:rsidRDefault="00046CF8">
      <w:pPr>
        <w:pStyle w:val="ListParagraph"/>
        <w:spacing w:after="0"/>
        <w:ind w:left="425"/>
        <w:contextualSpacing w:val="0"/>
        <w:jc w:val="both"/>
        <w:rPr>
          <w:rFonts w:ascii="Times New Roman" w:hAnsi="Times New Roman" w:cs="Times New Roman"/>
          <w:noProof/>
          <w:sz w:val="24"/>
          <w:szCs w:val="24"/>
        </w:rPr>
      </w:pP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420800" cy="3075687"/>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4429812" cy="3081957"/>
                    </a:xfrm>
                    <a:prstGeom prst="rect">
                      <a:avLst/>
                    </a:prstGeom>
                    <a:noFill/>
                  </pic:spPr>
                </pic:pic>
              </a:graphicData>
            </a:graphic>
          </wp:inline>
        </w:drawing>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Here, public bodies and SMEs share the most disadvantaged situation of having longest average period of time (appr. </w:t>
      </w:r>
      <w:r>
        <w:rPr>
          <w:rFonts w:ascii="Times New Roman" w:hAnsi="Times New Roman" w:cs="Times New Roman"/>
          <w:noProof/>
          <w:sz w:val="24"/>
          <w:szCs w:val="24"/>
        </w:rPr>
        <w:t>48.5 working days) waiting for their costs to be reimbursed. Nevertheless, this is still substantially less than the legal obligation set by the Common Provisions Regulation for the 2014-2020 period.</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Article 132(1) of the CPR sets out that the Managing Aut</w:t>
      </w:r>
      <w:r>
        <w:rPr>
          <w:rFonts w:ascii="Times New Roman" w:hAnsi="Times New Roman" w:cs="Times New Roman"/>
          <w:noProof/>
          <w:sz w:val="24"/>
          <w:szCs w:val="24"/>
        </w:rPr>
        <w:t>hority should ensure that the beneficiary receives the total amount of eligible public expenditure no later than 90 days from the date of submission of the payment claim by the beneficiary.</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Seven Member States (CZ, DK, HR, LV, MT, NL, UK) representing almo</w:t>
      </w:r>
      <w:r>
        <w:rPr>
          <w:rFonts w:ascii="Times New Roman" w:hAnsi="Times New Roman" w:cs="Times New Roman"/>
          <w:noProof/>
          <w:sz w:val="24"/>
          <w:szCs w:val="24"/>
        </w:rPr>
        <w:t>st 40% of those who replied to the questionnaire apply – on a voluntary basis – a shorter deadline for payments to beneficiaries. These shorter deadlines vary from 15 days (MT) to 60 working days (HR), but more than one Member State applies the deadline of</w:t>
      </w:r>
      <w:r>
        <w:rPr>
          <w:rFonts w:ascii="Times New Roman" w:hAnsi="Times New Roman" w:cs="Times New Roman"/>
          <w:noProof/>
          <w:sz w:val="24"/>
          <w:szCs w:val="24"/>
        </w:rPr>
        <w:t xml:space="preserve"> 30 days as well as of 60 days.</w:t>
      </w:r>
    </w:p>
    <w:p w:rsidR="00046CF8" w:rsidRDefault="00046CF8">
      <w:pPr>
        <w:pStyle w:val="ListParagraph"/>
        <w:spacing w:after="0"/>
        <w:ind w:left="426"/>
        <w:contextualSpacing w:val="0"/>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Other initiatives and proposals of Member States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questionnaire allowed the Member States to present any further initiative they will take during the 2014-2020 period to simplify access to and implementation of the EMFF </w:t>
      </w:r>
      <w:r>
        <w:rPr>
          <w:rFonts w:ascii="Times New Roman" w:hAnsi="Times New Roman" w:cs="Times New Roman"/>
          <w:noProof/>
          <w:sz w:val="24"/>
          <w:szCs w:val="24"/>
        </w:rPr>
        <w:t xml:space="preserve">for beneficiaries as well as to share with the Commission any further areas where there is a legal obstacle at EU level that hinders the simplification at national or regional level. </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Nevertheless, only very few Member States (DE, FR, NL, PT and UK) used t</w:t>
      </w:r>
      <w:r>
        <w:rPr>
          <w:rFonts w:ascii="Times New Roman" w:hAnsi="Times New Roman" w:cs="Times New Roman"/>
          <w:noProof/>
          <w:sz w:val="24"/>
          <w:szCs w:val="24"/>
        </w:rPr>
        <w:t>his opportunity. Only two Member States (UK) indicated that they have own initiatives for simplification beyond the options provided by the legislative framework. These own initiatives include:</w:t>
      </w:r>
    </w:p>
    <w:p w:rsidR="00046CF8" w:rsidRDefault="003561C2">
      <w:pPr>
        <w:pStyle w:val="ListParagraph"/>
        <w:numPr>
          <w:ilvl w:val="0"/>
          <w:numId w:val="39"/>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the application process beneficiaries are not required to s</w:t>
      </w:r>
      <w:r>
        <w:rPr>
          <w:rFonts w:ascii="Times New Roman" w:hAnsi="Times New Roman" w:cs="Times New Roman"/>
          <w:noProof/>
          <w:sz w:val="24"/>
          <w:szCs w:val="24"/>
        </w:rPr>
        <w:t>ubmit any documentation that is already registered anywhere in the public administration;</w:t>
      </w:r>
    </w:p>
    <w:p w:rsidR="00046CF8" w:rsidRDefault="003561C2">
      <w:pPr>
        <w:pStyle w:val="ListParagraph"/>
        <w:numPr>
          <w:ilvl w:val="0"/>
          <w:numId w:val="39"/>
        </w:numPr>
        <w:spacing w:after="0" w:line="240" w:lineRule="auto"/>
        <w:ind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accelerated procedures in the appraisal of applications by the means of</w:t>
      </w:r>
    </w:p>
    <w:p w:rsidR="00046CF8" w:rsidRDefault="003561C2">
      <w:pPr>
        <w:pStyle w:val="ListParagraph"/>
        <w:numPr>
          <w:ilvl w:val="1"/>
          <w:numId w:val="39"/>
        </w:numPr>
        <w:spacing w:after="0" w:line="240" w:lineRule="auto"/>
        <w:ind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expression of interest only;</w:t>
      </w:r>
    </w:p>
    <w:p w:rsidR="00046CF8" w:rsidRDefault="003561C2">
      <w:pPr>
        <w:pStyle w:val="ListParagraph"/>
        <w:numPr>
          <w:ilvl w:val="1"/>
          <w:numId w:val="39"/>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panel assessment for operations above 100,000 EUR.</w:t>
      </w:r>
    </w:p>
    <w:p w:rsidR="00046CF8" w:rsidRDefault="003561C2">
      <w:pPr>
        <w:pStyle w:val="ListParagraph"/>
        <w:numPr>
          <w:ilvl w:val="0"/>
          <w:numId w:val="39"/>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establishm</w:t>
      </w:r>
      <w:r>
        <w:rPr>
          <w:rFonts w:ascii="Times New Roman" w:hAnsi="Times New Roman" w:cs="Times New Roman"/>
          <w:noProof/>
          <w:sz w:val="24"/>
          <w:szCs w:val="24"/>
        </w:rPr>
        <w:t>ent and functioning of an intuitive e-system (including contact details and helpdesk) that allows for tailoring of questions.</w:t>
      </w:r>
    </w:p>
    <w:p w:rsidR="00046CF8" w:rsidRDefault="003561C2">
      <w:pPr>
        <w:spacing w:after="12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Among the obstacles hindering the simplification for beneficiaries the followings were mentioned: </w:t>
      </w:r>
    </w:p>
    <w:p w:rsidR="00046CF8" w:rsidRDefault="003561C2">
      <w:pPr>
        <w:pStyle w:val="ListParagraph"/>
        <w:numPr>
          <w:ilvl w:val="0"/>
          <w:numId w:val="40"/>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Ambiguities and complexity in the EMFF Regulation may lead to problems of accountability; </w:t>
      </w:r>
    </w:p>
    <w:p w:rsidR="00046CF8" w:rsidRDefault="003561C2">
      <w:pPr>
        <w:pStyle w:val="ListParagraph"/>
        <w:numPr>
          <w:ilvl w:val="0"/>
          <w:numId w:val="40"/>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general, the origin of complexity and administrative burden for beneficiaries lies in the increased obligations of competent authorities implementing the EMFF </w:t>
      </w:r>
      <w:r>
        <w:rPr>
          <w:rFonts w:ascii="Times New Roman" w:hAnsi="Times New Roman" w:cs="Times New Roman"/>
          <w:noProof/>
          <w:sz w:val="24"/>
          <w:szCs w:val="24"/>
        </w:rPr>
        <w:t>(ie. the Managing Authorities, the Certifying Authority and the Audit Authority). A typical example for this general problem was identified as follows:</w:t>
      </w:r>
    </w:p>
    <w:p w:rsidR="00046CF8" w:rsidRDefault="003561C2">
      <w:pPr>
        <w:pStyle w:val="ListParagraph"/>
        <w:numPr>
          <w:ilvl w:val="1"/>
          <w:numId w:val="40"/>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amount of storage and provision of data linked to the implementation of the EMFF has substantially i</w:t>
      </w:r>
      <w:r>
        <w:rPr>
          <w:rFonts w:ascii="Times New Roman" w:hAnsi="Times New Roman" w:cs="Times New Roman"/>
          <w:noProof/>
          <w:sz w:val="24"/>
          <w:szCs w:val="24"/>
        </w:rPr>
        <w:t>ncreased that will also increase the complexity of application forms.</w:t>
      </w:r>
    </w:p>
    <w:p w:rsidR="00046CF8" w:rsidRDefault="003561C2">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lengthy procedure of the adoption of the OPs, that is hindering the implementation of measures, particularly those which finance a continuous activity (eg. control and enforcement, data </w:t>
      </w:r>
      <w:r>
        <w:rPr>
          <w:rFonts w:ascii="Times New Roman" w:hAnsi="Times New Roman" w:cs="Times New Roman"/>
          <w:noProof/>
          <w:sz w:val="24"/>
          <w:szCs w:val="24"/>
        </w:rPr>
        <w:t>collection). Here the shift from direct management to shared management was not as smooth as it was expected and therefore resulted in temporary scarcity of financial resources.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None of the replying Member States mentioned legal obstacles in other EU-level</w:t>
      </w:r>
      <w:r>
        <w:rPr>
          <w:rFonts w:ascii="Times New Roman" w:hAnsi="Times New Roman" w:cs="Times New Roman"/>
          <w:noProof/>
          <w:sz w:val="24"/>
          <w:szCs w:val="24"/>
        </w:rPr>
        <w:t xml:space="preserve"> legislative acts that would hinder the simplification of access and implementation by beneficiaries.</w:t>
      </w:r>
    </w:p>
    <w:p w:rsidR="00046CF8" w:rsidRDefault="00046CF8">
      <w:pPr>
        <w:pStyle w:val="ListParagraph"/>
        <w:spacing w:after="120"/>
        <w:ind w:left="426"/>
        <w:contextualSpacing w:val="0"/>
        <w:jc w:val="both"/>
        <w:rPr>
          <w:rFonts w:ascii="Times New Roman" w:hAnsi="Times New Roman" w:cs="Times New Roman"/>
          <w:noProof/>
          <w:sz w:val="24"/>
          <w:szCs w:val="24"/>
        </w:rPr>
      </w:pPr>
    </w:p>
    <w:p w:rsidR="00046CF8" w:rsidRDefault="003561C2">
      <w:pPr>
        <w:pStyle w:val="ListParagraph"/>
        <w:numPr>
          <w:ilvl w:val="0"/>
          <w:numId w:val="36"/>
        </w:numPr>
        <w:spacing w:after="120" w:line="240" w:lineRule="auto"/>
        <w:ind w:left="426"/>
        <w:contextualSpacing w:val="0"/>
        <w:jc w:val="both"/>
        <w:rPr>
          <w:rFonts w:ascii="Times New Roman" w:hAnsi="Times New Roman" w:cs="Times New Roman"/>
          <w:b/>
          <w:smallCaps/>
          <w:noProof/>
          <w:sz w:val="24"/>
          <w:szCs w:val="24"/>
        </w:rPr>
      </w:pPr>
      <w:r>
        <w:rPr>
          <w:rFonts w:ascii="Times New Roman" w:hAnsi="Times New Roman" w:cs="Times New Roman"/>
          <w:b/>
          <w:smallCaps/>
          <w:noProof/>
          <w:sz w:val="24"/>
          <w:szCs w:val="24"/>
        </w:rPr>
        <w:t xml:space="preserve">conclusions </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clearly articulated the need for simplification for access to but moreover for the implementation of the EMFF. </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general, we</w:t>
      </w:r>
      <w:r>
        <w:rPr>
          <w:rFonts w:ascii="Times New Roman" w:hAnsi="Times New Roman" w:cs="Times New Roman"/>
          <w:noProof/>
          <w:sz w:val="24"/>
          <w:szCs w:val="24"/>
        </w:rPr>
        <w:t xml:space="preserve"> can establish that specific options for simplification provided by the legislative framework of the EMFF were well received by the Member States, the ratio of implementation of each of the options exceeds the 50%, and in some of the cases it is over 80%.</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Simplified Cost Options are new elements in the 2014-2020 period in the context of the EMFF. Member States well understood the potential for simplification in these options and more than half of them wishes to establish them covering all measures and all t</w:t>
      </w:r>
      <w:r>
        <w:rPr>
          <w:rFonts w:ascii="Times New Roman" w:hAnsi="Times New Roman" w:cs="Times New Roman"/>
          <w:noProof/>
          <w:sz w:val="24"/>
          <w:szCs w:val="24"/>
        </w:rPr>
        <w:t>ypes of beneficiaries in the EMFF.</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Despite the fact that "e-cohesion" is not obligatory for the EMFF, the rate of putting into practice the simplification option of a paperless programme management system is surprisingly high.</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Examination of administrative</w:t>
      </w:r>
      <w:r>
        <w:rPr>
          <w:rFonts w:ascii="Times New Roman" w:hAnsi="Times New Roman" w:cs="Times New Roman"/>
          <w:noProof/>
          <w:sz w:val="24"/>
          <w:szCs w:val="24"/>
        </w:rPr>
        <w:t xml:space="preserve"> burden on different types of beneficiaries demonstrates a clearly disadvantaged situation for SMEs in terms of the volume of project applications, the average length of period of time for project appraisal as well as for reimbursement of costs.</w:t>
      </w:r>
    </w:p>
    <w:p w:rsidR="00046CF8" w:rsidRDefault="003561C2">
      <w:pPr>
        <w:pStyle w:val="ListParagraph"/>
        <w:spacing w:after="120"/>
        <w:ind w:left="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Proposals </w:t>
      </w:r>
      <w:r>
        <w:rPr>
          <w:rFonts w:ascii="Times New Roman" w:hAnsi="Times New Roman" w:cs="Times New Roman"/>
          <w:noProof/>
          <w:sz w:val="24"/>
          <w:szCs w:val="24"/>
        </w:rPr>
        <w:t>of Member States for further fields of simplification that could be explored related mainly to the extensive reporting obligations of competent authorities that are usually passed on to beneficiaries as well. Nevertheless, none of the replying Member State</w:t>
      </w:r>
      <w:r>
        <w:rPr>
          <w:rFonts w:ascii="Times New Roman" w:hAnsi="Times New Roman" w:cs="Times New Roman"/>
          <w:noProof/>
          <w:sz w:val="24"/>
          <w:szCs w:val="24"/>
        </w:rPr>
        <w:t>s mentioned any legal obstacle in EU-level legislative acts that would hinder the simplification of access and implementation by beneficiaries and thus would necessitate an initiative from the Commission.</w:t>
      </w:r>
    </w:p>
    <w:p w:rsidR="00046CF8" w:rsidRDefault="003561C2">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br w:type="page"/>
      </w:r>
    </w:p>
    <w:p w:rsidR="00046CF8" w:rsidRDefault="003561C2">
      <w:pPr>
        <w:pStyle w:val="Heading1"/>
        <w:numPr>
          <w:ilvl w:val="0"/>
          <w:numId w:val="25"/>
        </w:numPr>
        <w:rPr>
          <w:noProof/>
        </w:rPr>
      </w:pPr>
      <w:bookmarkStart w:id="69" w:name="_Toc514503216"/>
      <w:bookmarkStart w:id="70" w:name="_Toc514507435"/>
      <w:r>
        <w:rPr>
          <w:noProof/>
        </w:rPr>
        <w:t>How the EMFF contributes to the climate change (P</w:t>
      </w:r>
      <w:r>
        <w:rPr>
          <w:noProof/>
        </w:rPr>
        <w:t>resentation – mainstreaming of Climate Action into EU policies and funds)</w:t>
      </w:r>
      <w:bookmarkEnd w:id="69"/>
      <w:bookmarkEnd w:id="70"/>
    </w:p>
    <w:p w:rsidR="00046CF8" w:rsidRDefault="003561C2">
      <w:pPr>
        <w:jc w:val="center"/>
        <w:rPr>
          <w:rFonts w:ascii="Times New Roman" w:eastAsia="Times New Roman" w:hAnsi="Times New Roman" w:cs="Times New Roman"/>
          <w:b/>
          <w:noProof/>
          <w:sz w:val="24"/>
          <w:szCs w:val="20"/>
        </w:rPr>
      </w:pPr>
      <w:r>
        <w:rPr>
          <w:noProof/>
          <w:lang w:eastAsia="en-GB"/>
        </w:rPr>
        <w:drawing>
          <wp:inline distT="0" distB="0" distL="0" distR="0">
            <wp:extent cx="5289451" cy="3967089"/>
            <wp:effectExtent l="0" t="0" r="698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95025" cy="3971269"/>
                    </a:xfrm>
                    <a:prstGeom prst="rect">
                      <a:avLst/>
                    </a:prstGeom>
                  </pic:spPr>
                </pic:pic>
              </a:graphicData>
            </a:graphic>
          </wp:inline>
        </w:drawing>
      </w:r>
    </w:p>
    <w:p w:rsidR="00046CF8" w:rsidRDefault="00046CF8">
      <w:pPr>
        <w:jc w:val="center"/>
        <w:rPr>
          <w:rFonts w:ascii="Times New Roman" w:eastAsia="Times New Roman" w:hAnsi="Times New Roman" w:cs="Times New Roman"/>
          <w:b/>
          <w:noProof/>
          <w:sz w:val="24"/>
          <w:szCs w:val="20"/>
        </w:rPr>
      </w:pPr>
    </w:p>
    <w:p w:rsidR="00046CF8" w:rsidRDefault="003561C2">
      <w:pPr>
        <w:jc w:val="cente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lang w:eastAsia="en-GB"/>
        </w:rPr>
        <w:drawing>
          <wp:inline distT="0" distB="0" distL="0" distR="0">
            <wp:extent cx="4951827" cy="3713871"/>
            <wp:effectExtent l="0" t="0" r="127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957765" cy="3718324"/>
                    </a:xfrm>
                    <a:prstGeom prst="rect">
                      <a:avLst/>
                    </a:prstGeom>
                  </pic:spPr>
                </pic:pic>
              </a:graphicData>
            </a:graphic>
          </wp:inline>
        </w:drawing>
      </w:r>
    </w:p>
    <w:p w:rsidR="00046CF8" w:rsidRDefault="003561C2">
      <w:pPr>
        <w:jc w:val="cente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lang w:eastAsia="en-GB"/>
        </w:rPr>
        <w:drawing>
          <wp:inline distT="0" distB="0" distL="0" distR="0">
            <wp:extent cx="4989340" cy="3742006"/>
            <wp:effectExtent l="0" t="0" r="1905"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993715" cy="3745288"/>
                    </a:xfrm>
                    <a:prstGeom prst="rect">
                      <a:avLst/>
                    </a:prstGeom>
                  </pic:spPr>
                </pic:pic>
              </a:graphicData>
            </a:graphic>
          </wp:inline>
        </w:drawing>
      </w:r>
    </w:p>
    <w:p w:rsidR="00046CF8" w:rsidRDefault="003561C2">
      <w:pPr>
        <w:jc w:val="center"/>
        <w:rPr>
          <w:noProof/>
          <w:lang w:eastAsia="en-GB"/>
        </w:rPr>
      </w:pPr>
      <w:r>
        <w:rPr>
          <w:rFonts w:ascii="Times New Roman" w:eastAsia="Times New Roman" w:hAnsi="Times New Roman" w:cs="Times New Roman"/>
          <w:b/>
          <w:noProof/>
          <w:sz w:val="24"/>
          <w:szCs w:val="20"/>
          <w:lang w:eastAsia="en-GB"/>
        </w:rPr>
        <w:drawing>
          <wp:inline distT="0" distB="0" distL="0" distR="0">
            <wp:extent cx="4895556" cy="3671668"/>
            <wp:effectExtent l="0" t="0" r="635" b="508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00360" cy="3675271"/>
                    </a:xfrm>
                    <a:prstGeom prst="rect">
                      <a:avLst/>
                    </a:prstGeom>
                  </pic:spPr>
                </pic:pic>
              </a:graphicData>
            </a:graphic>
          </wp:inline>
        </w:drawing>
      </w:r>
      <w:r>
        <w:rPr>
          <w:noProof/>
          <w:lang w:eastAsia="en-GB"/>
        </w:rPr>
        <w:t xml:space="preserve"> </w:t>
      </w:r>
    </w:p>
    <w:p w:rsidR="00046CF8" w:rsidRDefault="003561C2">
      <w:pPr>
        <w:jc w:val="cente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lang w:eastAsia="en-GB"/>
        </w:rPr>
        <w:drawing>
          <wp:inline distT="0" distB="0" distL="0" distR="0">
            <wp:extent cx="4876799" cy="3657600"/>
            <wp:effectExtent l="0" t="0" r="635"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880960" cy="3660720"/>
                    </a:xfrm>
                    <a:prstGeom prst="rect">
                      <a:avLst/>
                    </a:prstGeom>
                  </pic:spPr>
                </pic:pic>
              </a:graphicData>
            </a:graphic>
          </wp:inline>
        </w:drawing>
      </w:r>
    </w:p>
    <w:p w:rsidR="00046CF8" w:rsidRDefault="003561C2">
      <w:pPr>
        <w:jc w:val="center"/>
        <w:rPr>
          <w:noProof/>
          <w:lang w:eastAsia="en-GB"/>
        </w:rPr>
      </w:pPr>
      <w:r>
        <w:rPr>
          <w:noProof/>
          <w:lang w:eastAsia="en-GB"/>
        </w:rPr>
        <w:t xml:space="preserve"> </w:t>
      </w:r>
    </w:p>
    <w:p w:rsidR="00046CF8" w:rsidRDefault="00046CF8">
      <w:pPr>
        <w:jc w:val="center"/>
        <w:rPr>
          <w:rFonts w:ascii="Times New Roman" w:eastAsia="Times New Roman" w:hAnsi="Times New Roman" w:cs="Times New Roman"/>
          <w:b/>
          <w:noProof/>
          <w:sz w:val="24"/>
          <w:szCs w:val="20"/>
        </w:rPr>
      </w:pPr>
    </w:p>
    <w:p w:rsidR="00046CF8" w:rsidRDefault="003561C2">
      <w:pPr>
        <w:spacing w:after="160" w:line="259" w:lineRule="auto"/>
        <w:rPr>
          <w:noProof/>
        </w:rPr>
      </w:pPr>
      <w:r>
        <w:rPr>
          <w:noProof/>
        </w:rPr>
        <w:br w:type="page"/>
      </w:r>
    </w:p>
    <w:p w:rsidR="00046CF8" w:rsidRDefault="003561C2">
      <w:pPr>
        <w:pStyle w:val="Heading1"/>
        <w:numPr>
          <w:ilvl w:val="0"/>
          <w:numId w:val="25"/>
        </w:numPr>
        <w:rPr>
          <w:noProof/>
        </w:rPr>
      </w:pPr>
      <w:bookmarkStart w:id="71" w:name="_Toc514503217"/>
      <w:bookmarkStart w:id="72" w:name="_Toc514507436"/>
      <w:r>
        <w:rPr>
          <w:noProof/>
        </w:rPr>
        <w:t>How the EMFF supports the environmental objectives (Presentation)</w:t>
      </w:r>
      <w:bookmarkEnd w:id="71"/>
      <w:bookmarkEnd w:id="72"/>
    </w:p>
    <w:p w:rsidR="00046CF8" w:rsidRDefault="00046CF8">
      <w:pPr>
        <w:rPr>
          <w:noProof/>
        </w:rPr>
      </w:pPr>
    </w:p>
    <w:p w:rsidR="00046CF8" w:rsidRDefault="003561C2">
      <w:pPr>
        <w:jc w:val="center"/>
        <w:rPr>
          <w:noProof/>
        </w:rPr>
      </w:pPr>
      <w:r>
        <w:rPr>
          <w:noProof/>
          <w:lang w:eastAsia="en-GB"/>
        </w:rPr>
        <w:drawing>
          <wp:inline distT="0" distB="0" distL="0" distR="0">
            <wp:extent cx="4572638" cy="342947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572638" cy="3429479"/>
                    </a:xfrm>
                    <a:prstGeom prst="rect">
                      <a:avLst/>
                    </a:prstGeom>
                  </pic:spPr>
                </pic:pic>
              </a:graphicData>
            </a:graphic>
          </wp:inline>
        </w:drawing>
      </w:r>
    </w:p>
    <w:p w:rsidR="00046CF8" w:rsidRDefault="003561C2">
      <w:pPr>
        <w:jc w:val="center"/>
        <w:rPr>
          <w:noProof/>
        </w:rPr>
      </w:pPr>
      <w:r>
        <w:rPr>
          <w:noProof/>
          <w:lang w:eastAsia="en-GB"/>
        </w:rPr>
        <w:drawing>
          <wp:inline distT="0" distB="0" distL="0" distR="0">
            <wp:extent cx="4572638" cy="342947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72638" cy="3429479"/>
                    </a:xfrm>
                    <a:prstGeom prst="rect">
                      <a:avLst/>
                    </a:prstGeom>
                  </pic:spPr>
                </pic:pic>
              </a:graphicData>
            </a:graphic>
          </wp:inline>
        </w:drawing>
      </w:r>
    </w:p>
    <w:p w:rsidR="00046CF8" w:rsidRDefault="003561C2">
      <w:pPr>
        <w:jc w:val="center"/>
        <w:rPr>
          <w:noProof/>
          <w:lang w:eastAsia="en-GB"/>
        </w:rPr>
      </w:pPr>
      <w:r>
        <w:rPr>
          <w:noProof/>
          <w:lang w:eastAsia="en-GB"/>
        </w:rPr>
        <w:drawing>
          <wp:inline distT="0" distB="0" distL="0" distR="0">
            <wp:extent cx="4572638" cy="342947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572638" cy="3429479"/>
                    </a:xfrm>
                    <a:prstGeom prst="rect">
                      <a:avLst/>
                    </a:prstGeom>
                  </pic:spPr>
                </pic:pic>
              </a:graphicData>
            </a:graphic>
          </wp:inline>
        </w:drawing>
      </w:r>
      <w:r>
        <w:rPr>
          <w:noProof/>
          <w:lang w:eastAsia="en-GB"/>
        </w:rPr>
        <w:t xml:space="preserve"> </w:t>
      </w:r>
    </w:p>
    <w:p w:rsidR="00046CF8" w:rsidRDefault="003561C2">
      <w:pPr>
        <w:jc w:val="center"/>
        <w:rPr>
          <w:noProof/>
          <w:lang w:eastAsia="en-GB"/>
        </w:rPr>
      </w:pPr>
      <w:r>
        <w:rPr>
          <w:noProof/>
          <w:lang w:eastAsia="en-GB"/>
        </w:rPr>
        <w:drawing>
          <wp:inline distT="0" distB="0" distL="0" distR="0">
            <wp:extent cx="4572638" cy="342947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572638" cy="3429479"/>
                    </a:xfrm>
                    <a:prstGeom prst="rect">
                      <a:avLst/>
                    </a:prstGeom>
                  </pic:spPr>
                </pic:pic>
              </a:graphicData>
            </a:graphic>
          </wp:inline>
        </w:drawing>
      </w:r>
      <w:r>
        <w:rPr>
          <w:noProof/>
          <w:lang w:eastAsia="en-GB"/>
        </w:rPr>
        <w:t xml:space="preserve"> </w:t>
      </w:r>
    </w:p>
    <w:p w:rsidR="00046CF8" w:rsidRDefault="003561C2">
      <w:pPr>
        <w:jc w:val="center"/>
        <w:rPr>
          <w:noProof/>
          <w:lang w:eastAsia="en-GB"/>
        </w:rPr>
      </w:pPr>
      <w:r>
        <w:rPr>
          <w:noProof/>
          <w:lang w:eastAsia="en-GB"/>
        </w:rPr>
        <w:drawing>
          <wp:inline distT="0" distB="0" distL="0" distR="0">
            <wp:extent cx="4572638" cy="3429479"/>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72638" cy="3429479"/>
                    </a:xfrm>
                    <a:prstGeom prst="rect">
                      <a:avLst/>
                    </a:prstGeom>
                  </pic:spPr>
                </pic:pic>
              </a:graphicData>
            </a:graphic>
          </wp:inline>
        </w:drawing>
      </w:r>
      <w:r>
        <w:rPr>
          <w:noProof/>
          <w:lang w:eastAsia="en-GB"/>
        </w:rPr>
        <w:t xml:space="preserve"> </w:t>
      </w:r>
    </w:p>
    <w:p w:rsidR="00046CF8" w:rsidRDefault="003561C2">
      <w:pPr>
        <w:jc w:val="center"/>
        <w:rPr>
          <w:noProof/>
          <w:lang w:eastAsia="en-GB"/>
        </w:rPr>
      </w:pPr>
      <w:r>
        <w:rPr>
          <w:noProof/>
          <w:lang w:eastAsia="en-GB"/>
        </w:rPr>
        <w:drawing>
          <wp:inline distT="0" distB="0" distL="0" distR="0">
            <wp:extent cx="4572638" cy="3429479"/>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572638" cy="3429479"/>
                    </a:xfrm>
                    <a:prstGeom prst="rect">
                      <a:avLst/>
                    </a:prstGeom>
                  </pic:spPr>
                </pic:pic>
              </a:graphicData>
            </a:graphic>
          </wp:inline>
        </w:drawing>
      </w:r>
    </w:p>
    <w:p w:rsidR="00046CF8" w:rsidRDefault="003561C2">
      <w:pPr>
        <w:jc w:val="center"/>
        <w:rPr>
          <w:noProof/>
        </w:rPr>
      </w:pPr>
      <w:r>
        <w:rPr>
          <w:noProof/>
          <w:lang w:eastAsia="en-GB"/>
        </w:rPr>
        <w:drawing>
          <wp:inline distT="0" distB="0" distL="0" distR="0">
            <wp:extent cx="4572638" cy="3429479"/>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72638" cy="3429479"/>
                    </a:xfrm>
                    <a:prstGeom prst="rect">
                      <a:avLst/>
                    </a:prstGeom>
                  </pic:spPr>
                </pic:pic>
              </a:graphicData>
            </a:graphic>
          </wp:inline>
        </w:drawing>
      </w:r>
    </w:p>
    <w:p w:rsidR="00046CF8" w:rsidRDefault="003561C2">
      <w:pPr>
        <w:jc w:val="center"/>
        <w:rPr>
          <w:noProof/>
        </w:rPr>
      </w:pPr>
      <w:r>
        <w:rPr>
          <w:noProof/>
          <w:lang w:eastAsia="en-GB"/>
        </w:rPr>
        <w:drawing>
          <wp:inline distT="0" distB="0" distL="0" distR="0">
            <wp:extent cx="4572638" cy="3429479"/>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572638" cy="3429479"/>
                    </a:xfrm>
                    <a:prstGeom prst="rect">
                      <a:avLst/>
                    </a:prstGeom>
                  </pic:spPr>
                </pic:pic>
              </a:graphicData>
            </a:graphic>
          </wp:inline>
        </w:drawing>
      </w:r>
    </w:p>
    <w:p w:rsidR="00046CF8" w:rsidRDefault="003561C2">
      <w:pPr>
        <w:jc w:val="center"/>
        <w:rPr>
          <w:noProof/>
          <w:lang w:eastAsia="en-GB"/>
        </w:rPr>
      </w:pPr>
      <w:r>
        <w:rPr>
          <w:noProof/>
          <w:lang w:eastAsia="en-GB"/>
        </w:rPr>
        <w:drawing>
          <wp:inline distT="0" distB="0" distL="0" distR="0">
            <wp:extent cx="4572638" cy="342947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72638" cy="3429479"/>
                    </a:xfrm>
                    <a:prstGeom prst="rect">
                      <a:avLst/>
                    </a:prstGeom>
                  </pic:spPr>
                </pic:pic>
              </a:graphicData>
            </a:graphic>
          </wp:inline>
        </w:drawing>
      </w:r>
      <w:r>
        <w:rPr>
          <w:noProof/>
          <w:lang w:eastAsia="en-GB"/>
        </w:rPr>
        <w:t xml:space="preserve"> </w:t>
      </w:r>
    </w:p>
    <w:p w:rsidR="00046CF8" w:rsidRDefault="003561C2">
      <w:pPr>
        <w:jc w:val="center"/>
        <w:rPr>
          <w:noProof/>
          <w:lang w:eastAsia="en-GB"/>
        </w:rPr>
      </w:pPr>
      <w:r>
        <w:rPr>
          <w:noProof/>
          <w:lang w:eastAsia="en-GB"/>
        </w:rPr>
        <w:drawing>
          <wp:inline distT="0" distB="0" distL="0" distR="0">
            <wp:extent cx="4572638" cy="3429479"/>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72638" cy="3429479"/>
                    </a:xfrm>
                    <a:prstGeom prst="rect">
                      <a:avLst/>
                    </a:prstGeom>
                  </pic:spPr>
                </pic:pic>
              </a:graphicData>
            </a:graphic>
          </wp:inline>
        </w:drawing>
      </w:r>
    </w:p>
    <w:p w:rsidR="00046CF8" w:rsidRDefault="00046CF8">
      <w:pPr>
        <w:jc w:val="center"/>
        <w:rPr>
          <w:noProof/>
          <w:lang w:eastAsia="en-GB"/>
        </w:rPr>
      </w:pPr>
    </w:p>
    <w:p w:rsidR="00046CF8" w:rsidRDefault="003561C2">
      <w:pPr>
        <w:jc w:val="center"/>
        <w:rPr>
          <w:noProof/>
          <w:lang w:eastAsia="en-GB"/>
        </w:rPr>
      </w:pPr>
      <w:r>
        <w:rPr>
          <w:noProof/>
          <w:lang w:eastAsia="en-GB"/>
        </w:rPr>
        <w:drawing>
          <wp:inline distT="0" distB="0" distL="0" distR="0">
            <wp:extent cx="4572638" cy="3429479"/>
            <wp:effectExtent l="0" t="0" r="0" b="0"/>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572638" cy="3429479"/>
                    </a:xfrm>
                    <a:prstGeom prst="rect">
                      <a:avLst/>
                    </a:prstGeom>
                  </pic:spPr>
                </pic:pic>
              </a:graphicData>
            </a:graphic>
          </wp:inline>
        </w:drawing>
      </w:r>
      <w:r>
        <w:rPr>
          <w:noProof/>
          <w:lang w:eastAsia="en-GB"/>
        </w:rPr>
        <w:t xml:space="preserve"> </w:t>
      </w:r>
    </w:p>
    <w:p w:rsidR="00046CF8" w:rsidRDefault="003561C2">
      <w:pPr>
        <w:jc w:val="center"/>
        <w:rPr>
          <w:noProof/>
          <w:lang w:eastAsia="en-GB"/>
        </w:rPr>
      </w:pPr>
      <w:r>
        <w:rPr>
          <w:noProof/>
          <w:lang w:eastAsia="en-GB"/>
        </w:rPr>
        <w:drawing>
          <wp:inline distT="0" distB="0" distL="0" distR="0">
            <wp:extent cx="4572638" cy="3429479"/>
            <wp:effectExtent l="0" t="0" r="0" b="0"/>
            <wp:docPr id="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572638" cy="3429479"/>
                    </a:xfrm>
                    <a:prstGeom prst="rect">
                      <a:avLst/>
                    </a:prstGeom>
                  </pic:spPr>
                </pic:pic>
              </a:graphicData>
            </a:graphic>
          </wp:inline>
        </w:drawing>
      </w:r>
    </w:p>
    <w:p w:rsidR="00046CF8" w:rsidRDefault="003561C2">
      <w:pPr>
        <w:jc w:val="center"/>
        <w:rPr>
          <w:noProof/>
          <w:lang w:eastAsia="en-GB"/>
        </w:rPr>
      </w:pPr>
      <w:r>
        <w:rPr>
          <w:noProof/>
          <w:lang w:eastAsia="en-GB"/>
        </w:rPr>
        <w:drawing>
          <wp:inline distT="0" distB="0" distL="0" distR="0">
            <wp:extent cx="4572638" cy="3429479"/>
            <wp:effectExtent l="0" t="0" r="0" b="0"/>
            <wp:docPr id="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72638" cy="3429479"/>
                    </a:xfrm>
                    <a:prstGeom prst="rect">
                      <a:avLst/>
                    </a:prstGeom>
                  </pic:spPr>
                </pic:pic>
              </a:graphicData>
            </a:graphic>
          </wp:inline>
        </w:drawing>
      </w:r>
      <w:r>
        <w:rPr>
          <w:noProof/>
          <w:lang w:eastAsia="en-GB"/>
        </w:rPr>
        <w:t xml:space="preserve"> </w:t>
      </w:r>
    </w:p>
    <w:p w:rsidR="00046CF8" w:rsidRDefault="003561C2">
      <w:pPr>
        <w:jc w:val="center"/>
        <w:rPr>
          <w:rFonts w:ascii="Times New Roman" w:eastAsia="Times New Roman" w:hAnsi="Times New Roman" w:cs="Times New Roman"/>
          <w:b/>
          <w:noProof/>
          <w:sz w:val="24"/>
          <w:szCs w:val="20"/>
        </w:rPr>
      </w:pPr>
      <w:r>
        <w:rPr>
          <w:noProof/>
          <w:lang w:eastAsia="en-GB"/>
        </w:rPr>
        <w:drawing>
          <wp:inline distT="0" distB="0" distL="0" distR="0">
            <wp:extent cx="4572638" cy="3429479"/>
            <wp:effectExtent l="0" t="0" r="0"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572638" cy="3429479"/>
                    </a:xfrm>
                    <a:prstGeom prst="rect">
                      <a:avLst/>
                    </a:prstGeom>
                  </pic:spPr>
                </pic:pic>
              </a:graphicData>
            </a:graphic>
          </wp:inline>
        </w:drawing>
      </w:r>
      <w:r>
        <w:rPr>
          <w:noProof/>
        </w:rPr>
        <w:br w:type="page"/>
      </w:r>
    </w:p>
    <w:p w:rsidR="00046CF8" w:rsidRDefault="003561C2">
      <w:pPr>
        <w:pStyle w:val="Heading1"/>
        <w:numPr>
          <w:ilvl w:val="0"/>
          <w:numId w:val="25"/>
        </w:numPr>
        <w:rPr>
          <w:noProof/>
        </w:rPr>
      </w:pPr>
      <w:bookmarkStart w:id="73" w:name="_Toc514503218"/>
      <w:bookmarkStart w:id="74" w:name="_Toc514507437"/>
      <w:r>
        <w:rPr>
          <w:noProof/>
        </w:rPr>
        <w:t>Market policy - post 2020 perspectives</w:t>
      </w:r>
      <w:bookmarkEnd w:id="73"/>
      <w:bookmarkEnd w:id="74"/>
    </w:p>
    <w:p w:rsidR="00046CF8" w:rsidRDefault="003561C2">
      <w:pPr>
        <w:pStyle w:val="Text1"/>
        <w:spacing w:before="100" w:beforeAutospacing="1" w:after="100" w:afterAutospacing="1"/>
        <w:ind w:left="0"/>
        <w:rPr>
          <w:noProof/>
          <w:szCs w:val="24"/>
        </w:rPr>
      </w:pPr>
      <w:r>
        <w:rPr>
          <w:noProof/>
          <w:szCs w:val="24"/>
        </w:rPr>
        <w:t>The Common Organisation</w:t>
      </w:r>
      <w:r>
        <w:rPr>
          <w:noProof/>
          <w:szCs w:val="24"/>
        </w:rPr>
        <w:t xml:space="preserve"> of the Markets (CMO), one of the pillars of the CFP, will still be in force after 2020.  The EMFF provides financing for actions of the CMO Regulation: creation of professional organisations (Art. 15), preparation and implementation of production and mark</w:t>
      </w:r>
      <w:r>
        <w:rPr>
          <w:noProof/>
          <w:szCs w:val="24"/>
        </w:rPr>
        <w:t>eting plans (PMPs) (Art 28(6)), storage mechanism (Art. 30), and Market intelligence (Art 42).  Other actions related to marketing and processing that are financed under the EMFF have a link with the CMO Regulation, although not explicitly mentioned therei</w:t>
      </w:r>
      <w:r>
        <w:rPr>
          <w:noProof/>
          <w:szCs w:val="24"/>
        </w:rPr>
        <w:t>n.</w:t>
      </w:r>
    </w:p>
    <w:p w:rsidR="00046CF8" w:rsidRDefault="003561C2">
      <w:pPr>
        <w:pStyle w:val="Text1"/>
        <w:spacing w:before="100" w:beforeAutospacing="1" w:after="100" w:afterAutospacing="1"/>
        <w:ind w:left="0"/>
        <w:rPr>
          <w:noProof/>
          <w:szCs w:val="24"/>
        </w:rPr>
      </w:pPr>
      <w:r>
        <w:rPr>
          <w:noProof/>
          <w:szCs w:val="24"/>
        </w:rPr>
        <w:t>Given the overall stability in the legal framework, the objectives of EMFF UP5 do not require a revision but priorities could be reassessed.  Public support must be kept for the organisation of the sector and its structure through the creation and suppo</w:t>
      </w:r>
      <w:r>
        <w:rPr>
          <w:noProof/>
          <w:szCs w:val="24"/>
        </w:rPr>
        <w:t>rt to POs, given their key contribution to the objectives of the CFP, the expenditure incurred to meet their legal obligations (from the CMO) and the existence of market failures.  To note also that the need to maintain the current support to POs remains a</w:t>
      </w:r>
      <w:r>
        <w:rPr>
          <w:noProof/>
          <w:szCs w:val="24"/>
        </w:rPr>
        <w:t xml:space="preserve"> priority for the EP</w:t>
      </w:r>
      <w:r>
        <w:rPr>
          <w:rStyle w:val="FootnoteReference"/>
          <w:noProof/>
          <w:szCs w:val="24"/>
        </w:rPr>
        <w:footnoteReference w:id="88"/>
      </w:r>
      <w:r>
        <w:rPr>
          <w:noProof/>
          <w:szCs w:val="24"/>
        </w:rPr>
        <w:t>.  And the present situation of high profitability which could plead against such support has a strong cyclical dimension (cheap fuel, ageing of the fleet, difficult generational renewal) and should therefore not override the arguments</w:t>
      </w:r>
      <w:r>
        <w:rPr>
          <w:noProof/>
          <w:szCs w:val="24"/>
        </w:rPr>
        <w:t xml:space="preserve"> presented.</w:t>
      </w:r>
    </w:p>
    <w:p w:rsidR="00046CF8" w:rsidRDefault="003561C2">
      <w:pPr>
        <w:spacing w:before="100" w:beforeAutospacing="1" w:after="100" w:afterAutospacing="1"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Organisation of the sector (only public support): </w:t>
      </w:r>
    </w:p>
    <w:p w:rsidR="00046CF8" w:rsidRDefault="003561C2">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Economic importance of POs as they strengthen the bargaining power of producers and improve the functioning of the supply chain, and political importance in their contribution to the cohesion and prosperity of coastal communities (maintenance of a large ne</w:t>
      </w:r>
      <w:r>
        <w:rPr>
          <w:rFonts w:ascii="Times New Roman" w:hAnsi="Times New Roman" w:cs="Times New Roman"/>
          <w:noProof/>
          <w:sz w:val="24"/>
          <w:szCs w:val="24"/>
        </w:rPr>
        <w:t xml:space="preserve">twork of (small) producing entities).  This can only be achieved through their empowerment and adequate public funding to support their activities.  </w:t>
      </w:r>
    </w:p>
    <w:p w:rsidR="00046CF8" w:rsidRDefault="003561C2">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POs are key actors of the CFP for promoting and achieving sustainable fisheries and aquaculture activities</w:t>
      </w:r>
      <w:r>
        <w:rPr>
          <w:rFonts w:ascii="Times New Roman" w:hAnsi="Times New Roman" w:cs="Times New Roman"/>
          <w:noProof/>
          <w:sz w:val="24"/>
          <w:szCs w:val="24"/>
        </w:rPr>
        <w:t xml:space="preserve">: their primary objective is the implementation of the CFP and </w:t>
      </w:r>
      <w:r>
        <w:rPr>
          <w:rFonts w:ascii="Times New Roman" w:hAnsi="Times New Roman" w:cs="Times New Roman"/>
          <w:bCs/>
          <w:noProof/>
          <w:sz w:val="24"/>
          <w:szCs w:val="24"/>
        </w:rPr>
        <w:t>they represent the vast majority of the landings and of the species under quota.  However, a</w:t>
      </w:r>
      <w:r>
        <w:rPr>
          <w:rFonts w:ascii="Times New Roman" w:hAnsi="Times New Roman" w:cs="Times New Roman"/>
          <w:noProof/>
          <w:sz w:val="24"/>
          <w:szCs w:val="24"/>
        </w:rPr>
        <w:t>n excessive focus on conservation and/or lack of expertise in the market dimension weakens their capa</w:t>
      </w:r>
      <w:r>
        <w:rPr>
          <w:rFonts w:ascii="Times New Roman" w:hAnsi="Times New Roman" w:cs="Times New Roman"/>
          <w:noProof/>
          <w:sz w:val="24"/>
          <w:szCs w:val="24"/>
        </w:rPr>
        <w:t>city to fully deliver on the market dimension of the CMO objectives: this is reflected in the quasi-absence of inter-branch organisations, and their poor functioning. Public support should tackle these shortcomings.</w:t>
      </w:r>
    </w:p>
    <w:p w:rsidR="00046CF8" w:rsidRDefault="003561C2">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Therefore, support to the creation and r</w:t>
      </w:r>
      <w:r>
        <w:rPr>
          <w:rFonts w:ascii="Times New Roman" w:hAnsi="Times New Roman" w:cs="Times New Roman"/>
          <w:noProof/>
          <w:sz w:val="24"/>
          <w:szCs w:val="24"/>
        </w:rPr>
        <w:t>estructuring of professional organisations</w:t>
      </w:r>
      <w:r>
        <w:rPr>
          <w:rStyle w:val="FootnoteReference"/>
          <w:rFonts w:ascii="Times New Roman" w:hAnsi="Times New Roman" w:cs="Times New Roman"/>
          <w:noProof/>
          <w:sz w:val="24"/>
          <w:szCs w:val="24"/>
        </w:rPr>
        <w:footnoteReference w:id="89"/>
      </w:r>
      <w:r>
        <w:rPr>
          <w:rFonts w:ascii="Times New Roman" w:hAnsi="Times New Roman" w:cs="Times New Roman"/>
          <w:noProof/>
          <w:sz w:val="24"/>
          <w:szCs w:val="24"/>
        </w:rPr>
        <w:t xml:space="preserve"> (incl. transnational) and the restructuring of collective organisations into POs should be maintained. </w:t>
      </w:r>
    </w:p>
    <w:p w:rsidR="00046CF8" w:rsidRDefault="003561C2">
      <w:pPr>
        <w:spacing w:before="100" w:beforeAutospacing="1" w:after="100" w:afterAutospacing="1"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Support to PMPs (only public support)</w:t>
      </w:r>
    </w:p>
    <w:p w:rsidR="00046CF8" w:rsidRDefault="003561C2">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PMPs are "contracts" between POs and their MS. They are an innovative,</w:t>
      </w:r>
      <w:r>
        <w:rPr>
          <w:rFonts w:ascii="Times New Roman" w:hAnsi="Times New Roman" w:cs="Times New Roman"/>
          <w:bCs/>
          <w:noProof/>
          <w:sz w:val="24"/>
          <w:szCs w:val="24"/>
        </w:rPr>
        <w:t xml:space="preserve"> effective and flexible tool to support an increasingly market-based approach in fleet management and </w:t>
      </w:r>
      <w:r>
        <w:rPr>
          <w:rFonts w:ascii="Times New Roman" w:hAnsi="Times New Roman" w:cs="Times New Roman"/>
          <w:noProof/>
          <w:sz w:val="24"/>
          <w:szCs w:val="24"/>
        </w:rPr>
        <w:t>allow POs to act in the public interest.</w:t>
      </w:r>
      <w:r>
        <w:rPr>
          <w:rFonts w:ascii="Times New Roman" w:hAnsi="Times New Roman" w:cs="Times New Roman"/>
          <w:bCs/>
          <w:noProof/>
          <w:sz w:val="24"/>
          <w:szCs w:val="24"/>
        </w:rPr>
        <w:t xml:space="preserve">  </w:t>
      </w:r>
      <w:r>
        <w:rPr>
          <w:rFonts w:ascii="Times New Roman" w:hAnsi="Times New Roman" w:cs="Times New Roman"/>
          <w:noProof/>
          <w:sz w:val="24"/>
          <w:szCs w:val="24"/>
        </w:rPr>
        <w:t>Support to the POs through PMPs is necessary to correct certain market failures: monopsony (necessity to increas</w:t>
      </w:r>
      <w:r>
        <w:rPr>
          <w:rFonts w:ascii="Times New Roman" w:hAnsi="Times New Roman" w:cs="Times New Roman"/>
          <w:noProof/>
          <w:sz w:val="24"/>
          <w:szCs w:val="24"/>
        </w:rPr>
        <w:t xml:space="preserve">e producers' bargaining power vis-à-vis the processing industry or retailers), common-pool resource (possible collective management of quotas by POs), externalities (political importance of coastal communities and environmental harm), and makes a decisive </w:t>
      </w:r>
      <w:r>
        <w:rPr>
          <w:rFonts w:ascii="Times New Roman" w:hAnsi="Times New Roman" w:cs="Times New Roman"/>
          <w:noProof/>
          <w:sz w:val="24"/>
          <w:szCs w:val="24"/>
        </w:rPr>
        <w:t>contribution to ensuring the sustainability and fair standard of living for EU fishermen and aquaculture farmers, and by extension for the coastal communities</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Provision of public support is both an incentive and a compensation to properly achieve these m</w:t>
      </w:r>
      <w:r>
        <w:rPr>
          <w:rFonts w:ascii="Times New Roman" w:hAnsi="Times New Roman" w:cs="Times New Roman"/>
          <w:noProof/>
          <w:sz w:val="24"/>
          <w:szCs w:val="24"/>
        </w:rPr>
        <w:t>issions.  The level of public support</w:t>
      </w:r>
      <w:r>
        <w:rPr>
          <w:rFonts w:ascii="Times New Roman" w:hAnsi="Times New Roman" w:cs="Times New Roman"/>
          <w:b/>
          <w:noProof/>
          <w:sz w:val="24"/>
          <w:szCs w:val="24"/>
        </w:rPr>
        <w:t xml:space="preserve"> </w:t>
      </w:r>
      <w:r>
        <w:rPr>
          <w:rFonts w:ascii="Times New Roman" w:hAnsi="Times New Roman" w:cs="Times New Roman"/>
          <w:noProof/>
          <w:sz w:val="24"/>
          <w:szCs w:val="24"/>
        </w:rPr>
        <w:t>should be proportional to the ambition of the PMP and conditioned to achieving their objectives</w:t>
      </w:r>
      <w:r>
        <w:rPr>
          <w:rStyle w:val="FootnoteReference"/>
          <w:rFonts w:ascii="Times New Roman" w:hAnsi="Times New Roman" w:cs="Times New Roman"/>
          <w:noProof/>
          <w:sz w:val="24"/>
          <w:szCs w:val="24"/>
        </w:rPr>
        <w:footnoteReference w:id="91"/>
      </w:r>
      <w:r>
        <w:rPr>
          <w:rFonts w:ascii="Times New Roman" w:hAnsi="Times New Roman" w:cs="Times New Roman"/>
          <w:noProof/>
          <w:sz w:val="24"/>
          <w:szCs w:val="24"/>
        </w:rPr>
        <w:t>. Repayable forms of support should be an option.  It can be maintained below the current thresholds (no indication that t</w:t>
      </w:r>
      <w:r>
        <w:rPr>
          <w:rFonts w:ascii="Times New Roman" w:hAnsi="Times New Roman" w:cs="Times New Roman"/>
          <w:noProof/>
          <w:sz w:val="24"/>
          <w:szCs w:val="24"/>
        </w:rPr>
        <w:t xml:space="preserve">his is a limiting factor). The case of small POs should be addressed specifically. </w:t>
      </w:r>
    </w:p>
    <w:p w:rsidR="00046CF8" w:rsidRDefault="003561C2">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Support to marketing measures (PP)</w:t>
      </w:r>
    </w:p>
    <w:p w:rsidR="00046CF8" w:rsidRDefault="003561C2">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CMO has objectives that pertain to the market performance overall: a diverse supply to consumers, the valorisation of products' chara</w:t>
      </w:r>
      <w:r>
        <w:rPr>
          <w:rFonts w:ascii="Times New Roman" w:hAnsi="Times New Roman" w:cs="Times New Roman"/>
          <w:noProof/>
          <w:sz w:val="24"/>
          <w:szCs w:val="24"/>
        </w:rPr>
        <w:t xml:space="preserve">cteristics (origin, production), and the redistribution of added value along the supply chain.  Public support to pursue these objectives is needed to avoid that economic interests alone drive the market.  For example, a handful of species account for the </w:t>
      </w:r>
      <w:r>
        <w:rPr>
          <w:rFonts w:ascii="Times New Roman" w:hAnsi="Times New Roman" w:cs="Times New Roman"/>
          <w:noProof/>
          <w:sz w:val="24"/>
          <w:szCs w:val="24"/>
        </w:rPr>
        <w:t xml:space="preserve">almost totality of consumption in the EU. This limits the diversity of supply to the consumer and puts pressure on the most economically interesting stocks, creating conservation problems.  On the contrary, underutilised species have difficulties to enter </w:t>
      </w:r>
      <w:r>
        <w:rPr>
          <w:rFonts w:ascii="Times New Roman" w:hAnsi="Times New Roman" w:cs="Times New Roman"/>
          <w:noProof/>
          <w:sz w:val="24"/>
          <w:szCs w:val="24"/>
        </w:rPr>
        <w:t>the market.  The challenge is to disentangle the public interest of an action from the private (economic) interest of the operator in the chain. So it will be needed to identify the type of actions that can be delegated to private operators and under which</w:t>
      </w:r>
      <w:r>
        <w:rPr>
          <w:rFonts w:ascii="Times New Roman" w:hAnsi="Times New Roman" w:cs="Times New Roman"/>
          <w:noProof/>
          <w:sz w:val="24"/>
          <w:szCs w:val="24"/>
        </w:rPr>
        <w:t xml:space="preserve"> conditions</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xml:space="preserve">.  MS should be allowed to implement any measure they consider relevant (no "no-go areas).    </w:t>
      </w:r>
    </w:p>
    <w:p w:rsidR="00046CF8" w:rsidRDefault="003561C2">
      <w:pPr>
        <w:spacing w:before="100" w:beforeAutospacing="1" w:after="100" w:afterAutospacing="1"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Support to processing (only through financial instruments)</w:t>
      </w:r>
    </w:p>
    <w:p w:rsidR="00046CF8" w:rsidRDefault="003561C2">
      <w:pPr>
        <w:pStyle w:val="Text1"/>
        <w:spacing w:before="100" w:beforeAutospacing="1" w:after="100" w:afterAutospacing="1"/>
        <w:ind w:left="0"/>
        <w:rPr>
          <w:noProof/>
          <w:szCs w:val="24"/>
        </w:rPr>
      </w:pPr>
      <w:r>
        <w:rPr>
          <w:noProof/>
          <w:szCs w:val="24"/>
        </w:rPr>
        <w:t>Although the processing sector is a major business and represents thousands of jobs, suppo</w:t>
      </w:r>
      <w:r>
        <w:rPr>
          <w:noProof/>
          <w:szCs w:val="24"/>
        </w:rPr>
        <w:t>rt should be primarily provided to all operators (including SMEs) only through financial instruments rather than direct grants, and limited to operations which consist in innovative processes or methods, support to the processing of unwanted catches and of</w:t>
      </w:r>
      <w:r>
        <w:rPr>
          <w:noProof/>
          <w:szCs w:val="24"/>
        </w:rPr>
        <w:t xml:space="preserve"> co-products (with an emphasis on circular economy</w:t>
      </w:r>
      <w:r>
        <w:rPr>
          <w:rStyle w:val="FootnoteReference"/>
          <w:noProof/>
          <w:szCs w:val="24"/>
        </w:rPr>
        <w:footnoteReference w:id="93"/>
      </w:r>
      <w:r>
        <w:rPr>
          <w:noProof/>
          <w:szCs w:val="24"/>
        </w:rPr>
        <w:t>).</w:t>
      </w:r>
    </w:p>
    <w:p w:rsidR="00046CF8" w:rsidRDefault="003561C2">
      <w:pPr>
        <w:spacing w:before="100" w:beforeAutospacing="1" w:after="100" w:afterAutospacing="1"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Support to storage aid (no-go area)</w:t>
      </w:r>
    </w:p>
    <w:p w:rsidR="00046CF8" w:rsidRDefault="003561C2">
      <w:pPr>
        <w:pStyle w:val="Text1"/>
        <w:spacing w:before="100" w:beforeAutospacing="1" w:after="100" w:afterAutospacing="1"/>
        <w:ind w:left="0"/>
        <w:rPr>
          <w:noProof/>
          <w:szCs w:val="24"/>
        </w:rPr>
      </w:pPr>
      <w:r>
        <w:rPr>
          <w:noProof/>
          <w:szCs w:val="24"/>
        </w:rPr>
        <w:t>The temporary application of the storage aid mechanism under the EMFF aimed at ensuring a smooth transition towards the PMPs and it should not be reintroduced, even i</w:t>
      </w:r>
      <w:r>
        <w:rPr>
          <w:noProof/>
          <w:szCs w:val="24"/>
        </w:rPr>
        <w:t xml:space="preserve">f certain stakeholders will request it. The creation of a rapid crisis mechanism that would allow MS to reallocate funding from other priorities in the case of unforeseeable market disruptions (e.g. Russian ban) could nonetheless be considered (safety net </w:t>
      </w:r>
      <w:r>
        <w:rPr>
          <w:noProof/>
          <w:szCs w:val="24"/>
        </w:rPr>
        <w:t>to be strictly defined for situations that cannot be catered for by standard measures).</w:t>
      </w:r>
    </w:p>
    <w:p w:rsidR="00046CF8" w:rsidRDefault="003561C2">
      <w:pPr>
        <w:pStyle w:val="Text1"/>
        <w:spacing w:before="100" w:beforeAutospacing="1" w:after="100" w:afterAutospacing="1"/>
        <w:ind w:left="0"/>
        <w:rPr>
          <w:noProof/>
          <w:szCs w:val="24"/>
        </w:rPr>
      </w:pPr>
      <w:r>
        <w:rPr>
          <w:noProof/>
          <w:szCs w:val="24"/>
          <w:u w:val="single"/>
        </w:rPr>
        <w:t>Support to market intelligence (Public support – direct management – same level of support)</w:t>
      </w:r>
    </w:p>
    <w:p w:rsidR="00046CF8" w:rsidRDefault="003561C2">
      <w:pPr>
        <w:pStyle w:val="Text1"/>
        <w:spacing w:before="100" w:beforeAutospacing="1" w:after="100" w:afterAutospacing="1"/>
        <w:ind w:left="0"/>
        <w:rPr>
          <w:noProof/>
          <w:szCs w:val="24"/>
        </w:rPr>
      </w:pPr>
      <w:r>
        <w:rPr>
          <w:noProof/>
          <w:szCs w:val="24"/>
        </w:rPr>
        <w:t>The Commission, with the contribution of MS, must deliver on Market Intellig</w:t>
      </w:r>
      <w:r>
        <w:rPr>
          <w:noProof/>
          <w:szCs w:val="24"/>
        </w:rPr>
        <w:t>ence</w:t>
      </w:r>
      <w:r>
        <w:rPr>
          <w:rStyle w:val="FootnoteReference"/>
          <w:noProof/>
          <w:szCs w:val="24"/>
        </w:rPr>
        <w:footnoteReference w:id="94"/>
      </w:r>
      <w:r>
        <w:rPr>
          <w:noProof/>
          <w:szCs w:val="24"/>
        </w:rPr>
        <w:t xml:space="preserve">.  The market intelligence provided by the observatory (EUMOFA) at EU level cannot be undertaken by the sector: conflictual interests and fragmentation of the market would lead to information asymmetry.  So Market Intelligence needs to be provided at </w:t>
      </w:r>
      <w:r>
        <w:rPr>
          <w:noProof/>
          <w:szCs w:val="24"/>
        </w:rPr>
        <w:t>EU level and complement MS' work in that regard.  EUMOFA's services are considered useful and deliver on the Commission's obligation.  There is a continuous increase in use by stakeholders and it supports policy making (inter alia on the basis of ad-hoc re</w:t>
      </w:r>
      <w:r>
        <w:rPr>
          <w:noProof/>
          <w:szCs w:val="24"/>
        </w:rPr>
        <w:t xml:space="preserve">ports and analysis to prepare regulatory or operational outputs).  EUMOFA's services will be expended to provide additional analysis of past and future trends to further increase quality of support to policy orientation and informed management decisions.  </w:t>
      </w:r>
      <w:r>
        <w:rPr>
          <w:noProof/>
          <w:szCs w:val="24"/>
        </w:rPr>
        <w:t xml:space="preserve">Sufficient resources should also be granted to support complementary measures: Eurobarometer surveys, information system on commercial designations of FAPs and other ad-hoc initiatives.  </w:t>
      </w:r>
    </w:p>
    <w:p w:rsidR="00046CF8" w:rsidRDefault="00046CF8">
      <w:pPr>
        <w:spacing w:before="100" w:beforeAutospacing="1" w:after="100" w:afterAutospacing="1"/>
        <w:rPr>
          <w:noProof/>
          <w:lang w:eastAsia="fr-BE"/>
        </w:rPr>
      </w:pPr>
    </w:p>
    <w:p w:rsidR="00046CF8" w:rsidRDefault="00046CF8">
      <w:pPr>
        <w:rPr>
          <w:noProof/>
        </w:rPr>
      </w:pPr>
    </w:p>
    <w:p w:rsidR="00046CF8" w:rsidRDefault="00046CF8">
      <w:pPr>
        <w:rPr>
          <w:noProof/>
        </w:rPr>
      </w:pPr>
    </w:p>
    <w:p w:rsidR="00046CF8" w:rsidRDefault="003561C2">
      <w:pPr>
        <w:rPr>
          <w:rFonts w:ascii="Times New Roman" w:eastAsia="Times New Roman" w:hAnsi="Times New Roman" w:cs="Times New Roman"/>
          <w:b/>
          <w:noProof/>
          <w:sz w:val="24"/>
          <w:szCs w:val="20"/>
        </w:rPr>
      </w:pPr>
      <w:r>
        <w:rPr>
          <w:noProof/>
        </w:rPr>
        <w:br w:type="page"/>
      </w:r>
    </w:p>
    <w:p w:rsidR="00046CF8" w:rsidRDefault="003561C2">
      <w:pPr>
        <w:pStyle w:val="Heading1"/>
        <w:numPr>
          <w:ilvl w:val="0"/>
          <w:numId w:val="25"/>
        </w:numPr>
        <w:rPr>
          <w:noProof/>
        </w:rPr>
      </w:pPr>
      <w:bookmarkStart w:id="75" w:name="_Toc514503219"/>
      <w:bookmarkStart w:id="76" w:name="_Toc514507438"/>
      <w:r>
        <w:rPr>
          <w:noProof/>
        </w:rPr>
        <w:t>EU fish market – presentation</w:t>
      </w:r>
      <w:bookmarkEnd w:id="75"/>
      <w:bookmarkEnd w:id="76"/>
    </w:p>
    <w:p w:rsidR="00046CF8" w:rsidRDefault="003561C2">
      <w:pPr>
        <w:rPr>
          <w:noProof/>
        </w:rPr>
      </w:pPr>
      <w:r>
        <w:rPr>
          <w:noProof/>
          <w:lang w:eastAsia="en-GB"/>
        </w:rPr>
        <w:drawing>
          <wp:inline distT="0" distB="0" distL="0" distR="0">
            <wp:extent cx="5486400" cy="4114800"/>
            <wp:effectExtent l="0" t="0" r="0" b="0"/>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487167" cy="4115375"/>
                    </a:xfrm>
                    <a:prstGeom prst="rect">
                      <a:avLst/>
                    </a:prstGeom>
                  </pic:spPr>
                </pic:pic>
              </a:graphicData>
            </a:graphic>
          </wp:inline>
        </w:drawing>
      </w:r>
    </w:p>
    <w:p w:rsidR="00046CF8" w:rsidRDefault="003561C2">
      <w:pPr>
        <w:rPr>
          <w:rFonts w:ascii="Times New Roman" w:eastAsia="Times New Roman" w:hAnsi="Times New Roman" w:cs="Times New Roman"/>
          <w:b/>
          <w:noProof/>
          <w:sz w:val="24"/>
          <w:szCs w:val="20"/>
        </w:rPr>
      </w:pPr>
      <w:r>
        <w:rPr>
          <w:noProof/>
          <w:lang w:eastAsia="en-GB"/>
        </w:rPr>
        <w:drawing>
          <wp:inline distT="0" distB="0" distL="0" distR="0">
            <wp:extent cx="5384800" cy="4038600"/>
            <wp:effectExtent l="0" t="0" r="6350" b="0"/>
            <wp:docPr id="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385553" cy="4039165"/>
                    </a:xfrm>
                    <a:prstGeom prst="rect">
                      <a:avLst/>
                    </a:prstGeom>
                  </pic:spPr>
                </pic:pic>
              </a:graphicData>
            </a:graphic>
          </wp:inline>
        </w:drawing>
      </w:r>
    </w:p>
    <w:p w:rsidR="00046CF8" w:rsidRDefault="003561C2">
      <w:pPr>
        <w:rPr>
          <w:noProof/>
        </w:rPr>
      </w:pPr>
      <w:r>
        <w:rPr>
          <w:noProof/>
        </w:rPr>
        <w:br w:type="page"/>
      </w:r>
      <w:r>
        <w:rPr>
          <w:noProof/>
          <w:lang w:eastAsia="en-GB"/>
        </w:rPr>
        <w:drawing>
          <wp:inline distT="0" distB="0" distL="0" distR="0">
            <wp:extent cx="5346700" cy="4010026"/>
            <wp:effectExtent l="0" t="0" r="6350" b="9525"/>
            <wp:docPr id="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347447" cy="4010586"/>
                    </a:xfrm>
                    <a:prstGeom prst="rect">
                      <a:avLst/>
                    </a:prstGeom>
                  </pic:spPr>
                </pic:pic>
              </a:graphicData>
            </a:graphic>
          </wp:inline>
        </w:drawing>
      </w:r>
    </w:p>
    <w:p w:rsidR="00046CF8" w:rsidRDefault="003561C2">
      <w:pPr>
        <w:rPr>
          <w:rFonts w:ascii="Times New Roman" w:eastAsia="Times New Roman" w:hAnsi="Times New Roman" w:cs="Times New Roman"/>
          <w:b/>
          <w:noProof/>
          <w:sz w:val="24"/>
          <w:szCs w:val="20"/>
        </w:rPr>
      </w:pPr>
      <w:r>
        <w:rPr>
          <w:noProof/>
          <w:lang w:eastAsia="en-GB"/>
        </w:rPr>
        <w:drawing>
          <wp:inline distT="0" distB="0" distL="0" distR="0">
            <wp:extent cx="5346700" cy="4010024"/>
            <wp:effectExtent l="0" t="0" r="6350" b="0"/>
            <wp:docPr id="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347448" cy="4010585"/>
                    </a:xfrm>
                    <a:prstGeom prst="rect">
                      <a:avLst/>
                    </a:prstGeom>
                  </pic:spPr>
                </pic:pic>
              </a:graphicData>
            </a:graphic>
          </wp:inline>
        </w:drawing>
      </w:r>
    </w:p>
    <w:p w:rsidR="00046CF8" w:rsidRDefault="00046CF8">
      <w:pPr>
        <w:rPr>
          <w:rFonts w:ascii="Times New Roman" w:eastAsia="Times New Roman" w:hAnsi="Times New Roman" w:cs="Times New Roman"/>
          <w:b/>
          <w:noProof/>
          <w:sz w:val="24"/>
          <w:szCs w:val="20"/>
        </w:rPr>
      </w:pPr>
    </w:p>
    <w:p w:rsidR="00046CF8" w:rsidRDefault="003561C2">
      <w:pPr>
        <w:rPr>
          <w:noProof/>
        </w:rPr>
      </w:pPr>
      <w:r>
        <w:rPr>
          <w:noProof/>
        </w:rPr>
        <w:br w:type="page"/>
      </w:r>
      <w:r>
        <w:rPr>
          <w:noProof/>
          <w:lang w:eastAsia="en-GB"/>
        </w:rPr>
        <w:drawing>
          <wp:inline distT="0" distB="0" distL="0" distR="0">
            <wp:extent cx="5194300" cy="3895726"/>
            <wp:effectExtent l="0" t="0" r="6350" b="9525"/>
            <wp:docPr id="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195026" cy="3896270"/>
                    </a:xfrm>
                    <a:prstGeom prst="rect">
                      <a:avLst/>
                    </a:prstGeom>
                  </pic:spPr>
                </pic:pic>
              </a:graphicData>
            </a:graphic>
          </wp:inline>
        </w:drawing>
      </w:r>
    </w:p>
    <w:p w:rsidR="00046CF8" w:rsidRDefault="003561C2">
      <w:pP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lang w:eastAsia="en-GB"/>
        </w:rPr>
        <w:drawing>
          <wp:inline distT="0" distB="0" distL="0" distR="0">
            <wp:extent cx="5194300" cy="3895726"/>
            <wp:effectExtent l="0" t="0" r="6350" b="9525"/>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195026" cy="3896270"/>
                    </a:xfrm>
                    <a:prstGeom prst="rect">
                      <a:avLst/>
                    </a:prstGeom>
                  </pic:spPr>
                </pic:pic>
              </a:graphicData>
            </a:graphic>
          </wp:inline>
        </w:drawing>
      </w:r>
    </w:p>
    <w:p w:rsidR="00046CF8" w:rsidRDefault="003561C2">
      <w:pP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lang w:eastAsia="en-GB"/>
        </w:rPr>
        <w:drawing>
          <wp:inline distT="0" distB="0" distL="0" distR="0">
            <wp:extent cx="5283200" cy="3962400"/>
            <wp:effectExtent l="0" t="0" r="0"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83938" cy="3962954"/>
                    </a:xfrm>
                    <a:prstGeom prst="rect">
                      <a:avLst/>
                    </a:prstGeom>
                  </pic:spPr>
                </pic:pic>
              </a:graphicData>
            </a:graphic>
          </wp:inline>
        </w:drawing>
      </w:r>
    </w:p>
    <w:p w:rsidR="00046CF8" w:rsidRDefault="003561C2">
      <w:pPr>
        <w:rPr>
          <w:rFonts w:ascii="Times New Roman" w:eastAsia="Times New Roman" w:hAnsi="Times New Roman" w:cs="Times New Roman"/>
          <w:b/>
          <w:noProof/>
          <w:sz w:val="24"/>
          <w:szCs w:val="20"/>
        </w:rPr>
      </w:pPr>
      <w:r>
        <w:rPr>
          <w:noProof/>
          <w:lang w:eastAsia="en-GB"/>
        </w:rPr>
        <w:drawing>
          <wp:inline distT="0" distB="0" distL="0" distR="0">
            <wp:extent cx="5257800" cy="3943351"/>
            <wp:effectExtent l="0" t="0" r="0" b="0"/>
            <wp:docPr id="7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58534" cy="3943902"/>
                    </a:xfrm>
                    <a:prstGeom prst="rect">
                      <a:avLst/>
                    </a:prstGeom>
                  </pic:spPr>
                </pic:pic>
              </a:graphicData>
            </a:graphic>
          </wp:inline>
        </w:drawing>
      </w:r>
    </w:p>
    <w:p w:rsidR="00046CF8" w:rsidRDefault="003561C2">
      <w:pPr>
        <w:rPr>
          <w:rFonts w:ascii="Times New Roman" w:eastAsia="Times New Roman" w:hAnsi="Times New Roman" w:cs="Times New Roman"/>
          <w:b/>
          <w:noProof/>
          <w:sz w:val="24"/>
          <w:szCs w:val="20"/>
        </w:rPr>
      </w:pPr>
      <w:r>
        <w:rPr>
          <w:noProof/>
        </w:rPr>
        <w:br w:type="page"/>
      </w:r>
    </w:p>
    <w:p w:rsidR="00046CF8" w:rsidRDefault="003561C2">
      <w:pPr>
        <w:pStyle w:val="Heading1"/>
        <w:numPr>
          <w:ilvl w:val="0"/>
          <w:numId w:val="25"/>
        </w:numPr>
        <w:rPr>
          <w:noProof/>
        </w:rPr>
      </w:pPr>
      <w:bookmarkStart w:id="77" w:name="_Toc514503220"/>
      <w:bookmarkStart w:id="78" w:name="_Toc514507439"/>
      <w:r>
        <w:rPr>
          <w:noProof/>
        </w:rPr>
        <w:t>Establishment of the Stakeholder Forum for International Ocean Governance (IOG Forum): Relation between IOG Agenda and SDG14</w:t>
      </w:r>
      <w:bookmarkEnd w:id="77"/>
      <w:bookmarkEnd w:id="7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9"/>
        <w:gridCol w:w="1842"/>
      </w:tblGrid>
      <w:tr w:rsidR="00046CF8">
        <w:trPr>
          <w:trHeight w:val="571"/>
        </w:trPr>
        <w:tc>
          <w:tcPr>
            <w:tcW w:w="1559" w:type="dxa"/>
            <w:shd w:val="clear" w:color="auto" w:fill="auto"/>
          </w:tcPr>
          <w:p w:rsidR="00046CF8" w:rsidRDefault="003561C2">
            <w:pPr>
              <w:spacing w:line="24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Pillar </w:t>
            </w:r>
          </w:p>
        </w:tc>
        <w:tc>
          <w:tcPr>
            <w:tcW w:w="5529" w:type="dxa"/>
            <w:shd w:val="clear" w:color="auto" w:fill="auto"/>
          </w:tcPr>
          <w:p w:rsidR="00046CF8" w:rsidRDefault="003561C2">
            <w:pPr>
              <w:spacing w:line="24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rPr>
              <w:t>Strategic Actions</w:t>
            </w:r>
          </w:p>
        </w:tc>
        <w:tc>
          <w:tcPr>
            <w:tcW w:w="1842" w:type="dxa"/>
            <w:shd w:val="clear" w:color="auto" w:fill="auto"/>
          </w:tcPr>
          <w:p w:rsidR="00046CF8" w:rsidRDefault="003561C2">
            <w:pPr>
              <w:spacing w:line="24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rPr>
              <w:t>SDG 14 relevance</w:t>
            </w:r>
          </w:p>
        </w:tc>
      </w:tr>
      <w:tr w:rsidR="00046CF8">
        <w:trPr>
          <w:trHeight w:val="595"/>
        </w:trPr>
        <w:tc>
          <w:tcPr>
            <w:tcW w:w="1559" w:type="dxa"/>
            <w:vMerge w:val="restart"/>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Improving the international ocean governance framework</w:t>
            </w: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Filling gaps in the </w:t>
            </w:r>
            <w:r>
              <w:rPr>
                <w:rFonts w:ascii="Times New Roman" w:eastAsia="Calibri" w:hAnsi="Times New Roman" w:cs="Times New Roman"/>
                <w:noProof/>
                <w:sz w:val="24"/>
                <w:szCs w:val="24"/>
              </w:rPr>
              <w:t>international framework</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 SDG14.c</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Promoting regional fisheries management and cooperation in key ocean areas to fill regional ocean governance gaps</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SDG14.4</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Improving coordination and cooperation between international organisations and launching </w:t>
            </w:r>
            <w:r>
              <w:rPr>
                <w:rFonts w:ascii="Times New Roman" w:eastAsia="Calibri" w:hAnsi="Times New Roman" w:cs="Times New Roman"/>
                <w:noProof/>
                <w:sz w:val="24"/>
                <w:szCs w:val="24"/>
              </w:rPr>
              <w:t>ocean partnerships</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 14/ SDG14.c</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Capacity Building</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 14/ SDG14.a</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Ensuring the safety and security of seas and oceans</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w:t>
            </w:r>
          </w:p>
        </w:tc>
      </w:tr>
      <w:tr w:rsidR="00046CF8">
        <w:trPr>
          <w:trHeight w:val="943"/>
        </w:trPr>
        <w:tc>
          <w:tcPr>
            <w:tcW w:w="1559" w:type="dxa"/>
            <w:vMerge w:val="restart"/>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Reducing pressure on oceans and seas and creating the conditions for a sustainable blue economy</w:t>
            </w: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Implementing the COP21 Agree</w:t>
            </w:r>
            <w:r>
              <w:rPr>
                <w:rFonts w:ascii="Times New Roman" w:eastAsia="Calibri" w:hAnsi="Times New Roman" w:cs="Times New Roman"/>
                <w:noProof/>
                <w:sz w:val="24"/>
                <w:szCs w:val="24"/>
              </w:rPr>
              <w:t>ment and mitigating the impact of climate change on oceans, coastlines and ecosystems</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SDG14.3</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Fighting illegal fishing and strengthening the sustainable management of ocean food resources globally</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SDG14.4</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pStyle w:val="Text2"/>
              <w:keepNext/>
              <w:ind w:left="1134" w:hanging="1134"/>
              <w:rPr>
                <w:rFonts w:eastAsia="Calibri"/>
                <w:noProof/>
                <w:szCs w:val="24"/>
              </w:rPr>
            </w:pPr>
            <w:r>
              <w:rPr>
                <w:rFonts w:eastAsia="Calibri"/>
                <w:noProof/>
                <w:szCs w:val="24"/>
              </w:rPr>
              <w:t xml:space="preserve">Banning harmful fisheries subsidies </w:t>
            </w:r>
          </w:p>
        </w:tc>
        <w:tc>
          <w:tcPr>
            <w:tcW w:w="1842" w:type="dxa"/>
            <w:shd w:val="clear" w:color="auto" w:fill="auto"/>
          </w:tcPr>
          <w:p w:rsidR="00046CF8" w:rsidRDefault="003561C2">
            <w:pPr>
              <w:pStyle w:val="Text2"/>
              <w:keepNext/>
              <w:ind w:left="1134" w:hanging="1134"/>
              <w:rPr>
                <w:rFonts w:eastAsia="Calibri"/>
                <w:noProof/>
                <w:szCs w:val="24"/>
              </w:rPr>
            </w:pPr>
            <w:r>
              <w:rPr>
                <w:rFonts w:eastAsia="Calibri"/>
                <w:noProof/>
                <w:szCs w:val="24"/>
              </w:rPr>
              <w:t>SDG14.6</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Fighting marine litter and the ‘sea of plastic’</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SDG14.1</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Promoting maritime spatial planning (MSP) at global level</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SDG 14/ 14.2 </w:t>
            </w:r>
          </w:p>
        </w:tc>
      </w:tr>
      <w:tr w:rsidR="00046CF8">
        <w:trPr>
          <w:trHeight w:val="179"/>
        </w:trPr>
        <w:tc>
          <w:tcPr>
            <w:tcW w:w="1559" w:type="dxa"/>
            <w:vMerge/>
            <w:shd w:val="clear" w:color="auto" w:fill="auto"/>
          </w:tcPr>
          <w:p w:rsidR="00046CF8" w:rsidRDefault="00046CF8">
            <w:pPr>
              <w:spacing w:line="240" w:lineRule="auto"/>
              <w:rPr>
                <w:rFonts w:ascii="Times New Roman" w:eastAsia="Calibri" w:hAnsi="Times New Roman" w:cs="Times New Roman"/>
                <w:noProof/>
                <w:sz w:val="24"/>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Achieving the global target of conserving 10% of marine and coastal areas and promoting the effective management of MPAs</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w:t>
            </w:r>
            <w:r>
              <w:rPr>
                <w:rFonts w:ascii="Times New Roman" w:eastAsia="Calibri" w:hAnsi="Times New Roman" w:cs="Times New Roman"/>
                <w:noProof/>
                <w:sz w:val="24"/>
                <w:szCs w:val="24"/>
              </w:rPr>
              <w:t>14.5</w:t>
            </w:r>
          </w:p>
        </w:tc>
      </w:tr>
      <w:tr w:rsidR="00046CF8">
        <w:trPr>
          <w:trHeight w:val="712"/>
        </w:trPr>
        <w:tc>
          <w:tcPr>
            <w:tcW w:w="1559" w:type="dxa"/>
            <w:vMerge w:val="restart"/>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Strengthening international ocean research and data</w:t>
            </w: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Coherent EU strategy on ocean observation, data and marine accounting</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w:t>
            </w:r>
          </w:p>
        </w:tc>
      </w:tr>
      <w:tr w:rsidR="00046CF8">
        <w:trPr>
          <w:trHeight w:val="179"/>
        </w:trPr>
        <w:tc>
          <w:tcPr>
            <w:tcW w:w="1559" w:type="dxa"/>
            <w:vMerge/>
            <w:shd w:val="clear" w:color="auto" w:fill="auto"/>
          </w:tcPr>
          <w:p w:rsidR="00046CF8" w:rsidRDefault="00046CF8">
            <w:pPr>
              <w:pStyle w:val="Text2"/>
              <w:ind w:left="567" w:hanging="567"/>
              <w:rPr>
                <w:rFonts w:eastAsia="Calibri"/>
                <w:noProof/>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Strengthening investment in ‘blue’ science and innovation</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w:t>
            </w:r>
          </w:p>
        </w:tc>
      </w:tr>
      <w:tr w:rsidR="00046CF8">
        <w:trPr>
          <w:trHeight w:val="179"/>
        </w:trPr>
        <w:tc>
          <w:tcPr>
            <w:tcW w:w="1559" w:type="dxa"/>
            <w:vMerge/>
            <w:shd w:val="clear" w:color="auto" w:fill="auto"/>
          </w:tcPr>
          <w:p w:rsidR="00046CF8" w:rsidRDefault="00046CF8">
            <w:pPr>
              <w:pStyle w:val="Text2"/>
              <w:ind w:left="567" w:hanging="567"/>
              <w:rPr>
                <w:rFonts w:eastAsia="Calibri"/>
                <w:noProof/>
                <w:szCs w:val="24"/>
              </w:rPr>
            </w:pPr>
          </w:p>
        </w:tc>
        <w:tc>
          <w:tcPr>
            <w:tcW w:w="5529"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International ocean research, innovation and science </w:t>
            </w:r>
            <w:r>
              <w:rPr>
                <w:rFonts w:ascii="Times New Roman" w:eastAsia="Calibri" w:hAnsi="Times New Roman" w:cs="Times New Roman"/>
                <w:noProof/>
                <w:sz w:val="24"/>
                <w:szCs w:val="24"/>
              </w:rPr>
              <w:t>partnerships</w:t>
            </w:r>
          </w:p>
        </w:tc>
        <w:tc>
          <w:tcPr>
            <w:tcW w:w="1842" w:type="dxa"/>
            <w:shd w:val="clear" w:color="auto" w:fill="auto"/>
          </w:tcPr>
          <w:p w:rsidR="00046CF8" w:rsidRDefault="003561C2">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SDG14</w:t>
            </w:r>
          </w:p>
        </w:tc>
      </w:tr>
    </w:tbl>
    <w:p w:rsidR="00046CF8" w:rsidRDefault="00046CF8">
      <w:pPr>
        <w:rPr>
          <w:noProof/>
        </w:rPr>
      </w:pPr>
    </w:p>
    <w:p w:rsidR="00046CF8" w:rsidRDefault="003561C2">
      <w:pPr>
        <w:pStyle w:val="Heading1"/>
        <w:numPr>
          <w:ilvl w:val="0"/>
          <w:numId w:val="25"/>
        </w:numPr>
        <w:rPr>
          <w:noProof/>
        </w:rPr>
      </w:pPr>
      <w:bookmarkStart w:id="79" w:name="_Toc514503221"/>
      <w:bookmarkStart w:id="80" w:name="_Toc514507440"/>
      <w:r>
        <w:rPr>
          <w:noProof/>
        </w:rPr>
        <w:t>New Fisheries Local Action Groups Project Examples</w:t>
      </w:r>
      <w:r>
        <w:rPr>
          <w:rStyle w:val="FootnoteReference"/>
          <w:noProof/>
        </w:rPr>
        <w:footnoteReference w:id="95"/>
      </w:r>
      <w:bookmarkEnd w:id="79"/>
      <w:bookmarkEnd w:id="80"/>
    </w:p>
    <w:p w:rsidR="00046CF8" w:rsidRDefault="003561C2">
      <w:pPr>
        <w:pStyle w:val="NormalWeb"/>
        <w:jc w:val="both"/>
        <w:rPr>
          <w:noProof/>
        </w:rPr>
      </w:pPr>
      <w:r>
        <w:rPr>
          <w:rStyle w:val="Strong"/>
          <w:noProof/>
        </w:rPr>
        <w:t xml:space="preserve">1/ </w:t>
      </w:r>
      <w:hyperlink r:id="rId140" w:tgtFrame="_blank" w:history="1">
        <w:r>
          <w:rPr>
            <w:rStyle w:val="Hyperlink"/>
            <w:noProof/>
          </w:rPr>
          <w:t xml:space="preserve">Boosting a </w:t>
        </w:r>
        <w:r>
          <w:rPr>
            <w:rStyle w:val="Hyperlink"/>
            <w:noProof/>
          </w:rPr>
          <w:t>seaweed business on the Irish offshore Islands</w:t>
        </w:r>
      </w:hyperlink>
      <w:r>
        <w:rPr>
          <w:noProof/>
        </w:rPr>
        <w:t xml:space="preserve"> (West FLAG, Ireland)</w:t>
      </w:r>
    </w:p>
    <w:p w:rsidR="00046CF8" w:rsidRDefault="003561C2">
      <w:pPr>
        <w:pStyle w:val="NormalWeb"/>
        <w:jc w:val="both"/>
        <w:rPr>
          <w:noProof/>
        </w:rPr>
      </w:pPr>
      <w:r>
        <w:rPr>
          <w:rStyle w:val="Emphasis"/>
          <w:noProof/>
        </w:rPr>
        <w:t xml:space="preserve">West FLAG supports business development among some of the most marginalised and remote communities in the country, including offshore islands and native Irish speaking communities where a </w:t>
      </w:r>
      <w:r>
        <w:rPr>
          <w:rStyle w:val="Emphasis"/>
          <w:noProof/>
        </w:rPr>
        <w:t>seaweed company has grown from one to four employees.</w:t>
      </w:r>
    </w:p>
    <w:p w:rsidR="00046CF8" w:rsidRDefault="003561C2">
      <w:pPr>
        <w:pStyle w:val="NormalWeb"/>
        <w:jc w:val="both"/>
        <w:rPr>
          <w:noProof/>
        </w:rPr>
      </w:pPr>
      <w:r>
        <w:rPr>
          <w:rStyle w:val="Strong"/>
          <w:noProof/>
        </w:rPr>
        <w:t xml:space="preserve">2/ </w:t>
      </w:r>
      <w:hyperlink r:id="rId141" w:tgtFrame="_blank" w:history="1">
        <w:r>
          <w:rPr>
            <w:rStyle w:val="Hyperlink"/>
            <w:noProof/>
          </w:rPr>
          <w:t>Crushed shells and 3D printing</w:t>
        </w:r>
      </w:hyperlink>
      <w:r>
        <w:rPr>
          <w:noProof/>
        </w:rPr>
        <w:t xml:space="preserve"> (North Sardinia F</w:t>
      </w:r>
      <w:r>
        <w:rPr>
          <w:noProof/>
        </w:rPr>
        <w:t>LAG, Italy)</w:t>
      </w:r>
    </w:p>
    <w:p w:rsidR="00046CF8" w:rsidRDefault="003561C2">
      <w:pPr>
        <w:pStyle w:val="NormalWeb"/>
        <w:jc w:val="both"/>
        <w:rPr>
          <w:noProof/>
        </w:rPr>
      </w:pPr>
      <w:r>
        <w:rPr>
          <w:rStyle w:val="Emphasis"/>
          <w:noProof/>
        </w:rPr>
        <w:t xml:space="preserve">In Olbia, the northern area of Sardinia, the shells of mussels are no longer considered waste. With the help of the FLAG, local students and teachers are using crushed shells to create useful objects of all sorts, from moulds created by 3D </w:t>
      </w:r>
      <w:r>
        <w:rPr>
          <w:rStyle w:val="Emphasis"/>
          <w:noProof/>
        </w:rPr>
        <w:t>printing.</w:t>
      </w:r>
    </w:p>
    <w:p w:rsidR="00046CF8" w:rsidRDefault="003561C2">
      <w:pPr>
        <w:pStyle w:val="NormalWeb"/>
        <w:jc w:val="both"/>
        <w:rPr>
          <w:noProof/>
        </w:rPr>
      </w:pPr>
      <w:r>
        <w:rPr>
          <w:rStyle w:val="Strong"/>
          <w:noProof/>
        </w:rPr>
        <w:t xml:space="preserve">3/ </w:t>
      </w:r>
      <w:hyperlink r:id="rId142" w:history="1">
        <w:r>
          <w:rPr>
            <w:rStyle w:val="Hyperlink"/>
            <w:noProof/>
          </w:rPr>
          <w:t>Detecting toxic microalgae</w:t>
        </w:r>
      </w:hyperlink>
      <w:r>
        <w:rPr>
          <w:noProof/>
        </w:rPr>
        <w:t xml:space="preserve"> (Mediterranean Pyrenees FLAG, France)</w:t>
      </w:r>
    </w:p>
    <w:p w:rsidR="00046CF8" w:rsidRDefault="003561C2">
      <w:pPr>
        <w:pStyle w:val="NormalWeb"/>
        <w:jc w:val="both"/>
        <w:rPr>
          <w:noProof/>
        </w:rPr>
      </w:pPr>
      <w:r>
        <w:rPr>
          <w:rStyle w:val="Emphasis"/>
          <w:noProof/>
        </w:rPr>
        <w:t>Oyster farms on the Leucate lagoon are regu</w:t>
      </w:r>
      <w:r>
        <w:rPr>
          <w:rStyle w:val="Emphasis"/>
          <w:noProof/>
        </w:rPr>
        <w:t>larly affected by toxic phytoplankton, leading to economic losses. In search of a solution, shellfish farmers teamed up with a biotech start-up to test a new, quick and easy way to detect toxic marine microalgae and anticipate its proliferation.</w:t>
      </w:r>
    </w:p>
    <w:p w:rsidR="00046CF8" w:rsidRDefault="003561C2">
      <w:pPr>
        <w:pStyle w:val="NormalWeb"/>
        <w:jc w:val="both"/>
        <w:rPr>
          <w:noProof/>
        </w:rPr>
      </w:pPr>
      <w:r>
        <w:rPr>
          <w:rStyle w:val="Strong"/>
          <w:noProof/>
        </w:rPr>
        <w:t xml:space="preserve">4/ </w:t>
      </w:r>
      <w:hyperlink r:id="rId143" w:tgtFrame="_blank" w:history="1">
        <w:r>
          <w:rPr>
            <w:rStyle w:val="Hyperlink"/>
            <w:noProof/>
          </w:rPr>
          <w:t>Bisset's Fish Van</w:t>
        </w:r>
      </w:hyperlink>
      <w:r>
        <w:rPr>
          <w:noProof/>
        </w:rPr>
        <w:t xml:space="preserve"> (East Lothian, UK)</w:t>
      </w:r>
    </w:p>
    <w:p w:rsidR="00046CF8" w:rsidRDefault="003561C2">
      <w:pPr>
        <w:pStyle w:val="NormalWeb"/>
        <w:jc w:val="both"/>
        <w:rPr>
          <w:rStyle w:val="Emphasis"/>
          <w:noProof/>
        </w:rPr>
      </w:pPr>
      <w:r>
        <w:rPr>
          <w:rStyle w:val="Emphasis"/>
          <w:noProof/>
        </w:rPr>
        <w:t>Local fish delivered fresh to the doorstep as fisherman boosts the family business through dir</w:t>
      </w:r>
      <w:r>
        <w:rPr>
          <w:rStyle w:val="Emphasis"/>
          <w:noProof/>
        </w:rPr>
        <w:t xml:space="preserve">ect sales from FLAG funded van. </w:t>
      </w:r>
    </w:p>
    <w:p w:rsidR="00046CF8" w:rsidRDefault="00046CF8">
      <w:pPr>
        <w:rPr>
          <w:rFonts w:ascii="Times New Roman" w:eastAsia="Times New Roman" w:hAnsi="Times New Roman" w:cs="Times New Roman"/>
          <w:b/>
          <w:noProof/>
          <w:sz w:val="24"/>
          <w:szCs w:val="20"/>
        </w:rPr>
      </w:pPr>
    </w:p>
    <w:p w:rsidR="00046CF8" w:rsidRDefault="003561C2">
      <w:pPr>
        <w:rPr>
          <w:rFonts w:ascii="Times New Roman" w:eastAsia="Times New Roman" w:hAnsi="Times New Roman" w:cs="Times New Roman"/>
          <w:b/>
          <w:noProof/>
          <w:sz w:val="24"/>
          <w:szCs w:val="20"/>
        </w:rPr>
      </w:pPr>
      <w:r>
        <w:rPr>
          <w:noProof/>
        </w:rPr>
        <w:br w:type="page"/>
      </w:r>
    </w:p>
    <w:p w:rsidR="00046CF8" w:rsidRDefault="003561C2">
      <w:pPr>
        <w:pStyle w:val="Heading1"/>
        <w:numPr>
          <w:ilvl w:val="0"/>
          <w:numId w:val="25"/>
        </w:numPr>
        <w:rPr>
          <w:noProof/>
        </w:rPr>
      </w:pPr>
      <w:bookmarkStart w:id="81" w:name="_Toc514503222"/>
      <w:bookmarkStart w:id="82" w:name="_Toc514507441"/>
      <w:r>
        <w:rPr>
          <w:noProof/>
        </w:rPr>
        <w:t>Overview of the financial EMFF Implementation</w:t>
      </w:r>
      <w:bookmarkEnd w:id="81"/>
      <w:bookmarkEnd w:id="82"/>
    </w:p>
    <w:tbl>
      <w:tblPr>
        <w:tblW w:w="9034" w:type="dxa"/>
        <w:tblInd w:w="93" w:type="dxa"/>
        <w:tblLook w:val="04A0" w:firstRow="1" w:lastRow="0" w:firstColumn="1" w:lastColumn="0" w:noHBand="0" w:noVBand="1"/>
      </w:tblPr>
      <w:tblGrid>
        <w:gridCol w:w="724"/>
        <w:gridCol w:w="2552"/>
        <w:gridCol w:w="2551"/>
        <w:gridCol w:w="1559"/>
        <w:gridCol w:w="771"/>
        <w:gridCol w:w="877"/>
      </w:tblGrid>
      <w:tr w:rsidR="00046CF8">
        <w:trPr>
          <w:trHeight w:val="540"/>
        </w:trPr>
        <w:tc>
          <w:tcPr>
            <w:tcW w:w="9034" w:type="dxa"/>
            <w:gridSpan w:val="6"/>
            <w:tcBorders>
              <w:top w:val="single" w:sz="4" w:space="0" w:color="CCCCFF"/>
              <w:left w:val="single" w:sz="4" w:space="0" w:color="CCCCFF"/>
              <w:bottom w:val="single" w:sz="4" w:space="0" w:color="CCCCFF"/>
              <w:right w:val="single" w:sz="4" w:space="0" w:color="CCCCFF"/>
            </w:tcBorders>
            <w:shd w:val="clear" w:color="auto" w:fill="E5DFEC" w:themeFill="accent4" w:themeFillTint="33"/>
          </w:tcPr>
          <w:p w:rsidR="00046CF8" w:rsidRDefault="003561C2">
            <w:pPr>
              <w:spacing w:after="0" w:line="240" w:lineRule="auto"/>
              <w:jc w:val="center"/>
              <w:rPr>
                <w:rFonts w:ascii="Times New Roman" w:eastAsia="Times New Roman" w:hAnsi="Times New Roman" w:cs="Times New Roman"/>
                <w:b/>
                <w:bCs/>
                <w:noProof/>
                <w:color w:val="000000" w:themeColor="text1"/>
                <w:sz w:val="18"/>
                <w:szCs w:val="18"/>
                <w:lang w:eastAsia="en-GB"/>
              </w:rPr>
            </w:pPr>
            <w:r>
              <w:rPr>
                <w:rFonts w:ascii="Times New Roman" w:eastAsia="Times New Roman" w:hAnsi="Times New Roman" w:cs="Times New Roman"/>
                <w:b/>
                <w:bCs/>
                <w:noProof/>
                <w:color w:val="000000" w:themeColor="text1"/>
                <w:sz w:val="18"/>
                <w:szCs w:val="18"/>
                <w:lang w:eastAsia="en-GB"/>
              </w:rPr>
              <w:t xml:space="preserve">EMFF Financial Plan (section 8.2 of the OP) </w:t>
            </w:r>
          </w:p>
        </w:tc>
      </w:tr>
      <w:tr w:rsidR="00046CF8">
        <w:trPr>
          <w:trHeight w:val="927"/>
        </w:trPr>
        <w:tc>
          <w:tcPr>
            <w:tcW w:w="724" w:type="dxa"/>
            <w:tcBorders>
              <w:top w:val="single" w:sz="4" w:space="0" w:color="CCCCFF"/>
              <w:left w:val="single" w:sz="4" w:space="0" w:color="CCCCFF"/>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EU 27</w:t>
            </w:r>
          </w:p>
        </w:tc>
        <w:tc>
          <w:tcPr>
            <w:tcW w:w="2552"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 xml:space="preserve">Total public contribution </w:t>
            </w:r>
          </w:p>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(EUR)</w:t>
            </w:r>
          </w:p>
        </w:tc>
        <w:tc>
          <w:tcPr>
            <w:tcW w:w="2551"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EMFF contribution</w:t>
            </w:r>
          </w:p>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 xml:space="preserve"> (EUR)</w:t>
            </w:r>
          </w:p>
        </w:tc>
        <w:tc>
          <w:tcPr>
            <w:tcW w:w="1559"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National contribution</w:t>
            </w:r>
          </w:p>
        </w:tc>
        <w:tc>
          <w:tcPr>
            <w:tcW w:w="771"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EMFF %</w:t>
            </w:r>
          </w:p>
        </w:tc>
        <w:tc>
          <w:tcPr>
            <w:tcW w:w="877" w:type="dxa"/>
            <w:tcBorders>
              <w:top w:val="single" w:sz="4" w:space="0" w:color="CCCCFF"/>
              <w:left w:val="nil"/>
              <w:bottom w:val="single" w:sz="4" w:space="0" w:color="CCCCFF"/>
              <w:right w:val="single" w:sz="4" w:space="0" w:color="CCCCFF"/>
            </w:tcBorders>
            <w:shd w:val="clear" w:color="FFFFFF" w:fill="666699"/>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National %</w:t>
            </w:r>
          </w:p>
        </w:tc>
      </w:tr>
      <w:tr w:rsidR="00046CF8">
        <w:trPr>
          <w:trHeight w:val="314"/>
        </w:trPr>
        <w:tc>
          <w:tcPr>
            <w:tcW w:w="724"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EU 27</w:t>
            </w:r>
          </w:p>
        </w:tc>
        <w:tc>
          <w:tcPr>
            <w:tcW w:w="2552"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7.983.485.404</w:t>
            </w:r>
          </w:p>
        </w:tc>
        <w:tc>
          <w:tcPr>
            <w:tcW w:w="2551"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5.749.331.600</w:t>
            </w:r>
          </w:p>
        </w:tc>
        <w:tc>
          <w:tcPr>
            <w:tcW w:w="155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2.234.153.804</w:t>
            </w:r>
          </w:p>
        </w:tc>
        <w:tc>
          <w:tcPr>
            <w:tcW w:w="771"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72.02%</w:t>
            </w:r>
          </w:p>
        </w:tc>
        <w:tc>
          <w:tcPr>
            <w:tcW w:w="877" w:type="dxa"/>
            <w:tcBorders>
              <w:top w:val="nil"/>
              <w:left w:val="nil"/>
              <w:bottom w:val="single" w:sz="4" w:space="0" w:color="CCCCFF"/>
              <w:right w:val="single" w:sz="4" w:space="0" w:color="CCCCFF"/>
            </w:tcBorders>
            <w:shd w:val="clear" w:color="FFFFFF" w:fill="FFFFFF"/>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27.98%</w:t>
            </w:r>
          </w:p>
        </w:tc>
      </w:tr>
    </w:tbl>
    <w:p w:rsidR="00046CF8" w:rsidRDefault="00046CF8">
      <w:pPr>
        <w:jc w:val="center"/>
        <w:rPr>
          <w:rFonts w:ascii="Times New Roman" w:hAnsi="Times New Roman" w:cs="Times New Roman"/>
          <w:noProof/>
          <w:sz w:val="18"/>
          <w:szCs w:val="18"/>
        </w:rPr>
      </w:pPr>
    </w:p>
    <w:tbl>
      <w:tblPr>
        <w:tblW w:w="9248" w:type="dxa"/>
        <w:tblInd w:w="93" w:type="dxa"/>
        <w:tblLook w:val="04A0" w:firstRow="1" w:lastRow="0" w:firstColumn="1" w:lastColumn="0" w:noHBand="0" w:noVBand="1"/>
      </w:tblPr>
      <w:tblGrid>
        <w:gridCol w:w="1786"/>
        <w:gridCol w:w="3581"/>
        <w:gridCol w:w="3012"/>
        <w:gridCol w:w="869"/>
      </w:tblGrid>
      <w:tr w:rsidR="00046CF8">
        <w:trPr>
          <w:trHeight w:val="539"/>
        </w:trPr>
        <w:tc>
          <w:tcPr>
            <w:tcW w:w="9248" w:type="dxa"/>
            <w:gridSpan w:val="4"/>
            <w:tcBorders>
              <w:top w:val="single" w:sz="4" w:space="0" w:color="CCCCFF"/>
              <w:left w:val="single" w:sz="4" w:space="0" w:color="CCCCFF"/>
              <w:bottom w:val="single" w:sz="4" w:space="0" w:color="CCCCFF"/>
              <w:right w:val="single" w:sz="4" w:space="0" w:color="CCCCFF"/>
            </w:tcBorders>
            <w:shd w:val="clear" w:color="auto" w:fill="E5DFEC" w:themeFill="accent4" w:themeFillTint="33"/>
          </w:tcPr>
          <w:p w:rsidR="00046CF8" w:rsidRDefault="003561C2">
            <w:pPr>
              <w:spacing w:after="0" w:line="240" w:lineRule="auto"/>
              <w:jc w:val="center"/>
              <w:rPr>
                <w:rFonts w:ascii="Times New Roman" w:eastAsia="Times New Roman" w:hAnsi="Times New Roman" w:cs="Times New Roman"/>
                <w:b/>
                <w:bCs/>
                <w:noProof/>
                <w:color w:val="000000" w:themeColor="text1"/>
                <w:sz w:val="18"/>
                <w:szCs w:val="18"/>
                <w:lang w:eastAsia="en-GB"/>
              </w:rPr>
            </w:pPr>
            <w:r>
              <w:rPr>
                <w:rFonts w:ascii="Times New Roman" w:eastAsia="Times New Roman" w:hAnsi="Times New Roman" w:cs="Times New Roman"/>
                <w:b/>
                <w:bCs/>
                <w:noProof/>
                <w:color w:val="000000" w:themeColor="text1"/>
                <w:sz w:val="18"/>
                <w:szCs w:val="18"/>
                <w:lang w:eastAsia="en-GB"/>
              </w:rPr>
              <w:t xml:space="preserve">EMFF contribution per Union Priority </w:t>
            </w:r>
          </w:p>
        </w:tc>
      </w:tr>
      <w:tr w:rsidR="00046CF8">
        <w:trPr>
          <w:trHeight w:val="850"/>
        </w:trPr>
        <w:tc>
          <w:tcPr>
            <w:tcW w:w="1786" w:type="dxa"/>
            <w:tcBorders>
              <w:top w:val="single" w:sz="4" w:space="0" w:color="CCCCFF"/>
              <w:left w:val="single" w:sz="4" w:space="0" w:color="CCCCFF"/>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 xml:space="preserve">Union Priority </w:t>
            </w:r>
          </w:p>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(UP)</w:t>
            </w:r>
          </w:p>
        </w:tc>
        <w:tc>
          <w:tcPr>
            <w:tcW w:w="3581"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Union Priority Name</w:t>
            </w:r>
          </w:p>
        </w:tc>
        <w:tc>
          <w:tcPr>
            <w:tcW w:w="3012"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Total Contribution</w:t>
            </w:r>
          </w:p>
        </w:tc>
        <w:tc>
          <w:tcPr>
            <w:tcW w:w="869"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w:t>
            </w:r>
          </w:p>
        </w:tc>
      </w:tr>
      <w:tr w:rsidR="00046CF8">
        <w:trPr>
          <w:trHeight w:val="288"/>
        </w:trPr>
        <w:tc>
          <w:tcPr>
            <w:tcW w:w="1786"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w:t>
            </w:r>
          </w:p>
        </w:tc>
        <w:tc>
          <w:tcPr>
            <w:tcW w:w="3581"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Promoting environmentally sustainable, resource efficient, innovative, competitive and knowledge based </w:t>
            </w:r>
            <w:r>
              <w:rPr>
                <w:rFonts w:ascii="Times New Roman" w:eastAsia="Times New Roman" w:hAnsi="Times New Roman" w:cs="Times New Roman"/>
                <w:noProof/>
                <w:color w:val="000000"/>
                <w:sz w:val="18"/>
                <w:szCs w:val="18"/>
                <w:lang w:eastAsia="en-GB"/>
              </w:rPr>
              <w:t>fisheries</w:t>
            </w:r>
          </w:p>
        </w:tc>
        <w:tc>
          <w:tcPr>
            <w:tcW w:w="3012"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1,552,778,803</w:t>
            </w:r>
          </w:p>
        </w:tc>
        <w:tc>
          <w:tcPr>
            <w:tcW w:w="869"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27%</w:t>
            </w:r>
          </w:p>
        </w:tc>
      </w:tr>
      <w:tr w:rsidR="00046CF8">
        <w:trPr>
          <w:trHeight w:val="288"/>
        </w:trPr>
        <w:tc>
          <w:tcPr>
            <w:tcW w:w="1786"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w:t>
            </w:r>
          </w:p>
        </w:tc>
        <w:tc>
          <w:tcPr>
            <w:tcW w:w="3581"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Fostering environmentally sustainable, resource efficient, innovative, competitive and knowledge based aquaculture</w:t>
            </w:r>
          </w:p>
        </w:tc>
        <w:tc>
          <w:tcPr>
            <w:tcW w:w="3012"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1,198,667,887</w:t>
            </w:r>
          </w:p>
        </w:tc>
        <w:tc>
          <w:tcPr>
            <w:tcW w:w="869"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20.8%</w:t>
            </w:r>
          </w:p>
        </w:tc>
      </w:tr>
      <w:tr w:rsidR="00046CF8">
        <w:trPr>
          <w:trHeight w:val="594"/>
        </w:trPr>
        <w:tc>
          <w:tcPr>
            <w:tcW w:w="1786"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w:t>
            </w:r>
          </w:p>
        </w:tc>
        <w:tc>
          <w:tcPr>
            <w:tcW w:w="3581"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Fostering the implementation of the CFP</w:t>
            </w:r>
          </w:p>
        </w:tc>
        <w:tc>
          <w:tcPr>
            <w:tcW w:w="3012"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1,100,000,000</w:t>
            </w:r>
          </w:p>
        </w:tc>
        <w:tc>
          <w:tcPr>
            <w:tcW w:w="869"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19.1%</w:t>
            </w:r>
          </w:p>
        </w:tc>
      </w:tr>
      <w:tr w:rsidR="00046CF8">
        <w:trPr>
          <w:trHeight w:val="532"/>
        </w:trPr>
        <w:tc>
          <w:tcPr>
            <w:tcW w:w="1786"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w:t>
            </w:r>
          </w:p>
        </w:tc>
        <w:tc>
          <w:tcPr>
            <w:tcW w:w="3581"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Increasing employment </w:t>
            </w:r>
            <w:r>
              <w:rPr>
                <w:rFonts w:ascii="Times New Roman" w:eastAsia="Times New Roman" w:hAnsi="Times New Roman" w:cs="Times New Roman"/>
                <w:noProof/>
                <w:color w:val="000000"/>
                <w:sz w:val="18"/>
                <w:szCs w:val="18"/>
                <w:lang w:eastAsia="en-GB"/>
              </w:rPr>
              <w:t>and territorial cohesion</w:t>
            </w:r>
          </w:p>
        </w:tc>
        <w:tc>
          <w:tcPr>
            <w:tcW w:w="3012"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524,816,451</w:t>
            </w:r>
          </w:p>
        </w:tc>
        <w:tc>
          <w:tcPr>
            <w:tcW w:w="869"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9.1%</w:t>
            </w:r>
          </w:p>
        </w:tc>
      </w:tr>
      <w:tr w:rsidR="00046CF8">
        <w:trPr>
          <w:trHeight w:val="540"/>
        </w:trPr>
        <w:tc>
          <w:tcPr>
            <w:tcW w:w="1786"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w:t>
            </w:r>
          </w:p>
        </w:tc>
        <w:tc>
          <w:tcPr>
            <w:tcW w:w="3581"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Fostering marketing and processing</w:t>
            </w:r>
          </w:p>
        </w:tc>
        <w:tc>
          <w:tcPr>
            <w:tcW w:w="3012"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1,010,418,274</w:t>
            </w:r>
          </w:p>
        </w:tc>
        <w:tc>
          <w:tcPr>
            <w:tcW w:w="869"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17.6%</w:t>
            </w:r>
          </w:p>
        </w:tc>
      </w:tr>
      <w:tr w:rsidR="00046CF8">
        <w:trPr>
          <w:trHeight w:val="548"/>
        </w:trPr>
        <w:tc>
          <w:tcPr>
            <w:tcW w:w="1786"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w:t>
            </w:r>
          </w:p>
        </w:tc>
        <w:tc>
          <w:tcPr>
            <w:tcW w:w="3581"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Fostering the implementation of the Integrated Maritime Policy</w:t>
            </w:r>
          </w:p>
        </w:tc>
        <w:tc>
          <w:tcPr>
            <w:tcW w:w="3012"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71,055,600</w:t>
            </w:r>
          </w:p>
        </w:tc>
        <w:tc>
          <w:tcPr>
            <w:tcW w:w="869"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1.2%</w:t>
            </w:r>
          </w:p>
        </w:tc>
      </w:tr>
      <w:tr w:rsidR="00046CF8">
        <w:trPr>
          <w:trHeight w:val="528"/>
        </w:trPr>
        <w:tc>
          <w:tcPr>
            <w:tcW w:w="1786"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w:t>
            </w:r>
          </w:p>
        </w:tc>
        <w:tc>
          <w:tcPr>
            <w:tcW w:w="3581"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Technical assistance</w:t>
            </w:r>
          </w:p>
        </w:tc>
        <w:tc>
          <w:tcPr>
            <w:tcW w:w="3012" w:type="dxa"/>
            <w:tcBorders>
              <w:top w:val="nil"/>
              <w:left w:val="nil"/>
              <w:bottom w:val="single" w:sz="4" w:space="0" w:color="CCCCFF"/>
              <w:right w:val="single" w:sz="4" w:space="0" w:color="CCCCFF"/>
            </w:tcBorders>
            <w:shd w:val="clear" w:color="FFFFFF" w:fill="FFFFFF"/>
            <w:noWrap/>
            <w:vAlign w:val="center"/>
          </w:tcPr>
          <w:p w:rsidR="00046CF8" w:rsidRDefault="003561C2">
            <w:pPr>
              <w:jc w:val="center"/>
              <w:rPr>
                <w:rFonts w:ascii="Times New Roman" w:hAnsi="Times New Roman" w:cs="Times New Roman"/>
                <w:noProof/>
                <w:sz w:val="18"/>
                <w:szCs w:val="18"/>
              </w:rPr>
            </w:pPr>
            <w:r>
              <w:rPr>
                <w:rFonts w:ascii="Times New Roman" w:hAnsi="Times New Roman" w:cs="Times New Roman"/>
                <w:noProof/>
                <w:sz w:val="18"/>
                <w:szCs w:val="18"/>
              </w:rPr>
              <w:t>291,594,585</w:t>
            </w:r>
          </w:p>
        </w:tc>
        <w:tc>
          <w:tcPr>
            <w:tcW w:w="86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5.1%</w:t>
            </w:r>
          </w:p>
        </w:tc>
      </w:tr>
    </w:tbl>
    <w:p w:rsidR="00046CF8" w:rsidRDefault="00046CF8">
      <w:pPr>
        <w:jc w:val="center"/>
        <w:rPr>
          <w:rFonts w:ascii="Times New Roman" w:hAnsi="Times New Roman" w:cs="Times New Roman"/>
          <w:noProof/>
          <w:sz w:val="18"/>
          <w:szCs w:val="18"/>
        </w:rPr>
      </w:pPr>
    </w:p>
    <w:tbl>
      <w:tblPr>
        <w:tblW w:w="8379" w:type="dxa"/>
        <w:jc w:val="center"/>
        <w:tblLook w:val="04A0" w:firstRow="1" w:lastRow="0" w:firstColumn="1" w:lastColumn="0" w:noHBand="0" w:noVBand="1"/>
      </w:tblPr>
      <w:tblGrid>
        <w:gridCol w:w="1786"/>
        <w:gridCol w:w="3581"/>
        <w:gridCol w:w="3012"/>
      </w:tblGrid>
      <w:tr w:rsidR="00046CF8">
        <w:trPr>
          <w:trHeight w:val="448"/>
          <w:jc w:val="center"/>
        </w:trPr>
        <w:tc>
          <w:tcPr>
            <w:tcW w:w="8379" w:type="dxa"/>
            <w:gridSpan w:val="3"/>
            <w:tcBorders>
              <w:top w:val="single" w:sz="4" w:space="0" w:color="CCCCFF"/>
              <w:left w:val="single" w:sz="4" w:space="0" w:color="CCCCFF"/>
              <w:bottom w:val="single" w:sz="4" w:space="0" w:color="CCCCFF"/>
              <w:right w:val="single" w:sz="4" w:space="0" w:color="CCCCFF"/>
            </w:tcBorders>
            <w:shd w:val="clear" w:color="auto" w:fill="E5DFEC" w:themeFill="accent4" w:themeFillTint="33"/>
            <w:vAlign w:val="center"/>
          </w:tcPr>
          <w:p w:rsidR="00046CF8" w:rsidRDefault="003561C2">
            <w:pPr>
              <w:spacing w:after="0" w:line="240" w:lineRule="auto"/>
              <w:jc w:val="center"/>
              <w:rPr>
                <w:rFonts w:ascii="Times New Roman" w:eastAsia="Times New Roman" w:hAnsi="Times New Roman" w:cs="Times New Roman"/>
                <w:b/>
                <w:bCs/>
                <w:noProof/>
                <w:color w:val="000000" w:themeColor="text1"/>
                <w:sz w:val="18"/>
                <w:szCs w:val="18"/>
                <w:lang w:eastAsia="en-GB"/>
              </w:rPr>
            </w:pPr>
            <w:r>
              <w:rPr>
                <w:rFonts w:ascii="Times New Roman" w:eastAsia="Times New Roman" w:hAnsi="Times New Roman" w:cs="Times New Roman"/>
                <w:b/>
                <w:bCs/>
                <w:noProof/>
                <w:color w:val="000000" w:themeColor="text1"/>
                <w:sz w:val="18"/>
                <w:szCs w:val="18"/>
                <w:lang w:eastAsia="en-GB"/>
              </w:rPr>
              <w:t xml:space="preserve">Total EMFF allocation per </w:t>
            </w:r>
            <w:r>
              <w:rPr>
                <w:rFonts w:ascii="Times New Roman" w:eastAsia="Times New Roman" w:hAnsi="Times New Roman" w:cs="Times New Roman"/>
                <w:b/>
                <w:bCs/>
                <w:noProof/>
                <w:color w:val="000000" w:themeColor="text1"/>
                <w:sz w:val="18"/>
                <w:szCs w:val="18"/>
                <w:lang w:eastAsia="en-GB"/>
              </w:rPr>
              <w:t>Member State</w:t>
            </w:r>
          </w:p>
        </w:tc>
      </w:tr>
      <w:tr w:rsidR="00046CF8">
        <w:trPr>
          <w:trHeight w:val="694"/>
          <w:jc w:val="center"/>
        </w:trPr>
        <w:tc>
          <w:tcPr>
            <w:tcW w:w="1786" w:type="dxa"/>
            <w:tcBorders>
              <w:top w:val="single" w:sz="4" w:space="0" w:color="CCCCFF"/>
              <w:left w:val="single" w:sz="4" w:space="0" w:color="CCCCFF"/>
              <w:bottom w:val="single" w:sz="4" w:space="0" w:color="auto"/>
              <w:right w:val="single" w:sz="4" w:space="0" w:color="CCCCFF"/>
            </w:tcBorders>
            <w:shd w:val="clear" w:color="FFFFFF" w:fill="666699"/>
            <w:vAlign w:val="center"/>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Member State</w:t>
            </w:r>
          </w:p>
        </w:tc>
        <w:tc>
          <w:tcPr>
            <w:tcW w:w="3581" w:type="dxa"/>
            <w:tcBorders>
              <w:top w:val="single" w:sz="4" w:space="0" w:color="CCCCFF"/>
              <w:left w:val="nil"/>
              <w:bottom w:val="single" w:sz="4" w:space="0" w:color="auto"/>
              <w:right w:val="single" w:sz="4" w:space="0" w:color="CCCCFF"/>
            </w:tcBorders>
            <w:shd w:val="clear" w:color="FFFFFF" w:fill="666699"/>
            <w:vAlign w:val="center"/>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Programme</w:t>
            </w:r>
          </w:p>
        </w:tc>
        <w:tc>
          <w:tcPr>
            <w:tcW w:w="3012" w:type="dxa"/>
            <w:tcBorders>
              <w:top w:val="single" w:sz="4" w:space="0" w:color="CCCCFF"/>
              <w:left w:val="nil"/>
              <w:bottom w:val="single" w:sz="4" w:space="0" w:color="auto"/>
              <w:right w:val="single" w:sz="4" w:space="0" w:color="CCCCFF"/>
            </w:tcBorders>
            <w:shd w:val="clear" w:color="FFFFFF" w:fill="666699"/>
            <w:vAlign w:val="center"/>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Total allocation</w:t>
            </w:r>
          </w:p>
        </w:tc>
      </w:tr>
      <w:tr w:rsidR="00046CF8">
        <w:trPr>
          <w:trHeight w:val="409"/>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AT</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2014AT14MFOP001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6.965.000</w:t>
            </w:r>
          </w:p>
        </w:tc>
      </w:tr>
      <w:tr w:rsidR="00046CF8">
        <w:trPr>
          <w:trHeight w:val="437"/>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BE</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2014BE14MFOP001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41.746.051</w:t>
            </w:r>
          </w:p>
        </w:tc>
      </w:tr>
      <w:tr w:rsidR="00046CF8">
        <w:trPr>
          <w:trHeight w:val="437"/>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BG</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2014BG14MFOP001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88.066.622</w:t>
            </w:r>
          </w:p>
        </w:tc>
      </w:tr>
      <w:tr w:rsidR="00046CF8">
        <w:trPr>
          <w:trHeight w:val="437"/>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CY</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2014CY14MFOP001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39.715.209</w:t>
            </w:r>
          </w:p>
        </w:tc>
      </w:tr>
      <w:tr w:rsidR="00046CF8">
        <w:trPr>
          <w:trHeight w:val="288"/>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CZ</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2014CZ14MFOP001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31.108.015</w:t>
            </w:r>
          </w:p>
        </w:tc>
      </w:tr>
      <w:tr w:rsidR="00046CF8">
        <w:trPr>
          <w:trHeight w:val="462"/>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DE</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2014DE14MFOP001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219.596.276</w:t>
            </w:r>
          </w:p>
        </w:tc>
      </w:tr>
      <w:tr w:rsidR="00046CF8">
        <w:trPr>
          <w:trHeight w:val="412"/>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DK</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2014DK14MFOP001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208.355.420</w:t>
            </w:r>
          </w:p>
        </w:tc>
      </w:tr>
      <w:tr w:rsidR="00046CF8">
        <w:trPr>
          <w:trHeight w:val="39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EE</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2014EE14MFOP001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100.970.418</w:t>
            </w:r>
          </w:p>
        </w:tc>
      </w:tr>
      <w:tr w:rsidR="00046CF8">
        <w:trPr>
          <w:trHeight w:val="378"/>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ES</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2014ES14MFOP001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1.161.620.889</w:t>
            </w:r>
          </w:p>
        </w:tc>
      </w:tr>
      <w:tr w:rsidR="00046CF8">
        <w:trPr>
          <w:trHeight w:val="54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FI</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2014FI14MFOP001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74.393.168</w:t>
            </w:r>
          </w:p>
        </w:tc>
      </w:tr>
      <w:tr w:rsidR="00046CF8">
        <w:trPr>
          <w:trHeight w:val="54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FR</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2014FR14MFOP001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587.980.173</w:t>
            </w:r>
          </w:p>
        </w:tc>
      </w:tr>
      <w:tr w:rsidR="00046CF8">
        <w:trPr>
          <w:trHeight w:val="54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GR</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2014GR14MFOP001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388.777.914</w:t>
            </w:r>
          </w:p>
        </w:tc>
      </w:tr>
      <w:tr w:rsidR="00046CF8">
        <w:trPr>
          <w:trHeight w:val="603"/>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HR</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2014HR14MFOP001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252.643.138</w:t>
            </w:r>
          </w:p>
        </w:tc>
      </w:tr>
      <w:tr w:rsidR="00046CF8">
        <w:trPr>
          <w:trHeight w:val="57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HU</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2014HU14MFOP001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39.096.293</w:t>
            </w:r>
          </w:p>
        </w:tc>
      </w:tr>
      <w:tr w:rsidR="00046CF8">
        <w:trPr>
          <w:trHeight w:val="56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IE</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2014IE14MFOP001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147.601.979</w:t>
            </w:r>
          </w:p>
        </w:tc>
      </w:tr>
      <w:tr w:rsidR="00046CF8">
        <w:trPr>
          <w:trHeight w:val="567"/>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IT</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2014IT14MFOP001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537.262.559</w:t>
            </w:r>
          </w:p>
        </w:tc>
      </w:tr>
      <w:tr w:rsidR="00046CF8">
        <w:trPr>
          <w:trHeight w:val="562"/>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LT</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2014LT14MFOP001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63.432.222</w:t>
            </w:r>
          </w:p>
        </w:tc>
      </w:tr>
      <w:tr w:rsidR="00046CF8">
        <w:trPr>
          <w:trHeight w:val="54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LV</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2014LV14MFOP001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139.833.742</w:t>
            </w:r>
          </w:p>
        </w:tc>
      </w:tr>
      <w:tr w:rsidR="00046CF8">
        <w:trPr>
          <w:trHeight w:val="39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MT</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2014MT14MFOP001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22.627.422</w:t>
            </w:r>
          </w:p>
        </w:tc>
      </w:tr>
      <w:tr w:rsidR="00046CF8">
        <w:trPr>
          <w:trHeight w:val="584"/>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NL</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2014NL14MFOP001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101.523.244</w:t>
            </w:r>
          </w:p>
        </w:tc>
      </w:tr>
      <w:tr w:rsidR="00046CF8">
        <w:trPr>
          <w:trHeight w:val="564"/>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PL</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2014PL14MFOP001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531.219.456</w:t>
            </w:r>
          </w:p>
        </w:tc>
      </w:tr>
      <w:tr w:rsidR="00046CF8">
        <w:trPr>
          <w:trHeight w:val="352"/>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PT</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2014PT14MFOP001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392.485.464</w:t>
            </w:r>
          </w:p>
        </w:tc>
      </w:tr>
      <w:tr w:rsidR="00046CF8">
        <w:trPr>
          <w:trHeight w:val="344"/>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RO</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2014RO14MFOP001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168.421.371</w:t>
            </w:r>
          </w:p>
        </w:tc>
      </w:tr>
      <w:tr w:rsidR="00046CF8">
        <w:trPr>
          <w:trHeight w:val="450"/>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SE</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2014SE14MFOP001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120.156.004</w:t>
            </w:r>
          </w:p>
        </w:tc>
      </w:tr>
      <w:tr w:rsidR="00046CF8">
        <w:trPr>
          <w:trHeight w:val="344"/>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SI</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2014SI14MFOP001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24.809.114</w:t>
            </w:r>
          </w:p>
        </w:tc>
      </w:tr>
      <w:tr w:rsidR="00046CF8">
        <w:trPr>
          <w:trHeight w:val="366"/>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SK</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2014SK14MFOP001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15.785.000</w:t>
            </w:r>
          </w:p>
        </w:tc>
      </w:tr>
      <w:tr w:rsidR="00046CF8">
        <w:trPr>
          <w:trHeight w:val="421"/>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UK</w:t>
            </w: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2014UK14MFOP001</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243.139.437</w:t>
            </w:r>
          </w:p>
        </w:tc>
      </w:tr>
      <w:tr w:rsidR="00046CF8">
        <w:trPr>
          <w:trHeight w:val="271"/>
          <w:jc w:val="center"/>
        </w:trPr>
        <w:tc>
          <w:tcPr>
            <w:tcW w:w="1786"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046CF8">
            <w:pPr>
              <w:jc w:val="center"/>
              <w:rPr>
                <w:rFonts w:ascii="Times New Roman" w:hAnsi="Times New Roman" w:cs="Times New Roman"/>
                <w:noProof/>
                <w:color w:val="000000"/>
                <w:sz w:val="18"/>
                <w:szCs w:val="18"/>
              </w:rPr>
            </w:pPr>
          </w:p>
        </w:tc>
        <w:tc>
          <w:tcPr>
            <w:tcW w:w="3581"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noProof/>
                <w:color w:val="000000"/>
                <w:sz w:val="18"/>
                <w:szCs w:val="18"/>
              </w:rPr>
            </w:pPr>
            <w:r>
              <w:rPr>
                <w:rFonts w:ascii="Times New Roman" w:hAnsi="Times New Roman" w:cs="Times New Roman"/>
                <w:b/>
                <w:noProof/>
                <w:color w:val="000000"/>
                <w:sz w:val="18"/>
                <w:szCs w:val="18"/>
              </w:rPr>
              <w:t>27</w:t>
            </w:r>
          </w:p>
        </w:tc>
        <w:tc>
          <w:tcPr>
            <w:tcW w:w="3012" w:type="dxa"/>
            <w:tcBorders>
              <w:top w:val="single" w:sz="4" w:space="0" w:color="auto"/>
              <w:left w:val="single" w:sz="4" w:space="0" w:color="auto"/>
              <w:bottom w:val="single" w:sz="4" w:space="0" w:color="auto"/>
              <w:right w:val="single" w:sz="4" w:space="0" w:color="auto"/>
            </w:tcBorders>
            <w:shd w:val="clear" w:color="FFFFFF" w:fill="FFFFFF"/>
            <w:noWrap/>
            <w:vAlign w:val="bottom"/>
          </w:tcPr>
          <w:p w:rsidR="00046CF8" w:rsidRDefault="003561C2">
            <w:pPr>
              <w:jc w:val="center"/>
              <w:rPr>
                <w:rFonts w:ascii="Times New Roman" w:hAnsi="Times New Roman" w:cs="Times New Roman"/>
                <w:b/>
                <w:noProof/>
                <w:sz w:val="18"/>
                <w:szCs w:val="18"/>
              </w:rPr>
            </w:pPr>
            <w:r>
              <w:rPr>
                <w:rFonts w:ascii="Times New Roman" w:hAnsi="Times New Roman" w:cs="Times New Roman"/>
                <w:b/>
                <w:noProof/>
                <w:sz w:val="18"/>
                <w:szCs w:val="18"/>
              </w:rPr>
              <w:t>5.749.331.600</w:t>
            </w:r>
          </w:p>
        </w:tc>
      </w:tr>
    </w:tbl>
    <w:p w:rsidR="00046CF8" w:rsidRDefault="00046CF8">
      <w:pPr>
        <w:jc w:val="center"/>
        <w:rPr>
          <w:rFonts w:ascii="Times New Roman" w:hAnsi="Times New Roman" w:cs="Times New Roman"/>
          <w:noProof/>
          <w:sz w:val="18"/>
          <w:szCs w:val="18"/>
        </w:rPr>
      </w:pPr>
    </w:p>
    <w:tbl>
      <w:tblPr>
        <w:tblW w:w="9240" w:type="dxa"/>
        <w:tblInd w:w="93" w:type="dxa"/>
        <w:tblLook w:val="04A0" w:firstRow="1" w:lastRow="0" w:firstColumn="1" w:lastColumn="0" w:noHBand="0" w:noVBand="1"/>
      </w:tblPr>
      <w:tblGrid>
        <w:gridCol w:w="2260"/>
        <w:gridCol w:w="1620"/>
        <w:gridCol w:w="1060"/>
        <w:gridCol w:w="1620"/>
        <w:gridCol w:w="1060"/>
        <w:gridCol w:w="1620"/>
      </w:tblGrid>
      <w:tr w:rsidR="00046CF8">
        <w:trPr>
          <w:trHeight w:val="494"/>
        </w:trPr>
        <w:tc>
          <w:tcPr>
            <w:tcW w:w="9240" w:type="dxa"/>
            <w:gridSpan w:val="6"/>
            <w:tcBorders>
              <w:top w:val="single" w:sz="4" w:space="0" w:color="CCCCFF"/>
              <w:left w:val="single" w:sz="4" w:space="0" w:color="CCCCFF"/>
              <w:bottom w:val="single" w:sz="4" w:space="0" w:color="CCCCFF"/>
              <w:right w:val="single" w:sz="4" w:space="0" w:color="CCCCFF"/>
            </w:tcBorders>
            <w:shd w:val="clear" w:color="auto" w:fill="E5DFEC" w:themeFill="accent4" w:themeFillTint="33"/>
          </w:tcPr>
          <w:p w:rsidR="00046CF8" w:rsidRDefault="003561C2">
            <w:pPr>
              <w:spacing w:after="0" w:line="240" w:lineRule="auto"/>
              <w:jc w:val="center"/>
              <w:rPr>
                <w:rFonts w:ascii="Times New Roman" w:eastAsia="Times New Roman" w:hAnsi="Times New Roman" w:cs="Times New Roman"/>
                <w:b/>
                <w:bCs/>
                <w:noProof/>
                <w:color w:val="000000" w:themeColor="text1"/>
                <w:sz w:val="18"/>
                <w:szCs w:val="18"/>
                <w:lang w:eastAsia="en-GB"/>
              </w:rPr>
            </w:pPr>
            <w:r>
              <w:rPr>
                <w:rFonts w:ascii="Times New Roman" w:eastAsia="Times New Roman" w:hAnsi="Times New Roman" w:cs="Times New Roman"/>
                <w:b/>
                <w:bCs/>
                <w:noProof/>
                <w:color w:val="000000" w:themeColor="text1"/>
                <w:sz w:val="18"/>
                <w:szCs w:val="18"/>
                <w:lang w:eastAsia="en-GB"/>
              </w:rPr>
              <w:t>Payment claims per accounting period</w:t>
            </w:r>
          </w:p>
        </w:tc>
      </w:tr>
      <w:tr w:rsidR="00046CF8">
        <w:trPr>
          <w:trHeight w:val="885"/>
        </w:trPr>
        <w:tc>
          <w:tcPr>
            <w:tcW w:w="2260" w:type="dxa"/>
            <w:tcBorders>
              <w:top w:val="single" w:sz="4" w:space="0" w:color="CCCCFF"/>
              <w:left w:val="single" w:sz="4" w:space="0" w:color="CCCCFF"/>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Accounting Period</w:t>
            </w:r>
          </w:p>
        </w:tc>
        <w:tc>
          <w:tcPr>
            <w:tcW w:w="162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 Total Amount</w:t>
            </w:r>
            <w:r>
              <w:rPr>
                <w:rFonts w:ascii="Times New Roman" w:eastAsia="Times New Roman" w:hAnsi="Times New Roman" w:cs="Times New Roman"/>
                <w:b/>
                <w:bCs/>
                <w:noProof/>
                <w:color w:val="FFFFFF"/>
                <w:sz w:val="18"/>
                <w:szCs w:val="18"/>
                <w:lang w:eastAsia="en-GB"/>
              </w:rPr>
              <w:t xml:space="preserve"> (€)</w:t>
            </w:r>
          </w:p>
        </w:tc>
        <w:tc>
          <w:tcPr>
            <w:tcW w:w="106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vs</w:t>
            </w:r>
          </w:p>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Total EMFF</w:t>
            </w:r>
          </w:p>
        </w:tc>
        <w:tc>
          <w:tcPr>
            <w:tcW w:w="162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 Paid Amount (€)</w:t>
            </w:r>
          </w:p>
        </w:tc>
        <w:tc>
          <w:tcPr>
            <w:tcW w:w="106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Paid vs Total EMFF</w:t>
            </w:r>
          </w:p>
        </w:tc>
        <w:tc>
          <w:tcPr>
            <w:tcW w:w="162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 Withheld Amount (€)</w:t>
            </w:r>
          </w:p>
        </w:tc>
      </w:tr>
      <w:tr w:rsidR="00046CF8">
        <w:trPr>
          <w:trHeight w:val="300"/>
        </w:trPr>
        <w:tc>
          <w:tcPr>
            <w:tcW w:w="2260" w:type="dxa"/>
            <w:tcBorders>
              <w:top w:val="nil"/>
              <w:left w:val="single" w:sz="4" w:space="0" w:color="CCCCFF"/>
              <w:bottom w:val="single" w:sz="4" w:space="0" w:color="CCCCFF"/>
              <w:right w:val="single" w:sz="4" w:space="0" w:color="CCCCFF"/>
            </w:tcBorders>
            <w:shd w:val="clear" w:color="FFFFFF" w:fill="FFFFFF"/>
            <w:noWrap/>
            <w:vAlign w:val="center"/>
            <w:hideMark/>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01/07/2015 - 30/06/2016</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9.937.955,08</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0,17%</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8.944.159,57</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0,16%</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r>
      <w:tr w:rsidR="00046CF8">
        <w:trPr>
          <w:trHeight w:val="300"/>
        </w:trPr>
        <w:tc>
          <w:tcPr>
            <w:tcW w:w="2260" w:type="dxa"/>
            <w:tcBorders>
              <w:top w:val="nil"/>
              <w:left w:val="single" w:sz="4" w:space="0" w:color="CCCCFF"/>
              <w:bottom w:val="single" w:sz="4" w:space="0" w:color="CCCCFF"/>
              <w:right w:val="single" w:sz="4" w:space="0" w:color="CCCCFF"/>
            </w:tcBorders>
            <w:shd w:val="clear" w:color="FFFFFF" w:fill="FFFFFF"/>
            <w:noWrap/>
            <w:vAlign w:val="center"/>
            <w:hideMark/>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01/07/2016 - 30/06/2017</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84.744.834,71</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1,47%</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76.270.351,21</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1,33%</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8.474.483,50</w:t>
            </w:r>
          </w:p>
        </w:tc>
      </w:tr>
      <w:tr w:rsidR="00046CF8">
        <w:trPr>
          <w:trHeight w:val="300"/>
        </w:trPr>
        <w:tc>
          <w:tcPr>
            <w:tcW w:w="2260" w:type="dxa"/>
            <w:tcBorders>
              <w:top w:val="nil"/>
              <w:left w:val="single" w:sz="4" w:space="0" w:color="CCCCFF"/>
              <w:bottom w:val="single" w:sz="4" w:space="0" w:color="CCCCFF"/>
              <w:right w:val="single" w:sz="4" w:space="0" w:color="CCCCFF"/>
            </w:tcBorders>
            <w:shd w:val="clear" w:color="FFFFFF" w:fill="FFFFFF"/>
            <w:noWrap/>
            <w:vAlign w:val="center"/>
            <w:hideMark/>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01/07/2017 - 30/06/2018</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145.246.905,54</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2,53%</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117.683.797,39</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2,05%</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14.261.108,68</w:t>
            </w:r>
          </w:p>
        </w:tc>
      </w:tr>
      <w:tr w:rsidR="00046CF8">
        <w:trPr>
          <w:trHeight w:val="360"/>
        </w:trPr>
        <w:tc>
          <w:tcPr>
            <w:tcW w:w="2260" w:type="dxa"/>
            <w:tcBorders>
              <w:top w:val="nil"/>
              <w:left w:val="single" w:sz="4" w:space="0" w:color="CCCCFF"/>
              <w:bottom w:val="single" w:sz="4" w:space="0" w:color="CCCCFF"/>
              <w:right w:val="single" w:sz="4" w:space="0" w:color="CCCCFF"/>
            </w:tcBorders>
            <w:shd w:val="clear" w:color="FFFFFF" w:fill="FFFFFF"/>
            <w:noWrap/>
            <w:vAlign w:val="center"/>
            <w:hideMark/>
          </w:tcPr>
          <w:p w:rsidR="00046CF8" w:rsidRDefault="003561C2">
            <w:pPr>
              <w:spacing w:after="0" w:line="240" w:lineRule="auto"/>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Total</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239.929.695,33</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4,17%</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202.898.308,17</w:t>
            </w:r>
          </w:p>
        </w:tc>
        <w:tc>
          <w:tcPr>
            <w:tcW w:w="106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3,53%</w:t>
            </w:r>
          </w:p>
        </w:tc>
        <w:tc>
          <w:tcPr>
            <w:tcW w:w="1620" w:type="dxa"/>
            <w:tcBorders>
              <w:top w:val="nil"/>
              <w:left w:val="nil"/>
              <w:bottom w:val="single" w:sz="4" w:space="0" w:color="CCCCFF"/>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22.735.592,18</w:t>
            </w:r>
          </w:p>
        </w:tc>
      </w:tr>
    </w:tbl>
    <w:p w:rsidR="00046CF8" w:rsidRDefault="00046CF8">
      <w:pPr>
        <w:rPr>
          <w:noProof/>
        </w:rPr>
      </w:pPr>
    </w:p>
    <w:tbl>
      <w:tblPr>
        <w:tblW w:w="9240" w:type="dxa"/>
        <w:tblInd w:w="93" w:type="dxa"/>
        <w:tblLook w:val="04A0" w:firstRow="1" w:lastRow="0" w:firstColumn="1" w:lastColumn="0" w:noHBand="0" w:noVBand="1"/>
      </w:tblPr>
      <w:tblGrid>
        <w:gridCol w:w="1291"/>
        <w:gridCol w:w="2589"/>
        <w:gridCol w:w="1060"/>
        <w:gridCol w:w="1620"/>
        <w:gridCol w:w="1060"/>
        <w:gridCol w:w="1620"/>
      </w:tblGrid>
      <w:tr w:rsidR="00046CF8">
        <w:trPr>
          <w:trHeight w:val="494"/>
        </w:trPr>
        <w:tc>
          <w:tcPr>
            <w:tcW w:w="9240" w:type="dxa"/>
            <w:gridSpan w:val="6"/>
            <w:tcBorders>
              <w:top w:val="single" w:sz="4" w:space="0" w:color="CCCCFF"/>
              <w:left w:val="single" w:sz="4" w:space="0" w:color="CCCCFF"/>
              <w:bottom w:val="single" w:sz="4" w:space="0" w:color="CCCCFF"/>
              <w:right w:val="single" w:sz="4" w:space="0" w:color="CCCCFF"/>
            </w:tcBorders>
            <w:shd w:val="clear" w:color="auto" w:fill="E5DFEC" w:themeFill="accent4" w:themeFillTint="33"/>
          </w:tcPr>
          <w:p w:rsidR="00046CF8" w:rsidRDefault="003561C2">
            <w:pPr>
              <w:spacing w:after="0" w:line="240" w:lineRule="auto"/>
              <w:jc w:val="center"/>
              <w:rPr>
                <w:rFonts w:ascii="Times New Roman" w:eastAsia="Times New Roman" w:hAnsi="Times New Roman" w:cs="Times New Roman"/>
                <w:b/>
                <w:bCs/>
                <w:noProof/>
                <w:color w:val="000000" w:themeColor="text1"/>
                <w:sz w:val="18"/>
                <w:szCs w:val="18"/>
                <w:lang w:eastAsia="en-GB"/>
              </w:rPr>
            </w:pPr>
            <w:r>
              <w:rPr>
                <w:rFonts w:ascii="Times New Roman" w:eastAsia="Times New Roman" w:hAnsi="Times New Roman" w:cs="Times New Roman"/>
                <w:b/>
                <w:bCs/>
                <w:noProof/>
                <w:color w:val="000000" w:themeColor="text1"/>
                <w:sz w:val="18"/>
                <w:szCs w:val="18"/>
                <w:lang w:eastAsia="en-GB"/>
              </w:rPr>
              <w:t>Payment claims per Member State and for all accounting periods</w:t>
            </w:r>
          </w:p>
        </w:tc>
      </w:tr>
      <w:tr w:rsidR="00046CF8">
        <w:trPr>
          <w:trHeight w:val="885"/>
        </w:trPr>
        <w:tc>
          <w:tcPr>
            <w:tcW w:w="1291" w:type="dxa"/>
            <w:tcBorders>
              <w:top w:val="single" w:sz="4" w:space="0" w:color="CCCCFF"/>
              <w:left w:val="single" w:sz="4" w:space="0" w:color="CCCCFF"/>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Member State</w:t>
            </w:r>
          </w:p>
        </w:tc>
        <w:tc>
          <w:tcPr>
            <w:tcW w:w="2589"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 Total Amount (€)</w:t>
            </w:r>
          </w:p>
        </w:tc>
        <w:tc>
          <w:tcPr>
            <w:tcW w:w="106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vs</w:t>
            </w:r>
          </w:p>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Total EMFF</w:t>
            </w:r>
          </w:p>
        </w:tc>
        <w:tc>
          <w:tcPr>
            <w:tcW w:w="162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 Paid Amount (€)</w:t>
            </w:r>
          </w:p>
        </w:tc>
        <w:tc>
          <w:tcPr>
            <w:tcW w:w="106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Paid vs Total EMFF</w:t>
            </w:r>
          </w:p>
        </w:tc>
        <w:tc>
          <w:tcPr>
            <w:tcW w:w="1620" w:type="dxa"/>
            <w:tcBorders>
              <w:top w:val="single" w:sz="4" w:space="0" w:color="CCCCFF"/>
              <w:left w:val="nil"/>
              <w:bottom w:val="single" w:sz="4" w:space="0" w:color="CCCCFF"/>
              <w:right w:val="single" w:sz="4" w:space="0" w:color="CCCCFF"/>
            </w:tcBorders>
            <w:shd w:val="clear" w:color="FFFFFF" w:fill="666699"/>
            <w:hideMark/>
          </w:tcPr>
          <w:p w:rsidR="00046CF8" w:rsidRDefault="003561C2">
            <w:pPr>
              <w:spacing w:after="0" w:line="240" w:lineRule="auto"/>
              <w:jc w:val="center"/>
              <w:rPr>
                <w:rFonts w:ascii="Times New Roman" w:eastAsia="Times New Roman" w:hAnsi="Times New Roman" w:cs="Times New Roman"/>
                <w:b/>
                <w:bCs/>
                <w:noProof/>
                <w:color w:val="FFFFFF"/>
                <w:sz w:val="18"/>
                <w:szCs w:val="18"/>
                <w:lang w:eastAsia="en-GB"/>
              </w:rPr>
            </w:pPr>
            <w:r>
              <w:rPr>
                <w:rFonts w:ascii="Times New Roman" w:eastAsia="Times New Roman" w:hAnsi="Times New Roman" w:cs="Times New Roman"/>
                <w:b/>
                <w:bCs/>
                <w:noProof/>
                <w:color w:val="FFFFFF"/>
                <w:sz w:val="18"/>
                <w:szCs w:val="18"/>
                <w:lang w:eastAsia="en-GB"/>
              </w:rPr>
              <w:t>Cost Claim - Withheld Amount (€)</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AT</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470.432,63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423.389,37</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38.113,42</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BE</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2.677.876,12</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2.410.088,51</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267.787,61</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BG</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CY</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1.826.803,99</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1.644.123,59</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24.680,40</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CZ</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1.720.589,27</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1.548.530,34</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172.058,93</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DE</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23.184.215.90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20.865.794,31</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2.318.421,59</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DK</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29.331.535,15</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bottom"/>
          </w:tcPr>
          <w:p w:rsidR="00046CF8" w:rsidRDefault="003561C2">
            <w:pPr>
              <w:spacing w:after="0"/>
              <w:jc w:val="right"/>
              <w:rPr>
                <w:rFonts w:ascii="Times New Roman" w:hAnsi="Times New Roman" w:cs="Times New Roman"/>
                <w:bCs/>
                <w:noProof/>
                <w:color w:val="000000"/>
                <w:sz w:val="18"/>
                <w:szCs w:val="18"/>
              </w:rPr>
            </w:pPr>
            <w:r>
              <w:rPr>
                <w:rFonts w:ascii="Times New Roman" w:hAnsi="Times New Roman" w:cs="Times New Roman"/>
                <w:bCs/>
                <w:noProof/>
                <w:color w:val="000000"/>
                <w:sz w:val="18"/>
                <w:szCs w:val="18"/>
              </w:rPr>
              <w:t>26.398.381,63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2.933.153,52</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EE</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13.953.076,27</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8.573.093,81</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1.292.199,52</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ES</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12.686.093,57</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11.417.484,21</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1.268.609,36</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FI</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11.109.917,50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9.998.925,75</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642,932.75</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FR</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28.230.864,95</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19.204.321,32</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2.823.086,50</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GR</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788.987,79</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309.602,40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78.889,78</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HR</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IE</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21.218.763,11</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16.724.649,82</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1.858.294,42</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LT</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6.069.930,92</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5.462.937,83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606.993,09</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LV</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15.497.194,50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13.947.475,04</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1.294.020,91</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MT</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583.793,48</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525.414,13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58.379,35</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NL</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934.218,57</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840.796,71</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93.421,86</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PT</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28.742.488,56</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25.868.239,70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2.874.248,86</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RO</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12.237.474,84</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11.013.727,36</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1.223.747,48</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SE</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2.549.061,15</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2.294.155,03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254.906,12</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SI</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668.031,63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523.585,43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66.803,16</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SK</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0.00</w:t>
            </w:r>
          </w:p>
        </w:tc>
      </w:tr>
      <w:tr w:rsidR="00046CF8">
        <w:trPr>
          <w:trHeight w:val="300"/>
        </w:trPr>
        <w:tc>
          <w:tcPr>
            <w:tcW w:w="1291" w:type="dxa"/>
            <w:tcBorders>
              <w:top w:val="nil"/>
              <w:left w:val="single" w:sz="4" w:space="0" w:color="CCCCFF"/>
              <w:bottom w:val="single" w:sz="4" w:space="0" w:color="CCCCFF"/>
              <w:right w:val="single" w:sz="4" w:space="0" w:color="CCCCFF"/>
            </w:tcBorders>
            <w:shd w:val="clear" w:color="FFFFFF" w:fill="FFFFFF"/>
            <w:noWrap/>
            <w:vAlign w:val="center"/>
          </w:tcPr>
          <w:p w:rsidR="00046CF8" w:rsidRDefault="003561C2">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UK</w:t>
            </w:r>
          </w:p>
        </w:tc>
        <w:tc>
          <w:tcPr>
            <w:tcW w:w="2589"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25.448.435.,43</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22.903.591,88</w:t>
            </w:r>
          </w:p>
        </w:tc>
        <w:tc>
          <w:tcPr>
            <w:tcW w:w="1060" w:type="dxa"/>
            <w:tcBorders>
              <w:top w:val="nil"/>
              <w:left w:val="nil"/>
              <w:bottom w:val="single" w:sz="4" w:space="0" w:color="CCCCFF"/>
              <w:right w:val="single" w:sz="4" w:space="0" w:color="CCCCFF"/>
            </w:tcBorders>
            <w:shd w:val="clear" w:color="FFFFFF" w:fill="FFFFFF"/>
            <w:noWrap/>
            <w:vAlign w:val="center"/>
          </w:tcPr>
          <w:p w:rsidR="00046CF8" w:rsidRDefault="00046CF8">
            <w:pPr>
              <w:spacing w:after="0" w:line="240" w:lineRule="auto"/>
              <w:jc w:val="right"/>
              <w:rPr>
                <w:rFonts w:ascii="Times New Roman" w:eastAsia="Times New Roman" w:hAnsi="Times New Roman" w:cs="Times New Roman"/>
                <w:noProof/>
                <w:color w:val="000000"/>
                <w:sz w:val="18"/>
                <w:szCs w:val="18"/>
                <w:lang w:eastAsia="en-GB"/>
              </w:rPr>
            </w:pPr>
          </w:p>
        </w:tc>
        <w:tc>
          <w:tcPr>
            <w:tcW w:w="1620" w:type="dxa"/>
            <w:tcBorders>
              <w:top w:val="nil"/>
              <w:left w:val="nil"/>
              <w:bottom w:val="single" w:sz="4" w:space="0" w:color="CCCCFF"/>
              <w:right w:val="single" w:sz="4" w:space="0" w:color="CCCCFF"/>
            </w:tcBorders>
            <w:shd w:val="clear" w:color="FFFFFF" w:fill="FFFFFF"/>
            <w:noWrap/>
            <w:vAlign w:val="center"/>
          </w:tcPr>
          <w:p w:rsidR="00046CF8" w:rsidRDefault="003561C2">
            <w:pPr>
              <w:spacing w:after="0" w:line="240" w:lineRule="auto"/>
              <w:jc w:val="righ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2.544.843,55</w:t>
            </w:r>
          </w:p>
        </w:tc>
      </w:tr>
      <w:tr w:rsidR="00046CF8">
        <w:trPr>
          <w:trHeight w:val="360"/>
        </w:trPr>
        <w:tc>
          <w:tcPr>
            <w:tcW w:w="1291" w:type="dxa"/>
            <w:tcBorders>
              <w:top w:val="nil"/>
              <w:left w:val="single" w:sz="4" w:space="0" w:color="CCCCFF"/>
              <w:bottom w:val="nil"/>
              <w:right w:val="single" w:sz="4" w:space="0" w:color="CCCCFF"/>
            </w:tcBorders>
            <w:shd w:val="clear" w:color="FFFFFF" w:fill="FFFFFF"/>
            <w:noWrap/>
            <w:vAlign w:val="center"/>
          </w:tcPr>
          <w:p w:rsidR="00046CF8" w:rsidRDefault="00046CF8">
            <w:pPr>
              <w:spacing w:after="0" w:line="240" w:lineRule="auto"/>
              <w:rPr>
                <w:rFonts w:ascii="Times New Roman" w:eastAsia="Times New Roman" w:hAnsi="Times New Roman" w:cs="Times New Roman"/>
                <w:b/>
                <w:bCs/>
                <w:noProof/>
                <w:color w:val="000000"/>
                <w:sz w:val="18"/>
                <w:szCs w:val="18"/>
                <w:lang w:eastAsia="en-GB"/>
              </w:rPr>
            </w:pPr>
          </w:p>
        </w:tc>
        <w:tc>
          <w:tcPr>
            <w:tcW w:w="2589" w:type="dxa"/>
            <w:tcBorders>
              <w:top w:val="nil"/>
              <w:left w:val="nil"/>
              <w:bottom w:val="nil"/>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239.929.695,33</w:t>
            </w:r>
          </w:p>
        </w:tc>
        <w:tc>
          <w:tcPr>
            <w:tcW w:w="1060" w:type="dxa"/>
            <w:tcBorders>
              <w:top w:val="nil"/>
              <w:left w:val="nil"/>
              <w:bottom w:val="nil"/>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4,17%</w:t>
            </w:r>
          </w:p>
        </w:tc>
        <w:tc>
          <w:tcPr>
            <w:tcW w:w="1620" w:type="dxa"/>
            <w:tcBorders>
              <w:top w:val="nil"/>
              <w:left w:val="nil"/>
              <w:bottom w:val="nil"/>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202.898.308,17</w:t>
            </w:r>
          </w:p>
        </w:tc>
        <w:tc>
          <w:tcPr>
            <w:tcW w:w="1060" w:type="dxa"/>
            <w:tcBorders>
              <w:top w:val="nil"/>
              <w:left w:val="nil"/>
              <w:bottom w:val="nil"/>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3,53%</w:t>
            </w:r>
          </w:p>
        </w:tc>
        <w:tc>
          <w:tcPr>
            <w:tcW w:w="1620" w:type="dxa"/>
            <w:tcBorders>
              <w:top w:val="nil"/>
              <w:left w:val="nil"/>
              <w:bottom w:val="nil"/>
              <w:right w:val="single" w:sz="4" w:space="0" w:color="CCCCFF"/>
            </w:tcBorders>
            <w:shd w:val="clear" w:color="FFFFFF" w:fill="FFFFFF"/>
            <w:noWrap/>
            <w:vAlign w:val="center"/>
            <w:hideMark/>
          </w:tcPr>
          <w:p w:rsidR="00046CF8" w:rsidRDefault="003561C2">
            <w:pPr>
              <w:spacing w:after="0" w:line="240" w:lineRule="auto"/>
              <w:jc w:val="right"/>
              <w:rPr>
                <w:rFonts w:ascii="Times New Roman" w:eastAsia="Times New Roman" w:hAnsi="Times New Roman" w:cs="Times New Roman"/>
                <w:b/>
                <w:bCs/>
                <w:noProof/>
                <w:color w:val="000000"/>
                <w:sz w:val="18"/>
                <w:szCs w:val="18"/>
                <w:lang w:eastAsia="en-GB"/>
              </w:rPr>
            </w:pPr>
            <w:r>
              <w:rPr>
                <w:rFonts w:ascii="Times New Roman" w:eastAsia="Times New Roman" w:hAnsi="Times New Roman" w:cs="Times New Roman"/>
                <w:b/>
                <w:bCs/>
                <w:noProof/>
                <w:color w:val="000000"/>
                <w:sz w:val="18"/>
                <w:szCs w:val="18"/>
                <w:lang w:eastAsia="en-GB"/>
              </w:rPr>
              <w:t>22.735.592,18</w:t>
            </w:r>
          </w:p>
        </w:tc>
      </w:tr>
    </w:tbl>
    <w:p w:rsidR="00046CF8" w:rsidRDefault="00046CF8">
      <w:pPr>
        <w:jc w:val="center"/>
        <w:rPr>
          <w:rFonts w:ascii="Times New Roman" w:hAnsi="Times New Roman" w:cs="Times New Roman"/>
          <w:noProof/>
          <w:sz w:val="18"/>
          <w:szCs w:val="18"/>
        </w:rPr>
      </w:pPr>
    </w:p>
    <w:p w:rsidR="00046CF8" w:rsidRDefault="00046CF8">
      <w:pPr>
        <w:jc w:val="center"/>
        <w:rPr>
          <w:rFonts w:ascii="Times New Roman" w:hAnsi="Times New Roman" w:cs="Times New Roman"/>
          <w:noProof/>
          <w:sz w:val="18"/>
          <w:szCs w:val="18"/>
        </w:rPr>
      </w:pPr>
    </w:p>
    <w:p w:rsidR="00046CF8" w:rsidRDefault="00046CF8">
      <w:pPr>
        <w:jc w:val="center"/>
        <w:rPr>
          <w:rFonts w:ascii="Times New Roman" w:hAnsi="Times New Roman" w:cs="Times New Roman"/>
          <w:noProof/>
          <w:sz w:val="18"/>
          <w:szCs w:val="18"/>
        </w:rPr>
      </w:pPr>
    </w:p>
    <w:p w:rsidR="00046CF8" w:rsidRDefault="00046CF8">
      <w:pPr>
        <w:jc w:val="center"/>
        <w:rPr>
          <w:rFonts w:ascii="Times New Roman" w:hAnsi="Times New Roman" w:cs="Times New Roman"/>
          <w:noProof/>
          <w:sz w:val="18"/>
          <w:szCs w:val="18"/>
        </w:rPr>
      </w:pPr>
    </w:p>
    <w:p w:rsidR="00046CF8" w:rsidRDefault="003561C2">
      <w:pPr>
        <w:rPr>
          <w:noProof/>
        </w:rPr>
      </w:pPr>
      <w:r>
        <w:rPr>
          <w:noProof/>
          <w:lang w:eastAsia="en-GB"/>
        </w:rPr>
        <w:drawing>
          <wp:inline distT="0" distB="0" distL="0" distR="0">
            <wp:extent cx="5742878" cy="3735658"/>
            <wp:effectExtent l="0" t="0" r="10795" b="17780"/>
            <wp:docPr id="71"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046CF8" w:rsidRDefault="00046CF8">
      <w:pPr>
        <w:rPr>
          <w:noProof/>
        </w:rPr>
      </w:pPr>
    </w:p>
    <w:p w:rsidR="00046CF8" w:rsidRDefault="00046CF8">
      <w:pPr>
        <w:rPr>
          <w:noProof/>
        </w:rPr>
      </w:pPr>
    </w:p>
    <w:p w:rsidR="00046CF8" w:rsidRDefault="00046CF8">
      <w:pPr>
        <w:rPr>
          <w:noProof/>
        </w:rPr>
      </w:pPr>
    </w:p>
    <w:p w:rsidR="00046CF8" w:rsidRDefault="00046CF8">
      <w:pPr>
        <w:rPr>
          <w:noProof/>
        </w:rPr>
      </w:pPr>
    </w:p>
    <w:p w:rsidR="00046CF8" w:rsidRDefault="00046CF8">
      <w:pPr>
        <w:rPr>
          <w:noProof/>
        </w:rPr>
      </w:pPr>
    </w:p>
    <w:p w:rsidR="00046CF8" w:rsidRDefault="00046CF8">
      <w:pPr>
        <w:rPr>
          <w:noProof/>
        </w:rPr>
      </w:pPr>
    </w:p>
    <w:p w:rsidR="00046CF8" w:rsidRDefault="00046CF8">
      <w:pPr>
        <w:rPr>
          <w:noProof/>
        </w:rPr>
      </w:pPr>
    </w:p>
    <w:p w:rsidR="00046CF8" w:rsidRDefault="00046CF8">
      <w:pPr>
        <w:spacing w:after="0"/>
        <w:jc w:val="both"/>
        <w:rPr>
          <w:rFonts w:ascii="Times New Roman" w:hAnsi="Times New Roman" w:cs="Times New Roman"/>
          <w:noProof/>
          <w:sz w:val="20"/>
          <w:szCs w:val="20"/>
        </w:rPr>
      </w:pPr>
    </w:p>
    <w:sectPr w:rsidR="00046CF8">
      <w:headerReference w:type="even" r:id="rId145"/>
      <w:headerReference w:type="default" r:id="rId146"/>
      <w:footerReference w:type="even" r:id="rId147"/>
      <w:footerReference w:type="default" r:id="rId148"/>
      <w:headerReference w:type="first" r:id="rId149"/>
      <w:footerReference w:type="first" r:id="rId150"/>
      <w:pgSz w:w="11900" w:h="16820"/>
      <w:pgMar w:top="1020" w:right="1701" w:bottom="1020" w:left="1587" w:header="601" w:footer="107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CF8" w:rsidRDefault="003561C2">
      <w:pPr>
        <w:spacing w:after="0" w:line="240" w:lineRule="auto"/>
      </w:pPr>
      <w:r>
        <w:separator/>
      </w:r>
    </w:p>
  </w:endnote>
  <w:endnote w:type="continuationSeparator" w:id="0">
    <w:p w:rsidR="00046CF8" w:rsidRDefault="003561C2">
      <w:pPr>
        <w:spacing w:after="0" w:line="240" w:lineRule="auto"/>
      </w:pPr>
      <w:r>
        <w:continuationSeparator/>
      </w:r>
    </w:p>
  </w:endnote>
  <w:endnote w:type="continuationNotice" w:id="1">
    <w:p w:rsidR="00046CF8" w:rsidRDefault="00046C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ill Sans MT">
    <w:altName w:val="Segoe UI"/>
    <w:charset w:val="00"/>
    <w:family w:val="auto"/>
    <w:pitch w:val="variable"/>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3561C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3561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6CF8" w:rsidRDefault="00046C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3561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46CF8" w:rsidRDefault="00046CF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3561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6CF8" w:rsidRDefault="00046CF8">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80545"/>
      <w:docPartObj>
        <w:docPartGallery w:val="Page Numbers (Bottom of Page)"/>
        <w:docPartUnique/>
      </w:docPartObj>
    </w:sdtPr>
    <w:sdtEndPr>
      <w:rPr>
        <w:noProof/>
      </w:rPr>
    </w:sdtEndPr>
    <w:sdtContent>
      <w:p w:rsidR="00046CF8" w:rsidRDefault="003561C2">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rsidR="00046CF8" w:rsidRDefault="00046CF8">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962585"/>
      <w:docPartObj>
        <w:docPartGallery w:val="Page Numbers (Bottom of Page)"/>
        <w:docPartUnique/>
      </w:docPartObj>
    </w:sdtPr>
    <w:sdtEndPr>
      <w:rPr>
        <w:noProof/>
      </w:rPr>
    </w:sdtEndPr>
    <w:sdtContent>
      <w:p w:rsidR="00046CF8" w:rsidRDefault="003561C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46CF8" w:rsidRDefault="00046C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CF8" w:rsidRDefault="003561C2">
      <w:pPr>
        <w:spacing w:after="0" w:line="240" w:lineRule="auto"/>
      </w:pPr>
      <w:r>
        <w:separator/>
      </w:r>
    </w:p>
  </w:footnote>
  <w:footnote w:type="continuationSeparator" w:id="0">
    <w:p w:rsidR="00046CF8" w:rsidRDefault="003561C2">
      <w:pPr>
        <w:spacing w:after="0" w:line="240" w:lineRule="auto"/>
      </w:pPr>
      <w:r>
        <w:continuationSeparator/>
      </w:r>
    </w:p>
  </w:footnote>
  <w:footnote w:type="continuationNotice" w:id="1">
    <w:p w:rsidR="00046CF8" w:rsidRDefault="00046CF8">
      <w:pPr>
        <w:spacing w:after="0" w:line="240" w:lineRule="auto"/>
      </w:pPr>
    </w:p>
  </w:footnote>
  <w:footnote w:id="2">
    <w:p w:rsidR="00046CF8" w:rsidRDefault="003561C2">
      <w:pPr>
        <w:pStyle w:val="FootnoteText"/>
        <w:rPr>
          <w:sz w:val="16"/>
          <w:szCs w:val="16"/>
        </w:rPr>
      </w:pPr>
      <w:r>
        <w:rPr>
          <w:rStyle w:val="FootnoteReference"/>
          <w:sz w:val="16"/>
          <w:szCs w:val="16"/>
        </w:rPr>
        <w:footnoteRef/>
      </w:r>
      <w:r>
        <w:rPr>
          <w:sz w:val="16"/>
          <w:szCs w:val="16"/>
        </w:rPr>
        <w:t xml:space="preserve"> European fisheries and maritime policies are crucial in delivering the priorities set out in the Rome Declaration</w:t>
      </w:r>
    </w:p>
  </w:footnote>
  <w:footnote w:id="3">
    <w:p w:rsidR="00046CF8" w:rsidRDefault="003561C2">
      <w:pPr>
        <w:pStyle w:val="FootnoteText"/>
        <w:ind w:left="0" w:firstLine="0"/>
        <w:rPr>
          <w:rFonts w:cs="Times New Roman"/>
          <w:sz w:val="16"/>
          <w:szCs w:val="16"/>
        </w:rPr>
      </w:pPr>
      <w:r>
        <w:rPr>
          <w:rStyle w:val="FootnoteReference"/>
          <w:rFonts w:cs="Times New Roman"/>
          <w:sz w:val="16"/>
          <w:szCs w:val="16"/>
        </w:rPr>
        <w:footnoteRef/>
      </w:r>
      <w:r>
        <w:rPr>
          <w:rFonts w:cs="Times New Roman"/>
          <w:sz w:val="16"/>
          <w:szCs w:val="16"/>
        </w:rPr>
        <w:t xml:space="preserve"> The blue economy includes fisheries and aquaculture, tourism, shipping, ocean energy, blue biotechnology, seabed mining, etc.</w:t>
      </w:r>
    </w:p>
  </w:footnote>
  <w:footnote w:id="4">
    <w:p w:rsidR="00046CF8" w:rsidRDefault="003561C2">
      <w:pPr>
        <w:pStyle w:val="FootnoteText"/>
        <w:rPr>
          <w:sz w:val="16"/>
          <w:szCs w:val="16"/>
        </w:rPr>
      </w:pPr>
      <w:r>
        <w:rPr>
          <w:rStyle w:val="FootnoteReference"/>
          <w:sz w:val="16"/>
          <w:szCs w:val="16"/>
        </w:rPr>
        <w:footnoteRef/>
      </w:r>
      <w:r>
        <w:rPr>
          <w:sz w:val="16"/>
          <w:szCs w:val="16"/>
        </w:rPr>
        <w:t xml:space="preserve"> Further ref</w:t>
      </w:r>
      <w:r>
        <w:rPr>
          <w:sz w:val="16"/>
          <w:szCs w:val="16"/>
        </w:rPr>
        <w:t>erences provided in Annex 4</w:t>
      </w:r>
    </w:p>
  </w:footnote>
  <w:footnote w:id="5">
    <w:p w:rsidR="00046CF8" w:rsidRDefault="003561C2">
      <w:pPr>
        <w:pStyle w:val="FootnoteText"/>
        <w:rPr>
          <w:sz w:val="16"/>
          <w:szCs w:val="16"/>
        </w:rPr>
      </w:pPr>
      <w:r>
        <w:rPr>
          <w:rStyle w:val="FootnoteReference"/>
          <w:sz w:val="16"/>
          <w:szCs w:val="16"/>
        </w:rPr>
        <w:footnoteRef/>
      </w:r>
      <w:r>
        <w:rPr>
          <w:sz w:val="16"/>
          <w:szCs w:val="16"/>
        </w:rPr>
        <w:t xml:space="preserve"> COM(2018) 98 final, Brussels, 14.2.2018</w:t>
      </w:r>
    </w:p>
  </w:footnote>
  <w:footnote w:id="6">
    <w:p w:rsidR="00046CF8" w:rsidRDefault="003561C2">
      <w:pPr>
        <w:pStyle w:val="FootnoteText"/>
        <w:rPr>
          <w:sz w:val="16"/>
          <w:szCs w:val="16"/>
        </w:rPr>
      </w:pPr>
      <w:r>
        <w:rPr>
          <w:rStyle w:val="FootnoteReference"/>
          <w:sz w:val="16"/>
          <w:szCs w:val="16"/>
        </w:rPr>
        <w:footnoteRef/>
      </w:r>
      <w:r>
        <w:rPr>
          <w:sz w:val="16"/>
          <w:szCs w:val="16"/>
        </w:rPr>
        <w:t xml:space="preserve"> Reflection paper on the future of EU finances, European Commission, COM(2017) 358 of 28 June 2017</w:t>
      </w:r>
    </w:p>
  </w:footnote>
  <w:footnote w:id="7">
    <w:p w:rsidR="00046CF8" w:rsidRDefault="003561C2">
      <w:pPr>
        <w:pStyle w:val="FootnoteText"/>
      </w:pPr>
      <w:r>
        <w:rPr>
          <w:rStyle w:val="FootnoteReference"/>
        </w:rPr>
        <w:footnoteRef/>
      </w:r>
      <w:r>
        <w:t xml:space="preserve"> </w:t>
      </w:r>
      <w:hyperlink r:id="rId1" w:history="1">
        <w:r>
          <w:rPr>
            <w:rStyle w:val="Hyperlink"/>
          </w:rPr>
          <w:t>https://ec.europa.eu/commission/priorities/democratic-change/future-europe/eu-budget-future_en</w:t>
        </w:r>
      </w:hyperlink>
      <w:r>
        <w:tab/>
      </w:r>
    </w:p>
  </w:footnote>
  <w:footnote w:id="8">
    <w:p w:rsidR="00046CF8" w:rsidRDefault="003561C2">
      <w:pPr>
        <w:pStyle w:val="FootnoteText"/>
        <w:ind w:left="0" w:firstLine="0"/>
        <w:rPr>
          <w:sz w:val="16"/>
          <w:szCs w:val="16"/>
        </w:rPr>
      </w:pPr>
      <w:r>
        <w:rPr>
          <w:rStyle w:val="FootnoteReference"/>
          <w:sz w:val="16"/>
          <w:szCs w:val="16"/>
        </w:rPr>
        <w:footnoteRef/>
      </w:r>
      <w:r>
        <w:rPr>
          <w:sz w:val="16"/>
          <w:szCs w:val="16"/>
        </w:rPr>
        <w:t xml:space="preserve"> Fishing was initially funded under the European Agriculture Guidance and Guarantee Fund (EAGGF). In 1993 a separate fund was establ</w:t>
      </w:r>
      <w:r>
        <w:rPr>
          <w:sz w:val="16"/>
          <w:szCs w:val="16"/>
        </w:rPr>
        <w:t>ished (FIFG), the Financial Instrument for Fisheries Guidance.</w:t>
      </w:r>
    </w:p>
  </w:footnote>
  <w:footnote w:id="9">
    <w:p w:rsidR="00046CF8" w:rsidRDefault="003561C2">
      <w:pPr>
        <w:pStyle w:val="FootnoteText"/>
        <w:ind w:left="0" w:firstLine="0"/>
        <w:rPr>
          <w:sz w:val="16"/>
          <w:szCs w:val="16"/>
        </w:rPr>
      </w:pPr>
      <w:r>
        <w:rPr>
          <w:rStyle w:val="FootnoteReference"/>
          <w:sz w:val="16"/>
          <w:szCs w:val="16"/>
        </w:rPr>
        <w:footnoteRef/>
      </w:r>
      <w:r>
        <w:rPr>
          <w:sz w:val="16"/>
          <w:szCs w:val="16"/>
        </w:rPr>
        <w:t xml:space="preserve"> SWD(2017) 276 final of 13.07.2017</w:t>
      </w:r>
    </w:p>
  </w:footnote>
  <w:footnote w:id="10">
    <w:p w:rsidR="00046CF8" w:rsidRDefault="003561C2">
      <w:pPr>
        <w:pStyle w:val="FootnoteText"/>
        <w:ind w:left="0" w:firstLine="0"/>
        <w:rPr>
          <w:sz w:val="16"/>
          <w:szCs w:val="16"/>
        </w:rPr>
      </w:pPr>
      <w:r>
        <w:rPr>
          <w:rStyle w:val="FootnoteReference"/>
          <w:sz w:val="16"/>
          <w:szCs w:val="16"/>
        </w:rPr>
        <w:footnoteRef/>
      </w:r>
      <w:r>
        <w:rPr>
          <w:sz w:val="16"/>
          <w:szCs w:val="16"/>
        </w:rPr>
        <w:t xml:space="preserve"> Ex-post evaluation of the European Fisheries Fund (2007-2013), Final report, November 2016. A more complete account of the EFF ex-post evaluation is provided in Annex 3. Full report:  </w:t>
      </w:r>
      <w:hyperlink r:id="rId2" w:history="1">
        <w:r>
          <w:rPr>
            <w:rStyle w:val="Hyperlink"/>
            <w:sz w:val="16"/>
            <w:szCs w:val="16"/>
          </w:rPr>
          <w:t>https://publications.europa.eu/en/publication-detail/-/publication/f0ab224d-f34c-11e6-8a35-01aa75ed71a1</w:t>
        </w:r>
      </w:hyperlink>
      <w:r>
        <w:rPr>
          <w:sz w:val="16"/>
          <w:szCs w:val="16"/>
        </w:rPr>
        <w:tab/>
        <w:t xml:space="preserve"> </w:t>
      </w:r>
    </w:p>
  </w:footnote>
  <w:footnote w:id="11">
    <w:p w:rsidR="00046CF8" w:rsidRDefault="003561C2">
      <w:pPr>
        <w:pStyle w:val="FootnoteText"/>
        <w:rPr>
          <w:sz w:val="16"/>
          <w:szCs w:val="16"/>
        </w:rPr>
      </w:pPr>
      <w:r>
        <w:rPr>
          <w:rStyle w:val="FootnoteReference"/>
          <w:sz w:val="16"/>
          <w:szCs w:val="16"/>
        </w:rPr>
        <w:footnoteRef/>
      </w:r>
      <w:r>
        <w:rPr>
          <w:sz w:val="16"/>
          <w:szCs w:val="16"/>
        </w:rPr>
        <w:t xml:space="preserve"> Small Scale Coastal Fleet comprises fishing vessels less than 12 metres not using towed fishing gea</w:t>
      </w:r>
      <w:r>
        <w:rPr>
          <w:sz w:val="16"/>
          <w:szCs w:val="16"/>
        </w:rPr>
        <w:t>r</w:t>
      </w:r>
    </w:p>
  </w:footnote>
  <w:footnote w:id="12">
    <w:p w:rsidR="00046CF8" w:rsidRDefault="003561C2">
      <w:pPr>
        <w:pStyle w:val="FootnoteText"/>
        <w:ind w:left="0" w:firstLine="0"/>
      </w:pPr>
      <w:r>
        <w:rPr>
          <w:rStyle w:val="FootnoteReference"/>
          <w:sz w:val="16"/>
          <w:szCs w:val="16"/>
        </w:rPr>
        <w:footnoteRef/>
      </w:r>
      <w:r>
        <w:rPr>
          <w:sz w:val="16"/>
          <w:szCs w:val="16"/>
        </w:rPr>
        <w:t xml:space="preserve"> Commission Communication on 'A stronger and renewed strategic partnership with the EU's outermost regions', COM (2017)623 final, Strasbourg, 24.10.2017. The Communication is based on wide exchanges with representatives of the outermost regions includin</w:t>
      </w:r>
      <w:r>
        <w:rPr>
          <w:sz w:val="16"/>
          <w:szCs w:val="16"/>
        </w:rPr>
        <w:t xml:space="preserve">g the 4th Outermost Regions Forum held in Brussels on 30-31 March 2017.  </w:t>
      </w:r>
      <w:hyperlink r:id="rId3" w:history="1">
        <w:r>
          <w:rPr>
            <w:rStyle w:val="Hyperlink"/>
            <w:sz w:val="16"/>
            <w:szCs w:val="16"/>
          </w:rPr>
          <w:t>http://ec.europa.eu/regional_policy/en/information/publications/communications/2017/un-partenariat-privilegie-renouvele-et-renforce-avec-les-regions-ultraperipheriques</w:t>
        </w:r>
      </w:hyperlink>
      <w:r>
        <w:rPr>
          <w:sz w:val="16"/>
          <w:szCs w:val="16"/>
        </w:rPr>
        <w:tab/>
      </w:r>
    </w:p>
  </w:footnote>
  <w:footnote w:id="13">
    <w:p w:rsidR="00046CF8" w:rsidRDefault="003561C2">
      <w:pPr>
        <w:pStyle w:val="FootnoteText"/>
        <w:ind w:left="142" w:hanging="142"/>
        <w:rPr>
          <w:sz w:val="16"/>
          <w:szCs w:val="16"/>
        </w:rPr>
      </w:pPr>
      <w:r>
        <w:rPr>
          <w:rStyle w:val="FootnoteReference"/>
          <w:sz w:val="16"/>
          <w:szCs w:val="16"/>
        </w:rPr>
        <w:footnoteRef/>
      </w:r>
      <w:r>
        <w:rPr>
          <w:sz w:val="16"/>
          <w:szCs w:val="16"/>
        </w:rPr>
        <w:t xml:space="preserve"> Regulation (EU) No 1255/2011 of the European Parliament and of the Council of 30 Nov</w:t>
      </w:r>
      <w:r>
        <w:rPr>
          <w:sz w:val="16"/>
          <w:szCs w:val="16"/>
        </w:rPr>
        <w:t>ember 2011 establishing a Programme to support the further development of an Integrated Maritime Policy</w:t>
      </w:r>
    </w:p>
  </w:footnote>
  <w:footnote w:id="14">
    <w:p w:rsidR="00046CF8" w:rsidRDefault="003561C2">
      <w:pPr>
        <w:pStyle w:val="FootnoteText"/>
        <w:rPr>
          <w:sz w:val="16"/>
          <w:szCs w:val="16"/>
          <w:lang w:val="pt-PT"/>
        </w:rPr>
      </w:pPr>
      <w:r>
        <w:rPr>
          <w:rStyle w:val="FootnoteReference"/>
          <w:sz w:val="16"/>
          <w:szCs w:val="16"/>
        </w:rPr>
        <w:footnoteRef/>
      </w:r>
      <w:r>
        <w:rPr>
          <w:sz w:val="16"/>
          <w:szCs w:val="16"/>
          <w:lang w:val="pt-PT"/>
        </w:rPr>
        <w:t xml:space="preserve"> 2008/56/EC</w:t>
      </w:r>
    </w:p>
  </w:footnote>
  <w:footnote w:id="15">
    <w:p w:rsidR="00046CF8" w:rsidRDefault="003561C2">
      <w:pPr>
        <w:pStyle w:val="FootnoteText"/>
        <w:rPr>
          <w:sz w:val="16"/>
          <w:szCs w:val="16"/>
          <w:lang w:val="pt-PT"/>
        </w:rPr>
      </w:pPr>
      <w:r>
        <w:rPr>
          <w:rStyle w:val="FootnoteReference"/>
          <w:sz w:val="16"/>
          <w:szCs w:val="16"/>
        </w:rPr>
        <w:footnoteRef/>
      </w:r>
      <w:r>
        <w:rPr>
          <w:sz w:val="16"/>
          <w:szCs w:val="16"/>
          <w:lang w:val="pt-PT"/>
        </w:rPr>
        <w:t xml:space="preserve"> COM(2012) 713 final, Brussels, 30.11.2012</w:t>
      </w:r>
    </w:p>
  </w:footnote>
  <w:footnote w:id="16">
    <w:p w:rsidR="00046CF8" w:rsidRDefault="003561C2">
      <w:pPr>
        <w:pStyle w:val="FootnoteText"/>
        <w:rPr>
          <w:sz w:val="16"/>
          <w:szCs w:val="16"/>
          <w:lang w:val="pt-PT"/>
        </w:rPr>
      </w:pPr>
      <w:r>
        <w:rPr>
          <w:rStyle w:val="FootnoteReference"/>
          <w:sz w:val="16"/>
          <w:szCs w:val="16"/>
        </w:rPr>
        <w:footnoteRef/>
      </w:r>
      <w:r>
        <w:rPr>
          <w:sz w:val="16"/>
          <w:szCs w:val="16"/>
          <w:lang w:val="pt-PT"/>
        </w:rPr>
        <w:t xml:space="preserve"> COM(2013) 279 final, Brussels, 13.5.2013</w:t>
      </w:r>
    </w:p>
  </w:footnote>
  <w:footnote w:id="17">
    <w:p w:rsidR="00046CF8" w:rsidRDefault="003561C2">
      <w:pPr>
        <w:pStyle w:val="FootnoteText"/>
        <w:ind w:left="0" w:firstLine="0"/>
        <w:rPr>
          <w:sz w:val="16"/>
          <w:szCs w:val="16"/>
        </w:rPr>
      </w:pPr>
      <w:r>
        <w:rPr>
          <w:rStyle w:val="FootnoteReference"/>
          <w:sz w:val="16"/>
          <w:szCs w:val="16"/>
        </w:rPr>
        <w:footnoteRef/>
      </w:r>
      <w:r>
        <w:rPr>
          <w:sz w:val="16"/>
          <w:szCs w:val="16"/>
        </w:rPr>
        <w:t xml:space="preserve"> Directive 2014/89/EU of 23 July 2014 establishing </w:t>
      </w:r>
      <w:r>
        <w:rPr>
          <w:sz w:val="16"/>
          <w:szCs w:val="16"/>
        </w:rPr>
        <w:t>a framework for maritime spatial planning</w:t>
      </w:r>
    </w:p>
  </w:footnote>
  <w:footnote w:id="18">
    <w:p w:rsidR="00046CF8" w:rsidRDefault="003561C2">
      <w:pPr>
        <w:pStyle w:val="FootnoteText"/>
        <w:ind w:left="0" w:firstLine="0"/>
        <w:rPr>
          <w:sz w:val="16"/>
          <w:szCs w:val="16"/>
        </w:rPr>
      </w:pPr>
      <w:r>
        <w:rPr>
          <w:rStyle w:val="FootnoteReference"/>
          <w:sz w:val="16"/>
          <w:szCs w:val="16"/>
        </w:rPr>
        <w:footnoteRef/>
      </w:r>
      <w:r>
        <w:rPr>
          <w:sz w:val="16"/>
          <w:szCs w:val="16"/>
        </w:rPr>
        <w:t xml:space="preserve"> Of which EUR 5.750 million in shared management and EUR 647 million in direct management.</w:t>
      </w:r>
    </w:p>
  </w:footnote>
  <w:footnote w:id="19">
    <w:p w:rsidR="00046CF8" w:rsidRDefault="003561C2">
      <w:pPr>
        <w:pStyle w:val="FootnoteText"/>
        <w:rPr>
          <w:rFonts w:cs="Times New Roman"/>
          <w:sz w:val="16"/>
          <w:szCs w:val="16"/>
        </w:rPr>
      </w:pPr>
      <w:r>
        <w:rPr>
          <w:rStyle w:val="FootnoteReference"/>
          <w:rFonts w:cs="Times New Roman"/>
          <w:sz w:val="16"/>
          <w:szCs w:val="16"/>
        </w:rPr>
        <w:footnoteRef/>
      </w:r>
      <w:r>
        <w:rPr>
          <w:rFonts w:cs="Times New Roman"/>
          <w:sz w:val="16"/>
          <w:szCs w:val="16"/>
        </w:rPr>
        <w:t xml:space="preserve"> Respectively EUR 5.750 million for shared and EUR 647 million for direct management.</w:t>
      </w:r>
    </w:p>
  </w:footnote>
  <w:footnote w:id="20">
    <w:p w:rsidR="00046CF8" w:rsidRDefault="003561C2">
      <w:pPr>
        <w:pStyle w:val="FootnoteText"/>
        <w:rPr>
          <w:sz w:val="16"/>
          <w:szCs w:val="16"/>
        </w:rPr>
      </w:pPr>
      <w:r>
        <w:rPr>
          <w:rStyle w:val="FootnoteReference"/>
          <w:sz w:val="16"/>
          <w:szCs w:val="16"/>
        </w:rPr>
        <w:footnoteRef/>
      </w:r>
      <w:r>
        <w:rPr>
          <w:sz w:val="16"/>
          <w:szCs w:val="16"/>
        </w:rPr>
        <w:t xml:space="preserve"> In addition to the fund-specific ExAC, there are also ExAC set out in the CPR applicable to all ESIF  </w:t>
      </w:r>
    </w:p>
  </w:footnote>
  <w:footnote w:id="21">
    <w:p w:rsidR="00046CF8" w:rsidRDefault="003561C2">
      <w:pPr>
        <w:pStyle w:val="FootnoteText"/>
        <w:rPr>
          <w:sz w:val="16"/>
          <w:szCs w:val="16"/>
        </w:rPr>
      </w:pPr>
      <w:r>
        <w:rPr>
          <w:rStyle w:val="FootnoteReference"/>
          <w:sz w:val="16"/>
          <w:szCs w:val="16"/>
        </w:rPr>
        <w:footnoteRef/>
      </w:r>
      <w:r>
        <w:rPr>
          <w:sz w:val="16"/>
          <w:szCs w:val="16"/>
        </w:rPr>
        <w:t xml:space="preserve"> Support for permanent cessation was terminated on 31/12/2017</w:t>
      </w:r>
    </w:p>
  </w:footnote>
  <w:footnote w:id="22">
    <w:p w:rsidR="00046CF8" w:rsidRDefault="003561C2">
      <w:pPr>
        <w:pStyle w:val="FootnoteText"/>
        <w:ind w:left="0" w:firstLine="0"/>
        <w:rPr>
          <w:sz w:val="16"/>
          <w:szCs w:val="16"/>
        </w:rPr>
      </w:pPr>
      <w:r>
        <w:rPr>
          <w:rStyle w:val="FootnoteReference"/>
          <w:sz w:val="16"/>
          <w:szCs w:val="16"/>
        </w:rPr>
        <w:footnoteRef/>
      </w:r>
      <w:r>
        <w:rPr>
          <w:sz w:val="16"/>
          <w:szCs w:val="16"/>
        </w:rPr>
        <w:t xml:space="preserve"> An overview of support to the local development of coastal areas through CLLD is provid</w:t>
      </w:r>
      <w:r>
        <w:rPr>
          <w:sz w:val="16"/>
          <w:szCs w:val="16"/>
        </w:rPr>
        <w:t>ed in Annex 4.2.</w:t>
      </w:r>
    </w:p>
  </w:footnote>
  <w:footnote w:id="23">
    <w:p w:rsidR="00046CF8" w:rsidRDefault="003561C2">
      <w:pPr>
        <w:pStyle w:val="FootnoteText"/>
        <w:rPr>
          <w:sz w:val="16"/>
          <w:szCs w:val="16"/>
        </w:rPr>
      </w:pPr>
      <w:r>
        <w:rPr>
          <w:rStyle w:val="FootnoteReference"/>
          <w:sz w:val="16"/>
          <w:szCs w:val="16"/>
        </w:rPr>
        <w:footnoteRef/>
      </w:r>
      <w:r>
        <w:rPr>
          <w:sz w:val="16"/>
          <w:szCs w:val="16"/>
        </w:rPr>
        <w:t xml:space="preserve"> By January 2018 interim claims submitted represented only around 4% of planned EMFF assistance for the current period.</w:t>
      </w:r>
    </w:p>
  </w:footnote>
  <w:footnote w:id="24">
    <w:p w:rsidR="00046CF8" w:rsidRDefault="003561C2">
      <w:pPr>
        <w:pStyle w:val="FootnoteText"/>
        <w:rPr>
          <w:sz w:val="16"/>
          <w:szCs w:val="16"/>
        </w:rPr>
      </w:pPr>
      <w:r>
        <w:rPr>
          <w:rStyle w:val="FootnoteReference"/>
          <w:sz w:val="16"/>
          <w:szCs w:val="16"/>
        </w:rPr>
        <w:footnoteRef/>
      </w:r>
      <w:r>
        <w:rPr>
          <w:sz w:val="16"/>
          <w:szCs w:val="16"/>
        </w:rPr>
        <w:t xml:space="preserve"> The N+3 automatic decommitment risk.</w:t>
      </w:r>
    </w:p>
  </w:footnote>
  <w:footnote w:id="25">
    <w:p w:rsidR="00046CF8" w:rsidRDefault="003561C2">
      <w:pPr>
        <w:pStyle w:val="FootnoteText"/>
        <w:rPr>
          <w:sz w:val="16"/>
          <w:szCs w:val="16"/>
        </w:rPr>
      </w:pPr>
      <w:r>
        <w:rPr>
          <w:rStyle w:val="FootnoteReference"/>
          <w:sz w:val="16"/>
          <w:szCs w:val="16"/>
        </w:rPr>
        <w:footnoteRef/>
      </w:r>
      <w:r>
        <w:rPr>
          <w:sz w:val="16"/>
          <w:szCs w:val="16"/>
        </w:rPr>
        <w:t xml:space="preserve"> Infosys data from 2017</w:t>
      </w:r>
    </w:p>
  </w:footnote>
  <w:footnote w:id="26">
    <w:p w:rsidR="00046CF8" w:rsidRDefault="003561C2">
      <w:pPr>
        <w:pStyle w:val="FootnoteText"/>
        <w:rPr>
          <w:sz w:val="16"/>
          <w:szCs w:val="16"/>
        </w:rPr>
      </w:pPr>
      <w:r>
        <w:rPr>
          <w:rStyle w:val="FootnoteReference"/>
          <w:sz w:val="16"/>
          <w:szCs w:val="16"/>
        </w:rPr>
        <w:footnoteRef/>
      </w:r>
      <w:r>
        <w:rPr>
          <w:sz w:val="16"/>
          <w:szCs w:val="16"/>
        </w:rPr>
        <w:t xml:space="preserve"> Landing obligation, final report. FAME, February 201</w:t>
      </w:r>
      <w:r>
        <w:rPr>
          <w:sz w:val="16"/>
          <w:szCs w:val="16"/>
        </w:rPr>
        <w:t xml:space="preserve">8 </w:t>
      </w:r>
    </w:p>
  </w:footnote>
  <w:footnote w:id="27">
    <w:p w:rsidR="00046CF8" w:rsidRDefault="003561C2">
      <w:pPr>
        <w:pStyle w:val="FootnoteText"/>
        <w:ind w:left="142" w:firstLine="0"/>
        <w:rPr>
          <w:sz w:val="16"/>
          <w:szCs w:val="16"/>
        </w:rPr>
      </w:pPr>
      <w:r>
        <w:rPr>
          <w:rStyle w:val="FootnoteReference"/>
          <w:sz w:val="16"/>
          <w:szCs w:val="16"/>
        </w:rPr>
        <w:footnoteRef/>
      </w:r>
      <w:r>
        <w:rPr>
          <w:sz w:val="16"/>
          <w:szCs w:val="16"/>
        </w:rPr>
        <w:t xml:space="preserve"> A full account of the stakeholder consultations is provided in Annex 2.</w:t>
      </w:r>
    </w:p>
  </w:footnote>
  <w:footnote w:id="28">
    <w:p w:rsidR="00046CF8" w:rsidRDefault="003561C2">
      <w:pPr>
        <w:pStyle w:val="FootnoteText"/>
        <w:rPr>
          <w:sz w:val="16"/>
          <w:szCs w:val="16"/>
        </w:rPr>
      </w:pPr>
      <w:r>
        <w:rPr>
          <w:rStyle w:val="FootnoteReference"/>
          <w:sz w:val="16"/>
          <w:szCs w:val="16"/>
        </w:rPr>
        <w:footnoteRef/>
      </w:r>
      <w:r>
        <w:rPr>
          <w:sz w:val="16"/>
          <w:szCs w:val="16"/>
        </w:rPr>
        <w:t xml:space="preserve"> Opinion of the Committee on Fisheries on the next MFF (2017/2052(INI))</w:t>
      </w:r>
    </w:p>
  </w:footnote>
  <w:footnote w:id="29">
    <w:p w:rsidR="00046CF8" w:rsidRDefault="003561C2">
      <w:pPr>
        <w:pStyle w:val="FootnoteText"/>
        <w:rPr>
          <w:sz w:val="16"/>
          <w:szCs w:val="16"/>
        </w:rPr>
      </w:pPr>
      <w:r>
        <w:rPr>
          <w:rStyle w:val="FootnoteReference"/>
          <w:sz w:val="16"/>
          <w:szCs w:val="16"/>
        </w:rPr>
        <w:footnoteRef/>
      </w:r>
      <w:r>
        <w:rPr>
          <w:sz w:val="16"/>
          <w:szCs w:val="16"/>
        </w:rPr>
        <w:t xml:space="preserve"> Within the meaning of the CMO Regulation (Reg.1379/2013) </w:t>
      </w:r>
    </w:p>
  </w:footnote>
  <w:footnote w:id="30">
    <w:p w:rsidR="00046CF8" w:rsidRDefault="003561C2">
      <w:pPr>
        <w:pStyle w:val="FootnoteText"/>
        <w:rPr>
          <w:sz w:val="16"/>
          <w:szCs w:val="16"/>
        </w:rPr>
      </w:pPr>
      <w:r>
        <w:rPr>
          <w:rStyle w:val="FootnoteReference"/>
          <w:sz w:val="16"/>
          <w:szCs w:val="16"/>
        </w:rPr>
        <w:footnoteRef/>
      </w:r>
      <w:r>
        <w:rPr>
          <w:sz w:val="16"/>
          <w:szCs w:val="16"/>
        </w:rPr>
        <w:t xml:space="preserve"> Mainly in new fishing vessels and investment</w:t>
      </w:r>
      <w:r>
        <w:rPr>
          <w:sz w:val="16"/>
          <w:szCs w:val="16"/>
        </w:rPr>
        <w:t>s on board, privately financed</w:t>
      </w:r>
    </w:p>
  </w:footnote>
  <w:footnote w:id="31">
    <w:p w:rsidR="00046CF8" w:rsidRDefault="003561C2">
      <w:pPr>
        <w:pStyle w:val="FootnoteText"/>
        <w:rPr>
          <w:sz w:val="16"/>
          <w:szCs w:val="16"/>
        </w:rPr>
      </w:pPr>
      <w:r>
        <w:rPr>
          <w:rStyle w:val="FootnoteReference"/>
          <w:sz w:val="16"/>
          <w:szCs w:val="16"/>
        </w:rPr>
        <w:footnoteRef/>
      </w:r>
      <w:r>
        <w:rPr>
          <w:sz w:val="16"/>
          <w:szCs w:val="16"/>
        </w:rPr>
        <w:t xml:space="preserve"> Prices of marine diesel halved in the period 2014-2016</w:t>
      </w:r>
    </w:p>
  </w:footnote>
  <w:footnote w:id="32">
    <w:p w:rsidR="00046CF8" w:rsidRDefault="003561C2">
      <w:pPr>
        <w:pStyle w:val="FootnoteText"/>
        <w:ind w:left="142" w:hanging="142"/>
        <w:rPr>
          <w:sz w:val="16"/>
          <w:szCs w:val="16"/>
        </w:rPr>
      </w:pPr>
      <w:r>
        <w:rPr>
          <w:rStyle w:val="FootnoteReference"/>
          <w:sz w:val="16"/>
          <w:szCs w:val="16"/>
        </w:rPr>
        <w:footnoteRef/>
      </w:r>
      <w:r>
        <w:rPr>
          <w:sz w:val="16"/>
          <w:szCs w:val="16"/>
        </w:rPr>
        <w:t xml:space="preserve"> 2017 Annual Economic Report on the EU Fishing Fleet, STECF 17-12, JRC 2017</w:t>
      </w:r>
    </w:p>
  </w:footnote>
  <w:footnote w:id="33">
    <w:p w:rsidR="00046CF8" w:rsidRDefault="003561C2">
      <w:pPr>
        <w:pStyle w:val="FootnoteText"/>
        <w:ind w:left="0" w:firstLine="0"/>
        <w:rPr>
          <w:sz w:val="16"/>
          <w:szCs w:val="16"/>
        </w:rPr>
      </w:pPr>
      <w:r>
        <w:rPr>
          <w:rStyle w:val="FootnoteReference"/>
          <w:sz w:val="16"/>
          <w:szCs w:val="16"/>
        </w:rPr>
        <w:footnoteRef/>
      </w:r>
      <w:r>
        <w:rPr>
          <w:sz w:val="16"/>
          <w:szCs w:val="16"/>
        </w:rPr>
        <w:t xml:space="preserve"> For all 76 TACs with MSY advice the Commission proposed TACs in line with or slightly bel</w:t>
      </w:r>
      <w:r>
        <w:rPr>
          <w:sz w:val="16"/>
          <w:szCs w:val="16"/>
        </w:rPr>
        <w:t>ow MSY 2018. The Council adopted 53 TACs in line with MSY (29 in Western waters plus one in the deep sea, 17 North Sea, 7 Baltic Sea), compared to 44 in 2016.</w:t>
      </w:r>
    </w:p>
  </w:footnote>
  <w:footnote w:id="34">
    <w:p w:rsidR="00046CF8" w:rsidRDefault="003561C2">
      <w:pPr>
        <w:pStyle w:val="FootnoteText"/>
        <w:ind w:left="0" w:firstLine="0"/>
        <w:rPr>
          <w:sz w:val="16"/>
          <w:szCs w:val="16"/>
        </w:rPr>
      </w:pPr>
      <w:r>
        <w:rPr>
          <w:rStyle w:val="FootnoteReference"/>
          <w:sz w:val="16"/>
          <w:szCs w:val="16"/>
        </w:rPr>
        <w:footnoteRef/>
      </w:r>
      <w:r>
        <w:rPr>
          <w:sz w:val="16"/>
          <w:szCs w:val="16"/>
        </w:rPr>
        <w:t xml:space="preserve"> Delivering on the MSY targets, the landing obligation and the discard ban contributes to three </w:t>
      </w:r>
      <w:r>
        <w:rPr>
          <w:sz w:val="16"/>
          <w:szCs w:val="16"/>
        </w:rPr>
        <w:t>of the 11 Descriptors of Good Environmental Status in the MFSD (D1 (biodiversity), D3 (commercial fish), D4 (marine food webs). In addition, fishing has implications for a fourth one, sea-floor integrity (D6, impacted by bottom fishing). This points to the</w:t>
      </w:r>
      <w:r>
        <w:rPr>
          <w:sz w:val="16"/>
          <w:szCs w:val="16"/>
        </w:rPr>
        <w:t xml:space="preserve"> need to bring the implementation of the CFP, the Maritime Spatial Planning Directive and the MSFD closer together. Continued support for reducing incidental catches of protected species and for management measures related to Natura 2000 sites and other MP</w:t>
      </w:r>
      <w:r>
        <w:rPr>
          <w:sz w:val="16"/>
          <w:szCs w:val="16"/>
        </w:rPr>
        <w:t>As also contributes to addressing this challenge.</w:t>
      </w:r>
    </w:p>
  </w:footnote>
  <w:footnote w:id="35">
    <w:p w:rsidR="00046CF8" w:rsidRDefault="003561C2">
      <w:pPr>
        <w:pStyle w:val="FootnoteText"/>
        <w:ind w:left="142" w:hanging="142"/>
        <w:rPr>
          <w:sz w:val="16"/>
          <w:szCs w:val="16"/>
        </w:rPr>
      </w:pPr>
      <w:r>
        <w:rPr>
          <w:rStyle w:val="FootnoteReference"/>
          <w:sz w:val="16"/>
          <w:szCs w:val="16"/>
        </w:rPr>
        <w:footnoteRef/>
      </w:r>
      <w:r>
        <w:rPr>
          <w:sz w:val="16"/>
          <w:szCs w:val="16"/>
        </w:rPr>
        <w:t xml:space="preserve"> Belgium, Bulgaria, Croatia, Cyprus, Denmark, France, Germany, Ireland, Italy, Malta, Portugal, Romania, Slovenia, Spain and the United Kingdom.</w:t>
      </w:r>
    </w:p>
  </w:footnote>
  <w:footnote w:id="36">
    <w:p w:rsidR="00046CF8" w:rsidRDefault="003561C2">
      <w:pPr>
        <w:pStyle w:val="FootnoteText"/>
        <w:ind w:left="142" w:hanging="142"/>
        <w:rPr>
          <w:sz w:val="16"/>
          <w:szCs w:val="16"/>
        </w:rPr>
      </w:pPr>
      <w:r>
        <w:rPr>
          <w:rStyle w:val="FootnoteReference"/>
          <w:sz w:val="16"/>
          <w:szCs w:val="16"/>
        </w:rPr>
        <w:footnoteRef/>
      </w:r>
      <w:r>
        <w:rPr>
          <w:sz w:val="16"/>
          <w:szCs w:val="16"/>
        </w:rPr>
        <w:t xml:space="preserve"> 2017 Annual Economic Report on the EU Fishing Fleet, STECF 17-12, JRC 2017</w:t>
      </w:r>
    </w:p>
  </w:footnote>
  <w:footnote w:id="37">
    <w:p w:rsidR="00046CF8" w:rsidRDefault="003561C2">
      <w:pPr>
        <w:pStyle w:val="FootnoteText"/>
        <w:ind w:left="142" w:hanging="142"/>
        <w:rPr>
          <w:sz w:val="16"/>
          <w:szCs w:val="16"/>
        </w:rPr>
      </w:pPr>
      <w:r>
        <w:rPr>
          <w:rStyle w:val="FootnoteReference"/>
          <w:sz w:val="16"/>
          <w:szCs w:val="16"/>
        </w:rPr>
        <w:footnoteRef/>
      </w:r>
      <w:r>
        <w:rPr>
          <w:sz w:val="16"/>
          <w:szCs w:val="16"/>
        </w:rPr>
        <w:t xml:space="preserve"> Study on the economic importance of activities ancillary to fishing in the EU, March 2016</w:t>
      </w:r>
    </w:p>
  </w:footnote>
  <w:footnote w:id="38">
    <w:p w:rsidR="00046CF8" w:rsidRDefault="003561C2">
      <w:pPr>
        <w:pStyle w:val="FootnoteText"/>
        <w:ind w:left="142" w:hanging="142"/>
        <w:rPr>
          <w:sz w:val="16"/>
          <w:szCs w:val="16"/>
        </w:rPr>
      </w:pPr>
      <w:r>
        <w:rPr>
          <w:rStyle w:val="FootnoteReference"/>
          <w:sz w:val="16"/>
          <w:szCs w:val="16"/>
        </w:rPr>
        <w:footnoteRef/>
      </w:r>
      <w:r>
        <w:rPr>
          <w:sz w:val="16"/>
          <w:szCs w:val="16"/>
        </w:rPr>
        <w:t xml:space="preserve"> Approximately 8% of the catching sector workforce is made up of non-locals (other Memb</w:t>
      </w:r>
      <w:r>
        <w:rPr>
          <w:sz w:val="16"/>
          <w:szCs w:val="16"/>
        </w:rPr>
        <w:t>er State nationals or third country nationals)</w:t>
      </w:r>
    </w:p>
  </w:footnote>
  <w:footnote w:id="39">
    <w:p w:rsidR="00046CF8" w:rsidRDefault="003561C2">
      <w:pPr>
        <w:pStyle w:val="FootnoteText"/>
        <w:ind w:left="142" w:hanging="142"/>
        <w:rPr>
          <w:sz w:val="16"/>
          <w:szCs w:val="16"/>
        </w:rPr>
      </w:pPr>
      <w:r>
        <w:rPr>
          <w:rStyle w:val="FootnoteReference"/>
          <w:sz w:val="16"/>
          <w:szCs w:val="16"/>
        </w:rPr>
        <w:footnoteRef/>
      </w:r>
      <w:r>
        <w:rPr>
          <w:sz w:val="16"/>
          <w:szCs w:val="16"/>
        </w:rPr>
        <w:t xml:space="preserve"> Study on the employment of non-local labour in the fisheries sector, MRAG Ltd, Coffey and AND International, June  2016</w:t>
      </w:r>
    </w:p>
  </w:footnote>
  <w:footnote w:id="40">
    <w:p w:rsidR="00046CF8" w:rsidRDefault="003561C2">
      <w:pPr>
        <w:pStyle w:val="FootnoteText"/>
        <w:ind w:left="0" w:firstLine="0"/>
        <w:rPr>
          <w:sz w:val="16"/>
          <w:szCs w:val="16"/>
        </w:rPr>
      </w:pPr>
      <w:r>
        <w:rPr>
          <w:rStyle w:val="FootnoteReference"/>
          <w:sz w:val="16"/>
          <w:szCs w:val="16"/>
        </w:rPr>
        <w:footnoteRef/>
      </w:r>
      <w:r>
        <w:rPr>
          <w:sz w:val="16"/>
          <w:szCs w:val="16"/>
        </w:rPr>
        <w:t xml:space="preserve"> </w:t>
      </w:r>
      <w:hyperlink r:id="rId4" w:history="1">
        <w:r>
          <w:rPr>
            <w:rStyle w:val="Hyperlink"/>
            <w:sz w:val="16"/>
            <w:szCs w:val="16"/>
          </w:rPr>
          <w:t>http://ec.europa.eu/environment/marine/eu-coast-and-marine-policy/marine-strategy-framework-directive/index_en.htm</w:t>
        </w:r>
      </w:hyperlink>
      <w:r>
        <w:rPr>
          <w:sz w:val="16"/>
          <w:szCs w:val="16"/>
        </w:rPr>
        <w:br/>
      </w:r>
      <w:hyperlink r:id="rId5" w:history="1">
        <w:r>
          <w:rPr>
            <w:rStyle w:val="Hyperlink"/>
            <w:sz w:val="16"/>
            <w:szCs w:val="16"/>
          </w:rPr>
          <w:t>http://eur-</w:t>
        </w:r>
        <w:r>
          <w:rPr>
            <w:rStyle w:val="Hyperlink"/>
            <w:sz w:val="16"/>
            <w:szCs w:val="16"/>
          </w:rPr>
          <w:t>lex.europa.eu/legal-content/EN/TXT/?uri=CELEX:32008L0056</w:t>
        </w:r>
      </w:hyperlink>
      <w:r>
        <w:rPr>
          <w:sz w:val="16"/>
          <w:szCs w:val="16"/>
        </w:rPr>
        <w:t xml:space="preserve"> </w:t>
      </w:r>
    </w:p>
  </w:footnote>
  <w:footnote w:id="41">
    <w:p w:rsidR="00046CF8" w:rsidRDefault="003561C2">
      <w:pPr>
        <w:pStyle w:val="FootnoteText"/>
        <w:rPr>
          <w:sz w:val="16"/>
          <w:szCs w:val="16"/>
        </w:rPr>
      </w:pPr>
      <w:r>
        <w:rPr>
          <w:rStyle w:val="FootnoteReference"/>
          <w:sz w:val="16"/>
          <w:szCs w:val="16"/>
        </w:rPr>
        <w:footnoteRef/>
      </w:r>
      <w:r>
        <w:rPr>
          <w:sz w:val="16"/>
          <w:szCs w:val="16"/>
        </w:rPr>
        <w:t xml:space="preserve"> </w:t>
      </w:r>
      <w:hyperlink r:id="rId6" w:history="1">
        <w:r>
          <w:rPr>
            <w:rStyle w:val="Hyperlink"/>
            <w:sz w:val="16"/>
            <w:szCs w:val="16"/>
          </w:rPr>
          <w:t>http://ec.europa.eu/environment/nature/legislation/fitness_check/docs/nature_fitness_check.pdf</w:t>
        </w:r>
      </w:hyperlink>
    </w:p>
  </w:footnote>
  <w:footnote w:id="42">
    <w:p w:rsidR="00046CF8" w:rsidRDefault="003561C2">
      <w:pPr>
        <w:pStyle w:val="FootnoteText"/>
        <w:rPr>
          <w:sz w:val="16"/>
          <w:szCs w:val="16"/>
        </w:rPr>
      </w:pPr>
      <w:r>
        <w:rPr>
          <w:rStyle w:val="FootnoteReference"/>
          <w:sz w:val="16"/>
          <w:szCs w:val="16"/>
        </w:rPr>
        <w:footnoteRef/>
      </w:r>
      <w:r>
        <w:rPr>
          <w:sz w:val="16"/>
          <w:szCs w:val="16"/>
        </w:rPr>
        <w:t xml:space="preserve"> </w:t>
      </w:r>
      <w:hyperlink r:id="rId7" w:history="1">
        <w:r>
          <w:rPr>
            <w:rStyle w:val="Hyperlink"/>
            <w:sz w:val="16"/>
            <w:szCs w:val="16"/>
          </w:rPr>
          <w:t>https://www.eca.europa.eu/Lists/ECADocuments/SR17_1/SR_NATURA_2000_EN</w:t>
        </w:r>
        <w:r>
          <w:rPr>
            <w:rStyle w:val="Hyperlink"/>
            <w:sz w:val="16"/>
            <w:szCs w:val="16"/>
          </w:rPr>
          <w:t>.pdf</w:t>
        </w:r>
      </w:hyperlink>
    </w:p>
  </w:footnote>
  <w:footnote w:id="43">
    <w:p w:rsidR="00046CF8" w:rsidRDefault="003561C2">
      <w:pPr>
        <w:pStyle w:val="FootnoteText"/>
        <w:rPr>
          <w:sz w:val="16"/>
          <w:szCs w:val="16"/>
        </w:rPr>
      </w:pPr>
      <w:r>
        <w:rPr>
          <w:rStyle w:val="FootnoteReference"/>
          <w:sz w:val="16"/>
          <w:szCs w:val="16"/>
        </w:rPr>
        <w:footnoteRef/>
      </w:r>
      <w:r>
        <w:rPr>
          <w:sz w:val="16"/>
          <w:szCs w:val="16"/>
        </w:rPr>
        <w:t xml:space="preserve"> </w:t>
      </w:r>
      <w:hyperlink r:id="rId8" w:history="1">
        <w:r>
          <w:rPr>
            <w:rStyle w:val="Hyperlink"/>
            <w:sz w:val="16"/>
            <w:szCs w:val="16"/>
          </w:rPr>
          <w:t>http://ec.europa.eu/environment/nature/legislation/fitness_check/action_plan/communication_en.pdf</w:t>
        </w:r>
      </w:hyperlink>
      <w:r>
        <w:rPr>
          <w:sz w:val="16"/>
          <w:szCs w:val="16"/>
        </w:rPr>
        <w:t xml:space="preserve">  </w:t>
      </w:r>
    </w:p>
  </w:footnote>
  <w:footnote w:id="44">
    <w:p w:rsidR="00046CF8" w:rsidRDefault="003561C2">
      <w:pPr>
        <w:pStyle w:val="FootnoteText"/>
        <w:rPr>
          <w:sz w:val="16"/>
          <w:szCs w:val="16"/>
        </w:rPr>
      </w:pPr>
      <w:r>
        <w:rPr>
          <w:rStyle w:val="FootnoteReference"/>
          <w:sz w:val="16"/>
          <w:szCs w:val="16"/>
        </w:rPr>
        <w:footnoteRef/>
      </w:r>
      <w:r>
        <w:rPr>
          <w:sz w:val="16"/>
          <w:szCs w:val="16"/>
        </w:rPr>
        <w:t xml:space="preserve"> </w:t>
      </w:r>
      <w:hyperlink r:id="rId9" w:history="1">
        <w:r>
          <w:rPr>
            <w:rStyle w:val="Hyperlink"/>
            <w:sz w:val="16"/>
            <w:szCs w:val="16"/>
          </w:rPr>
          <w:t>http://www.europarl.europa.eu/sides/getDoc.do?type=TA&amp;language=EN&amp;reference=P8-TA-2017-0441</w:t>
        </w:r>
      </w:hyperlink>
    </w:p>
  </w:footnote>
  <w:footnote w:id="45">
    <w:p w:rsidR="00046CF8" w:rsidRDefault="003561C2">
      <w:pPr>
        <w:pStyle w:val="FootnoteText"/>
        <w:rPr>
          <w:sz w:val="16"/>
          <w:szCs w:val="16"/>
        </w:rPr>
      </w:pPr>
      <w:r>
        <w:rPr>
          <w:rStyle w:val="FootnoteReference"/>
          <w:sz w:val="16"/>
          <w:szCs w:val="16"/>
        </w:rPr>
        <w:footnoteRef/>
      </w:r>
      <w:r>
        <w:rPr>
          <w:sz w:val="16"/>
          <w:szCs w:val="16"/>
        </w:rPr>
        <w:t xml:space="preserve"> </w:t>
      </w:r>
      <w:hyperlink r:id="rId10" w:history="1">
        <w:r>
          <w:rPr>
            <w:rStyle w:val="Hyperlink"/>
            <w:sz w:val="16"/>
            <w:szCs w:val="16"/>
          </w:rPr>
          <w:t>http://www.consilium.europa.eu/en/press/press-releases/2017/06/19/conclusions-eu-action-plan-nature/</w:t>
        </w:r>
      </w:hyperlink>
    </w:p>
  </w:footnote>
  <w:footnote w:id="46">
    <w:p w:rsidR="00046CF8" w:rsidRDefault="003561C2">
      <w:pPr>
        <w:pStyle w:val="FootnoteText"/>
        <w:ind w:left="142" w:hanging="142"/>
        <w:rPr>
          <w:sz w:val="16"/>
          <w:szCs w:val="16"/>
        </w:rPr>
      </w:pPr>
      <w:r>
        <w:rPr>
          <w:rStyle w:val="FootnoteReference"/>
          <w:sz w:val="16"/>
          <w:szCs w:val="16"/>
        </w:rPr>
        <w:footnoteRef/>
      </w:r>
      <w:r>
        <w:rPr>
          <w:sz w:val="16"/>
          <w:szCs w:val="16"/>
        </w:rPr>
        <w:t xml:space="preserve"> Study on Realising the potential of the Outermost Regions for sustainable Blue Growth, COGEA srl, in partnership with AND I</w:t>
      </w:r>
      <w:r>
        <w:rPr>
          <w:sz w:val="16"/>
          <w:szCs w:val="16"/>
        </w:rPr>
        <w:t>nternational, Fundación AZTI and Poseidon Aquatic Resources Management Ltd, September – 2017</w:t>
      </w:r>
    </w:p>
  </w:footnote>
  <w:footnote w:id="47">
    <w:p w:rsidR="00046CF8" w:rsidRDefault="003561C2">
      <w:pPr>
        <w:pStyle w:val="FootnoteText"/>
        <w:ind w:left="142" w:hanging="142"/>
        <w:jc w:val="both"/>
        <w:rPr>
          <w:rFonts w:cs="Times New Roman"/>
          <w:sz w:val="16"/>
          <w:szCs w:val="16"/>
        </w:rPr>
      </w:pPr>
      <w:r>
        <w:rPr>
          <w:rStyle w:val="FootnoteReference"/>
          <w:rFonts w:cs="Times New Roman"/>
          <w:sz w:val="16"/>
          <w:szCs w:val="16"/>
        </w:rPr>
        <w:footnoteRef/>
      </w:r>
      <w:r>
        <w:rPr>
          <w:rFonts w:cs="Times New Roman"/>
          <w:sz w:val="16"/>
          <w:szCs w:val="16"/>
        </w:rPr>
        <w:t xml:space="preserve"> The total compensation regime amounts to EUR 192.5 million for 2014-2020, +/- 9% of the EMFF allocation to the three concerned Member States The financial envelo</w:t>
      </w:r>
      <w:r>
        <w:rPr>
          <w:rFonts w:cs="Times New Roman"/>
          <w:sz w:val="16"/>
          <w:szCs w:val="16"/>
        </w:rPr>
        <w:t xml:space="preserve">pe for compensation plans are ring-fenced for the whole of the 2014-2020 programming period as follows: Azores and Madeira (EUR 45.2 million, EUR 6.4 million/ per year), Canary Islands (EUR 60.9 million, EUR 8.7 million/per year), French outermost regions </w:t>
      </w:r>
      <w:r>
        <w:rPr>
          <w:rFonts w:cs="Times New Roman"/>
          <w:sz w:val="16"/>
          <w:szCs w:val="16"/>
        </w:rPr>
        <w:t>(EUR 86.5 million, EUR 12.3 million/per year). This represents an increase in overall total amounts of almost 50% for PT and ES ORs, and 150% for FR ORs. Geographic coverage was extended to all FR ORs (Mayotte, Martinique, Guadeloupe and Saint Martin, prev</w:t>
      </w:r>
      <w:r>
        <w:rPr>
          <w:rFonts w:cs="Times New Roman"/>
          <w:sz w:val="16"/>
          <w:szCs w:val="16"/>
        </w:rPr>
        <w:t>iously not covered).</w:t>
      </w:r>
    </w:p>
  </w:footnote>
  <w:footnote w:id="48">
    <w:p w:rsidR="00046CF8" w:rsidRDefault="003561C2">
      <w:pPr>
        <w:pStyle w:val="FootnoteText"/>
        <w:ind w:left="142" w:hanging="142"/>
        <w:jc w:val="both"/>
        <w:rPr>
          <w:sz w:val="16"/>
          <w:szCs w:val="16"/>
        </w:rPr>
      </w:pPr>
      <w:r>
        <w:rPr>
          <w:rStyle w:val="FootnoteReference"/>
          <w:sz w:val="16"/>
          <w:szCs w:val="16"/>
        </w:rPr>
        <w:footnoteRef/>
      </w:r>
      <w:r>
        <w:rPr>
          <w:sz w:val="16"/>
          <w:szCs w:val="16"/>
        </w:rPr>
        <w:t xml:space="preserve"> Following data from EUMOFA in 2015 fish products farmed in the EU reached the highest values ever registered. The total value of EUR 4.14 billion represented an increase of more than EUR 300 million or 8% from the previous year. Volu</w:t>
      </w:r>
      <w:r>
        <w:rPr>
          <w:sz w:val="16"/>
          <w:szCs w:val="16"/>
        </w:rPr>
        <w:t xml:space="preserve">mes also reached an all-time peak, totalling EUR 1.31 million tonnes, an increase of 54.4 tonnes or 4% above the 2014 volumes. Around </w:t>
      </w:r>
      <w:r>
        <w:rPr>
          <w:bCs/>
          <w:sz w:val="16"/>
          <w:szCs w:val="16"/>
        </w:rPr>
        <w:t xml:space="preserve">95% </w:t>
      </w:r>
      <w:r>
        <w:rPr>
          <w:sz w:val="16"/>
          <w:szCs w:val="16"/>
        </w:rPr>
        <w:t xml:space="preserve">of total EU aquaculture production is represented by </w:t>
      </w:r>
      <w:r>
        <w:rPr>
          <w:bCs/>
          <w:sz w:val="16"/>
          <w:szCs w:val="16"/>
        </w:rPr>
        <w:t>10 species</w:t>
      </w:r>
      <w:r>
        <w:rPr>
          <w:sz w:val="16"/>
          <w:szCs w:val="16"/>
        </w:rPr>
        <w:t>. Compared to 2006, the most significant changes record</w:t>
      </w:r>
      <w:r>
        <w:rPr>
          <w:sz w:val="16"/>
          <w:szCs w:val="16"/>
        </w:rPr>
        <w:t xml:space="preserve">ed in 2015 were in value terms. </w:t>
      </w:r>
      <w:r>
        <w:rPr>
          <w:bCs/>
          <w:sz w:val="16"/>
          <w:szCs w:val="16"/>
        </w:rPr>
        <w:t>Salmon</w:t>
      </w:r>
      <w:r>
        <w:rPr>
          <w:sz w:val="16"/>
          <w:szCs w:val="16"/>
        </w:rPr>
        <w:t xml:space="preserve">, now accounts for almost 1/4 of the total; </w:t>
      </w:r>
      <w:r>
        <w:rPr>
          <w:bCs/>
          <w:sz w:val="16"/>
          <w:szCs w:val="16"/>
        </w:rPr>
        <w:t>oyster</w:t>
      </w:r>
      <w:r>
        <w:rPr>
          <w:sz w:val="16"/>
          <w:szCs w:val="16"/>
        </w:rPr>
        <w:t xml:space="preserve"> moved up from ranking 6</w:t>
      </w:r>
      <w:r>
        <w:rPr>
          <w:sz w:val="16"/>
          <w:szCs w:val="16"/>
          <w:vertAlign w:val="superscript"/>
        </w:rPr>
        <w:t>th</w:t>
      </w:r>
      <w:r>
        <w:rPr>
          <w:sz w:val="16"/>
          <w:szCs w:val="16"/>
        </w:rPr>
        <w:t xml:space="preserve"> to 4</w:t>
      </w:r>
      <w:r>
        <w:rPr>
          <w:sz w:val="16"/>
          <w:szCs w:val="16"/>
          <w:vertAlign w:val="superscript"/>
        </w:rPr>
        <w:t>th</w:t>
      </w:r>
      <w:r>
        <w:rPr>
          <w:sz w:val="16"/>
          <w:szCs w:val="16"/>
        </w:rPr>
        <w:t xml:space="preserve">; </w:t>
      </w:r>
      <w:r>
        <w:rPr>
          <w:bCs/>
          <w:sz w:val="16"/>
          <w:szCs w:val="16"/>
        </w:rPr>
        <w:t>eel</w:t>
      </w:r>
      <w:r>
        <w:rPr>
          <w:sz w:val="16"/>
          <w:szCs w:val="16"/>
        </w:rPr>
        <w:t xml:space="preserve"> value contracted by 40%.</w:t>
      </w:r>
    </w:p>
  </w:footnote>
  <w:footnote w:id="49">
    <w:p w:rsidR="00046CF8" w:rsidRDefault="003561C2">
      <w:pPr>
        <w:pStyle w:val="FootnoteText"/>
        <w:ind w:left="142" w:hanging="142"/>
        <w:jc w:val="both"/>
        <w:rPr>
          <w:sz w:val="16"/>
          <w:szCs w:val="16"/>
        </w:rPr>
      </w:pPr>
      <w:r>
        <w:rPr>
          <w:rStyle w:val="FootnoteReference"/>
          <w:sz w:val="16"/>
          <w:szCs w:val="16"/>
        </w:rPr>
        <w:footnoteRef/>
      </w:r>
      <w:r>
        <w:rPr>
          <w:sz w:val="16"/>
          <w:szCs w:val="16"/>
        </w:rPr>
        <w:t xml:space="preserve"> Directive 2014/89/EU of the European Parliament and of the Council of 23 July 2014 establishing a fram</w:t>
      </w:r>
      <w:r>
        <w:rPr>
          <w:sz w:val="16"/>
          <w:szCs w:val="16"/>
        </w:rPr>
        <w:t>ework for maritime spatial planning</w:t>
      </w:r>
    </w:p>
  </w:footnote>
  <w:footnote w:id="50">
    <w:p w:rsidR="00046CF8" w:rsidRDefault="003561C2">
      <w:pPr>
        <w:pStyle w:val="FootnoteText"/>
        <w:ind w:left="142" w:hanging="142"/>
        <w:jc w:val="both"/>
        <w:rPr>
          <w:sz w:val="16"/>
          <w:szCs w:val="16"/>
        </w:rPr>
      </w:pPr>
      <w:r>
        <w:rPr>
          <w:rStyle w:val="FootnoteReference"/>
          <w:sz w:val="16"/>
          <w:szCs w:val="16"/>
        </w:rPr>
        <w:footnoteRef/>
      </w:r>
      <w:r>
        <w:rPr>
          <w:sz w:val="16"/>
          <w:szCs w:val="16"/>
        </w:rPr>
        <w:t xml:space="preserve"> Cross-border MSP projects are listed here: https://ec.europa.eu/maritimeaffairs/policy/maritime_spatial_planning_en</w:t>
      </w:r>
    </w:p>
  </w:footnote>
  <w:footnote w:id="51">
    <w:p w:rsidR="00046CF8" w:rsidRDefault="003561C2">
      <w:pPr>
        <w:pStyle w:val="FootnoteText"/>
        <w:rPr>
          <w:sz w:val="16"/>
          <w:szCs w:val="16"/>
        </w:rPr>
      </w:pPr>
      <w:r>
        <w:rPr>
          <w:rStyle w:val="FootnoteReference"/>
          <w:sz w:val="16"/>
          <w:szCs w:val="16"/>
        </w:rPr>
        <w:footnoteRef/>
      </w:r>
      <w:r>
        <w:rPr>
          <w:sz w:val="16"/>
          <w:szCs w:val="16"/>
        </w:rPr>
        <w:t xml:space="preserve"> Further details provided in Annex 4.14</w:t>
      </w:r>
    </w:p>
  </w:footnote>
  <w:footnote w:id="52">
    <w:p w:rsidR="00046CF8" w:rsidRDefault="003561C2">
      <w:pPr>
        <w:pStyle w:val="FootnoteText"/>
        <w:rPr>
          <w:sz w:val="16"/>
          <w:szCs w:val="16"/>
        </w:rPr>
      </w:pPr>
      <w:r>
        <w:rPr>
          <w:rStyle w:val="FootnoteReference"/>
          <w:sz w:val="16"/>
          <w:szCs w:val="16"/>
        </w:rPr>
        <w:footnoteRef/>
      </w:r>
      <w:r>
        <w:rPr>
          <w:sz w:val="16"/>
          <w:szCs w:val="16"/>
        </w:rPr>
        <w:t xml:space="preserve"> Starting with Axis 4 under the EFF and continuing with CLLD</w:t>
      </w:r>
      <w:r>
        <w:rPr>
          <w:sz w:val="16"/>
          <w:szCs w:val="16"/>
        </w:rPr>
        <w:t xml:space="preserve"> under the EMFF</w:t>
      </w:r>
    </w:p>
  </w:footnote>
  <w:footnote w:id="53">
    <w:p w:rsidR="00046CF8" w:rsidRDefault="003561C2">
      <w:pPr>
        <w:pStyle w:val="FootnoteText"/>
        <w:ind w:left="142" w:hanging="142"/>
        <w:rPr>
          <w:sz w:val="16"/>
          <w:szCs w:val="16"/>
        </w:rPr>
      </w:pPr>
      <w:r>
        <w:rPr>
          <w:rStyle w:val="FootnoteReference"/>
          <w:sz w:val="16"/>
          <w:szCs w:val="16"/>
        </w:rPr>
        <w:footnoteRef/>
      </w:r>
      <w:r>
        <w:rPr>
          <w:sz w:val="16"/>
          <w:szCs w:val="16"/>
        </w:rPr>
        <w:t xml:space="preserve"> While during the 2007-2013 period 57% of FLAGs stated they would spend more than 30 % of their budget on projects targeting SSCF, the share increases to 71% in the 2014-2020 period as stated in the Ad-hoc expert report providing information on present and</w:t>
      </w:r>
      <w:r>
        <w:rPr>
          <w:sz w:val="16"/>
          <w:szCs w:val="16"/>
        </w:rPr>
        <w:t xml:space="preserve"> future EMFF support to Small-Scale Coastal Fisheries through FLAGs, FARNET, 2017</w:t>
      </w:r>
    </w:p>
  </w:footnote>
  <w:footnote w:id="54">
    <w:p w:rsidR="00046CF8" w:rsidRDefault="003561C2">
      <w:pPr>
        <w:pStyle w:val="FootnoteText"/>
        <w:ind w:left="0" w:firstLine="0"/>
        <w:rPr>
          <w:sz w:val="16"/>
          <w:szCs w:val="16"/>
        </w:rPr>
      </w:pPr>
      <w:r>
        <w:rPr>
          <w:rStyle w:val="FootnoteReference"/>
          <w:sz w:val="16"/>
          <w:szCs w:val="16"/>
        </w:rPr>
        <w:footnoteRef/>
      </w:r>
      <w:r>
        <w:rPr>
          <w:sz w:val="16"/>
          <w:szCs w:val="16"/>
        </w:rPr>
        <w:t xml:space="preserve"> The EU plays an active role in the WTO’s negotiations on disciplining fisheries subsidies contributing to overcapacity, overfishing and IUU as requested by SDG 14.6. In thi</w:t>
      </w:r>
      <w:r>
        <w:rPr>
          <w:sz w:val="16"/>
          <w:szCs w:val="16"/>
        </w:rPr>
        <w:t>s respect the EU made proposals to discipline capacity-enhancing proposals, including the prohibition of construction aid.</w:t>
      </w:r>
    </w:p>
  </w:footnote>
  <w:footnote w:id="55">
    <w:p w:rsidR="00046CF8" w:rsidRDefault="003561C2">
      <w:pPr>
        <w:pStyle w:val="FootnoteText"/>
        <w:rPr>
          <w:sz w:val="16"/>
          <w:szCs w:val="16"/>
        </w:rPr>
      </w:pPr>
      <w:r>
        <w:rPr>
          <w:rStyle w:val="FootnoteReference"/>
          <w:sz w:val="16"/>
          <w:szCs w:val="16"/>
        </w:rPr>
        <w:footnoteRef/>
      </w:r>
      <w:r>
        <w:rPr>
          <w:sz w:val="16"/>
          <w:szCs w:val="16"/>
        </w:rPr>
        <w:t xml:space="preserve"> Special Eurobarometer 464b: European's attitudes towards security, December 2017</w:t>
      </w:r>
    </w:p>
  </w:footnote>
  <w:footnote w:id="56">
    <w:p w:rsidR="00046CF8" w:rsidRDefault="003561C2">
      <w:pPr>
        <w:pStyle w:val="FootnoteText"/>
        <w:rPr>
          <w:sz w:val="16"/>
          <w:szCs w:val="16"/>
        </w:rPr>
      </w:pPr>
      <w:r>
        <w:rPr>
          <w:rStyle w:val="FootnoteReference"/>
          <w:sz w:val="16"/>
          <w:szCs w:val="16"/>
        </w:rPr>
        <w:footnoteRef/>
      </w:r>
      <w:r>
        <w:rPr>
          <w:sz w:val="16"/>
          <w:szCs w:val="16"/>
        </w:rPr>
        <w:t xml:space="preserve"> (OR. en), 17002/14, Brussels, 16 December 2014</w:t>
      </w:r>
    </w:p>
    <w:p w:rsidR="00046CF8" w:rsidRDefault="00046CF8">
      <w:pPr>
        <w:pStyle w:val="FootnoteText"/>
        <w:rPr>
          <w:sz w:val="16"/>
          <w:szCs w:val="16"/>
        </w:rPr>
      </w:pPr>
    </w:p>
  </w:footnote>
  <w:footnote w:id="57">
    <w:p w:rsidR="00046CF8" w:rsidRDefault="003561C2">
      <w:pPr>
        <w:pStyle w:val="FootnoteText"/>
        <w:rPr>
          <w:sz w:val="16"/>
          <w:szCs w:val="16"/>
        </w:rPr>
      </w:pPr>
      <w:r>
        <w:rPr>
          <w:rStyle w:val="FootnoteReference"/>
          <w:sz w:val="16"/>
          <w:szCs w:val="16"/>
        </w:rPr>
        <w:footnoteRef/>
      </w:r>
      <w:r>
        <w:rPr>
          <w:sz w:val="16"/>
          <w:szCs w:val="16"/>
        </w:rPr>
        <w:t xml:space="preserve"> Permanent cessation, extraordinary cessation, </w:t>
      </w:r>
      <w:r>
        <w:rPr>
          <w:rFonts w:cs="Times New Roman"/>
          <w:sz w:val="16"/>
          <w:szCs w:val="16"/>
        </w:rPr>
        <w:t>start-up support and engine replacement</w:t>
      </w:r>
    </w:p>
  </w:footnote>
  <w:footnote w:id="58">
    <w:p w:rsidR="00046CF8" w:rsidRDefault="003561C2">
      <w:pPr>
        <w:pStyle w:val="FootnoteText"/>
        <w:ind w:left="0" w:firstLine="0"/>
        <w:rPr>
          <w:sz w:val="16"/>
          <w:szCs w:val="16"/>
        </w:rPr>
      </w:pPr>
      <w:r>
        <w:rPr>
          <w:rStyle w:val="FootnoteReference"/>
          <w:sz w:val="16"/>
          <w:szCs w:val="16"/>
        </w:rPr>
        <w:footnoteRef/>
      </w:r>
      <w:r>
        <w:rPr>
          <w:sz w:val="16"/>
          <w:szCs w:val="16"/>
        </w:rPr>
        <w:t xml:space="preserve"> A monopsony is a market situation in which there is only one buyer. A oligopsony is a state of the market in which only a small number of buyers exists for a product.</w:t>
      </w:r>
    </w:p>
  </w:footnote>
  <w:footnote w:id="59">
    <w:p w:rsidR="00046CF8" w:rsidRDefault="003561C2">
      <w:pPr>
        <w:pStyle w:val="FootnoteText"/>
        <w:rPr>
          <w:sz w:val="16"/>
          <w:szCs w:val="16"/>
        </w:rPr>
      </w:pPr>
      <w:r>
        <w:rPr>
          <w:rStyle w:val="FootnoteReference"/>
          <w:sz w:val="16"/>
          <w:szCs w:val="16"/>
        </w:rPr>
        <w:footnoteRef/>
      </w:r>
      <w:r>
        <w:rPr>
          <w:sz w:val="16"/>
          <w:szCs w:val="16"/>
        </w:rPr>
        <w:t xml:space="preserve"> (OR. en), 17002/14, Brussels, 16 December 2014</w:t>
      </w:r>
    </w:p>
  </w:footnote>
  <w:footnote w:id="60">
    <w:p w:rsidR="00046CF8" w:rsidRDefault="003561C2">
      <w:pPr>
        <w:pStyle w:val="FootnoteText"/>
        <w:rPr>
          <w:sz w:val="16"/>
          <w:szCs w:val="16"/>
        </w:rPr>
      </w:pPr>
      <w:r>
        <w:rPr>
          <w:rStyle w:val="FootnoteReference"/>
          <w:sz w:val="16"/>
          <w:szCs w:val="16"/>
        </w:rPr>
        <w:footnoteRef/>
      </w:r>
      <w:r>
        <w:rPr>
          <w:sz w:val="16"/>
          <w:szCs w:val="16"/>
        </w:rPr>
        <w:t xml:space="preserve"> Article 92 in the draft Common Provisions Regulation</w:t>
      </w:r>
    </w:p>
  </w:footnote>
  <w:footnote w:id="61">
    <w:p w:rsidR="00046CF8" w:rsidRDefault="003561C2">
      <w:pPr>
        <w:pStyle w:val="FootnoteText"/>
        <w:ind w:left="0" w:firstLine="0"/>
        <w:rPr>
          <w:rFonts w:cs="Times New Roman"/>
          <w:sz w:val="16"/>
          <w:szCs w:val="16"/>
        </w:rPr>
      </w:pPr>
      <w:r>
        <w:rPr>
          <w:rStyle w:val="FootnoteReference"/>
          <w:rFonts w:cs="Times New Roman"/>
          <w:sz w:val="16"/>
          <w:szCs w:val="16"/>
        </w:rPr>
        <w:footnoteRef/>
      </w:r>
      <w:r>
        <w:rPr>
          <w:rFonts w:cs="Times New Roman"/>
          <w:sz w:val="16"/>
          <w:szCs w:val="16"/>
        </w:rPr>
        <w:t xml:space="preserve"> Shared management in the current EMFF is primarily implemented through grants, albeit with an increasing amount implemented through financial instruments. A novelty introduced in the EMFF is that in the case of investments in processing of fishery and aqu</w:t>
      </w:r>
      <w:r>
        <w:rPr>
          <w:rFonts w:cs="Times New Roman"/>
          <w:sz w:val="16"/>
          <w:szCs w:val="16"/>
        </w:rPr>
        <w:t xml:space="preserve">aculture products support to enterprises other than SMEs is only granted though financial instruments.  Specific EMFF financial instruments intend to invest nearly EUR 80 million compared to EUR 63.5 million in the previous programming period. Although to </w:t>
      </w:r>
      <w:r>
        <w:rPr>
          <w:rFonts w:cs="Times New Roman"/>
          <w:sz w:val="16"/>
          <w:szCs w:val="16"/>
        </w:rPr>
        <w:t>date no substantial reporting by Member States is available, operational knowledge indicates that there is progress on the ground, that ex-ante assessments have been finalised and decisions on whether and how to proceed have continued during 2017.</w:t>
      </w:r>
    </w:p>
  </w:footnote>
  <w:footnote w:id="62">
    <w:p w:rsidR="00046CF8" w:rsidRDefault="003561C2">
      <w:pPr>
        <w:pStyle w:val="FootnoteText"/>
        <w:ind w:left="142" w:hanging="142"/>
        <w:rPr>
          <w:rFonts w:cs="Times New Roman"/>
          <w:sz w:val="16"/>
          <w:szCs w:val="16"/>
        </w:rPr>
      </w:pPr>
      <w:r>
        <w:rPr>
          <w:rStyle w:val="FootnoteReference"/>
          <w:rFonts w:cs="Times New Roman"/>
          <w:sz w:val="16"/>
          <w:szCs w:val="16"/>
        </w:rPr>
        <w:footnoteRef/>
      </w:r>
      <w:r>
        <w:rPr>
          <w:rFonts w:cs="Times New Roman"/>
          <w:sz w:val="16"/>
          <w:szCs w:val="16"/>
        </w:rPr>
        <w:t xml:space="preserve"> As man</w:t>
      </w:r>
      <w:r>
        <w:rPr>
          <w:rFonts w:cs="Times New Roman"/>
          <w:sz w:val="16"/>
          <w:szCs w:val="16"/>
        </w:rPr>
        <w:t xml:space="preserve">y as 75% of respondents in our stakeholder consultation were in favour of increasing the use and allocations for financial instruments post 2020.  </w:t>
      </w:r>
    </w:p>
  </w:footnote>
  <w:footnote w:id="63">
    <w:p w:rsidR="00046CF8" w:rsidRDefault="003561C2">
      <w:pPr>
        <w:pStyle w:val="FootnoteText"/>
        <w:ind w:left="142" w:hanging="142"/>
        <w:rPr>
          <w:rFonts w:cs="Times New Roman"/>
          <w:sz w:val="16"/>
          <w:szCs w:val="16"/>
        </w:rPr>
      </w:pPr>
      <w:r>
        <w:rPr>
          <w:rStyle w:val="FootnoteReference"/>
          <w:rFonts w:cs="Times New Roman"/>
          <w:sz w:val="16"/>
          <w:szCs w:val="16"/>
        </w:rPr>
        <w:footnoteRef/>
      </w:r>
      <w:r>
        <w:rPr>
          <w:rFonts w:cs="Times New Roman"/>
          <w:sz w:val="16"/>
          <w:szCs w:val="16"/>
        </w:rPr>
        <w:t xml:space="preserve"> The main difference between repayable assistance and grants lies in the repayable character of the assista</w:t>
      </w:r>
      <w:r>
        <w:rPr>
          <w:rFonts w:cs="Times New Roman"/>
          <w:sz w:val="16"/>
          <w:szCs w:val="16"/>
        </w:rPr>
        <w:t>nce as opposed to the non-reimbursable character of a grant. On the other hand the repayable assistance also differs from financial instruments, notably loans which contain an unconditional obligation to repay.</w:t>
      </w:r>
    </w:p>
  </w:footnote>
  <w:footnote w:id="64">
    <w:p w:rsidR="00046CF8" w:rsidRDefault="003561C2">
      <w:pPr>
        <w:pStyle w:val="FootnoteText"/>
        <w:ind w:left="0" w:firstLine="0"/>
        <w:rPr>
          <w:rFonts w:cs="Times New Roman"/>
          <w:sz w:val="16"/>
          <w:szCs w:val="16"/>
        </w:rPr>
      </w:pPr>
      <w:r>
        <w:rPr>
          <w:rStyle w:val="FootnoteReference"/>
          <w:rFonts w:cs="Times New Roman"/>
          <w:sz w:val="16"/>
          <w:szCs w:val="16"/>
        </w:rPr>
        <w:footnoteRef/>
      </w:r>
      <w:r>
        <w:rPr>
          <w:rFonts w:cs="Times New Roman"/>
          <w:sz w:val="16"/>
          <w:szCs w:val="16"/>
        </w:rPr>
        <w:t xml:space="preserve"> During the 2014-2020, following a survey on</w:t>
      </w:r>
      <w:r>
        <w:rPr>
          <w:rFonts w:cs="Times New Roman"/>
          <w:sz w:val="16"/>
          <w:szCs w:val="16"/>
        </w:rPr>
        <w:t xml:space="preserve"> simplification launched by DG MARE in 2015 and followed-up in 2017 by an additional survey, less than 50% of replying Member States reported they planned to use SCOs within the EMFF. The main reason for not using SCOs was that it was considered too admini</w:t>
      </w:r>
      <w:r>
        <w:rPr>
          <w:rFonts w:cs="Times New Roman"/>
          <w:sz w:val="16"/>
          <w:szCs w:val="16"/>
        </w:rPr>
        <w:t>stratively burdensome. The preferred SCO was standard scales of unit costs followed by flat-rate financing. Member States mostly planned to use SCOs for support to sustainable aquaculture and for data collection and control.  Further results of this survey</w:t>
      </w:r>
      <w:r>
        <w:rPr>
          <w:rFonts w:cs="Times New Roman"/>
          <w:sz w:val="16"/>
          <w:szCs w:val="16"/>
        </w:rPr>
        <w:t xml:space="preserve"> are presented in Annex 4.8.  </w:t>
      </w:r>
    </w:p>
  </w:footnote>
  <w:footnote w:id="65">
    <w:p w:rsidR="00046CF8" w:rsidRDefault="003561C2">
      <w:pPr>
        <w:pStyle w:val="FootnoteText"/>
        <w:ind w:left="142" w:hanging="142"/>
        <w:rPr>
          <w:rFonts w:cs="Times New Roman"/>
          <w:sz w:val="16"/>
          <w:szCs w:val="16"/>
        </w:rPr>
      </w:pPr>
      <w:r>
        <w:rPr>
          <w:rStyle w:val="FootnoteReference"/>
          <w:rFonts w:cs="Times New Roman"/>
          <w:sz w:val="16"/>
          <w:szCs w:val="16"/>
        </w:rPr>
        <w:footnoteRef/>
      </w:r>
      <w:r>
        <w:rPr>
          <w:rFonts w:cs="Times New Roman"/>
          <w:sz w:val="16"/>
          <w:szCs w:val="16"/>
        </w:rPr>
        <w:t xml:space="preserve"> The funding according to management mode is 90% in shared management and 10% in direct management.</w:t>
      </w:r>
    </w:p>
  </w:footnote>
  <w:footnote w:id="66">
    <w:p w:rsidR="00046CF8" w:rsidRDefault="003561C2">
      <w:pPr>
        <w:pStyle w:val="FootnoteText"/>
        <w:ind w:left="0" w:firstLine="0"/>
        <w:rPr>
          <w:rFonts w:cs="Times New Roman"/>
          <w:sz w:val="16"/>
          <w:szCs w:val="16"/>
        </w:rPr>
      </w:pPr>
      <w:r>
        <w:rPr>
          <w:rStyle w:val="FootnoteReference"/>
          <w:rFonts w:cs="Times New Roman"/>
          <w:sz w:val="16"/>
          <w:szCs w:val="16"/>
        </w:rPr>
        <w:footnoteRef/>
      </w:r>
      <w:r>
        <w:rPr>
          <w:rFonts w:cs="Times New Roman"/>
          <w:sz w:val="16"/>
          <w:szCs w:val="16"/>
        </w:rPr>
        <w:t xml:space="preserve"> The current dual mode provides for continuity and the possibility to benefit from already gained experience much in the li</w:t>
      </w:r>
      <w:r>
        <w:rPr>
          <w:rFonts w:cs="Times New Roman"/>
          <w:sz w:val="16"/>
          <w:szCs w:val="16"/>
        </w:rPr>
        <w:t xml:space="preserve">ne with what stakeholders ask for. As part of the ESI Funds, most of the future funding would continue to be implemented in shared management. The purpose is to support adaptive processes in a specific sector, investments in businesses and preservation of </w:t>
      </w:r>
      <w:r>
        <w:rPr>
          <w:rFonts w:cs="Times New Roman"/>
          <w:sz w:val="16"/>
          <w:szCs w:val="16"/>
        </w:rPr>
        <w:t>environmental resources, funding should be as close as possible to local and national realities and complementary to national policies and funding.</w:t>
      </w:r>
    </w:p>
  </w:footnote>
  <w:footnote w:id="67">
    <w:p w:rsidR="00046CF8" w:rsidRDefault="003561C2">
      <w:pPr>
        <w:pStyle w:val="FootnoteText"/>
        <w:ind w:left="0" w:firstLine="0"/>
        <w:rPr>
          <w:rFonts w:cs="Times New Roman"/>
          <w:sz w:val="16"/>
          <w:szCs w:val="16"/>
        </w:rPr>
      </w:pPr>
      <w:r>
        <w:rPr>
          <w:rStyle w:val="FootnoteReference"/>
          <w:rFonts w:cs="Times New Roman"/>
          <w:sz w:val="16"/>
          <w:szCs w:val="16"/>
        </w:rPr>
        <w:footnoteRef/>
      </w:r>
      <w:r>
        <w:rPr>
          <w:rFonts w:cs="Times New Roman"/>
          <w:sz w:val="16"/>
          <w:szCs w:val="16"/>
        </w:rPr>
        <w:t xml:space="preserve"> Article 107 of the EMFF Regulation requires the establishment of a Common Monitoring and Evaluation System</w:t>
      </w:r>
      <w:r>
        <w:rPr>
          <w:rFonts w:cs="Times New Roman"/>
          <w:sz w:val="16"/>
          <w:szCs w:val="16"/>
        </w:rPr>
        <w:t xml:space="preserve"> (CMES) for the operations co-financed by the EMFF under shared management. A more complete account of the system is provided in Annex 3.  </w:t>
      </w:r>
    </w:p>
  </w:footnote>
  <w:footnote w:id="68">
    <w:p w:rsidR="00046CF8" w:rsidRDefault="003561C2">
      <w:pPr>
        <w:pStyle w:val="FootnoteText"/>
        <w:ind w:left="0" w:firstLine="0"/>
        <w:rPr>
          <w:rFonts w:cs="Times New Roman"/>
          <w:sz w:val="16"/>
          <w:szCs w:val="16"/>
        </w:rPr>
      </w:pPr>
      <w:r>
        <w:rPr>
          <w:rStyle w:val="FootnoteReference"/>
          <w:rFonts w:cs="Times New Roman"/>
          <w:sz w:val="16"/>
          <w:szCs w:val="16"/>
        </w:rPr>
        <w:footnoteRef/>
      </w:r>
      <w:r>
        <w:rPr>
          <w:rFonts w:cs="Times New Roman"/>
          <w:sz w:val="16"/>
          <w:szCs w:val="16"/>
        </w:rPr>
        <w:t xml:space="preserve"> A complete list of indicators used during the 2014-2020 period is provided in Annex 3.3 </w:t>
      </w:r>
    </w:p>
  </w:footnote>
  <w:footnote w:id="69">
    <w:p w:rsidR="00046CF8" w:rsidRDefault="003561C2">
      <w:pPr>
        <w:pStyle w:val="FootnoteText"/>
        <w:ind w:left="0" w:firstLine="0"/>
        <w:rPr>
          <w:rFonts w:cs="Times New Roman"/>
          <w:sz w:val="16"/>
          <w:szCs w:val="16"/>
        </w:rPr>
      </w:pPr>
      <w:r>
        <w:rPr>
          <w:rStyle w:val="FootnoteReference"/>
          <w:rFonts w:cs="Times New Roman"/>
          <w:sz w:val="16"/>
          <w:szCs w:val="16"/>
        </w:rPr>
        <w:footnoteRef/>
      </w:r>
      <w:r>
        <w:rPr>
          <w:rFonts w:cs="Times New Roman"/>
          <w:sz w:val="16"/>
          <w:szCs w:val="16"/>
        </w:rPr>
        <w:t xml:space="preserve"> The Infosys reporting s</w:t>
      </w:r>
      <w:r>
        <w:rPr>
          <w:rFonts w:cs="Times New Roman"/>
          <w:sz w:val="16"/>
          <w:szCs w:val="16"/>
        </w:rPr>
        <w:t>ystem is established through Art 97.1 (a) of the EMFF Regulation. In order to limit the administrative burden for MAs, the system uses information which is already available in the Member States.</w:t>
      </w:r>
    </w:p>
  </w:footnote>
  <w:footnote w:id="70">
    <w:p w:rsidR="00046CF8" w:rsidRDefault="003561C2">
      <w:pPr>
        <w:pStyle w:val="FootnoteText"/>
        <w:ind w:left="0" w:firstLine="0"/>
        <w:rPr>
          <w:sz w:val="16"/>
          <w:szCs w:val="16"/>
        </w:rPr>
      </w:pPr>
      <w:r>
        <w:rPr>
          <w:rStyle w:val="FootnoteReference"/>
          <w:sz w:val="16"/>
          <w:szCs w:val="16"/>
        </w:rPr>
        <w:footnoteRef/>
      </w:r>
      <w:r>
        <w:rPr>
          <w:sz w:val="16"/>
          <w:szCs w:val="16"/>
        </w:rPr>
        <w:t xml:space="preserve"> This was not the case during the 2014-2020 period when the</w:t>
      </w:r>
      <w:r>
        <w:rPr>
          <w:sz w:val="16"/>
          <w:szCs w:val="16"/>
        </w:rPr>
        <w:t xml:space="preserve"> methodological guidance came late at a time when many operational programmes had already been approved)</w:t>
      </w:r>
    </w:p>
  </w:footnote>
  <w:footnote w:id="71">
    <w:p w:rsidR="00046CF8" w:rsidRDefault="003561C2">
      <w:pPr>
        <w:pStyle w:val="FootnoteText"/>
        <w:rPr>
          <w:rFonts w:cs="Times New Roman"/>
          <w:sz w:val="16"/>
          <w:szCs w:val="16"/>
        </w:rPr>
      </w:pPr>
      <w:r>
        <w:rPr>
          <w:rStyle w:val="FootnoteReference"/>
          <w:rFonts w:cs="Times New Roman"/>
          <w:sz w:val="16"/>
          <w:szCs w:val="16"/>
        </w:rPr>
        <w:footnoteRef/>
      </w:r>
      <w:r>
        <w:rPr>
          <w:rFonts w:cs="Times New Roman"/>
          <w:sz w:val="16"/>
          <w:szCs w:val="16"/>
        </w:rPr>
        <w:t xml:space="preserve"> https://stecf.jrc.ec.europa.eu/reports/dcf-dcr</w:t>
      </w:r>
    </w:p>
  </w:footnote>
  <w:footnote w:id="72">
    <w:p w:rsidR="00046CF8" w:rsidRDefault="003561C2">
      <w:pPr>
        <w:pStyle w:val="FootnoteText"/>
        <w:rPr>
          <w:rFonts w:cs="Times New Roman"/>
          <w:sz w:val="16"/>
          <w:szCs w:val="16"/>
        </w:rPr>
      </w:pPr>
      <w:r>
        <w:rPr>
          <w:rStyle w:val="FootnoteReference"/>
          <w:rFonts w:cs="Times New Roman"/>
          <w:sz w:val="16"/>
          <w:szCs w:val="16"/>
        </w:rPr>
        <w:footnoteRef/>
      </w:r>
      <w:r>
        <w:rPr>
          <w:rFonts w:cs="Times New Roman"/>
          <w:sz w:val="16"/>
          <w:szCs w:val="16"/>
        </w:rPr>
        <w:t xml:space="preserve"> http://www.eumofa.eu/sources-of-data</w:t>
      </w:r>
    </w:p>
  </w:footnote>
  <w:footnote w:id="73">
    <w:p w:rsidR="00046CF8" w:rsidRDefault="003561C2">
      <w:pPr>
        <w:pStyle w:val="FootnoteText"/>
        <w:rPr>
          <w:sz w:val="16"/>
          <w:szCs w:val="16"/>
        </w:rPr>
      </w:pPr>
      <w:r>
        <w:rPr>
          <w:rStyle w:val="FootnoteReference"/>
          <w:sz w:val="16"/>
          <w:szCs w:val="16"/>
        </w:rPr>
        <w:footnoteRef/>
      </w:r>
      <w:r>
        <w:rPr>
          <w:sz w:val="16"/>
          <w:szCs w:val="16"/>
        </w:rPr>
        <w:t xml:space="preserve"> </w:t>
      </w:r>
      <w:r>
        <w:rPr>
          <w:sz w:val="16"/>
          <w:szCs w:val="16"/>
          <w:u w:val="single"/>
        </w:rPr>
        <w:t>Option 1:</w:t>
      </w:r>
      <w:r>
        <w:rPr>
          <w:sz w:val="16"/>
          <w:szCs w:val="16"/>
        </w:rPr>
        <w:t xml:space="preserve">  decrease by 15% (baseline); </w:t>
      </w:r>
      <w:r>
        <w:rPr>
          <w:sz w:val="16"/>
          <w:szCs w:val="16"/>
          <w:u w:val="single"/>
        </w:rPr>
        <w:t>Option 2:</w:t>
      </w:r>
      <w:r>
        <w:rPr>
          <w:sz w:val="16"/>
          <w:szCs w:val="16"/>
        </w:rPr>
        <w:t xml:space="preserve">  decrease by</w:t>
      </w:r>
      <w:r>
        <w:rPr>
          <w:sz w:val="16"/>
          <w:szCs w:val="16"/>
        </w:rPr>
        <w:t xml:space="preserve"> 30%; </w:t>
      </w:r>
      <w:r>
        <w:rPr>
          <w:sz w:val="16"/>
          <w:szCs w:val="16"/>
          <w:u w:val="single"/>
        </w:rPr>
        <w:t>Option 3:</w:t>
      </w:r>
      <w:r>
        <w:rPr>
          <w:sz w:val="16"/>
          <w:szCs w:val="16"/>
        </w:rPr>
        <w:t xml:space="preserve"> constant of slightly increased budget.</w:t>
      </w:r>
    </w:p>
  </w:footnote>
  <w:footnote w:id="74">
    <w:p w:rsidR="00046CF8" w:rsidRDefault="003561C2">
      <w:pPr>
        <w:pStyle w:val="FootnoteText"/>
      </w:pPr>
      <w:r>
        <w:rPr>
          <w:rStyle w:val="FootnoteReference"/>
        </w:rPr>
        <w:footnoteRef/>
      </w:r>
      <w:r>
        <w:t xml:space="preserve"> SWD (2017) 276</w:t>
      </w:r>
    </w:p>
  </w:footnote>
  <w:footnote w:id="75">
    <w:p w:rsidR="00046CF8" w:rsidRDefault="003561C2">
      <w:pPr>
        <w:pStyle w:val="FootnoteText"/>
        <w:rPr>
          <w:sz w:val="16"/>
          <w:szCs w:val="16"/>
        </w:rPr>
      </w:pPr>
      <w:r>
        <w:rPr>
          <w:rStyle w:val="FootnoteReference"/>
          <w:sz w:val="16"/>
          <w:szCs w:val="16"/>
        </w:rPr>
        <w:footnoteRef/>
      </w:r>
      <w:r>
        <w:rPr>
          <w:sz w:val="16"/>
          <w:szCs w:val="16"/>
        </w:rPr>
        <w:t xml:space="preserve"> Council Regulation (EC) No 1198/2006 of 27 July 2006 of the European Fisheries Fund and Commission Regulation (EC) No 498/2007 of 26 March 2007 laying down detailed rules for the imp</w:t>
      </w:r>
      <w:r>
        <w:rPr>
          <w:sz w:val="16"/>
          <w:szCs w:val="16"/>
        </w:rPr>
        <w:t>lementation of Council Regulation (EC) No 1198/2006 on the European Fisheries Fund.</w:t>
      </w:r>
    </w:p>
  </w:footnote>
  <w:footnote w:id="76">
    <w:p w:rsidR="00046CF8" w:rsidRDefault="003561C2">
      <w:pPr>
        <w:pStyle w:val="FootnoteText"/>
        <w:rPr>
          <w:sz w:val="16"/>
          <w:szCs w:val="16"/>
        </w:rPr>
      </w:pPr>
      <w:r>
        <w:rPr>
          <w:rStyle w:val="FootnoteReference"/>
          <w:sz w:val="16"/>
          <w:szCs w:val="16"/>
        </w:rPr>
        <w:footnoteRef/>
      </w:r>
      <w:r>
        <w:rPr>
          <w:sz w:val="16"/>
          <w:szCs w:val="16"/>
        </w:rPr>
        <w:t xml:space="preserve"> This date was established by Commission Delegated Act (EU) 2015/895, adopted on the basis of Article 129 of the EMFF Regulation 508/2014.</w:t>
      </w:r>
    </w:p>
  </w:footnote>
  <w:footnote w:id="77">
    <w:p w:rsidR="00046CF8" w:rsidRDefault="003561C2">
      <w:pPr>
        <w:pStyle w:val="FootnoteText"/>
        <w:rPr>
          <w:sz w:val="16"/>
          <w:szCs w:val="16"/>
        </w:rPr>
      </w:pPr>
      <w:r>
        <w:rPr>
          <w:rStyle w:val="FootnoteReference"/>
          <w:sz w:val="16"/>
          <w:szCs w:val="16"/>
        </w:rPr>
        <w:footnoteRef/>
      </w:r>
      <w:r>
        <w:rPr>
          <w:sz w:val="16"/>
          <w:szCs w:val="16"/>
        </w:rPr>
        <w:t xml:space="preserve"> The Financial Instrument for Fisheries Guidance (FIFG) was created in 1993 as the specific financial instrument dedicated to fisheries structural policy. First established through Regulation (EC) No 2080/93, the FIFG became the structural pillar of the CF</w:t>
      </w:r>
      <w:r>
        <w:rPr>
          <w:sz w:val="16"/>
          <w:szCs w:val="16"/>
        </w:rPr>
        <w:t xml:space="preserve">P.  </w:t>
      </w:r>
    </w:p>
  </w:footnote>
  <w:footnote w:id="78">
    <w:p w:rsidR="00046CF8" w:rsidRDefault="003561C2">
      <w:pPr>
        <w:pStyle w:val="FootnoteText"/>
      </w:pPr>
      <w:r>
        <w:rPr>
          <w:rStyle w:val="FootnoteReference"/>
          <w:sz w:val="16"/>
          <w:szCs w:val="16"/>
        </w:rPr>
        <w:footnoteRef/>
      </w:r>
      <w:r>
        <w:rPr>
          <w:sz w:val="16"/>
          <w:szCs w:val="16"/>
        </w:rPr>
        <w:t xml:space="preserve"> For the 2007-2013 period, Luxembourg did not receive funding from the EFF, while Croatia only had an OP adopted in 2013.</w:t>
      </w:r>
    </w:p>
  </w:footnote>
  <w:footnote w:id="79">
    <w:p w:rsidR="00046CF8" w:rsidRDefault="003561C2">
      <w:pPr>
        <w:pStyle w:val="FootnoteText"/>
        <w:rPr>
          <w:sz w:val="16"/>
          <w:szCs w:val="16"/>
        </w:rPr>
      </w:pPr>
      <w:r>
        <w:rPr>
          <w:rStyle w:val="FootnoteReference"/>
          <w:sz w:val="16"/>
          <w:szCs w:val="16"/>
        </w:rPr>
        <w:footnoteRef/>
      </w:r>
      <w:r>
        <w:rPr>
          <w:sz w:val="16"/>
          <w:szCs w:val="16"/>
        </w:rPr>
        <w:t xml:space="preserve"> It is a common practice to "overbook" the commitment since it may happen that some operations are not carried through.</w:t>
      </w:r>
    </w:p>
  </w:footnote>
  <w:footnote w:id="80">
    <w:p w:rsidR="00046CF8" w:rsidRDefault="003561C2">
      <w:pPr>
        <w:pStyle w:val="FootnoteText"/>
        <w:rPr>
          <w:sz w:val="16"/>
          <w:szCs w:val="16"/>
        </w:rPr>
      </w:pPr>
      <w:r>
        <w:rPr>
          <w:rStyle w:val="FootnoteReference"/>
          <w:sz w:val="16"/>
          <w:szCs w:val="16"/>
        </w:rPr>
        <w:footnoteRef/>
      </w:r>
      <w:r>
        <w:rPr>
          <w:sz w:val="16"/>
          <w:szCs w:val="16"/>
        </w:rPr>
        <w:t xml:space="preserve"> Pleas</w:t>
      </w:r>
      <w:r>
        <w:rPr>
          <w:sz w:val="16"/>
          <w:szCs w:val="16"/>
        </w:rPr>
        <w:t xml:space="preserve">e note this figure must be used carefully since it is based on the amounts declared by the MS at the end of March 2017, which have not yet been verified by the Commission, nor audited.  </w:t>
      </w:r>
    </w:p>
  </w:footnote>
  <w:footnote w:id="81">
    <w:p w:rsidR="00046CF8" w:rsidRDefault="003561C2">
      <w:pPr>
        <w:pStyle w:val="FootnoteText"/>
      </w:pPr>
      <w:r>
        <w:rPr>
          <w:rStyle w:val="FootnoteReference"/>
          <w:sz w:val="16"/>
          <w:szCs w:val="16"/>
        </w:rPr>
        <w:footnoteRef/>
      </w:r>
      <w:r>
        <w:rPr>
          <w:sz w:val="16"/>
          <w:szCs w:val="16"/>
        </w:rPr>
        <w:t xml:space="preserve"> https://ec.europa.eu/fisheries/documentation/studies/axis-4_en. The</w:t>
      </w:r>
      <w:r>
        <w:rPr>
          <w:sz w:val="16"/>
          <w:szCs w:val="16"/>
        </w:rPr>
        <w:t xml:space="preserve">se figures were confirmed by a survey undertaken by the FARNET Support Unit in 2016. </w:t>
      </w:r>
      <w:r>
        <w:t xml:space="preserve"> </w:t>
      </w:r>
    </w:p>
  </w:footnote>
  <w:footnote w:id="82">
    <w:p w:rsidR="00046CF8" w:rsidRDefault="003561C2">
      <w:pPr>
        <w:pStyle w:val="FootnoteText"/>
        <w:rPr>
          <w:sz w:val="16"/>
          <w:szCs w:val="16"/>
        </w:rPr>
      </w:pPr>
      <w:r>
        <w:rPr>
          <w:rStyle w:val="FootnoteReference"/>
          <w:sz w:val="16"/>
          <w:szCs w:val="16"/>
        </w:rPr>
        <w:footnoteRef/>
      </w:r>
      <w:r>
        <w:rPr>
          <w:sz w:val="16"/>
          <w:szCs w:val="16"/>
        </w:rPr>
        <w:t xml:space="preserve"> http://ec.europa.eu/fisheries/documentation/studies/cessation_en   </w:t>
      </w:r>
    </w:p>
  </w:footnote>
  <w:footnote w:id="83">
    <w:p w:rsidR="00046CF8" w:rsidRDefault="003561C2">
      <w:pPr>
        <w:pStyle w:val="FootnoteText"/>
      </w:pPr>
      <w:r>
        <w:rPr>
          <w:rStyle w:val="FootnoteReference"/>
          <w:sz w:val="16"/>
          <w:szCs w:val="16"/>
        </w:rPr>
        <w:footnoteRef/>
      </w:r>
      <w:r>
        <w:rPr>
          <w:sz w:val="16"/>
          <w:szCs w:val="16"/>
        </w:rPr>
        <w:t xml:space="preserve"> However, the ex-post evaluators underlined the fact that technical assistance was not properly do</w:t>
      </w:r>
      <w:r>
        <w:rPr>
          <w:sz w:val="16"/>
          <w:szCs w:val="16"/>
        </w:rPr>
        <w:t>cumented and monitored; this limits the value of these conclusions.</w:t>
      </w:r>
    </w:p>
  </w:footnote>
  <w:footnote w:id="84">
    <w:p w:rsidR="00046CF8" w:rsidRDefault="003561C2">
      <w:pPr>
        <w:pStyle w:val="FootnoteText"/>
      </w:pPr>
      <w:r>
        <w:rPr>
          <w:rStyle w:val="FootnoteReference"/>
        </w:rPr>
        <w:footnoteRef/>
      </w:r>
      <w:r>
        <w:t xml:space="preserve"> adjusted to be comparable with 2007-2013 data, i.e. without UP3 and UP6</w:t>
      </w:r>
    </w:p>
  </w:footnote>
  <w:footnote w:id="85">
    <w:p w:rsidR="00046CF8" w:rsidRDefault="003561C2">
      <w:pPr>
        <w:pStyle w:val="FootnoteText"/>
        <w:rPr>
          <w:sz w:val="16"/>
          <w:szCs w:val="16"/>
        </w:rPr>
      </w:pPr>
      <w:r>
        <w:rPr>
          <w:rStyle w:val="FootnoteReference"/>
          <w:sz w:val="16"/>
          <w:szCs w:val="16"/>
        </w:rPr>
        <w:footnoteRef/>
      </w:r>
      <w:r>
        <w:rPr>
          <w:sz w:val="16"/>
          <w:szCs w:val="16"/>
        </w:rPr>
        <w:t xml:space="preserve"> This applies to all eligible measures (e.g. support for young fishermen, investments on board in health and safe</w:t>
      </w:r>
      <w:r>
        <w:rPr>
          <w:sz w:val="16"/>
          <w:szCs w:val="16"/>
        </w:rPr>
        <w:t>ty, investments in fishing ports, support for control and enforcement and for data collection) with the exception of engine replacement (30%).</w:t>
      </w:r>
    </w:p>
  </w:footnote>
  <w:footnote w:id="86">
    <w:p w:rsidR="00046CF8" w:rsidRDefault="003561C2">
      <w:pPr>
        <w:pStyle w:val="FootnoteText"/>
        <w:rPr>
          <w:sz w:val="16"/>
          <w:szCs w:val="16"/>
        </w:rPr>
      </w:pPr>
      <w:r>
        <w:rPr>
          <w:rStyle w:val="FootnoteReference"/>
          <w:sz w:val="16"/>
          <w:szCs w:val="16"/>
        </w:rPr>
        <w:footnoteRef/>
      </w:r>
      <w:r>
        <w:rPr>
          <w:sz w:val="16"/>
          <w:szCs w:val="16"/>
        </w:rPr>
        <w:t xml:space="preserve"> DG MARE will present a progress report in 2018 and initiate a process for planning the next, "post-2020" IOG  Agenda phase.</w:t>
      </w:r>
    </w:p>
  </w:footnote>
  <w:footnote w:id="87">
    <w:p w:rsidR="00046CF8" w:rsidRDefault="003561C2">
      <w:pPr>
        <w:pStyle w:val="FootnoteText"/>
        <w:rPr>
          <w:sz w:val="16"/>
          <w:szCs w:val="16"/>
        </w:rPr>
      </w:pPr>
      <w:r>
        <w:rPr>
          <w:rStyle w:val="FootnoteReference"/>
          <w:sz w:val="16"/>
          <w:szCs w:val="16"/>
        </w:rPr>
        <w:footnoteRef/>
      </w:r>
      <w:r>
        <w:rPr>
          <w:sz w:val="16"/>
          <w:szCs w:val="16"/>
        </w:rPr>
        <w:t xml:space="preserve"> One Member State, Luxembourg decided not to be a beneficiary of the EMFF and informed the European Commission on this decision in</w:t>
      </w:r>
      <w:r>
        <w:rPr>
          <w:sz w:val="16"/>
          <w:szCs w:val="16"/>
        </w:rPr>
        <w:t xml:space="preserve"> a letter.</w:t>
      </w:r>
    </w:p>
  </w:footnote>
  <w:footnote w:id="88">
    <w:p w:rsidR="00046CF8" w:rsidRDefault="003561C2">
      <w:pPr>
        <w:pStyle w:val="FootnoteText"/>
        <w:rPr>
          <w:sz w:val="16"/>
          <w:szCs w:val="16"/>
        </w:rPr>
      </w:pPr>
      <w:r>
        <w:rPr>
          <w:rStyle w:val="FootnoteReference"/>
          <w:sz w:val="16"/>
          <w:szCs w:val="16"/>
        </w:rPr>
        <w:footnoteRef/>
      </w:r>
      <w:r>
        <w:rPr>
          <w:sz w:val="16"/>
          <w:szCs w:val="16"/>
        </w:rPr>
        <w:t xml:space="preserve"> </w:t>
      </w:r>
      <w:r>
        <w:rPr>
          <w:sz w:val="16"/>
          <w:szCs w:val="16"/>
        </w:rPr>
        <w:tab/>
        <w:t>Cf. Committee on Fisheries' (draft) opinion to Committee on Budgets on the next MFF (Preparing the Parliament’s position on the MFF post-2020).</w:t>
      </w:r>
    </w:p>
  </w:footnote>
  <w:footnote w:id="89">
    <w:p w:rsidR="00046CF8" w:rsidRDefault="003561C2">
      <w:pPr>
        <w:pStyle w:val="FootnoteText"/>
      </w:pPr>
      <w:r>
        <w:rPr>
          <w:rStyle w:val="FootnoteReference"/>
          <w:sz w:val="16"/>
          <w:szCs w:val="16"/>
        </w:rPr>
        <w:footnoteRef/>
      </w:r>
      <w:r>
        <w:rPr>
          <w:sz w:val="16"/>
          <w:szCs w:val="16"/>
        </w:rPr>
        <w:t xml:space="preserve"> </w:t>
      </w:r>
      <w:r>
        <w:rPr>
          <w:sz w:val="16"/>
          <w:szCs w:val="16"/>
        </w:rPr>
        <w:tab/>
        <w:t>Within the meaning of the CMO Regulation</w:t>
      </w:r>
    </w:p>
  </w:footnote>
  <w:footnote w:id="90">
    <w:p w:rsidR="00046CF8" w:rsidRDefault="003561C2">
      <w:pPr>
        <w:pStyle w:val="FootnoteText"/>
        <w:rPr>
          <w:sz w:val="16"/>
          <w:szCs w:val="16"/>
        </w:rPr>
      </w:pPr>
      <w:r>
        <w:rPr>
          <w:rStyle w:val="FootnoteReference"/>
          <w:sz w:val="16"/>
          <w:szCs w:val="16"/>
        </w:rPr>
        <w:footnoteRef/>
      </w:r>
      <w:r>
        <w:rPr>
          <w:sz w:val="16"/>
          <w:szCs w:val="16"/>
        </w:rPr>
        <w:t xml:space="preserve"> Although an indirect benefit, one may wonder how muc</w:t>
      </w:r>
      <w:r>
        <w:rPr>
          <w:sz w:val="16"/>
          <w:szCs w:val="16"/>
        </w:rPr>
        <w:t>h it would cost to achieve it through other public policies</w:t>
      </w:r>
    </w:p>
  </w:footnote>
  <w:footnote w:id="91">
    <w:p w:rsidR="00046CF8" w:rsidRDefault="003561C2">
      <w:pPr>
        <w:pStyle w:val="FootnoteText"/>
        <w:rPr>
          <w:sz w:val="16"/>
          <w:szCs w:val="16"/>
        </w:rPr>
      </w:pPr>
      <w:r>
        <w:rPr>
          <w:rStyle w:val="FootnoteReference"/>
          <w:sz w:val="16"/>
          <w:szCs w:val="16"/>
        </w:rPr>
        <w:footnoteRef/>
      </w:r>
      <w:r>
        <w:rPr>
          <w:sz w:val="16"/>
          <w:szCs w:val="16"/>
        </w:rPr>
        <w:t xml:space="preserve"> Art 28(1) of the CMO regulation</w:t>
      </w:r>
    </w:p>
  </w:footnote>
  <w:footnote w:id="92">
    <w:p w:rsidR="00046CF8" w:rsidRDefault="003561C2">
      <w:pPr>
        <w:pStyle w:val="FootnoteText"/>
        <w:rPr>
          <w:sz w:val="16"/>
          <w:szCs w:val="16"/>
        </w:rPr>
      </w:pPr>
      <w:r>
        <w:rPr>
          <w:rStyle w:val="FootnoteReference"/>
          <w:sz w:val="16"/>
          <w:szCs w:val="16"/>
        </w:rPr>
        <w:footnoteRef/>
      </w:r>
      <w:r>
        <w:rPr>
          <w:sz w:val="16"/>
          <w:szCs w:val="16"/>
        </w:rPr>
        <w:t xml:space="preserve"> In case of a "measures-based" instrument the current conditions of art. 68 should be thoroughly reviewed.</w:t>
      </w:r>
    </w:p>
  </w:footnote>
  <w:footnote w:id="93">
    <w:p w:rsidR="00046CF8" w:rsidRDefault="003561C2">
      <w:pPr>
        <w:pStyle w:val="FootnoteText"/>
      </w:pPr>
      <w:r>
        <w:rPr>
          <w:rStyle w:val="FootnoteReference"/>
          <w:sz w:val="16"/>
          <w:szCs w:val="16"/>
        </w:rPr>
        <w:footnoteRef/>
      </w:r>
      <w:r>
        <w:rPr>
          <w:sz w:val="16"/>
          <w:szCs w:val="16"/>
        </w:rPr>
        <w:t xml:space="preserve"> I.e. support to the reduction of food loss and waste</w:t>
      </w:r>
      <w:r>
        <w:rPr>
          <w:sz w:val="16"/>
          <w:szCs w:val="16"/>
        </w:rPr>
        <w:t>, facilitate the reutilisation of co-products resulting from primary processing for food purposes; to note that 'by-products' are products not destined to human consumption (bones, skin, etc.) and therefore Art. 69(1)(d) is not sufficient as currently draf</w:t>
      </w:r>
      <w:r>
        <w:rPr>
          <w:sz w:val="16"/>
          <w:szCs w:val="16"/>
        </w:rPr>
        <w:t>ted</w:t>
      </w:r>
    </w:p>
  </w:footnote>
  <w:footnote w:id="94">
    <w:p w:rsidR="00046CF8" w:rsidRDefault="003561C2">
      <w:pPr>
        <w:pStyle w:val="FootnoteText"/>
        <w:rPr>
          <w:sz w:val="16"/>
          <w:szCs w:val="16"/>
        </w:rPr>
      </w:pPr>
      <w:r>
        <w:rPr>
          <w:rStyle w:val="FootnoteReference"/>
          <w:sz w:val="16"/>
          <w:szCs w:val="16"/>
        </w:rPr>
        <w:footnoteRef/>
      </w:r>
      <w:r>
        <w:rPr>
          <w:sz w:val="16"/>
          <w:szCs w:val="16"/>
        </w:rPr>
        <w:t xml:space="preserve"> Art. 42 of the CMO Regulation</w:t>
      </w:r>
    </w:p>
  </w:footnote>
  <w:footnote w:id="95">
    <w:p w:rsidR="00046CF8" w:rsidRDefault="003561C2">
      <w:pPr>
        <w:pStyle w:val="FootnoteText"/>
      </w:pPr>
      <w:r>
        <w:rPr>
          <w:rStyle w:val="FootnoteReference"/>
        </w:rPr>
        <w:footnoteRef/>
      </w:r>
      <w:r>
        <w:t xml:space="preserve"> CLLD examples can be found on the Good practices page of the FARNET website: https://webgate.ec.europa.eu/fpfis/cms/farnet2/on-the-ground/good-practice_en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CF8" w:rsidRDefault="00046C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29C"/>
    <w:multiLevelType w:val="hybridMultilevel"/>
    <w:tmpl w:val="EBF4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ED5AD2"/>
    <w:multiLevelType w:val="hybridMultilevel"/>
    <w:tmpl w:val="F42A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9B5231"/>
    <w:multiLevelType w:val="hybridMultilevel"/>
    <w:tmpl w:val="C46E4B9E"/>
    <w:lvl w:ilvl="0" w:tplc="B2609E6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183858"/>
    <w:multiLevelType w:val="multilevel"/>
    <w:tmpl w:val="B0A09E00"/>
    <w:lvl w:ilvl="0">
      <w:start w:val="2"/>
      <w:numFmt w:val="decimal"/>
      <w:lvlText w:val="%1."/>
      <w:lvlJc w:val="left"/>
      <w:pPr>
        <w:tabs>
          <w:tab w:val="num" w:pos="1200"/>
        </w:tabs>
        <w:ind w:left="1200" w:hanging="480"/>
      </w:pPr>
      <w:rPr>
        <w:rFonts w:hint="default"/>
        <w:b/>
      </w:rPr>
    </w:lvl>
    <w:lvl w:ilvl="1">
      <w:start w:val="1"/>
      <w:numFmt w:val="decimal"/>
      <w:lvlText w:val="%1.%2."/>
      <w:lvlJc w:val="left"/>
      <w:pPr>
        <w:tabs>
          <w:tab w:val="num" w:pos="1680"/>
        </w:tabs>
        <w:ind w:left="1680" w:hanging="720"/>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2640"/>
        </w:tabs>
        <w:ind w:left="264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
    <w:nsid w:val="0C787D90"/>
    <w:multiLevelType w:val="multilevel"/>
    <w:tmpl w:val="40F44B68"/>
    <w:lvl w:ilvl="0">
      <w:start w:val="3"/>
      <w:numFmt w:val="decimal"/>
      <w:lvlText w:val="%1."/>
      <w:lvlJc w:val="left"/>
      <w:pPr>
        <w:tabs>
          <w:tab w:val="num" w:pos="1200"/>
        </w:tabs>
        <w:ind w:left="1200" w:hanging="480"/>
      </w:pPr>
      <w:rPr>
        <w:rFonts w:hint="default"/>
      </w:rPr>
    </w:lvl>
    <w:lvl w:ilvl="1">
      <w:start w:val="1"/>
      <w:numFmt w:val="decimal"/>
      <w:lvlText w:val="%1.%2."/>
      <w:lvlJc w:val="left"/>
      <w:pPr>
        <w:tabs>
          <w:tab w:val="num" w:pos="1680"/>
        </w:tabs>
        <w:ind w:left="1680" w:hanging="720"/>
      </w:pPr>
      <w:rPr>
        <w:rFonts w:hint="default"/>
        <w:b/>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2640"/>
        </w:tabs>
        <w:ind w:left="264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
    <w:nsid w:val="112A33B4"/>
    <w:multiLevelType w:val="hybridMultilevel"/>
    <w:tmpl w:val="8F94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1593CA3"/>
    <w:multiLevelType w:val="hybridMultilevel"/>
    <w:tmpl w:val="E722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A767B9"/>
    <w:multiLevelType w:val="hybridMultilevel"/>
    <w:tmpl w:val="8386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5246C"/>
    <w:multiLevelType w:val="hybridMultilevel"/>
    <w:tmpl w:val="A0A8B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D81FF1"/>
    <w:multiLevelType w:val="hybridMultilevel"/>
    <w:tmpl w:val="43B62CC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nsid w:val="186A4C6F"/>
    <w:multiLevelType w:val="hybridMultilevel"/>
    <w:tmpl w:val="7078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734306"/>
    <w:multiLevelType w:val="multilevel"/>
    <w:tmpl w:val="D266108E"/>
    <w:lvl w:ilvl="0">
      <w:start w:val="1"/>
      <w:numFmt w:val="decimal"/>
      <w:pStyle w:val="Heading1"/>
      <w:lvlText w:val="%1."/>
      <w:lvlJc w:val="left"/>
      <w:pPr>
        <w:tabs>
          <w:tab w:val="num" w:pos="622"/>
        </w:tabs>
        <w:ind w:left="622" w:hanging="480"/>
      </w:pPr>
    </w:lvl>
    <w:lvl w:ilvl="1">
      <w:start w:val="1"/>
      <w:numFmt w:val="decimal"/>
      <w:pStyle w:val="Heading2"/>
      <w:lvlText w:val="%1.%2."/>
      <w:lvlJc w:val="left"/>
      <w:pPr>
        <w:tabs>
          <w:tab w:val="num" w:pos="960"/>
        </w:tabs>
        <w:ind w:left="96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F873DC4"/>
    <w:multiLevelType w:val="hybridMultilevel"/>
    <w:tmpl w:val="4A78678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4550B83"/>
    <w:multiLevelType w:val="hybridMultilevel"/>
    <w:tmpl w:val="019636F4"/>
    <w:lvl w:ilvl="0" w:tplc="466401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4A1662F"/>
    <w:multiLevelType w:val="hybridMultilevel"/>
    <w:tmpl w:val="A53E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2278FA"/>
    <w:multiLevelType w:val="hybridMultilevel"/>
    <w:tmpl w:val="41EC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EC756F"/>
    <w:multiLevelType w:val="hybridMultilevel"/>
    <w:tmpl w:val="F5266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9508DD"/>
    <w:multiLevelType w:val="hybridMultilevel"/>
    <w:tmpl w:val="5A42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7B67FF"/>
    <w:multiLevelType w:val="hybridMultilevel"/>
    <w:tmpl w:val="DBB0B298"/>
    <w:lvl w:ilvl="0" w:tplc="B8CABB0E">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nsid w:val="35E95A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75318B8"/>
    <w:multiLevelType w:val="hybridMultilevel"/>
    <w:tmpl w:val="EF1820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BB260E8"/>
    <w:multiLevelType w:val="hybridMultilevel"/>
    <w:tmpl w:val="D67A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3D360589"/>
    <w:multiLevelType w:val="hybridMultilevel"/>
    <w:tmpl w:val="EECED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B1071E"/>
    <w:multiLevelType w:val="hybridMultilevel"/>
    <w:tmpl w:val="70B0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7C30F1"/>
    <w:multiLevelType w:val="hybridMultilevel"/>
    <w:tmpl w:val="432429D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nsid w:val="443B589E"/>
    <w:multiLevelType w:val="hybridMultilevel"/>
    <w:tmpl w:val="ED86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1A76AD"/>
    <w:multiLevelType w:val="hybridMultilevel"/>
    <w:tmpl w:val="6B1EE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886F90"/>
    <w:multiLevelType w:val="hybridMultilevel"/>
    <w:tmpl w:val="BBE0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FE2FA3"/>
    <w:multiLevelType w:val="hybridMultilevel"/>
    <w:tmpl w:val="9832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2313DF"/>
    <w:multiLevelType w:val="hybridMultilevel"/>
    <w:tmpl w:val="900478E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nsid w:val="5FB621A0"/>
    <w:multiLevelType w:val="hybridMultilevel"/>
    <w:tmpl w:val="63F4F5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A7269B0"/>
    <w:multiLevelType w:val="hybridMultilevel"/>
    <w:tmpl w:val="E3ACD748"/>
    <w:lvl w:ilvl="0" w:tplc="04090005">
      <w:start w:val="1"/>
      <w:numFmt w:val="bullet"/>
      <w:lvlText w:val=""/>
      <w:lvlJc w:val="left"/>
      <w:pPr>
        <w:ind w:left="360" w:hanging="360"/>
      </w:pPr>
      <w:rPr>
        <w:rFonts w:ascii="Wingdings" w:hAnsi="Wingdings" w:hint="default"/>
      </w:rPr>
    </w:lvl>
    <w:lvl w:ilvl="1" w:tplc="611CCAE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ABF029D"/>
    <w:multiLevelType w:val="hybridMultilevel"/>
    <w:tmpl w:val="E5F0CDB4"/>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nsid w:val="6C1F2412"/>
    <w:multiLevelType w:val="hybridMultilevel"/>
    <w:tmpl w:val="2010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844F2D"/>
    <w:multiLevelType w:val="hybridMultilevel"/>
    <w:tmpl w:val="7A1AA33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nsid w:val="6D3133B2"/>
    <w:multiLevelType w:val="hybridMultilevel"/>
    <w:tmpl w:val="C382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770519"/>
    <w:multiLevelType w:val="hybridMultilevel"/>
    <w:tmpl w:val="A43659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642E3C"/>
    <w:multiLevelType w:val="hybridMultilevel"/>
    <w:tmpl w:val="51F22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052333"/>
    <w:multiLevelType w:val="hybridMultilevel"/>
    <w:tmpl w:val="18FC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06419F"/>
    <w:multiLevelType w:val="hybridMultilevel"/>
    <w:tmpl w:val="1870BE42"/>
    <w:lvl w:ilvl="0" w:tplc="B2609E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AD93155"/>
    <w:multiLevelType w:val="hybridMultilevel"/>
    <w:tmpl w:val="C77EBAE0"/>
    <w:lvl w:ilvl="0" w:tplc="C2141AA8">
      <w:start w:val="1"/>
      <w:numFmt w:val="bullet"/>
      <w:pStyle w:val="Fragen"/>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nsid w:val="7DCB20D4"/>
    <w:multiLevelType w:val="hybridMultilevel"/>
    <w:tmpl w:val="FBA22F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22"/>
  </w:num>
  <w:num w:numId="2">
    <w:abstractNumId w:val="32"/>
  </w:num>
  <w:num w:numId="3">
    <w:abstractNumId w:val="11"/>
  </w:num>
  <w:num w:numId="4">
    <w:abstractNumId w:val="7"/>
  </w:num>
  <w:num w:numId="5">
    <w:abstractNumId w:val="17"/>
  </w:num>
  <w:num w:numId="6">
    <w:abstractNumId w:val="39"/>
  </w:num>
  <w:num w:numId="7">
    <w:abstractNumId w:val="21"/>
  </w:num>
  <w:num w:numId="8">
    <w:abstractNumId w:val="0"/>
  </w:num>
  <w:num w:numId="9">
    <w:abstractNumId w:val="29"/>
  </w:num>
  <w:num w:numId="10">
    <w:abstractNumId w:val="37"/>
  </w:num>
  <w:num w:numId="11">
    <w:abstractNumId w:val="2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6"/>
  </w:num>
  <w:num w:numId="15">
    <w:abstractNumId w:val="10"/>
  </w:num>
  <w:num w:numId="16">
    <w:abstractNumId w:val="23"/>
  </w:num>
  <w:num w:numId="17">
    <w:abstractNumId w:val="8"/>
  </w:num>
  <w:num w:numId="18">
    <w:abstractNumId w:val="27"/>
  </w:num>
  <w:num w:numId="19">
    <w:abstractNumId w:val="26"/>
  </w:num>
  <w:num w:numId="20">
    <w:abstractNumId w:val="28"/>
  </w:num>
  <w:num w:numId="21">
    <w:abstractNumId w:val="2"/>
  </w:num>
  <w:num w:numId="22">
    <w:abstractNumId w:val="41"/>
  </w:num>
  <w:num w:numId="23">
    <w:abstractNumId w:val="42"/>
  </w:num>
  <w:num w:numId="24">
    <w:abstractNumId w:val="33"/>
  </w:num>
  <w:num w:numId="25">
    <w:abstractNumId w:val="3"/>
  </w:num>
  <w:num w:numId="26">
    <w:abstractNumId w:val="25"/>
  </w:num>
  <w:num w:numId="27">
    <w:abstractNumId w:val="16"/>
  </w:num>
  <w:num w:numId="28">
    <w:abstractNumId w:val="31"/>
  </w:num>
  <w:num w:numId="29">
    <w:abstractNumId w:val="20"/>
  </w:num>
  <w:num w:numId="30">
    <w:abstractNumId w:val="15"/>
  </w:num>
  <w:num w:numId="31">
    <w:abstractNumId w:val="1"/>
  </w:num>
  <w:num w:numId="32">
    <w:abstractNumId w:val="35"/>
  </w:num>
  <w:num w:numId="33">
    <w:abstractNumId w:val="40"/>
  </w:num>
  <w:num w:numId="34">
    <w:abstractNumId w:val="5"/>
  </w:num>
  <w:num w:numId="35">
    <w:abstractNumId w:val="19"/>
  </w:num>
  <w:num w:numId="36">
    <w:abstractNumId w:val="38"/>
  </w:num>
  <w:num w:numId="37">
    <w:abstractNumId w:val="18"/>
  </w:num>
  <w:num w:numId="38">
    <w:abstractNumId w:val="43"/>
  </w:num>
  <w:num w:numId="39">
    <w:abstractNumId w:val="30"/>
  </w:num>
  <w:num w:numId="40">
    <w:abstractNumId w:val="34"/>
  </w:num>
  <w:num w:numId="41">
    <w:abstractNumId w:val="36"/>
  </w:num>
  <w:num w:numId="42">
    <w:abstractNumId w:val="9"/>
  </w:num>
  <w:num w:numId="43">
    <w:abstractNumId w:val="13"/>
  </w:num>
  <w:num w:numId="44">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hideSpellingErrors/>
  <w:hideGrammaticalErrors/>
  <w:defaultTabStop w:val="720"/>
  <w:hyphenationZone w:val="425"/>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2217E55-160F-40C1-90E6-C372DF62A34A"/>
    <w:docVar w:name="LW_COVERPAGE_TYPE" w:val="1"/>
    <w:docVar w:name="LW_CROSSREFERENCE" w:val="{COM(2018) 390 final}_x000b_{SEC(2018) 276 final}"/>
    <w:docVar w:name="LW_DocType" w:val="NORMAL"/>
    <w:docVar w:name="LW_EMISSION" w:val="12.6.2018"/>
    <w:docVar w:name="LW_EMISSION_ISODATE" w:val="2018-06-12"/>
    <w:docVar w:name="LW_EMISSION_LOCATION" w:val="STR"/>
    <w:docVar w:name="LW_EMISSION_PREFIX" w:val="Strasbourg,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the European Maritime and Fisheries Fund and repealing Regulation (EU) No 508/2014 of the European Parliament and of the Council_x000b_"/>
    <w:docVar w:name="LW_PART_NBR" w:val="1"/>
    <w:docVar w:name="LW_PART_NBR_TOTAL" w:val="1"/>
    <w:docVar w:name="LW_REF.INST.NEW" w:val="SWD"/>
    <w:docVar w:name="LW_REF.INST.NEW_ADOPTED" w:val="final"/>
    <w:docVar w:name="LW_REF.INST.NEW_TEXT" w:val="(2018) 29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_x000b_REGULATION OF THE EUROPEAN PARLIAMENT AND OF THE COUNCIL_x000b_"/>
  </w:docVars>
  <w:rsids>
    <w:rsidRoot w:val="00046CF8"/>
    <w:rsid w:val="00046CF8"/>
    <w:rsid w:val="003561C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Text1"/>
    <w:link w:val="Heading1Char"/>
    <w:uiPriority w:val="9"/>
    <w:qFormat/>
    <w:pPr>
      <w:keepNext/>
      <w:numPr>
        <w:numId w:val="3"/>
      </w:numPr>
      <w:tabs>
        <w:tab w:val="clear" w:pos="622"/>
        <w:tab w:val="num" w:pos="480"/>
      </w:tabs>
      <w:spacing w:before="240" w:after="240" w:line="240" w:lineRule="auto"/>
      <w:ind w:left="480"/>
      <w:jc w:val="both"/>
      <w:outlineLvl w:val="0"/>
    </w:pPr>
    <w:rPr>
      <w:rFonts w:ascii="Times New Roman" w:eastAsia="Times New Roman" w:hAnsi="Times New Roman" w:cs="Times New Roman"/>
      <w:b/>
      <w:smallCaps/>
      <w:sz w:val="24"/>
      <w:szCs w:val="20"/>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Normal"/>
    <w:next w:val="Text2"/>
    <w:link w:val="Heading2Char"/>
    <w:uiPriority w:val="1"/>
    <w:qFormat/>
    <w:pPr>
      <w:keepNext/>
      <w:numPr>
        <w:ilvl w:val="1"/>
        <w:numId w:val="3"/>
      </w:numPr>
      <w:tabs>
        <w:tab w:val="clear" w:pos="960"/>
        <w:tab w:val="num" w:pos="720"/>
      </w:tabs>
      <w:spacing w:after="240" w:line="240" w:lineRule="auto"/>
      <w:ind w:left="720"/>
      <w:jc w:val="both"/>
      <w:outlineLvl w:val="1"/>
    </w:pPr>
    <w:rPr>
      <w:rFonts w:ascii="Times New Roman" w:eastAsia="Times New Roman" w:hAnsi="Times New Roman" w:cs="Times New Roman"/>
      <w:b/>
      <w:sz w:val="24"/>
      <w:szCs w:val="20"/>
    </w:r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Normal"/>
    <w:link w:val="Heading3Char"/>
    <w:uiPriority w:val="1"/>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ALK_K4,NEA4,Kopje,Tussenkop"/>
    <w:basedOn w:val="Normal"/>
    <w:next w:val="Normal"/>
    <w:link w:val="Heading4Char"/>
    <w:uiPriority w:val="1"/>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Char,f"/>
    <w:basedOn w:val="Normal"/>
    <w:link w:val="FootnoteTextChar"/>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rPr>
      <w:rFonts w:ascii="Times New Roman" w:hAnsi="Times New Roman"/>
      <w:sz w:val="18"/>
      <w:szCs w:val="20"/>
    </w:rPr>
  </w:style>
  <w:style w:type="character" w:styleId="FootnoteReference">
    <w:name w:val="footnote reference"/>
    <w:aliases w:val="Footnote Reference Superscript,BVI fnr,Footnote symbol,Footnote reference number,Times 10 Point,Exposant 3 Point,EN Footnote Reference,note TESI,Footnote,Footnote Reference Number,E FNZ,-E Fußnotenzeichen,Footnote#,SUPERS,fr"/>
    <w:basedOn w:val="DefaultParagraphFont"/>
    <w:link w:val="BVIfnrCarCar"/>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A1StandEndabst">
    <w:name w:val="A1: Stand. + Endabst"/>
    <w:basedOn w:val="Normal"/>
    <w:pPr>
      <w:spacing w:after="144" w:line="288" w:lineRule="atLeast"/>
      <w:jc w:val="both"/>
    </w:pPr>
    <w:rPr>
      <w:rFonts w:ascii="Times New Roman" w:eastAsia="Times New Roman" w:hAnsi="Times New Roman" w:cs="Times New Roman"/>
      <w:sz w:val="24"/>
      <w:szCs w:val="20"/>
      <w:lang w:eastAsia="de-D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VIfnrCarCar">
    <w:name w:val="BVI fnr Car Car"/>
    <w:aliases w:val="BVI fnr Car, BVI fnr Car Car Car Car,BVI fnr Car Car Car Car"/>
    <w:basedOn w:val="Normal"/>
    <w:link w:val="FootnoteReference"/>
    <w:uiPriority w:val="99"/>
    <w:pPr>
      <w:spacing w:after="160" w:line="240" w:lineRule="exact"/>
      <w:jc w:val="both"/>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styleId="NormalWeb">
    <w:name w:val="Normal (Web)"/>
    <w:basedOn w:val="Normal"/>
    <w:uiPriority w:val="99"/>
    <w:semiHidden/>
    <w:unhideWhenUsed/>
    <w:rPr>
      <w:rFonts w:ascii="Times New Roman" w:hAnsi="Times New Roman" w:cs="Times New Roman"/>
      <w:sz w:val="24"/>
      <w:szCs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Revision">
    <w:name w:val="Revision"/>
    <w:hidden/>
    <w:uiPriority w:val="99"/>
    <w:semiHidden/>
    <w:pPr>
      <w:spacing w:after="0" w:line="240" w:lineRule="auto"/>
    </w:p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vertAlign w:val="superscript"/>
    </w:r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0Standard">
    <w:name w:val="A0: Standard"/>
    <w:basedOn w:val="Normal"/>
    <w:pPr>
      <w:spacing w:after="0" w:line="288" w:lineRule="atLeast"/>
      <w:jc w:val="both"/>
    </w:pPr>
    <w:rPr>
      <w:rFonts w:ascii="Times New Roman" w:eastAsia="Times New Roman" w:hAnsi="Times New Roman" w:cs="Times New Roman"/>
      <w:sz w:val="24"/>
      <w:szCs w:val="20"/>
      <w:lang w:eastAsia="de-DE"/>
    </w:rPr>
  </w:style>
  <w:style w:type="paragraph" w:customStyle="1" w:styleId="Fragen">
    <w:name w:val="Fragen"/>
    <w:basedOn w:val="ListBullet"/>
    <w:qFormat/>
    <w:pPr>
      <w:numPr>
        <w:numId w:val="23"/>
      </w:numPr>
      <w:autoSpaceDE w:val="0"/>
      <w:autoSpaceDN w:val="0"/>
      <w:adjustRightInd w:val="0"/>
      <w:spacing w:after="0" w:line="288" w:lineRule="atLeast"/>
      <w:jc w:val="left"/>
    </w:pPr>
    <w:rPr>
      <w:i/>
      <w:sz w:val="22"/>
      <w:lang w:eastAsia="de-DE"/>
    </w:rPr>
  </w:style>
  <w:style w:type="character" w:customStyle="1" w:styleId="st">
    <w:name w:val="st"/>
    <w:basedOn w:val="DefaultParagraphFont"/>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pPr>
      <w:tabs>
        <w:tab w:val="left" w:pos="4678"/>
      </w:tabs>
      <w:spacing w:after="240" w:line="240" w:lineRule="auto"/>
      <w:jc w:val="both"/>
    </w:pPr>
    <w:rPr>
      <w:rFonts w:ascii="Times New Roman" w:eastAsia="Arial Unicode MS" w:hAnsi="Times New Roman" w:cs="Arial Unicode MS"/>
      <w:sz w:val="24"/>
      <w:szCs w:val="24"/>
      <w:u w:color="000000"/>
      <w:lang w:val="en-US" w:eastAsia="en-GB"/>
    </w:rPr>
  </w:style>
  <w:style w:type="paragraph" w:customStyle="1" w:styleId="ListDash">
    <w:name w:val="List Dash"/>
    <w:pPr>
      <w:tabs>
        <w:tab w:val="left" w:pos="283"/>
      </w:tabs>
      <w:spacing w:after="240" w:line="240" w:lineRule="auto"/>
      <w:jc w:val="both"/>
    </w:pPr>
    <w:rPr>
      <w:rFonts w:ascii="Times New Roman" w:eastAsia="Arial Unicode MS" w:hAnsi="Times New Roman" w:cs="Arial Unicode MS"/>
      <w:color w:val="000000"/>
      <w:sz w:val="24"/>
      <w:szCs w:val="24"/>
      <w:u w:color="000000"/>
      <w:lang w:val="en-US" w:eastAsia="en-GB"/>
    </w:rPr>
  </w:style>
  <w:style w:type="character" w:customStyle="1" w:styleId="None">
    <w:name w:val="None"/>
    <w:autoRedefine/>
  </w:style>
  <w:style w:type="paragraph" w:customStyle="1" w:styleId="ListBullet1">
    <w:name w:val="List Bullet 1"/>
    <w:pPr>
      <w:tabs>
        <w:tab w:val="left" w:pos="765"/>
      </w:tabs>
      <w:spacing w:after="240" w:line="240" w:lineRule="auto"/>
      <w:jc w:val="both"/>
    </w:pPr>
    <w:rPr>
      <w:rFonts w:ascii="Times New Roman" w:eastAsia="Arial Unicode MS" w:hAnsi="Times New Roman" w:cs="Arial Unicode MS"/>
      <w:color w:val="000000"/>
      <w:sz w:val="24"/>
      <w:szCs w:val="24"/>
      <w:u w:color="000000"/>
      <w:lang w:val="en-US" w:eastAsia="en-GB"/>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heme="minorEastAsia"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heme="minorEastAsia" w:hAnsi="Arial" w:cs="Arial"/>
      <w:sz w:val="16"/>
      <w:szCs w:val="16"/>
      <w:lang w:eastAsia="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ti-grseq-1">
    <w:name w:val="ti-grseq-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
    <w:name w:val="super"/>
    <w:basedOn w:val="DefaultParagraphFont"/>
  </w:style>
  <w:style w:type="character" w:customStyle="1" w:styleId="bold">
    <w:name w:val="bold"/>
    <w:basedOn w:val="DefaultParagraphFont"/>
  </w:style>
  <w:style w:type="paragraph" w:customStyle="1" w:styleId="note">
    <w:name w:val="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style>
  <w:style w:type="paragraph" w:styleId="TOC3">
    <w:name w:val="toc 3"/>
    <w:basedOn w:val="Normal"/>
    <w:next w:val="Normal"/>
    <w:autoRedefine/>
    <w:uiPriority w:val="39"/>
    <w:unhideWhenUsed/>
    <w:pPr>
      <w:ind w:left="440"/>
    </w:pPr>
  </w:style>
  <w:style w:type="paragraph" w:styleId="TOC4">
    <w:name w:val="toc 4"/>
    <w:basedOn w:val="Normal"/>
    <w:next w:val="Normal"/>
    <w:autoRedefine/>
    <w:uiPriority w:val="39"/>
    <w:unhideWhenUsed/>
    <w:pPr>
      <w:ind w:left="660"/>
    </w:pPr>
  </w:style>
  <w:style w:type="paragraph" w:styleId="TOC5">
    <w:name w:val="toc 5"/>
    <w:basedOn w:val="Normal"/>
    <w:next w:val="Normal"/>
    <w:autoRedefine/>
    <w:uiPriority w:val="39"/>
    <w:unhideWhenUsed/>
    <w:pPr>
      <w:ind w:left="880"/>
    </w:pPr>
  </w:style>
  <w:style w:type="paragraph" w:styleId="TOC6">
    <w:name w:val="toc 6"/>
    <w:basedOn w:val="Normal"/>
    <w:next w:val="Normal"/>
    <w:autoRedefine/>
    <w:uiPriority w:val="39"/>
    <w:unhideWhenUsed/>
    <w:pPr>
      <w:ind w:left="1100"/>
    </w:pPr>
  </w:style>
  <w:style w:type="paragraph" w:styleId="TOC7">
    <w:name w:val="toc 7"/>
    <w:basedOn w:val="Normal"/>
    <w:next w:val="Normal"/>
    <w:autoRedefine/>
    <w:uiPriority w:val="39"/>
    <w:unhideWhenUsed/>
    <w:pPr>
      <w:ind w:left="1320"/>
    </w:pPr>
  </w:style>
  <w:style w:type="paragraph" w:styleId="TOC8">
    <w:name w:val="toc 8"/>
    <w:basedOn w:val="Normal"/>
    <w:next w:val="Normal"/>
    <w:autoRedefine/>
    <w:uiPriority w:val="39"/>
    <w:unhideWhenUsed/>
    <w:pPr>
      <w:ind w:left="1540"/>
    </w:pPr>
  </w:style>
  <w:style w:type="paragraph" w:styleId="TOC9">
    <w:name w:val="toc 9"/>
    <w:basedOn w:val="Normal"/>
    <w:next w:val="Normal"/>
    <w:autoRedefine/>
    <w:uiPriority w:val="39"/>
    <w:unhideWhenUsed/>
    <w:pPr>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Text1"/>
    <w:link w:val="Heading1Char"/>
    <w:uiPriority w:val="9"/>
    <w:qFormat/>
    <w:pPr>
      <w:keepNext/>
      <w:numPr>
        <w:numId w:val="3"/>
      </w:numPr>
      <w:tabs>
        <w:tab w:val="clear" w:pos="622"/>
        <w:tab w:val="num" w:pos="480"/>
      </w:tabs>
      <w:spacing w:before="240" w:after="240" w:line="240" w:lineRule="auto"/>
      <w:ind w:left="480"/>
      <w:jc w:val="both"/>
      <w:outlineLvl w:val="0"/>
    </w:pPr>
    <w:rPr>
      <w:rFonts w:ascii="Times New Roman" w:eastAsia="Times New Roman" w:hAnsi="Times New Roman" w:cs="Times New Roman"/>
      <w:b/>
      <w:smallCaps/>
      <w:sz w:val="24"/>
      <w:szCs w:val="20"/>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Normal"/>
    <w:next w:val="Text2"/>
    <w:link w:val="Heading2Char"/>
    <w:uiPriority w:val="1"/>
    <w:qFormat/>
    <w:pPr>
      <w:keepNext/>
      <w:numPr>
        <w:ilvl w:val="1"/>
        <w:numId w:val="3"/>
      </w:numPr>
      <w:tabs>
        <w:tab w:val="clear" w:pos="960"/>
        <w:tab w:val="num" w:pos="720"/>
      </w:tabs>
      <w:spacing w:after="240" w:line="240" w:lineRule="auto"/>
      <w:ind w:left="720"/>
      <w:jc w:val="both"/>
      <w:outlineLvl w:val="1"/>
    </w:pPr>
    <w:rPr>
      <w:rFonts w:ascii="Times New Roman" w:eastAsia="Times New Roman" w:hAnsi="Times New Roman" w:cs="Times New Roman"/>
      <w:b/>
      <w:sz w:val="24"/>
      <w:szCs w:val="20"/>
    </w:r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Normal"/>
    <w:link w:val="Heading3Char"/>
    <w:uiPriority w:val="1"/>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ALK_K4,NEA4,Kopje,Tussenkop"/>
    <w:basedOn w:val="Normal"/>
    <w:next w:val="Normal"/>
    <w:link w:val="Heading4Char"/>
    <w:uiPriority w:val="1"/>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Char,f"/>
    <w:basedOn w:val="Normal"/>
    <w:link w:val="FootnoteTextChar"/>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rPr>
      <w:rFonts w:ascii="Times New Roman" w:hAnsi="Times New Roman"/>
      <w:sz w:val="18"/>
      <w:szCs w:val="20"/>
    </w:rPr>
  </w:style>
  <w:style w:type="character" w:styleId="FootnoteReference">
    <w:name w:val="footnote reference"/>
    <w:aliases w:val="Footnote Reference Superscript,BVI fnr,Footnote symbol,Footnote reference number,Times 10 Point,Exposant 3 Point,EN Footnote Reference,note TESI,Footnote,Footnote Reference Number,E FNZ,-E Fußnotenzeichen,Footnote#,SUPERS,fr"/>
    <w:basedOn w:val="DefaultParagraphFont"/>
    <w:link w:val="BVIfnrCarCar"/>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A1StandEndabst">
    <w:name w:val="A1: Stand. + Endabst"/>
    <w:basedOn w:val="Normal"/>
    <w:pPr>
      <w:spacing w:after="144" w:line="288" w:lineRule="atLeast"/>
      <w:jc w:val="both"/>
    </w:pPr>
    <w:rPr>
      <w:rFonts w:ascii="Times New Roman" w:eastAsia="Times New Roman" w:hAnsi="Times New Roman" w:cs="Times New Roman"/>
      <w:sz w:val="24"/>
      <w:szCs w:val="20"/>
      <w:lang w:eastAsia="de-D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VIfnrCarCar">
    <w:name w:val="BVI fnr Car Car"/>
    <w:aliases w:val="BVI fnr Car, BVI fnr Car Car Car Car,BVI fnr Car Car Car Car"/>
    <w:basedOn w:val="Normal"/>
    <w:link w:val="FootnoteReference"/>
    <w:uiPriority w:val="99"/>
    <w:pPr>
      <w:spacing w:after="160" w:line="240" w:lineRule="exact"/>
      <w:jc w:val="both"/>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styleId="NormalWeb">
    <w:name w:val="Normal (Web)"/>
    <w:basedOn w:val="Normal"/>
    <w:uiPriority w:val="99"/>
    <w:semiHidden/>
    <w:unhideWhenUsed/>
    <w:rPr>
      <w:rFonts w:ascii="Times New Roman" w:hAnsi="Times New Roman" w:cs="Times New Roman"/>
      <w:sz w:val="24"/>
      <w:szCs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Revision">
    <w:name w:val="Revision"/>
    <w:hidden/>
    <w:uiPriority w:val="99"/>
    <w:semiHidden/>
    <w:pPr>
      <w:spacing w:after="0" w:line="240" w:lineRule="auto"/>
    </w:p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vertAlign w:val="superscript"/>
    </w:r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0Standard">
    <w:name w:val="A0: Standard"/>
    <w:basedOn w:val="Normal"/>
    <w:pPr>
      <w:spacing w:after="0" w:line="288" w:lineRule="atLeast"/>
      <w:jc w:val="both"/>
    </w:pPr>
    <w:rPr>
      <w:rFonts w:ascii="Times New Roman" w:eastAsia="Times New Roman" w:hAnsi="Times New Roman" w:cs="Times New Roman"/>
      <w:sz w:val="24"/>
      <w:szCs w:val="20"/>
      <w:lang w:eastAsia="de-DE"/>
    </w:rPr>
  </w:style>
  <w:style w:type="paragraph" w:customStyle="1" w:styleId="Fragen">
    <w:name w:val="Fragen"/>
    <w:basedOn w:val="ListBullet"/>
    <w:qFormat/>
    <w:pPr>
      <w:numPr>
        <w:numId w:val="23"/>
      </w:numPr>
      <w:autoSpaceDE w:val="0"/>
      <w:autoSpaceDN w:val="0"/>
      <w:adjustRightInd w:val="0"/>
      <w:spacing w:after="0" w:line="288" w:lineRule="atLeast"/>
      <w:jc w:val="left"/>
    </w:pPr>
    <w:rPr>
      <w:i/>
      <w:sz w:val="22"/>
      <w:lang w:eastAsia="de-DE"/>
    </w:rPr>
  </w:style>
  <w:style w:type="character" w:customStyle="1" w:styleId="st">
    <w:name w:val="st"/>
    <w:basedOn w:val="DefaultParagraphFont"/>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pPr>
      <w:tabs>
        <w:tab w:val="left" w:pos="4678"/>
      </w:tabs>
      <w:spacing w:after="240" w:line="240" w:lineRule="auto"/>
      <w:jc w:val="both"/>
    </w:pPr>
    <w:rPr>
      <w:rFonts w:ascii="Times New Roman" w:eastAsia="Arial Unicode MS" w:hAnsi="Times New Roman" w:cs="Arial Unicode MS"/>
      <w:sz w:val="24"/>
      <w:szCs w:val="24"/>
      <w:u w:color="000000"/>
      <w:lang w:val="en-US" w:eastAsia="en-GB"/>
    </w:rPr>
  </w:style>
  <w:style w:type="paragraph" w:customStyle="1" w:styleId="ListDash">
    <w:name w:val="List Dash"/>
    <w:pPr>
      <w:tabs>
        <w:tab w:val="left" w:pos="283"/>
      </w:tabs>
      <w:spacing w:after="240" w:line="240" w:lineRule="auto"/>
      <w:jc w:val="both"/>
    </w:pPr>
    <w:rPr>
      <w:rFonts w:ascii="Times New Roman" w:eastAsia="Arial Unicode MS" w:hAnsi="Times New Roman" w:cs="Arial Unicode MS"/>
      <w:color w:val="000000"/>
      <w:sz w:val="24"/>
      <w:szCs w:val="24"/>
      <w:u w:color="000000"/>
      <w:lang w:val="en-US" w:eastAsia="en-GB"/>
    </w:rPr>
  </w:style>
  <w:style w:type="character" w:customStyle="1" w:styleId="None">
    <w:name w:val="None"/>
    <w:autoRedefine/>
  </w:style>
  <w:style w:type="paragraph" w:customStyle="1" w:styleId="ListBullet1">
    <w:name w:val="List Bullet 1"/>
    <w:pPr>
      <w:tabs>
        <w:tab w:val="left" w:pos="765"/>
      </w:tabs>
      <w:spacing w:after="240" w:line="240" w:lineRule="auto"/>
      <w:jc w:val="both"/>
    </w:pPr>
    <w:rPr>
      <w:rFonts w:ascii="Times New Roman" w:eastAsia="Arial Unicode MS" w:hAnsi="Times New Roman" w:cs="Arial Unicode MS"/>
      <w:color w:val="000000"/>
      <w:sz w:val="24"/>
      <w:szCs w:val="24"/>
      <w:u w:color="000000"/>
      <w:lang w:val="en-US" w:eastAsia="en-GB"/>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heme="minorEastAsia"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heme="minorEastAsia" w:hAnsi="Arial" w:cs="Arial"/>
      <w:sz w:val="16"/>
      <w:szCs w:val="16"/>
      <w:lang w:eastAsia="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ti-grseq-1">
    <w:name w:val="ti-grseq-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
    <w:name w:val="super"/>
    <w:basedOn w:val="DefaultParagraphFont"/>
  </w:style>
  <w:style w:type="character" w:customStyle="1" w:styleId="bold">
    <w:name w:val="bold"/>
    <w:basedOn w:val="DefaultParagraphFont"/>
  </w:style>
  <w:style w:type="paragraph" w:customStyle="1" w:styleId="note">
    <w:name w:val="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style>
  <w:style w:type="paragraph" w:styleId="TOC3">
    <w:name w:val="toc 3"/>
    <w:basedOn w:val="Normal"/>
    <w:next w:val="Normal"/>
    <w:autoRedefine/>
    <w:uiPriority w:val="39"/>
    <w:unhideWhenUsed/>
    <w:pPr>
      <w:ind w:left="440"/>
    </w:pPr>
  </w:style>
  <w:style w:type="paragraph" w:styleId="TOC4">
    <w:name w:val="toc 4"/>
    <w:basedOn w:val="Normal"/>
    <w:next w:val="Normal"/>
    <w:autoRedefine/>
    <w:uiPriority w:val="39"/>
    <w:unhideWhenUsed/>
    <w:pPr>
      <w:ind w:left="660"/>
    </w:pPr>
  </w:style>
  <w:style w:type="paragraph" w:styleId="TOC5">
    <w:name w:val="toc 5"/>
    <w:basedOn w:val="Normal"/>
    <w:next w:val="Normal"/>
    <w:autoRedefine/>
    <w:uiPriority w:val="39"/>
    <w:unhideWhenUsed/>
    <w:pPr>
      <w:ind w:left="880"/>
    </w:pPr>
  </w:style>
  <w:style w:type="paragraph" w:styleId="TOC6">
    <w:name w:val="toc 6"/>
    <w:basedOn w:val="Normal"/>
    <w:next w:val="Normal"/>
    <w:autoRedefine/>
    <w:uiPriority w:val="39"/>
    <w:unhideWhenUsed/>
    <w:pPr>
      <w:ind w:left="1100"/>
    </w:pPr>
  </w:style>
  <w:style w:type="paragraph" w:styleId="TOC7">
    <w:name w:val="toc 7"/>
    <w:basedOn w:val="Normal"/>
    <w:next w:val="Normal"/>
    <w:autoRedefine/>
    <w:uiPriority w:val="39"/>
    <w:unhideWhenUsed/>
    <w:pPr>
      <w:ind w:left="1320"/>
    </w:pPr>
  </w:style>
  <w:style w:type="paragraph" w:styleId="TOC8">
    <w:name w:val="toc 8"/>
    <w:basedOn w:val="Normal"/>
    <w:next w:val="Normal"/>
    <w:autoRedefine/>
    <w:uiPriority w:val="39"/>
    <w:unhideWhenUsed/>
    <w:pPr>
      <w:ind w:left="1540"/>
    </w:pPr>
  </w:style>
  <w:style w:type="paragraph" w:styleId="TOC9">
    <w:name w:val="toc 9"/>
    <w:basedOn w:val="Normal"/>
    <w:next w:val="Normal"/>
    <w:autoRedefine/>
    <w:uiPriority w:val="39"/>
    <w:unhideWhenUsed/>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4144">
      <w:bodyDiv w:val="1"/>
      <w:marLeft w:val="0"/>
      <w:marRight w:val="0"/>
      <w:marTop w:val="0"/>
      <w:marBottom w:val="0"/>
      <w:divBdr>
        <w:top w:val="none" w:sz="0" w:space="0" w:color="auto"/>
        <w:left w:val="none" w:sz="0" w:space="0" w:color="auto"/>
        <w:bottom w:val="none" w:sz="0" w:space="0" w:color="auto"/>
        <w:right w:val="none" w:sz="0" w:space="0" w:color="auto"/>
      </w:divBdr>
    </w:div>
    <w:div w:id="413212537">
      <w:bodyDiv w:val="1"/>
      <w:marLeft w:val="0"/>
      <w:marRight w:val="0"/>
      <w:marTop w:val="0"/>
      <w:marBottom w:val="0"/>
      <w:divBdr>
        <w:top w:val="none" w:sz="0" w:space="0" w:color="auto"/>
        <w:left w:val="none" w:sz="0" w:space="0" w:color="auto"/>
        <w:bottom w:val="none" w:sz="0" w:space="0" w:color="auto"/>
        <w:right w:val="none" w:sz="0" w:space="0" w:color="auto"/>
      </w:divBdr>
    </w:div>
    <w:div w:id="419525250">
      <w:bodyDiv w:val="1"/>
      <w:marLeft w:val="0"/>
      <w:marRight w:val="0"/>
      <w:marTop w:val="0"/>
      <w:marBottom w:val="0"/>
      <w:divBdr>
        <w:top w:val="none" w:sz="0" w:space="0" w:color="auto"/>
        <w:left w:val="none" w:sz="0" w:space="0" w:color="auto"/>
        <w:bottom w:val="none" w:sz="0" w:space="0" w:color="auto"/>
        <w:right w:val="none" w:sz="0" w:space="0" w:color="auto"/>
      </w:divBdr>
    </w:div>
    <w:div w:id="447509550">
      <w:bodyDiv w:val="1"/>
      <w:marLeft w:val="0"/>
      <w:marRight w:val="0"/>
      <w:marTop w:val="0"/>
      <w:marBottom w:val="0"/>
      <w:divBdr>
        <w:top w:val="none" w:sz="0" w:space="0" w:color="auto"/>
        <w:left w:val="none" w:sz="0" w:space="0" w:color="auto"/>
        <w:bottom w:val="none" w:sz="0" w:space="0" w:color="auto"/>
        <w:right w:val="none" w:sz="0" w:space="0" w:color="auto"/>
      </w:divBdr>
    </w:div>
    <w:div w:id="593830659">
      <w:bodyDiv w:val="1"/>
      <w:marLeft w:val="0"/>
      <w:marRight w:val="0"/>
      <w:marTop w:val="0"/>
      <w:marBottom w:val="0"/>
      <w:divBdr>
        <w:top w:val="none" w:sz="0" w:space="0" w:color="auto"/>
        <w:left w:val="none" w:sz="0" w:space="0" w:color="auto"/>
        <w:bottom w:val="none" w:sz="0" w:space="0" w:color="auto"/>
        <w:right w:val="none" w:sz="0" w:space="0" w:color="auto"/>
      </w:divBdr>
      <w:divsChild>
        <w:div w:id="766728773">
          <w:marLeft w:val="274"/>
          <w:marRight w:val="0"/>
          <w:marTop w:val="0"/>
          <w:marBottom w:val="0"/>
          <w:divBdr>
            <w:top w:val="none" w:sz="0" w:space="0" w:color="auto"/>
            <w:left w:val="none" w:sz="0" w:space="0" w:color="auto"/>
            <w:bottom w:val="none" w:sz="0" w:space="0" w:color="auto"/>
            <w:right w:val="none" w:sz="0" w:space="0" w:color="auto"/>
          </w:divBdr>
        </w:div>
        <w:div w:id="817116406">
          <w:marLeft w:val="274"/>
          <w:marRight w:val="0"/>
          <w:marTop w:val="0"/>
          <w:marBottom w:val="0"/>
          <w:divBdr>
            <w:top w:val="none" w:sz="0" w:space="0" w:color="auto"/>
            <w:left w:val="none" w:sz="0" w:space="0" w:color="auto"/>
            <w:bottom w:val="none" w:sz="0" w:space="0" w:color="auto"/>
            <w:right w:val="none" w:sz="0" w:space="0" w:color="auto"/>
          </w:divBdr>
        </w:div>
        <w:div w:id="1488399217">
          <w:marLeft w:val="274"/>
          <w:marRight w:val="0"/>
          <w:marTop w:val="0"/>
          <w:marBottom w:val="0"/>
          <w:divBdr>
            <w:top w:val="none" w:sz="0" w:space="0" w:color="auto"/>
            <w:left w:val="none" w:sz="0" w:space="0" w:color="auto"/>
            <w:bottom w:val="none" w:sz="0" w:space="0" w:color="auto"/>
            <w:right w:val="none" w:sz="0" w:space="0" w:color="auto"/>
          </w:divBdr>
        </w:div>
      </w:divsChild>
    </w:div>
    <w:div w:id="709960997">
      <w:bodyDiv w:val="1"/>
      <w:marLeft w:val="0"/>
      <w:marRight w:val="0"/>
      <w:marTop w:val="0"/>
      <w:marBottom w:val="0"/>
      <w:divBdr>
        <w:top w:val="none" w:sz="0" w:space="0" w:color="auto"/>
        <w:left w:val="none" w:sz="0" w:space="0" w:color="auto"/>
        <w:bottom w:val="none" w:sz="0" w:space="0" w:color="auto"/>
        <w:right w:val="none" w:sz="0" w:space="0" w:color="auto"/>
      </w:divBdr>
    </w:div>
    <w:div w:id="775759459">
      <w:bodyDiv w:val="1"/>
      <w:marLeft w:val="0"/>
      <w:marRight w:val="0"/>
      <w:marTop w:val="0"/>
      <w:marBottom w:val="0"/>
      <w:divBdr>
        <w:top w:val="none" w:sz="0" w:space="0" w:color="auto"/>
        <w:left w:val="none" w:sz="0" w:space="0" w:color="auto"/>
        <w:bottom w:val="none" w:sz="0" w:space="0" w:color="auto"/>
        <w:right w:val="none" w:sz="0" w:space="0" w:color="auto"/>
      </w:divBdr>
    </w:div>
    <w:div w:id="808859381">
      <w:bodyDiv w:val="1"/>
      <w:marLeft w:val="0"/>
      <w:marRight w:val="0"/>
      <w:marTop w:val="0"/>
      <w:marBottom w:val="0"/>
      <w:divBdr>
        <w:top w:val="none" w:sz="0" w:space="0" w:color="auto"/>
        <w:left w:val="none" w:sz="0" w:space="0" w:color="auto"/>
        <w:bottom w:val="none" w:sz="0" w:space="0" w:color="auto"/>
        <w:right w:val="none" w:sz="0" w:space="0" w:color="auto"/>
      </w:divBdr>
    </w:div>
    <w:div w:id="1020274500">
      <w:bodyDiv w:val="1"/>
      <w:marLeft w:val="0"/>
      <w:marRight w:val="0"/>
      <w:marTop w:val="0"/>
      <w:marBottom w:val="0"/>
      <w:divBdr>
        <w:top w:val="none" w:sz="0" w:space="0" w:color="auto"/>
        <w:left w:val="none" w:sz="0" w:space="0" w:color="auto"/>
        <w:bottom w:val="none" w:sz="0" w:space="0" w:color="auto"/>
        <w:right w:val="none" w:sz="0" w:space="0" w:color="auto"/>
      </w:divBdr>
      <w:divsChild>
        <w:div w:id="544492427">
          <w:marLeft w:val="274"/>
          <w:marRight w:val="0"/>
          <w:marTop w:val="0"/>
          <w:marBottom w:val="0"/>
          <w:divBdr>
            <w:top w:val="none" w:sz="0" w:space="0" w:color="auto"/>
            <w:left w:val="none" w:sz="0" w:space="0" w:color="auto"/>
            <w:bottom w:val="none" w:sz="0" w:space="0" w:color="auto"/>
            <w:right w:val="none" w:sz="0" w:space="0" w:color="auto"/>
          </w:divBdr>
        </w:div>
        <w:div w:id="930577818">
          <w:marLeft w:val="274"/>
          <w:marRight w:val="0"/>
          <w:marTop w:val="0"/>
          <w:marBottom w:val="0"/>
          <w:divBdr>
            <w:top w:val="none" w:sz="0" w:space="0" w:color="auto"/>
            <w:left w:val="none" w:sz="0" w:space="0" w:color="auto"/>
            <w:bottom w:val="none" w:sz="0" w:space="0" w:color="auto"/>
            <w:right w:val="none" w:sz="0" w:space="0" w:color="auto"/>
          </w:divBdr>
        </w:div>
      </w:divsChild>
    </w:div>
    <w:div w:id="1126578400">
      <w:bodyDiv w:val="1"/>
      <w:marLeft w:val="0"/>
      <w:marRight w:val="0"/>
      <w:marTop w:val="0"/>
      <w:marBottom w:val="0"/>
      <w:divBdr>
        <w:top w:val="none" w:sz="0" w:space="0" w:color="auto"/>
        <w:left w:val="none" w:sz="0" w:space="0" w:color="auto"/>
        <w:bottom w:val="none" w:sz="0" w:space="0" w:color="auto"/>
        <w:right w:val="none" w:sz="0" w:space="0" w:color="auto"/>
      </w:divBdr>
    </w:div>
    <w:div w:id="1198739276">
      <w:bodyDiv w:val="1"/>
      <w:marLeft w:val="0"/>
      <w:marRight w:val="0"/>
      <w:marTop w:val="0"/>
      <w:marBottom w:val="0"/>
      <w:divBdr>
        <w:top w:val="none" w:sz="0" w:space="0" w:color="auto"/>
        <w:left w:val="none" w:sz="0" w:space="0" w:color="auto"/>
        <w:bottom w:val="none" w:sz="0" w:space="0" w:color="auto"/>
        <w:right w:val="none" w:sz="0" w:space="0" w:color="auto"/>
      </w:divBdr>
    </w:div>
    <w:div w:id="1225800697">
      <w:bodyDiv w:val="1"/>
      <w:marLeft w:val="0"/>
      <w:marRight w:val="0"/>
      <w:marTop w:val="0"/>
      <w:marBottom w:val="0"/>
      <w:divBdr>
        <w:top w:val="none" w:sz="0" w:space="0" w:color="auto"/>
        <w:left w:val="none" w:sz="0" w:space="0" w:color="auto"/>
        <w:bottom w:val="none" w:sz="0" w:space="0" w:color="auto"/>
        <w:right w:val="none" w:sz="0" w:space="0" w:color="auto"/>
      </w:divBdr>
    </w:div>
    <w:div w:id="1255211853">
      <w:bodyDiv w:val="1"/>
      <w:marLeft w:val="0"/>
      <w:marRight w:val="0"/>
      <w:marTop w:val="0"/>
      <w:marBottom w:val="0"/>
      <w:divBdr>
        <w:top w:val="none" w:sz="0" w:space="0" w:color="auto"/>
        <w:left w:val="none" w:sz="0" w:space="0" w:color="auto"/>
        <w:bottom w:val="none" w:sz="0" w:space="0" w:color="auto"/>
        <w:right w:val="none" w:sz="0" w:space="0" w:color="auto"/>
      </w:divBdr>
    </w:div>
    <w:div w:id="1276251780">
      <w:bodyDiv w:val="1"/>
      <w:marLeft w:val="0"/>
      <w:marRight w:val="0"/>
      <w:marTop w:val="0"/>
      <w:marBottom w:val="0"/>
      <w:divBdr>
        <w:top w:val="none" w:sz="0" w:space="0" w:color="auto"/>
        <w:left w:val="none" w:sz="0" w:space="0" w:color="auto"/>
        <w:bottom w:val="none" w:sz="0" w:space="0" w:color="auto"/>
        <w:right w:val="none" w:sz="0" w:space="0" w:color="auto"/>
      </w:divBdr>
    </w:div>
    <w:div w:id="1440376187">
      <w:bodyDiv w:val="1"/>
      <w:marLeft w:val="0"/>
      <w:marRight w:val="0"/>
      <w:marTop w:val="0"/>
      <w:marBottom w:val="0"/>
      <w:divBdr>
        <w:top w:val="none" w:sz="0" w:space="0" w:color="auto"/>
        <w:left w:val="none" w:sz="0" w:space="0" w:color="auto"/>
        <w:bottom w:val="none" w:sz="0" w:space="0" w:color="auto"/>
        <w:right w:val="none" w:sz="0" w:space="0" w:color="auto"/>
      </w:divBdr>
    </w:div>
    <w:div w:id="1592616034">
      <w:bodyDiv w:val="1"/>
      <w:marLeft w:val="0"/>
      <w:marRight w:val="0"/>
      <w:marTop w:val="0"/>
      <w:marBottom w:val="0"/>
      <w:divBdr>
        <w:top w:val="none" w:sz="0" w:space="0" w:color="auto"/>
        <w:left w:val="none" w:sz="0" w:space="0" w:color="auto"/>
        <w:bottom w:val="none" w:sz="0" w:space="0" w:color="auto"/>
        <w:right w:val="none" w:sz="0" w:space="0" w:color="auto"/>
      </w:divBdr>
    </w:div>
    <w:div w:id="174864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40.png"/><Relationship Id="rId21" Type="http://schemas.openxmlformats.org/officeDocument/2006/relationships/footer" Target="footer6.xml"/><Relationship Id="rId42" Type="http://schemas.openxmlformats.org/officeDocument/2006/relationships/image" Target="media/image20.png"/><Relationship Id="rId47" Type="http://schemas.openxmlformats.org/officeDocument/2006/relationships/image" Target="cid:image003.jpg@01D39F6E.DDE90050" TargetMode="External"/><Relationship Id="rId63" Type="http://schemas.openxmlformats.org/officeDocument/2006/relationships/hyperlink" Target="http://marsplan.ro/en/results/defining-common-methodology.html" TargetMode="External"/><Relationship Id="rId68" Type="http://schemas.openxmlformats.org/officeDocument/2006/relationships/hyperlink" Target="https://eumofa.us12.list-manage.com/track/click?u=8f50ddacc29d98ce55398bbd0&amp;id=7d0dae69ac&amp;e=97f75aad4c" TargetMode="External"/><Relationship Id="rId84" Type="http://schemas.openxmlformats.org/officeDocument/2006/relationships/hyperlink" Target="https://eumofa.us12.list-manage.com/track/click?u=8f50ddacc29d98ce55398bbd0&amp;id=57f78effc8&amp;e=97f75aad4c" TargetMode="External"/><Relationship Id="rId89" Type="http://schemas.openxmlformats.org/officeDocument/2006/relationships/hyperlink" Target="https://eumofa.us12.list-manage.com/track/click?u=8f50ddacc29d98ce55398bbd0&amp;id=202bd0028e&amp;e=97f75aad4c" TargetMode="External"/><Relationship Id="rId112" Type="http://schemas.openxmlformats.org/officeDocument/2006/relationships/image" Target="media/image35.png"/><Relationship Id="rId133" Type="http://schemas.openxmlformats.org/officeDocument/2006/relationships/image" Target="media/image56.png"/><Relationship Id="rId138" Type="http://schemas.openxmlformats.org/officeDocument/2006/relationships/image" Target="media/image61.png"/><Relationship Id="rId16" Type="http://schemas.openxmlformats.org/officeDocument/2006/relationships/header" Target="header4.xml"/><Relationship Id="rId107" Type="http://schemas.openxmlformats.org/officeDocument/2006/relationships/image" Target="media/image30.png"/><Relationship Id="rId11"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ec.europa.eu/easme/en/algae-market-lab-ideas-adding-value-marine-invasive-seaweeds-iberian-northwest" TargetMode="External"/><Relationship Id="rId58" Type="http://schemas.openxmlformats.org/officeDocument/2006/relationships/hyperlink" Target="http://cordis.europa.eu/result/rcn/155950_en.html" TargetMode="External"/><Relationship Id="rId74" Type="http://schemas.openxmlformats.org/officeDocument/2006/relationships/hyperlink" Target="https://eumofa.us12.list-manage.com/track/click?u=8f50ddacc29d98ce55398bbd0&amp;id=8ccc1b8481&amp;e=97f75aad4c" TargetMode="External"/><Relationship Id="rId79" Type="http://schemas.openxmlformats.org/officeDocument/2006/relationships/hyperlink" Target="https://eumofa.us12.list-manage.com/track/click?u=8f50ddacc29d98ce55398bbd0&amp;id=158e44e96c&amp;e=97f75aad4c" TargetMode="External"/><Relationship Id="rId102" Type="http://schemas.openxmlformats.org/officeDocument/2006/relationships/chart" Target="charts/chart5.xml"/><Relationship Id="rId123" Type="http://schemas.openxmlformats.org/officeDocument/2006/relationships/image" Target="media/image46.png"/><Relationship Id="rId128" Type="http://schemas.openxmlformats.org/officeDocument/2006/relationships/image" Target="media/image51.png"/><Relationship Id="rId144" Type="http://schemas.openxmlformats.org/officeDocument/2006/relationships/chart" Target="charts/chart6.xml"/><Relationship Id="rId149" Type="http://schemas.openxmlformats.org/officeDocument/2006/relationships/header" Target="header9.xml"/><Relationship Id="rId5" Type="http://schemas.openxmlformats.org/officeDocument/2006/relationships/settings" Target="settings.xml"/><Relationship Id="rId90" Type="http://schemas.openxmlformats.org/officeDocument/2006/relationships/hyperlink" Target="https://eumofa.us12.list-manage.com/track/click?u=8f50ddacc29d98ce55398bbd0&amp;id=3b6da6bb52&amp;e=97f75aad4c" TargetMode="External"/><Relationship Id="rId95" Type="http://schemas.openxmlformats.org/officeDocument/2006/relationships/hyperlink" Target="https://eumofa.us12.list-manage.com/track/click?u=8f50ddacc29d98ce55398bbd0&amp;id=48855b3eaa&amp;e=97f75aad4c" TargetMode="External"/><Relationship Id="rId22" Type="http://schemas.openxmlformats.org/officeDocument/2006/relationships/image" Target="media/image2.png"/><Relationship Id="rId27" Type="http://schemas.openxmlformats.org/officeDocument/2006/relationships/image" Target="cid:image001.png@01D3ABCA.9CEABF90" TargetMode="External"/><Relationship Id="rId43" Type="http://schemas.openxmlformats.org/officeDocument/2006/relationships/image" Target="media/image21.png"/><Relationship Id="rId48" Type="http://schemas.openxmlformats.org/officeDocument/2006/relationships/hyperlink" Target="https://ec.europa.eu/easme/en/blue-biotechnology-master-blue-career" TargetMode="External"/><Relationship Id="rId64" Type="http://schemas.openxmlformats.org/officeDocument/2006/relationships/hyperlink" Target="http://marsplan.ro/en/results/common-strategic-framework-for-msp.html" TargetMode="External"/><Relationship Id="rId69" Type="http://schemas.openxmlformats.org/officeDocument/2006/relationships/hyperlink" Target="https://eumofa.us12.list-manage.com/track/click?u=8f50ddacc29d98ce55398bbd0&amp;id=879e883973&amp;e=97f75aad4c" TargetMode="External"/><Relationship Id="rId113" Type="http://schemas.openxmlformats.org/officeDocument/2006/relationships/image" Target="media/image36.png"/><Relationship Id="rId118" Type="http://schemas.openxmlformats.org/officeDocument/2006/relationships/image" Target="media/image41.png"/><Relationship Id="rId134" Type="http://schemas.openxmlformats.org/officeDocument/2006/relationships/image" Target="media/image57.png"/><Relationship Id="rId139" Type="http://schemas.openxmlformats.org/officeDocument/2006/relationships/image" Target="media/image62.png"/><Relationship Id="rId80" Type="http://schemas.openxmlformats.org/officeDocument/2006/relationships/hyperlink" Target="https://eumofa.us12.list-manage.com/track/click?u=8f50ddacc29d98ce55398bbd0&amp;id=1f8389542b&amp;e=97f75aad4c" TargetMode="External"/><Relationship Id="rId85" Type="http://schemas.openxmlformats.org/officeDocument/2006/relationships/hyperlink" Target="https://eumofa.us12.list-manage.com/track/click?u=8f50ddacc29d98ce55398bbd0&amp;id=2daf2b59c4&amp;e=97f75aad4c" TargetMode="External"/><Relationship Id="rId150" Type="http://schemas.openxmlformats.org/officeDocument/2006/relationships/footer" Target="footer9.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cid:image003.png@01D3ABEF.0E16B920"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hyperlink" Target="http://marsplan.ro/en/" TargetMode="External"/><Relationship Id="rId67" Type="http://schemas.openxmlformats.org/officeDocument/2006/relationships/hyperlink" Target="https://ec.europa.eu/maritimeaffairs/policy/maritime_spatial_planning_en" TargetMode="External"/><Relationship Id="rId103" Type="http://schemas.openxmlformats.org/officeDocument/2006/relationships/image" Target="media/image26.png"/><Relationship Id="rId108" Type="http://schemas.openxmlformats.org/officeDocument/2006/relationships/image" Target="media/image31.png"/><Relationship Id="rId116" Type="http://schemas.openxmlformats.org/officeDocument/2006/relationships/image" Target="media/image39.png"/><Relationship Id="rId124" Type="http://schemas.openxmlformats.org/officeDocument/2006/relationships/image" Target="media/image47.png"/><Relationship Id="rId129" Type="http://schemas.openxmlformats.org/officeDocument/2006/relationships/image" Target="media/image52.png"/><Relationship Id="rId137" Type="http://schemas.openxmlformats.org/officeDocument/2006/relationships/image" Target="media/image60.png"/><Relationship Id="rId20"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hyperlink" Target="https://ec.europa.eu/easme/en/disruptive-and-forward-looking-opportunities-competitive-and-sustainable-aquaculture" TargetMode="External"/><Relationship Id="rId62" Type="http://schemas.openxmlformats.org/officeDocument/2006/relationships/hyperlink" Target="http://marsplan.ro/en/results/case-study.html" TargetMode="External"/><Relationship Id="rId70" Type="http://schemas.openxmlformats.org/officeDocument/2006/relationships/hyperlink" Target="https://eumofa.us12.list-manage.com/track/click?u=8f50ddacc29d98ce55398bbd0&amp;id=7611c72c36&amp;e=97f75aad4c" TargetMode="External"/><Relationship Id="rId75" Type="http://schemas.openxmlformats.org/officeDocument/2006/relationships/hyperlink" Target="https://eumofa.us12.list-manage.com/track/click?u=8f50ddacc29d98ce55398bbd0&amp;id=76c8962d71&amp;e=97f75aad4c" TargetMode="External"/><Relationship Id="rId83" Type="http://schemas.openxmlformats.org/officeDocument/2006/relationships/hyperlink" Target="https://eumofa.us12.list-manage.com/track/click?u=8f50ddacc29d98ce55398bbd0&amp;id=01036e3935&amp;e=97f75aad4c" TargetMode="External"/><Relationship Id="rId88" Type="http://schemas.openxmlformats.org/officeDocument/2006/relationships/hyperlink" Target="https://eumofa.us12.list-manage.com/track/click?u=8f50ddacc29d98ce55398bbd0&amp;id=10ab76b5da&amp;e=97f75aad4c" TargetMode="External"/><Relationship Id="rId91" Type="http://schemas.openxmlformats.org/officeDocument/2006/relationships/hyperlink" Target="https://eumofa.us12.list-manage.com/track/click?u=8f50ddacc29d98ce55398bbd0&amp;id=83d46e43ab&amp;e=97f75aad4c" TargetMode="External"/><Relationship Id="rId96" Type="http://schemas.openxmlformats.org/officeDocument/2006/relationships/hyperlink" Target="https://eumofa.us12.list-manage.com/track/click?u=8f50ddacc29d98ce55398bbd0&amp;id=13b948d580&amp;e=97f75aad4c" TargetMode="External"/><Relationship Id="rId111" Type="http://schemas.openxmlformats.org/officeDocument/2006/relationships/image" Target="media/image34.png"/><Relationship Id="rId132" Type="http://schemas.openxmlformats.org/officeDocument/2006/relationships/image" Target="media/image55.png"/><Relationship Id="rId140" Type="http://schemas.openxmlformats.org/officeDocument/2006/relationships/hyperlink" Target="https://webgate.ec.europa.eu/fpfis/cms/farnet2/on-the-ground/good-practice/short-stories/boosting-seaweed-business-irish-offshore-islands_en" TargetMode="External"/><Relationship Id="rId14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ec.europa.eu/easme/en/blue-education-sustainable-management-aquatic-resources" TargetMode="External"/><Relationship Id="rId57" Type="http://schemas.openxmlformats.org/officeDocument/2006/relationships/hyperlink" Target="http://cordis.europa.eu/result/rcn/166136_en.html" TargetMode="External"/><Relationship Id="rId106" Type="http://schemas.openxmlformats.org/officeDocument/2006/relationships/image" Target="media/image29.png"/><Relationship Id="rId114" Type="http://schemas.openxmlformats.org/officeDocument/2006/relationships/image" Target="media/image37.png"/><Relationship Id="rId119" Type="http://schemas.openxmlformats.org/officeDocument/2006/relationships/image" Target="media/image42.png"/><Relationship Id="rId127" Type="http://schemas.openxmlformats.org/officeDocument/2006/relationships/image" Target="media/image50.png"/><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www.facebook.com/FAIMMAC/" TargetMode="External"/><Relationship Id="rId60" Type="http://schemas.openxmlformats.org/officeDocument/2006/relationships/hyperlink" Target="http://marsplan.ro/en/results/institutional-and-legislative-framework.html" TargetMode="External"/><Relationship Id="rId65" Type="http://schemas.openxmlformats.org/officeDocument/2006/relationships/hyperlink" Target="http://marsplan.ro/en/results/maritime-spatial-plan-for-the-cross-border-area-mangalia-shabla.html" TargetMode="External"/><Relationship Id="rId73" Type="http://schemas.openxmlformats.org/officeDocument/2006/relationships/hyperlink" Target="https://eumofa.us12.list-manage.com/track/click?u=8f50ddacc29d98ce55398bbd0&amp;id=79703f3988&amp;e=97f75aad4c" TargetMode="External"/><Relationship Id="rId78" Type="http://schemas.openxmlformats.org/officeDocument/2006/relationships/hyperlink" Target="https://eumofa.us12.list-manage.com/track/click?u=8f50ddacc29d98ce55398bbd0&amp;id=6357aacf5f&amp;e=97f75aad4c" TargetMode="External"/><Relationship Id="rId81" Type="http://schemas.openxmlformats.org/officeDocument/2006/relationships/hyperlink" Target="https://eumofa.us12.list-manage.com/track/click?u=8f50ddacc29d98ce55398bbd0&amp;id=3f00b58519&amp;e=97f75aad4c" TargetMode="External"/><Relationship Id="rId86" Type="http://schemas.openxmlformats.org/officeDocument/2006/relationships/hyperlink" Target="https://eumofa.us12.list-manage.com/track/click?u=8f50ddacc29d98ce55398bbd0&amp;id=2b6112102f&amp;e=97f75aad4c" TargetMode="External"/><Relationship Id="rId94" Type="http://schemas.openxmlformats.org/officeDocument/2006/relationships/hyperlink" Target="https://eumofa.us12.list-manage.com/track/click?u=8f50ddacc29d98ce55398bbd0&amp;id=9dbee446f6&amp;e=97f75aad4c" TargetMode="External"/><Relationship Id="rId99" Type="http://schemas.openxmlformats.org/officeDocument/2006/relationships/chart" Target="charts/chart2.xml"/><Relationship Id="rId101" Type="http://schemas.openxmlformats.org/officeDocument/2006/relationships/chart" Target="charts/chart4.xml"/><Relationship Id="rId122" Type="http://schemas.openxmlformats.org/officeDocument/2006/relationships/image" Target="media/image45.png"/><Relationship Id="rId130" Type="http://schemas.openxmlformats.org/officeDocument/2006/relationships/image" Target="media/image53.png"/><Relationship Id="rId135" Type="http://schemas.openxmlformats.org/officeDocument/2006/relationships/image" Target="media/image58.png"/><Relationship Id="rId143" Type="http://schemas.openxmlformats.org/officeDocument/2006/relationships/hyperlink" Target="https://webgate.ec.europa.eu/fpfis/cms/farnet2/on-the-ground/good-practice/projects/bissets-fish-van_en" TargetMode="External"/><Relationship Id="rId148" Type="http://schemas.openxmlformats.org/officeDocument/2006/relationships/footer" Target="footer8.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7.png"/><Relationship Id="rId109" Type="http://schemas.openxmlformats.org/officeDocument/2006/relationships/image" Target="media/image32.png"/><Relationship Id="rId34" Type="http://schemas.openxmlformats.org/officeDocument/2006/relationships/image" Target="media/image12.png"/><Relationship Id="rId50" Type="http://schemas.openxmlformats.org/officeDocument/2006/relationships/hyperlink" Target="https://ec.europa.eu/easme/en/sustainable-entrepreneurship-stronger-skills-and-new-employment-fishery-s-and-aquaculture-s-smes" TargetMode="External"/><Relationship Id="rId55" Type="http://schemas.openxmlformats.org/officeDocument/2006/relationships/hyperlink" Target="http://cordis.europa.eu/result/rcn/203874_en.html" TargetMode="External"/><Relationship Id="rId76" Type="http://schemas.openxmlformats.org/officeDocument/2006/relationships/hyperlink" Target="https://eumofa.us12.list-manage.com/track/click?u=8f50ddacc29d98ce55398bbd0&amp;id=c67112b432&amp;e=97f75aad4c" TargetMode="External"/><Relationship Id="rId97" Type="http://schemas.openxmlformats.org/officeDocument/2006/relationships/chart" Target="charts/chart1.xml"/><Relationship Id="rId104" Type="http://schemas.openxmlformats.org/officeDocument/2006/relationships/image" Target="media/image27.png"/><Relationship Id="rId120" Type="http://schemas.openxmlformats.org/officeDocument/2006/relationships/image" Target="media/image43.png"/><Relationship Id="rId125" Type="http://schemas.openxmlformats.org/officeDocument/2006/relationships/image" Target="media/image48.png"/><Relationship Id="rId141" Type="http://schemas.openxmlformats.org/officeDocument/2006/relationships/hyperlink" Target="https://webgate.ec.europa.eu/fpfis/cms/farnet2/on-the-ground/good-practice/short-stories/crushed-shells-and-3d-printing_en" TargetMode="External"/><Relationship Id="rId14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https://eumofa.us12.list-manage.com/track/click?u=8f50ddacc29d98ce55398bbd0&amp;id=59ca890c55&amp;e=97f75aad4c" TargetMode="External"/><Relationship Id="rId92" Type="http://schemas.openxmlformats.org/officeDocument/2006/relationships/hyperlink" Target="https://eumofa.us12.list-manage.com/track/click?u=8f50ddacc29d98ce55398bbd0&amp;id=350fb1c2a0&amp;e=97f75aad4c"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image" Target="media/image18.emf"/><Relationship Id="rId45" Type="http://schemas.openxmlformats.org/officeDocument/2006/relationships/image" Target="media/image23.png"/><Relationship Id="rId66" Type="http://schemas.openxmlformats.org/officeDocument/2006/relationships/hyperlink" Target="http://eur-lex.europa.eu/legal-content/EN/TXT/?uri=uriserv:OJ.L_.2014.257.01.0135.01.ENG" TargetMode="External"/><Relationship Id="rId87" Type="http://schemas.openxmlformats.org/officeDocument/2006/relationships/hyperlink" Target="https://eumofa.us12.list-manage.com/track/click?u=8f50ddacc29d98ce55398bbd0&amp;id=9c177c7d58&amp;e=97f75aad4c" TargetMode="External"/><Relationship Id="rId110" Type="http://schemas.openxmlformats.org/officeDocument/2006/relationships/image" Target="media/image33.png"/><Relationship Id="rId115" Type="http://schemas.openxmlformats.org/officeDocument/2006/relationships/image" Target="media/image38.png"/><Relationship Id="rId131" Type="http://schemas.openxmlformats.org/officeDocument/2006/relationships/image" Target="media/image54.png"/><Relationship Id="rId136" Type="http://schemas.openxmlformats.org/officeDocument/2006/relationships/image" Target="media/image59.png"/><Relationship Id="rId61" Type="http://schemas.openxmlformats.org/officeDocument/2006/relationships/hyperlink" Target="http://marsplan.ro/en/results/msp-studies.html" TargetMode="External"/><Relationship Id="rId82" Type="http://schemas.openxmlformats.org/officeDocument/2006/relationships/hyperlink" Target="https://eumofa.us12.list-manage.com/track/click?u=8f50ddacc29d98ce55398bbd0&amp;id=e305f2d7ff&amp;e=97f75aad4c" TargetMode="External"/><Relationship Id="rId15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cordis.europa.eu/result/rcn/203871_en.html" TargetMode="External"/><Relationship Id="rId77" Type="http://schemas.openxmlformats.org/officeDocument/2006/relationships/hyperlink" Target="https://eumofa.us12.list-manage.com/track/click?u=8f50ddacc29d98ce55398bbd0&amp;id=7436c3222a&amp;e=97f75aad4c" TargetMode="External"/><Relationship Id="rId100" Type="http://schemas.openxmlformats.org/officeDocument/2006/relationships/chart" Target="charts/chart3.xml"/><Relationship Id="rId105" Type="http://schemas.openxmlformats.org/officeDocument/2006/relationships/image" Target="media/image28.png"/><Relationship Id="rId126" Type="http://schemas.openxmlformats.org/officeDocument/2006/relationships/image" Target="media/image49.png"/><Relationship Id="rId14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s://ec.europa.eu/easme/en/fishery-and-aquaculture-integrated-management-model-along-adriatic-coasts" TargetMode="External"/><Relationship Id="rId72" Type="http://schemas.openxmlformats.org/officeDocument/2006/relationships/hyperlink" Target="https://eumofa.us12.list-manage.com/track/click?u=8f50ddacc29d98ce55398bbd0&amp;id=a2f7e137c3&amp;e=97f75aad4c" TargetMode="External"/><Relationship Id="rId93" Type="http://schemas.openxmlformats.org/officeDocument/2006/relationships/hyperlink" Target="https://eumofa.us12.list-manage.com/track/click?u=8f50ddacc29d98ce55398bbd0&amp;id=f6cf86f013&amp;e=97f75aad4c" TargetMode="External"/><Relationship Id="rId98" Type="http://schemas.openxmlformats.org/officeDocument/2006/relationships/image" Target="media/image25.png"/><Relationship Id="rId121" Type="http://schemas.openxmlformats.org/officeDocument/2006/relationships/image" Target="media/image44.png"/><Relationship Id="rId142" Type="http://schemas.openxmlformats.org/officeDocument/2006/relationships/hyperlink" Target="https://webgate.ec.europa.eu/fpfis/cms/farnet2/on-the-ground/good-practice/short-stories/detecting-toxic-microalgae_e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nvironment/nature/legislation/fitness_check/action_plan/communication_en.pdf" TargetMode="External"/><Relationship Id="rId3" Type="http://schemas.openxmlformats.org/officeDocument/2006/relationships/hyperlink" Target="http://ec.europa.eu/regional_policy/en/information/publications/communications/2017/un-partenariat-privilegie-renouvele-et-renforce-avec-les-regions-ultraperipheriques" TargetMode="External"/><Relationship Id="rId7" Type="http://schemas.openxmlformats.org/officeDocument/2006/relationships/hyperlink" Target="https://www.eca.europa.eu/Lists/ECADocuments/SR17_1/SR_NATURA_2000_EN.pdf" TargetMode="External"/><Relationship Id="rId2" Type="http://schemas.openxmlformats.org/officeDocument/2006/relationships/hyperlink" Target="https://publications.europa.eu/en/publication-detail/-/publication/f0ab224d-f34c-11e6-8a35-01aa75ed71a1" TargetMode="External"/><Relationship Id="rId1" Type="http://schemas.openxmlformats.org/officeDocument/2006/relationships/hyperlink" Target="https://ec.europa.eu/commission/priorities/democratic-change/future-europe/eu-budget-future_en" TargetMode="External"/><Relationship Id="rId6" Type="http://schemas.openxmlformats.org/officeDocument/2006/relationships/hyperlink" Target="http://ec.europa.eu/environment/nature/legislation/fitness_check/docs/nature_fitness_check.pdf" TargetMode="External"/><Relationship Id="rId5" Type="http://schemas.openxmlformats.org/officeDocument/2006/relationships/hyperlink" Target="http://eur-lex.europa.eu/legal-content/EN/TXT/?uri=CELEX:32008L0056" TargetMode="External"/><Relationship Id="rId10" Type="http://schemas.openxmlformats.org/officeDocument/2006/relationships/hyperlink" Target="http://www.consilium.europa.eu/en/press/press-releases/2017/06/19/conclusions-eu-action-plan-nature/" TargetMode="External"/><Relationship Id="rId4" Type="http://schemas.openxmlformats.org/officeDocument/2006/relationships/hyperlink" Target="http://ec.europa.eu/environment/marine/eu-coast-and-marine-policy/marine-strategy-framework-directive/index_en.htm" TargetMode="External"/><Relationship Id="rId9" Type="http://schemas.openxmlformats.org/officeDocument/2006/relationships/hyperlink" Target="http://www.europarl.europa.eu/sides/getDoc.do?type=TA&amp;language=EN&amp;reference=P8-TA-2017-044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tx1"/>
                </a:solidFill>
                <a:latin typeface="Times New Roman" panose="02020603050405020304" pitchFamily="18" charset="0"/>
                <a:cs typeface="Times New Roman" panose="02020603050405020304" pitchFamily="18" charset="0"/>
              </a:rPr>
              <a:t>Number</a:t>
            </a:r>
            <a:r>
              <a:rPr lang="pl-PL" sz="1200" b="1" baseline="0">
                <a:solidFill>
                  <a:schemeClr val="tx1"/>
                </a:solidFill>
                <a:latin typeface="Times New Roman" panose="02020603050405020304" pitchFamily="18" charset="0"/>
                <a:cs typeface="Times New Roman" panose="02020603050405020304" pitchFamily="18" charset="0"/>
              </a:rPr>
              <a:t> of FLAGs per MS (2007-2013)</a:t>
            </a:r>
            <a:endParaRPr lang="en-US" sz="1200"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BE</c:v>
                </c:pt>
                <c:pt idx="1">
                  <c:v>BG</c:v>
                </c:pt>
                <c:pt idx="2">
                  <c:v>CY</c:v>
                </c:pt>
                <c:pt idx="3">
                  <c:v>DE</c:v>
                </c:pt>
                <c:pt idx="4">
                  <c:v>DK</c:v>
                </c:pt>
                <c:pt idx="5">
                  <c:v>EE</c:v>
                </c:pt>
                <c:pt idx="6">
                  <c:v>ES</c:v>
                </c:pt>
                <c:pt idx="7">
                  <c:v>FI</c:v>
                </c:pt>
                <c:pt idx="8">
                  <c:v>FR</c:v>
                </c:pt>
                <c:pt idx="9">
                  <c:v>GR</c:v>
                </c:pt>
                <c:pt idx="10">
                  <c:v>IE</c:v>
                </c:pt>
                <c:pt idx="11">
                  <c:v>IT</c:v>
                </c:pt>
                <c:pt idx="12">
                  <c:v>LT</c:v>
                </c:pt>
                <c:pt idx="13">
                  <c:v>LV</c:v>
                </c:pt>
                <c:pt idx="14">
                  <c:v>NL</c:v>
                </c:pt>
                <c:pt idx="15">
                  <c:v>PL</c:v>
                </c:pt>
                <c:pt idx="16">
                  <c:v>PT</c:v>
                </c:pt>
                <c:pt idx="17">
                  <c:v>RO</c:v>
                </c:pt>
                <c:pt idx="18">
                  <c:v>SE</c:v>
                </c:pt>
                <c:pt idx="19">
                  <c:v>SI</c:v>
                </c:pt>
                <c:pt idx="20">
                  <c:v>UK</c:v>
                </c:pt>
              </c:strCache>
            </c:strRef>
          </c:cat>
          <c:val>
            <c:numRef>
              <c:f>Sheet1!$B$2:$B$22</c:f>
              <c:numCache>
                <c:formatCode>General</c:formatCode>
                <c:ptCount val="21"/>
                <c:pt idx="0">
                  <c:v>1</c:v>
                </c:pt>
                <c:pt idx="1">
                  <c:v>6</c:v>
                </c:pt>
                <c:pt idx="2">
                  <c:v>1</c:v>
                </c:pt>
                <c:pt idx="3">
                  <c:v>23</c:v>
                </c:pt>
                <c:pt idx="4">
                  <c:v>18</c:v>
                </c:pt>
                <c:pt idx="5">
                  <c:v>8</c:v>
                </c:pt>
                <c:pt idx="6">
                  <c:v>30</c:v>
                </c:pt>
                <c:pt idx="7">
                  <c:v>8</c:v>
                </c:pt>
                <c:pt idx="8">
                  <c:v>11</c:v>
                </c:pt>
                <c:pt idx="9">
                  <c:v>11</c:v>
                </c:pt>
                <c:pt idx="10">
                  <c:v>6</c:v>
                </c:pt>
                <c:pt idx="11">
                  <c:v>43</c:v>
                </c:pt>
                <c:pt idx="12">
                  <c:v>10</c:v>
                </c:pt>
                <c:pt idx="13">
                  <c:v>24</c:v>
                </c:pt>
                <c:pt idx="14">
                  <c:v>6</c:v>
                </c:pt>
                <c:pt idx="15">
                  <c:v>48</c:v>
                </c:pt>
                <c:pt idx="16">
                  <c:v>7</c:v>
                </c:pt>
                <c:pt idx="17">
                  <c:v>14</c:v>
                </c:pt>
                <c:pt idx="18">
                  <c:v>14</c:v>
                </c:pt>
                <c:pt idx="19">
                  <c:v>1</c:v>
                </c:pt>
                <c:pt idx="20">
                  <c:v>22</c:v>
                </c:pt>
              </c:numCache>
            </c:numRef>
          </c:val>
          <c:extLst xmlns:c16r2="http://schemas.microsoft.com/office/drawing/2015/06/chart">
            <c:ext xmlns:c16="http://schemas.microsoft.com/office/drawing/2014/chart" uri="{C3380CC4-5D6E-409C-BE32-E72D297353CC}">
              <c16:uniqueId val="{00000003-B196-43D9-BD14-25B6E0F45D40}"/>
            </c:ext>
          </c:extLst>
        </c:ser>
        <c:dLbls>
          <c:dLblPos val="inEnd"/>
          <c:showLegendKey val="0"/>
          <c:showVal val="1"/>
          <c:showCatName val="0"/>
          <c:showSerName val="0"/>
          <c:showPercent val="0"/>
          <c:showBubbleSize val="0"/>
        </c:dLbls>
        <c:gapWidth val="50"/>
        <c:overlap val="-27"/>
        <c:axId val="108132608"/>
        <c:axId val="109594112"/>
      </c:barChart>
      <c:catAx>
        <c:axId val="10813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594112"/>
        <c:crosses val="autoZero"/>
        <c:auto val="1"/>
        <c:lblAlgn val="ctr"/>
        <c:lblOffset val="100"/>
        <c:noMultiLvlLbl val="0"/>
      </c:catAx>
      <c:valAx>
        <c:axId val="10959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32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pl-PL" sz="1200" b="1" dirty="0">
                <a:solidFill>
                  <a:schemeClr val="tx1"/>
                </a:solidFill>
                <a:latin typeface="Times New Roman" panose="02020603050405020304" pitchFamily="18" charset="0"/>
                <a:cs typeface="Times New Roman" panose="02020603050405020304" pitchFamily="18" charset="0"/>
              </a:rPr>
              <a:t>Number of FLAGs per MS (2014-2020) </a:t>
            </a:r>
            <a:endParaRPr lang="en-GB"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0705223021907401"/>
          <c:y val="3.0844321305780301E-2"/>
        </c:manualLayout>
      </c:layout>
      <c:overlay val="0"/>
      <c:spPr>
        <a:noFill/>
        <a:ln>
          <a:noFill/>
        </a:ln>
        <a:effectLst/>
      </c:spPr>
    </c:title>
    <c:autoTitleDeleted val="0"/>
    <c:plotArea>
      <c:layout>
        <c:manualLayout>
          <c:layoutTarget val="inner"/>
          <c:xMode val="edge"/>
          <c:yMode val="edge"/>
          <c:x val="5.1100587064298097E-2"/>
          <c:y val="3.5914010816902799E-2"/>
          <c:w val="0.93440665931251299"/>
          <c:h val="0.88030118552040804"/>
        </c:manualLayout>
      </c:layout>
      <c:barChart>
        <c:barDir val="col"/>
        <c:grouping val="clustered"/>
        <c:varyColors val="0"/>
        <c:ser>
          <c:idx val="0"/>
          <c:order val="0"/>
          <c:tx>
            <c:strRef>
              <c:f>Sheet1!$B$1</c:f>
              <c:strCache>
                <c:ptCount val="1"/>
                <c:pt idx="0">
                  <c:v>No of FLAGs</c:v>
                </c:pt>
              </c:strCache>
            </c:strRef>
          </c:tx>
          <c:spPr>
            <a:solidFill>
              <a:schemeClr val="accent1">
                <a:lumMod val="75000"/>
              </a:schemeClr>
            </a:solidFill>
            <a:ln>
              <a:noFill/>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0-2866-4D26-9B2A-2BBC61FF0795}"/>
              </c:ext>
            </c:extLst>
          </c:dPt>
          <c:dPt>
            <c:idx val="3"/>
            <c:invertIfNegative val="0"/>
            <c:bubble3D val="0"/>
            <c:extLst xmlns:c16r2="http://schemas.microsoft.com/office/drawing/2015/06/chart">
              <c:ext xmlns:c16="http://schemas.microsoft.com/office/drawing/2014/chart" uri="{C3380CC4-5D6E-409C-BE32-E72D297353CC}">
                <c16:uniqueId val="{00000001-2866-4D26-9B2A-2BBC61FF0795}"/>
              </c:ext>
            </c:extLst>
          </c:dPt>
          <c:dPt>
            <c:idx val="4"/>
            <c:invertIfNegative val="0"/>
            <c:bubble3D val="0"/>
            <c:extLst xmlns:c16r2="http://schemas.microsoft.com/office/drawing/2015/06/chart">
              <c:ext xmlns:c16="http://schemas.microsoft.com/office/drawing/2014/chart" uri="{C3380CC4-5D6E-409C-BE32-E72D297353CC}">
                <c16:uniqueId val="{00000002-2866-4D26-9B2A-2BBC61FF0795}"/>
              </c:ext>
            </c:extLst>
          </c:dPt>
          <c:dPt>
            <c:idx val="6"/>
            <c:invertIfNegative val="0"/>
            <c:bubble3D val="0"/>
            <c:extLst xmlns:c16r2="http://schemas.microsoft.com/office/drawing/2015/06/chart">
              <c:ext xmlns:c16="http://schemas.microsoft.com/office/drawing/2014/chart" uri="{C3380CC4-5D6E-409C-BE32-E72D297353CC}">
                <c16:uniqueId val="{00000003-2866-4D26-9B2A-2BBC61FF0795}"/>
              </c:ext>
            </c:extLst>
          </c:dPt>
          <c:dPt>
            <c:idx val="9"/>
            <c:invertIfNegative val="0"/>
            <c:bubble3D val="0"/>
            <c:extLst xmlns:c16r2="http://schemas.microsoft.com/office/drawing/2015/06/chart">
              <c:ext xmlns:c16="http://schemas.microsoft.com/office/drawing/2014/chart" uri="{C3380CC4-5D6E-409C-BE32-E72D297353CC}">
                <c16:uniqueId val="{00000004-2866-4D26-9B2A-2BBC61FF0795}"/>
              </c:ext>
            </c:extLst>
          </c:dPt>
          <c:dPt>
            <c:idx val="12"/>
            <c:invertIfNegative val="0"/>
            <c:bubble3D val="0"/>
            <c:extLst xmlns:c16r2="http://schemas.microsoft.com/office/drawing/2015/06/chart">
              <c:ext xmlns:c16="http://schemas.microsoft.com/office/drawing/2014/chart" uri="{C3380CC4-5D6E-409C-BE32-E72D297353CC}">
                <c16:uniqueId val="{00000005-2866-4D26-9B2A-2BBC61FF0795}"/>
              </c:ext>
            </c:extLst>
          </c:dPt>
          <c:dPt>
            <c:idx val="13"/>
            <c:invertIfNegative val="0"/>
            <c:bubble3D val="0"/>
            <c:extLst xmlns:c16r2="http://schemas.microsoft.com/office/drawing/2015/06/chart">
              <c:ext xmlns:c16="http://schemas.microsoft.com/office/drawing/2014/chart" uri="{C3380CC4-5D6E-409C-BE32-E72D297353CC}">
                <c16:uniqueId val="{00000006-2866-4D26-9B2A-2BBC61FF0795}"/>
              </c:ext>
            </c:extLst>
          </c:dPt>
          <c:dPt>
            <c:idx val="14"/>
            <c:invertIfNegative val="0"/>
            <c:bubble3D val="0"/>
            <c:extLst xmlns:c16r2="http://schemas.microsoft.com/office/drawing/2015/06/chart">
              <c:ext xmlns:c16="http://schemas.microsoft.com/office/drawing/2014/chart" uri="{C3380CC4-5D6E-409C-BE32-E72D297353CC}">
                <c16:uniqueId val="{00000007-2866-4D26-9B2A-2BBC61FF0795}"/>
              </c:ext>
            </c:extLst>
          </c:dPt>
          <c:dPt>
            <c:idx val="17"/>
            <c:invertIfNegative val="0"/>
            <c:bubble3D val="0"/>
            <c:extLst xmlns:c16r2="http://schemas.microsoft.com/office/drawing/2015/06/chart">
              <c:ext xmlns:c16="http://schemas.microsoft.com/office/drawing/2014/chart" uri="{C3380CC4-5D6E-409C-BE32-E72D297353CC}">
                <c16:uniqueId val="{00000008-2866-4D26-9B2A-2BBC61FF0795}"/>
              </c:ext>
            </c:extLst>
          </c:dPt>
          <c:dLbls>
            <c:dLbl>
              <c:idx val="1"/>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BG</c:v>
                </c:pt>
                <c:pt idx="1">
                  <c:v>CY</c:v>
                </c:pt>
                <c:pt idx="2">
                  <c:v>DE</c:v>
                </c:pt>
                <c:pt idx="3">
                  <c:v>DK</c:v>
                </c:pt>
                <c:pt idx="4">
                  <c:v>EE</c:v>
                </c:pt>
                <c:pt idx="5">
                  <c:v>ES</c:v>
                </c:pt>
                <c:pt idx="6">
                  <c:v>FI</c:v>
                </c:pt>
                <c:pt idx="7">
                  <c:v>FR</c:v>
                </c:pt>
                <c:pt idx="8">
                  <c:v>GR</c:v>
                </c:pt>
                <c:pt idx="9">
                  <c:v>HR</c:v>
                </c:pt>
                <c:pt idx="10">
                  <c:v>IE</c:v>
                </c:pt>
                <c:pt idx="11">
                  <c:v>IT</c:v>
                </c:pt>
                <c:pt idx="12">
                  <c:v>LT</c:v>
                </c:pt>
                <c:pt idx="13">
                  <c:v>LV</c:v>
                </c:pt>
                <c:pt idx="14">
                  <c:v>PL</c:v>
                </c:pt>
                <c:pt idx="15">
                  <c:v>PT</c:v>
                </c:pt>
                <c:pt idx="16">
                  <c:v>RO</c:v>
                </c:pt>
                <c:pt idx="17">
                  <c:v>SE</c:v>
                </c:pt>
                <c:pt idx="18">
                  <c:v>SI</c:v>
                </c:pt>
                <c:pt idx="19">
                  <c:v>UK</c:v>
                </c:pt>
              </c:strCache>
            </c:strRef>
          </c:cat>
          <c:val>
            <c:numRef>
              <c:f>Sheet1!$B$2:$B$21</c:f>
              <c:numCache>
                <c:formatCode>General</c:formatCode>
                <c:ptCount val="20"/>
                <c:pt idx="0">
                  <c:v>8</c:v>
                </c:pt>
                <c:pt idx="1">
                  <c:v>3</c:v>
                </c:pt>
                <c:pt idx="2">
                  <c:v>29</c:v>
                </c:pt>
                <c:pt idx="3">
                  <c:v>10</c:v>
                </c:pt>
                <c:pt idx="4">
                  <c:v>8</c:v>
                </c:pt>
                <c:pt idx="5">
                  <c:v>41</c:v>
                </c:pt>
                <c:pt idx="6">
                  <c:v>10</c:v>
                </c:pt>
                <c:pt idx="7">
                  <c:v>23</c:v>
                </c:pt>
                <c:pt idx="8">
                  <c:v>33</c:v>
                </c:pt>
                <c:pt idx="9">
                  <c:v>14</c:v>
                </c:pt>
                <c:pt idx="10">
                  <c:v>7</c:v>
                </c:pt>
                <c:pt idx="11">
                  <c:v>55</c:v>
                </c:pt>
                <c:pt idx="12">
                  <c:v>12</c:v>
                </c:pt>
                <c:pt idx="13">
                  <c:v>6</c:v>
                </c:pt>
                <c:pt idx="14">
                  <c:v>36</c:v>
                </c:pt>
                <c:pt idx="15">
                  <c:v>15</c:v>
                </c:pt>
                <c:pt idx="16">
                  <c:v>22</c:v>
                </c:pt>
                <c:pt idx="17">
                  <c:v>13</c:v>
                </c:pt>
                <c:pt idx="18">
                  <c:v>4</c:v>
                </c:pt>
                <c:pt idx="19">
                  <c:v>19</c:v>
                </c:pt>
              </c:numCache>
            </c:numRef>
          </c:val>
          <c:extLst xmlns:c16r2="http://schemas.microsoft.com/office/drawing/2015/06/chart">
            <c:ext xmlns:c16="http://schemas.microsoft.com/office/drawing/2014/chart" uri="{C3380CC4-5D6E-409C-BE32-E72D297353CC}">
              <c16:uniqueId val="{0000000A-2866-4D26-9B2A-2BBC61FF0795}"/>
            </c:ext>
          </c:extLst>
        </c:ser>
        <c:dLbls>
          <c:showLegendKey val="0"/>
          <c:showVal val="0"/>
          <c:showCatName val="0"/>
          <c:showSerName val="0"/>
          <c:showPercent val="0"/>
          <c:showBubbleSize val="0"/>
        </c:dLbls>
        <c:gapWidth val="75"/>
        <c:overlap val="-27"/>
        <c:axId val="149079936"/>
        <c:axId val="151519232"/>
      </c:barChart>
      <c:catAx>
        <c:axId val="14907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1519232"/>
        <c:crosses val="autoZero"/>
        <c:auto val="1"/>
        <c:lblAlgn val="ctr"/>
        <c:lblOffset val="100"/>
        <c:noMultiLvlLbl val="0"/>
      </c:catAx>
      <c:valAx>
        <c:axId val="15151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9079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pl-PL" sz="1200" b="1">
                <a:solidFill>
                  <a:schemeClr val="tx1"/>
                </a:solidFill>
                <a:latin typeface="Times New Roman" panose="02020603050405020304" pitchFamily="18" charset="0"/>
                <a:cs typeface="Times New Roman" panose="02020603050405020304" pitchFamily="18" charset="0"/>
              </a:rPr>
              <a:t>Average</a:t>
            </a:r>
            <a:r>
              <a:rPr lang="pl-PL" sz="1200" b="1" baseline="0">
                <a:solidFill>
                  <a:schemeClr val="tx1"/>
                </a:solidFill>
                <a:latin typeface="Times New Roman" panose="02020603050405020304" pitchFamily="18" charset="0"/>
                <a:cs typeface="Times New Roman" panose="02020603050405020304" pitchFamily="18" charset="0"/>
              </a:rPr>
              <a:t> budget per FLAG (M€ total public)</a:t>
            </a:r>
            <a:endParaRPr lang="en-GB" sz="1200"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lumMod val="75000"/>
              </a:schemeClr>
            </a:solidFill>
            <a:ln>
              <a:noFill/>
            </a:ln>
            <a:effectLst/>
          </c:spPr>
          <c:invertIfNegative val="0"/>
          <c:dPt>
            <c:idx val="9"/>
            <c:invertIfNegative val="0"/>
            <c:bubble3D val="0"/>
            <c:extLst xmlns:c16r2="http://schemas.microsoft.com/office/drawing/2015/06/chart">
              <c:ext xmlns:c16="http://schemas.microsoft.com/office/drawing/2014/chart" uri="{C3380CC4-5D6E-409C-BE32-E72D297353CC}">
                <c16:uniqueId val="{00000000-63C5-45A2-B300-47C5E372B8BA}"/>
              </c:ext>
            </c:extLst>
          </c:dPt>
          <c:dPt>
            <c:idx val="21"/>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2-63C5-45A2-B300-47C5E372B8B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BG</c:v>
                </c:pt>
                <c:pt idx="1">
                  <c:v>CY</c:v>
                </c:pt>
                <c:pt idx="2">
                  <c:v>DE</c:v>
                </c:pt>
                <c:pt idx="3">
                  <c:v>DK</c:v>
                </c:pt>
                <c:pt idx="4">
                  <c:v>EE</c:v>
                </c:pt>
                <c:pt idx="5">
                  <c:v>ES</c:v>
                </c:pt>
                <c:pt idx="6">
                  <c:v>FI</c:v>
                </c:pt>
                <c:pt idx="7">
                  <c:v>FR</c:v>
                </c:pt>
                <c:pt idx="8">
                  <c:v>GR</c:v>
                </c:pt>
                <c:pt idx="9">
                  <c:v>HR</c:v>
                </c:pt>
                <c:pt idx="10">
                  <c:v>IE</c:v>
                </c:pt>
                <c:pt idx="11">
                  <c:v>IT</c:v>
                </c:pt>
                <c:pt idx="12">
                  <c:v>LT</c:v>
                </c:pt>
                <c:pt idx="13">
                  <c:v>LV</c:v>
                </c:pt>
                <c:pt idx="14">
                  <c:v>PL</c:v>
                </c:pt>
                <c:pt idx="15">
                  <c:v>PT</c:v>
                </c:pt>
                <c:pt idx="16">
                  <c:v>RO</c:v>
                </c:pt>
                <c:pt idx="17">
                  <c:v>SE</c:v>
                </c:pt>
                <c:pt idx="18">
                  <c:v>SI</c:v>
                </c:pt>
                <c:pt idx="19">
                  <c:v>UK</c:v>
                </c:pt>
                <c:pt idx="21">
                  <c:v>EU av.</c:v>
                </c:pt>
              </c:strCache>
            </c:strRef>
          </c:cat>
          <c:val>
            <c:numRef>
              <c:f>Sheet1!$B$2:$B$23</c:f>
              <c:numCache>
                <c:formatCode>0.0</c:formatCode>
                <c:ptCount val="22"/>
                <c:pt idx="0">
                  <c:v>2.232352999999998</c:v>
                </c:pt>
                <c:pt idx="1">
                  <c:v>2.333333333333333</c:v>
                </c:pt>
                <c:pt idx="2">
                  <c:v>0.84827589655172397</c:v>
                </c:pt>
                <c:pt idx="3">
                  <c:v>0.88451690000000005</c:v>
                </c:pt>
                <c:pt idx="4">
                  <c:v>3.4705883750000002</c:v>
                </c:pt>
                <c:pt idx="5">
                  <c:v>3.0896337073170739</c:v>
                </c:pt>
                <c:pt idx="6">
                  <c:v>0.94</c:v>
                </c:pt>
                <c:pt idx="7">
                  <c:v>1.963542695652174</c:v>
                </c:pt>
                <c:pt idx="8">
                  <c:v>1.639928727272727</c:v>
                </c:pt>
                <c:pt idx="9">
                  <c:v>2.0857857857142852</c:v>
                </c:pt>
                <c:pt idx="10">
                  <c:v>1.7142857142857151</c:v>
                </c:pt>
                <c:pt idx="11">
                  <c:v>1.7316649795918371</c:v>
                </c:pt>
                <c:pt idx="12">
                  <c:v>1.0191727500000001</c:v>
                </c:pt>
                <c:pt idx="13">
                  <c:v>2.5</c:v>
                </c:pt>
                <c:pt idx="14">
                  <c:v>2.6045750000000001</c:v>
                </c:pt>
                <c:pt idx="15">
                  <c:v>2.7450980666666669</c:v>
                </c:pt>
                <c:pt idx="16">
                  <c:v>2.0414714090909092</c:v>
                </c:pt>
                <c:pt idx="17">
                  <c:v>1.283579384615384</c:v>
                </c:pt>
                <c:pt idx="18">
                  <c:v>1.6666667500000001</c:v>
                </c:pt>
                <c:pt idx="19">
                  <c:v>0.953251947368421</c:v>
                </c:pt>
                <c:pt idx="21">
                  <c:v>1.9089481745152359</c:v>
                </c:pt>
              </c:numCache>
            </c:numRef>
          </c:val>
          <c:extLst xmlns:c16r2="http://schemas.microsoft.com/office/drawing/2015/06/chart">
            <c:ext xmlns:c16="http://schemas.microsoft.com/office/drawing/2014/chart" uri="{C3380CC4-5D6E-409C-BE32-E72D297353CC}">
              <c16:uniqueId val="{00000003-63C5-45A2-B300-47C5E372B8BA}"/>
            </c:ext>
          </c:extLst>
        </c:ser>
        <c:dLbls>
          <c:dLblPos val="inEnd"/>
          <c:showLegendKey val="0"/>
          <c:showVal val="1"/>
          <c:showCatName val="0"/>
          <c:showSerName val="0"/>
          <c:showPercent val="0"/>
          <c:showBubbleSize val="0"/>
        </c:dLbls>
        <c:gapWidth val="40"/>
        <c:overlap val="-27"/>
        <c:axId val="211793408"/>
        <c:axId val="215378560"/>
      </c:barChart>
      <c:catAx>
        <c:axId val="21179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5378560"/>
        <c:crosses val="autoZero"/>
        <c:auto val="1"/>
        <c:lblAlgn val="ctr"/>
        <c:lblOffset val="100"/>
        <c:noMultiLvlLbl val="0"/>
      </c:catAx>
      <c:valAx>
        <c:axId val="215378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1793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r>
              <a:rPr lang="pl-PL" sz="1200" b="1" dirty="0">
                <a:solidFill>
                  <a:schemeClr val="tx1"/>
                </a:solidFill>
                <a:latin typeface="Times New Roman" panose="02020603050405020304" pitchFamily="18" charset="0"/>
                <a:cs typeface="Times New Roman" panose="02020603050405020304" pitchFamily="18" charset="0"/>
              </a:rPr>
              <a:t>Number</a:t>
            </a:r>
            <a:r>
              <a:rPr lang="pl-PL" sz="1200" b="1" baseline="0" dirty="0">
                <a:solidFill>
                  <a:schemeClr val="tx1"/>
                </a:solidFill>
                <a:latin typeface="Times New Roman" panose="02020603050405020304" pitchFamily="18" charset="0"/>
                <a:cs typeface="Times New Roman" panose="02020603050405020304" pitchFamily="18" charset="0"/>
              </a:rPr>
              <a:t> of projects approved by Dec. 2017</a:t>
            </a:r>
            <a:endParaRPr lang="en-GB"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298891432324701"/>
          <c:y val="3.5722404778142897E-2"/>
        </c:manualLayout>
      </c:layout>
      <c:overlay val="0"/>
      <c:spPr>
        <a:noFill/>
        <a:ln>
          <a:noFill/>
        </a:ln>
        <a:effectLst/>
      </c:spPr>
    </c:title>
    <c:autoTitleDeleted val="0"/>
    <c:plotArea>
      <c:layout>
        <c:manualLayout>
          <c:layoutTarget val="inner"/>
          <c:xMode val="edge"/>
          <c:yMode val="edge"/>
          <c:x val="6.0867156098241303E-2"/>
          <c:y val="3.5914010816902799E-2"/>
          <c:w val="0.92464009027857097"/>
          <c:h val="0.88030118552040804"/>
        </c:manualLayout>
      </c:layout>
      <c:barChart>
        <c:barDir val="col"/>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0-07AA-4A08-B4E5-EA7273B81490}"/>
              </c:ext>
            </c:extLst>
          </c:dPt>
          <c:dPt>
            <c:idx val="3"/>
            <c:invertIfNegative val="0"/>
            <c:bubble3D val="0"/>
            <c:extLst xmlns:c16r2="http://schemas.microsoft.com/office/drawing/2015/06/chart">
              <c:ext xmlns:c16="http://schemas.microsoft.com/office/drawing/2014/chart" uri="{C3380CC4-5D6E-409C-BE32-E72D297353CC}">
                <c16:uniqueId val="{00000001-07AA-4A08-B4E5-EA7273B81490}"/>
              </c:ext>
            </c:extLst>
          </c:dPt>
          <c:dPt>
            <c:idx val="4"/>
            <c:invertIfNegative val="0"/>
            <c:bubble3D val="0"/>
            <c:extLst xmlns:c16r2="http://schemas.microsoft.com/office/drawing/2015/06/chart">
              <c:ext xmlns:c16="http://schemas.microsoft.com/office/drawing/2014/chart" uri="{C3380CC4-5D6E-409C-BE32-E72D297353CC}">
                <c16:uniqueId val="{00000002-07AA-4A08-B4E5-EA7273B81490}"/>
              </c:ext>
            </c:extLst>
          </c:dPt>
          <c:dPt>
            <c:idx val="13"/>
            <c:invertIfNegative val="0"/>
            <c:bubble3D val="0"/>
            <c:extLst xmlns:c16r2="http://schemas.microsoft.com/office/drawing/2015/06/chart">
              <c:ext xmlns:c16="http://schemas.microsoft.com/office/drawing/2014/chart" uri="{C3380CC4-5D6E-409C-BE32-E72D297353CC}">
                <c16:uniqueId val="{00000003-07AA-4A08-B4E5-EA7273B81490}"/>
              </c:ext>
            </c:extLst>
          </c:dPt>
          <c:dPt>
            <c:idx val="14"/>
            <c:invertIfNegative val="0"/>
            <c:bubble3D val="0"/>
            <c:extLst xmlns:c16r2="http://schemas.microsoft.com/office/drawing/2015/06/chart">
              <c:ext xmlns:c16="http://schemas.microsoft.com/office/drawing/2014/chart" uri="{C3380CC4-5D6E-409C-BE32-E72D297353CC}">
                <c16:uniqueId val="{00000004-07AA-4A08-B4E5-EA7273B81490}"/>
              </c:ext>
            </c:extLst>
          </c:dPt>
          <c:dPt>
            <c:idx val="17"/>
            <c:invertIfNegative val="0"/>
            <c:bubble3D val="0"/>
            <c:extLst xmlns:c16r2="http://schemas.microsoft.com/office/drawing/2015/06/chart">
              <c:ext xmlns:c16="http://schemas.microsoft.com/office/drawing/2014/chart" uri="{C3380CC4-5D6E-409C-BE32-E72D297353CC}">
                <c16:uniqueId val="{00000005-07AA-4A08-B4E5-EA7273B81490}"/>
              </c:ext>
            </c:extLst>
          </c:dPt>
          <c:dLbls>
            <c:dLbl>
              <c:idx val="11"/>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dLbl>
            <c:dLbl>
              <c:idx val="18"/>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BG</c:v>
                </c:pt>
                <c:pt idx="1">
                  <c:v>CY</c:v>
                </c:pt>
                <c:pt idx="2">
                  <c:v>DE</c:v>
                </c:pt>
                <c:pt idx="3">
                  <c:v>DK</c:v>
                </c:pt>
                <c:pt idx="4">
                  <c:v>EE</c:v>
                </c:pt>
                <c:pt idx="5">
                  <c:v>ES</c:v>
                </c:pt>
                <c:pt idx="6">
                  <c:v>FI</c:v>
                </c:pt>
                <c:pt idx="7">
                  <c:v>FR</c:v>
                </c:pt>
                <c:pt idx="8">
                  <c:v>GR</c:v>
                </c:pt>
                <c:pt idx="9">
                  <c:v>HR</c:v>
                </c:pt>
                <c:pt idx="10">
                  <c:v>IE</c:v>
                </c:pt>
                <c:pt idx="11">
                  <c:v>IT</c:v>
                </c:pt>
                <c:pt idx="12">
                  <c:v>LT</c:v>
                </c:pt>
                <c:pt idx="13">
                  <c:v>LV</c:v>
                </c:pt>
                <c:pt idx="14">
                  <c:v>PL</c:v>
                </c:pt>
                <c:pt idx="15">
                  <c:v>PT</c:v>
                </c:pt>
                <c:pt idx="16">
                  <c:v>RO</c:v>
                </c:pt>
                <c:pt idx="17">
                  <c:v>SE</c:v>
                </c:pt>
                <c:pt idx="18">
                  <c:v>SI</c:v>
                </c:pt>
                <c:pt idx="19">
                  <c:v>UK</c:v>
                </c:pt>
              </c:strCache>
            </c:strRef>
          </c:cat>
          <c:val>
            <c:numRef>
              <c:f>Sheet1!$B$2:$B$21</c:f>
              <c:numCache>
                <c:formatCode>General</c:formatCode>
                <c:ptCount val="20"/>
                <c:pt idx="0">
                  <c:v>0</c:v>
                </c:pt>
                <c:pt idx="1">
                  <c:v>0</c:v>
                </c:pt>
                <c:pt idx="2">
                  <c:v>33</c:v>
                </c:pt>
                <c:pt idx="3">
                  <c:v>92</c:v>
                </c:pt>
                <c:pt idx="4">
                  <c:v>299</c:v>
                </c:pt>
                <c:pt idx="5">
                  <c:v>275</c:v>
                </c:pt>
                <c:pt idx="6">
                  <c:v>100</c:v>
                </c:pt>
                <c:pt idx="7">
                  <c:v>24</c:v>
                </c:pt>
                <c:pt idx="8">
                  <c:v>0</c:v>
                </c:pt>
                <c:pt idx="9">
                  <c:v>0</c:v>
                </c:pt>
                <c:pt idx="10">
                  <c:v>190</c:v>
                </c:pt>
                <c:pt idx="11">
                  <c:v>9</c:v>
                </c:pt>
                <c:pt idx="12">
                  <c:v>0</c:v>
                </c:pt>
                <c:pt idx="13">
                  <c:v>82</c:v>
                </c:pt>
                <c:pt idx="14">
                  <c:v>71</c:v>
                </c:pt>
                <c:pt idx="15">
                  <c:v>0</c:v>
                </c:pt>
                <c:pt idx="16">
                  <c:v>0</c:v>
                </c:pt>
                <c:pt idx="17">
                  <c:v>74</c:v>
                </c:pt>
                <c:pt idx="18">
                  <c:v>12</c:v>
                </c:pt>
                <c:pt idx="19">
                  <c:v>56</c:v>
                </c:pt>
              </c:numCache>
            </c:numRef>
          </c:val>
          <c:extLst xmlns:c16r2="http://schemas.microsoft.com/office/drawing/2015/06/chart">
            <c:ext xmlns:c16="http://schemas.microsoft.com/office/drawing/2014/chart" uri="{C3380CC4-5D6E-409C-BE32-E72D297353CC}">
              <c16:uniqueId val="{00000008-07AA-4A08-B4E5-EA7273B81490}"/>
            </c:ext>
          </c:extLst>
        </c:ser>
        <c:dLbls>
          <c:dLblPos val="inEnd"/>
          <c:showLegendKey val="0"/>
          <c:showVal val="1"/>
          <c:showCatName val="0"/>
          <c:showSerName val="0"/>
          <c:showPercent val="0"/>
          <c:showBubbleSize val="0"/>
        </c:dLbls>
        <c:gapWidth val="50"/>
        <c:overlap val="-27"/>
        <c:axId val="695731712"/>
        <c:axId val="698228736"/>
      </c:barChart>
      <c:catAx>
        <c:axId val="6957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98228736"/>
        <c:crosses val="autoZero"/>
        <c:auto val="1"/>
        <c:lblAlgn val="ctr"/>
        <c:lblOffset val="100"/>
        <c:noMultiLvlLbl val="0"/>
      </c:catAx>
      <c:valAx>
        <c:axId val="69822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95731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25618554272797E-2"/>
          <c:y val="4.7048350883850398E-2"/>
          <c:w val="0.91390035086739796"/>
          <c:h val="0.74644372766657197"/>
        </c:manualLayout>
      </c:layout>
      <c:barChart>
        <c:barDir val="col"/>
        <c:grouping val="stacked"/>
        <c:varyColors val="0"/>
        <c:ser>
          <c:idx val="0"/>
          <c:order val="0"/>
          <c:tx>
            <c:strRef>
              <c:f>Sheet1!$B$1</c:f>
              <c:strCache>
                <c:ptCount val="1"/>
                <c:pt idx="0">
                  <c:v>monofund EMFF</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c:v>
                </c:pt>
                <c:pt idx="1">
                  <c:v>IT</c:v>
                </c:pt>
                <c:pt idx="2">
                  <c:v>LT</c:v>
                </c:pt>
                <c:pt idx="3">
                  <c:v>LV</c:v>
                </c:pt>
                <c:pt idx="4">
                  <c:v>PL</c:v>
                </c:pt>
                <c:pt idx="5">
                  <c:v>PT</c:v>
                </c:pt>
                <c:pt idx="6">
                  <c:v>SE</c:v>
                </c:pt>
                <c:pt idx="7">
                  <c:v>SI</c:v>
                </c:pt>
                <c:pt idx="8">
                  <c:v>UK</c:v>
                </c:pt>
              </c:strCache>
            </c:strRef>
          </c:cat>
          <c:val>
            <c:numRef>
              <c:f>Sheet1!$B$2:$B$10</c:f>
              <c:numCache>
                <c:formatCode>General</c:formatCode>
                <c:ptCount val="9"/>
                <c:pt idx="0">
                  <c:v>2</c:v>
                </c:pt>
                <c:pt idx="1">
                  <c:v>46</c:v>
                </c:pt>
                <c:pt idx="2">
                  <c:v>7</c:v>
                </c:pt>
                <c:pt idx="4">
                  <c:v>24</c:v>
                </c:pt>
                <c:pt idx="5">
                  <c:v>3</c:v>
                </c:pt>
                <c:pt idx="6">
                  <c:v>4</c:v>
                </c:pt>
                <c:pt idx="8">
                  <c:v>11</c:v>
                </c:pt>
              </c:numCache>
            </c:numRef>
          </c:val>
          <c:extLst xmlns:c16r2="http://schemas.microsoft.com/office/drawing/2015/06/chart">
            <c:ext xmlns:c16="http://schemas.microsoft.com/office/drawing/2014/chart" uri="{C3380CC4-5D6E-409C-BE32-E72D297353CC}">
              <c16:uniqueId val="{00000000-79F1-4C87-890B-2709256F5648}"/>
            </c:ext>
          </c:extLst>
        </c:ser>
        <c:ser>
          <c:idx val="1"/>
          <c:order val="1"/>
          <c:tx>
            <c:strRef>
              <c:f>Sheet1!$C$1</c:f>
              <c:strCache>
                <c:ptCount val="1"/>
                <c:pt idx="0">
                  <c:v>EMFF+EAFRD</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c:v>
                </c:pt>
                <c:pt idx="1">
                  <c:v>IT</c:v>
                </c:pt>
                <c:pt idx="2">
                  <c:v>LT</c:v>
                </c:pt>
                <c:pt idx="3">
                  <c:v>LV</c:v>
                </c:pt>
                <c:pt idx="4">
                  <c:v>PL</c:v>
                </c:pt>
                <c:pt idx="5">
                  <c:v>PT</c:v>
                </c:pt>
                <c:pt idx="6">
                  <c:v>SE</c:v>
                </c:pt>
                <c:pt idx="7">
                  <c:v>SI</c:v>
                </c:pt>
                <c:pt idx="8">
                  <c:v>UK</c:v>
                </c:pt>
              </c:strCache>
            </c:strRef>
          </c:cat>
          <c:val>
            <c:numRef>
              <c:f>Sheet1!$C$2:$C$10</c:f>
              <c:numCache>
                <c:formatCode>General</c:formatCode>
                <c:ptCount val="9"/>
                <c:pt idx="0">
                  <c:v>31</c:v>
                </c:pt>
                <c:pt idx="1">
                  <c:v>9</c:v>
                </c:pt>
                <c:pt idx="2">
                  <c:v>3</c:v>
                </c:pt>
                <c:pt idx="3">
                  <c:v>6</c:v>
                </c:pt>
                <c:pt idx="4">
                  <c:v>11</c:v>
                </c:pt>
                <c:pt idx="8">
                  <c:v>8</c:v>
                </c:pt>
              </c:numCache>
            </c:numRef>
          </c:val>
          <c:extLst xmlns:c16r2="http://schemas.microsoft.com/office/drawing/2015/06/chart">
            <c:ext xmlns:c16="http://schemas.microsoft.com/office/drawing/2014/chart" uri="{C3380CC4-5D6E-409C-BE32-E72D297353CC}">
              <c16:uniqueId val="{00000001-79F1-4C87-890B-2709256F5648}"/>
            </c:ext>
          </c:extLst>
        </c:ser>
        <c:ser>
          <c:idx val="2"/>
          <c:order val="2"/>
          <c:tx>
            <c:strRef>
              <c:f>Sheet1!$D$1</c:f>
              <c:strCache>
                <c:ptCount val="1"/>
                <c:pt idx="0">
                  <c:v>EMFF+EAFRD+ERDF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c:v>
                </c:pt>
                <c:pt idx="1">
                  <c:v>IT</c:v>
                </c:pt>
                <c:pt idx="2">
                  <c:v>LT</c:v>
                </c:pt>
                <c:pt idx="3">
                  <c:v>LV</c:v>
                </c:pt>
                <c:pt idx="4">
                  <c:v>PL</c:v>
                </c:pt>
                <c:pt idx="5">
                  <c:v>PT</c:v>
                </c:pt>
                <c:pt idx="6">
                  <c:v>SE</c:v>
                </c:pt>
                <c:pt idx="7">
                  <c:v>SI</c:v>
                </c:pt>
                <c:pt idx="8">
                  <c:v>UK</c:v>
                </c:pt>
              </c:strCache>
            </c:strRef>
          </c:cat>
          <c:val>
            <c:numRef>
              <c:f>Sheet1!$D$2:$D$10</c:f>
              <c:numCache>
                <c:formatCode>General</c:formatCode>
                <c:ptCount val="9"/>
                <c:pt idx="6">
                  <c:v>1</c:v>
                </c:pt>
                <c:pt idx="7">
                  <c:v>4</c:v>
                </c:pt>
              </c:numCache>
            </c:numRef>
          </c:val>
          <c:extLst xmlns:c16r2="http://schemas.microsoft.com/office/drawing/2015/06/chart">
            <c:ext xmlns:c16="http://schemas.microsoft.com/office/drawing/2014/chart" uri="{C3380CC4-5D6E-409C-BE32-E72D297353CC}">
              <c16:uniqueId val="{00000002-79F1-4C87-890B-2709256F5648}"/>
            </c:ext>
          </c:extLst>
        </c:ser>
        <c:ser>
          <c:idx val="3"/>
          <c:order val="3"/>
          <c:tx>
            <c:strRef>
              <c:f>Sheet1!$E$1</c:f>
              <c:strCache>
                <c:ptCount val="1"/>
                <c:pt idx="0">
                  <c:v>EMFF+EAFRD+ERDF+ESF</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c:v>
                </c:pt>
                <c:pt idx="1">
                  <c:v>IT</c:v>
                </c:pt>
                <c:pt idx="2">
                  <c:v>LT</c:v>
                </c:pt>
                <c:pt idx="3">
                  <c:v>LV</c:v>
                </c:pt>
                <c:pt idx="4">
                  <c:v>PL</c:v>
                </c:pt>
                <c:pt idx="5">
                  <c:v>PT</c:v>
                </c:pt>
                <c:pt idx="6">
                  <c:v>SE</c:v>
                </c:pt>
                <c:pt idx="7">
                  <c:v>SI</c:v>
                </c:pt>
                <c:pt idx="8">
                  <c:v>UK</c:v>
                </c:pt>
              </c:strCache>
            </c:strRef>
          </c:cat>
          <c:val>
            <c:numRef>
              <c:f>Sheet1!$E$2:$E$10</c:f>
              <c:numCache>
                <c:formatCode>General</c:formatCode>
                <c:ptCount val="9"/>
                <c:pt idx="4">
                  <c:v>1</c:v>
                </c:pt>
                <c:pt idx="5">
                  <c:v>12</c:v>
                </c:pt>
                <c:pt idx="6">
                  <c:v>8</c:v>
                </c:pt>
              </c:numCache>
            </c:numRef>
          </c:val>
          <c:extLst xmlns:c16r2="http://schemas.microsoft.com/office/drawing/2015/06/chart">
            <c:ext xmlns:c16="http://schemas.microsoft.com/office/drawing/2014/chart" uri="{C3380CC4-5D6E-409C-BE32-E72D297353CC}">
              <c16:uniqueId val="{00000003-79F1-4C87-890B-2709256F5648}"/>
            </c:ext>
          </c:extLst>
        </c:ser>
        <c:dLbls>
          <c:dLblPos val="ctr"/>
          <c:showLegendKey val="0"/>
          <c:showVal val="1"/>
          <c:showCatName val="0"/>
          <c:showSerName val="0"/>
          <c:showPercent val="0"/>
          <c:showBubbleSize val="0"/>
        </c:dLbls>
        <c:gapWidth val="100"/>
        <c:overlap val="100"/>
        <c:axId val="97531776"/>
        <c:axId val="97533312"/>
      </c:barChart>
      <c:dateAx>
        <c:axId val="9753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7533312"/>
        <c:crosses val="autoZero"/>
        <c:auto val="0"/>
        <c:lblOffset val="100"/>
        <c:baseTimeUnit val="days"/>
        <c:majorUnit val="1"/>
        <c:minorUnit val="1"/>
      </c:dateAx>
      <c:valAx>
        <c:axId val="9753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7531776"/>
        <c:crosses val="autoZero"/>
        <c:crossBetween val="between"/>
      </c:valAx>
      <c:spPr>
        <a:noFill/>
        <a:ln>
          <a:noFill/>
        </a:ln>
        <a:effectLst/>
      </c:spPr>
    </c:plotArea>
    <c:legend>
      <c:legendPos val="b"/>
      <c:layout>
        <c:manualLayout>
          <c:xMode val="edge"/>
          <c:yMode val="edge"/>
          <c:x val="3.3247084974116797E-2"/>
          <c:y val="0.88149764411978604"/>
          <c:w val="0.92907418812843401"/>
          <c:h val="9.440597033804509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Percentage of the total contribution</c:v>
                </c:pt>
              </c:strCache>
            </c:strRef>
          </c:tx>
          <c:dLbls>
            <c:dLbl>
              <c:idx val="1"/>
              <c:layout>
                <c:manualLayout>
                  <c:x val="-0.17350514573836201"/>
                  <c:y val="-0.1620338983050849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8962-4B3D-B68B-9DE3A1207C57}"/>
                </c:ext>
                <c:ext xmlns:c15="http://schemas.microsoft.com/office/drawing/2012/chart" uri="{CE6537A1-D6FC-4f65-9D91-7224C49458BB}"/>
              </c:extLst>
            </c:dLbl>
            <c:dLbl>
              <c:idx val="3"/>
              <c:layout>
                <c:manualLayout>
                  <c:x val="0.11487386033982599"/>
                  <c:y val="-2.623737710752260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962-4B3D-B68B-9DE3A1207C57}"/>
                </c:ex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UP 1 - Promoting environmentally sustainable, resource efficient, innovative, competitive and knowledge based fisheries</c:v>
                </c:pt>
                <c:pt idx="1">
                  <c:v>UP 2 - Fostering environmentally sustainable, resource efficient, innovative, competitive and knowledge based aquaculture</c:v>
                </c:pt>
                <c:pt idx="2">
                  <c:v>UP 3 - Fostering the implementation of the CFP</c:v>
                </c:pt>
                <c:pt idx="3">
                  <c:v>UP 4 - Increasing employment and territorial cohesion</c:v>
                </c:pt>
                <c:pt idx="4">
                  <c:v>UP 5 - Fostering marketing and processing</c:v>
                </c:pt>
                <c:pt idx="5">
                  <c:v>UP 6 - Fostering the implementation of the Integrated Maritime Policy</c:v>
                </c:pt>
                <c:pt idx="6">
                  <c:v>UP 7 - Technical assistance</c:v>
                </c:pt>
              </c:strCache>
            </c:strRef>
          </c:cat>
          <c:val>
            <c:numRef>
              <c:f>Sheet1!$B$2:$B$8</c:f>
              <c:numCache>
                <c:formatCode>0.00%</c:formatCode>
                <c:ptCount val="7"/>
                <c:pt idx="0" formatCode="0%">
                  <c:v>0.27</c:v>
                </c:pt>
                <c:pt idx="1">
                  <c:v>0.20799999999999999</c:v>
                </c:pt>
                <c:pt idx="2">
                  <c:v>0.191</c:v>
                </c:pt>
                <c:pt idx="3">
                  <c:v>9.0999999999999998E-2</c:v>
                </c:pt>
                <c:pt idx="4">
                  <c:v>0.17599999999999999</c:v>
                </c:pt>
                <c:pt idx="5">
                  <c:v>1.2E-2</c:v>
                </c:pt>
                <c:pt idx="6">
                  <c:v>5.0999999999999997E-2</c:v>
                </c:pt>
              </c:numCache>
            </c:numRef>
          </c:val>
          <c:extLst xmlns:c16r2="http://schemas.microsoft.com/office/drawing/2015/06/chart">
            <c:ext xmlns:c16="http://schemas.microsoft.com/office/drawing/2014/chart" uri="{C3380CC4-5D6E-409C-BE32-E72D297353CC}">
              <c16:uniqueId val="{00000002-8962-4B3D-B68B-9DE3A1207C57}"/>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E5F0F-2F92-4CA4-ACDD-D47B1810D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135</Pages>
  <Words>38638</Words>
  <Characters>217151</Characters>
  <Application>Microsoft Office Word</Application>
  <DocSecurity>0</DocSecurity>
  <Lines>4431</Lines>
  <Paragraphs>1908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253881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2018-04-30T12:49:00Z</cp:lastPrinted>
  <dcterms:created xsi:type="dcterms:W3CDTF">2018-05-24T05:12:00Z</dcterms:created>
  <dcterms:modified xsi:type="dcterms:W3CDTF">2018-06-12T12:09:00Z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DocStatus">
    <vt:lpwstr>Green</vt:lpwstr>
  </property>
</Properties>
</file>