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23" w:rsidRDefault="00B52BB4" w:rsidP="00B52BB4">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52B0F943-5283-463C-948A-49CE4B25993E" style="width:450pt;height:541.5pt">
            <v:imagedata r:id="rId12" o:title=""/>
          </v:shape>
        </w:pict>
      </w:r>
    </w:p>
    <w:bookmarkEnd w:id="0"/>
    <w:p w:rsidR="000F0023" w:rsidRDefault="000F0023" w:rsidP="000F0023">
      <w:pPr>
        <w:sectPr w:rsidR="000F0023" w:rsidSect="00B52BB4">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C069C1" w:rsidRPr="003A3DFF" w:rsidRDefault="00C069C1" w:rsidP="00064D4D">
      <w:pPr>
        <w:pStyle w:val="Heading1"/>
        <w:keepLines w:val="0"/>
        <w:numPr>
          <w:ilvl w:val="0"/>
          <w:numId w:val="1"/>
        </w:numPr>
        <w:spacing w:after="120" w:line="240" w:lineRule="auto"/>
        <w:ind w:left="431" w:hanging="431"/>
        <w:jc w:val="both"/>
        <w:rPr>
          <w:rFonts w:ascii="Times New Roman" w:hAnsi="Times New Roman" w:cs="Times New Roman"/>
          <w:b/>
          <w:color w:val="auto"/>
          <w:sz w:val="24"/>
          <w:szCs w:val="24"/>
        </w:rPr>
      </w:pPr>
      <w:bookmarkStart w:id="1" w:name="_Toc508118448"/>
      <w:bookmarkStart w:id="2" w:name="_Toc508706505"/>
      <w:bookmarkStart w:id="3" w:name="_Toc508716117"/>
      <w:bookmarkStart w:id="4" w:name="_Toc508719254"/>
      <w:bookmarkStart w:id="5" w:name="_Toc508720356"/>
      <w:bookmarkStart w:id="6" w:name="_Toc508720916"/>
      <w:bookmarkStart w:id="7" w:name="_GoBack"/>
      <w:bookmarkEnd w:id="7"/>
      <w:r>
        <w:rPr>
          <w:rFonts w:ascii="Times New Roman" w:hAnsi="Times New Roman"/>
          <w:b/>
          <w:color w:val="auto"/>
          <w:sz w:val="24"/>
        </w:rPr>
        <w:lastRenderedPageBreak/>
        <w:t>INTRODUCTION</w:t>
      </w:r>
      <w:bookmarkEnd w:id="1"/>
      <w:bookmarkEnd w:id="2"/>
      <w:bookmarkEnd w:id="3"/>
      <w:bookmarkEnd w:id="4"/>
      <w:bookmarkEnd w:id="5"/>
      <w:bookmarkEnd w:id="6"/>
    </w:p>
    <w:p w:rsidR="009544EA" w:rsidRPr="009544EA" w:rsidRDefault="000D0B81" w:rsidP="009544EA">
      <w:pPr>
        <w:spacing w:before="120" w:after="120"/>
        <w:jc w:val="both"/>
        <w:rPr>
          <w:rFonts w:ascii="Times New Roman" w:hAnsi="Times New Roman" w:cs="Times New Roman"/>
          <w:sz w:val="24"/>
          <w:szCs w:val="24"/>
        </w:rPr>
      </w:pPr>
      <w:r>
        <w:rPr>
          <w:rFonts w:ascii="Times New Roman" w:hAnsi="Times New Roman"/>
          <w:sz w:val="24"/>
        </w:rPr>
        <w:t>Le cadre financier pluriannuel (CFP) de l’UE pour l’après-</w:t>
      </w:r>
      <w:r w:rsidRPr="00D77C73">
        <w:rPr>
          <w:rFonts w:ascii="Times New Roman" w:hAnsi="Times New Roman"/>
          <w:sz w:val="24"/>
        </w:rPr>
        <w:t>2020</w:t>
      </w:r>
      <w:r>
        <w:rPr>
          <w:rFonts w:ascii="Times New Roman" w:hAnsi="Times New Roman"/>
          <w:sz w:val="24"/>
        </w:rPr>
        <w:t xml:space="preserve"> doit prévoir un budget à long terme pour l’asile, la gestion des migrations, la gestion intégrée des frontières (y compris les équipements de contrôle douanier) et la sécurité intérieure (y compris la lutte contre le terrorisme) et faire en sorte que les ambitions de l’UE dans ces domaines soient soutenues par des financements suffisants. Il s’agit de l’une des conclusions du </w:t>
      </w:r>
      <w:r>
        <w:rPr>
          <w:rFonts w:ascii="Times New Roman" w:hAnsi="Times New Roman"/>
          <w:i/>
          <w:sz w:val="24"/>
        </w:rPr>
        <w:t>Document de réflexion sur l’avenir des finances de l’UE</w:t>
      </w:r>
      <w:r>
        <w:rPr>
          <w:rFonts w:ascii="Times New Roman" w:hAnsi="Times New Roman"/>
          <w:sz w:val="24"/>
          <w:vertAlign w:val="superscript"/>
        </w:rPr>
        <w:footnoteReference w:id="1"/>
      </w:r>
      <w:r>
        <w:rPr>
          <w:rFonts w:ascii="Times New Roman" w:hAnsi="Times New Roman"/>
          <w:sz w:val="24"/>
        </w:rPr>
        <w:t xml:space="preserve">, qui est étayée par les résultats des consultations des parties prenantes. La présente analyse d’impact expose les idées qui sous-tendent les propositions de la Commission relatives à la création de Fonds de l’UE dans les domaines susmentionnés. </w:t>
      </w:r>
    </w:p>
    <w:p w:rsidR="00C069C1" w:rsidRPr="003A3DFF" w:rsidRDefault="00C069C1" w:rsidP="00064D4D">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rPr>
      </w:pPr>
      <w:r>
        <w:rPr>
          <w:rFonts w:ascii="Times New Roman" w:hAnsi="Times New Roman"/>
          <w:b/>
          <w:color w:val="auto"/>
          <w:sz w:val="24"/>
        </w:rPr>
        <w:t>LES DÉFIS</w:t>
      </w:r>
    </w:p>
    <w:p w:rsidR="00501E28" w:rsidRDefault="004E1733" w:rsidP="00064D4D">
      <w:pPr>
        <w:spacing w:after="120"/>
        <w:jc w:val="both"/>
        <w:rPr>
          <w:rFonts w:ascii="Times New Roman" w:hAnsi="Times New Roman" w:cs="Times New Roman"/>
          <w:sz w:val="24"/>
          <w:szCs w:val="24"/>
        </w:rPr>
      </w:pPr>
      <w:r>
        <w:rPr>
          <w:rFonts w:ascii="Times New Roman" w:hAnsi="Times New Roman"/>
          <w:sz w:val="24"/>
        </w:rPr>
        <w:t xml:space="preserve">La crise migratoire de </w:t>
      </w:r>
      <w:r w:rsidRPr="00D77C73">
        <w:rPr>
          <w:rFonts w:ascii="Times New Roman" w:hAnsi="Times New Roman"/>
          <w:sz w:val="24"/>
        </w:rPr>
        <w:t>2015</w:t>
      </w:r>
      <w:r>
        <w:rPr>
          <w:rFonts w:ascii="Times New Roman" w:hAnsi="Times New Roman"/>
          <w:sz w:val="24"/>
        </w:rPr>
        <w:t xml:space="preserve"> a clairement démontré que les États membres doivent agir de concert pour relever les </w:t>
      </w:r>
      <w:r>
        <w:rPr>
          <w:rFonts w:ascii="Times New Roman" w:hAnsi="Times New Roman"/>
          <w:b/>
          <w:sz w:val="24"/>
        </w:rPr>
        <w:t>défis liés à la migration</w:t>
      </w:r>
      <w:r>
        <w:rPr>
          <w:rFonts w:ascii="Times New Roman" w:hAnsi="Times New Roman"/>
          <w:sz w:val="24"/>
        </w:rPr>
        <w:t xml:space="preserve"> de façon efficace et solidaire. L’agenda européen en matière de migration a constitué une réaction globale</w:t>
      </w:r>
      <w:r>
        <w:t xml:space="preserve"> </w:t>
      </w:r>
      <w:r>
        <w:rPr>
          <w:rFonts w:ascii="Times New Roman" w:hAnsi="Times New Roman"/>
          <w:sz w:val="24"/>
        </w:rPr>
        <w:t xml:space="preserve">et sa mise en œuvre et sa gestion s’inscriront dans le rôle que l’Union devra jouer dans les années à venir. Un soutien est nécessaire pour </w:t>
      </w:r>
      <w:r>
        <w:rPr>
          <w:rFonts w:ascii="Times New Roman" w:hAnsi="Times New Roman"/>
          <w:b/>
          <w:sz w:val="24"/>
        </w:rPr>
        <w:t>assurer le contrôle effectif des frontières extérieures de l’Union</w:t>
      </w:r>
      <w:r>
        <w:rPr>
          <w:rFonts w:ascii="Times New Roman" w:hAnsi="Times New Roman"/>
          <w:sz w:val="24"/>
        </w:rPr>
        <w:t xml:space="preserve"> et le bon fonctionnement de l’espace Schengen, et pour prévenir la migration irrégulière, tout en facilitant les déplacements légitimes. Un appui est également indispensable pour </w:t>
      </w:r>
      <w:r>
        <w:rPr>
          <w:rFonts w:ascii="Times New Roman" w:hAnsi="Times New Roman"/>
          <w:b/>
          <w:sz w:val="24"/>
        </w:rPr>
        <w:t>soutenir l’union douanière et les autorités douanières en ce qui concerne les contrôles des marchandises aux frontières extérieures de l’Union</w:t>
      </w:r>
      <w:r>
        <w:rPr>
          <w:rFonts w:ascii="Times New Roman" w:hAnsi="Times New Roman"/>
          <w:sz w:val="24"/>
        </w:rPr>
        <w:t>, pour protéger les intérêts financiers et économiques de l’Union et de ses États membres, pour assurer la sécurité et la sûreté au sein de l’Union et pour protéger l’Union du commerce déloyal et illégal tout en facilitant les activités économiques légitimes.</w:t>
      </w:r>
      <w:r>
        <w:t xml:space="preserve"> </w:t>
      </w:r>
      <w:r>
        <w:rPr>
          <w:rFonts w:ascii="Times New Roman" w:hAnsi="Times New Roman"/>
          <w:b/>
          <w:sz w:val="24"/>
        </w:rPr>
        <w:t>Les menaces pour la sécurité</w:t>
      </w:r>
      <w:r>
        <w:rPr>
          <w:rFonts w:ascii="Times New Roman" w:hAnsi="Times New Roman"/>
          <w:sz w:val="24"/>
        </w:rPr>
        <w:t xml:space="preserve"> dues au terrorisme, à la criminalité organisée et à la cybercriminalité, des phénomènes ayant tous une dimension transfrontière, appellent une réaction globale, telle que définie dans le programme européen en matière de sécurité. Les citoyens européens attendent de l’UE et des gouvernements nationaux qu’ils assurent la sécurité dans un monde incertain en mutation rapide.</w:t>
      </w:r>
    </w:p>
    <w:p w:rsidR="00FD615A" w:rsidRDefault="000E1E7E" w:rsidP="006F13C0">
      <w:pPr>
        <w:spacing w:before="120" w:after="120"/>
        <w:jc w:val="both"/>
        <w:rPr>
          <w:rFonts w:ascii="Times New Roman" w:hAnsi="Times New Roman" w:cs="Times New Roman"/>
          <w:sz w:val="24"/>
          <w:szCs w:val="24"/>
        </w:rPr>
      </w:pPr>
      <w:r>
        <w:rPr>
          <w:rFonts w:ascii="Times New Roman" w:hAnsi="Times New Roman"/>
          <w:sz w:val="24"/>
        </w:rPr>
        <w:t>La mise en place d’une réponse européenne solide et structurelle à ces défis nécessite un soutien financier de l’UE conçu pour offrir le plus haut niveau de valeur ajoutée européenne. Les évaluations montrent que les Fonds existants se sont avérés efficaces mais ont besoin d’améliorations: une plus grande souplesse dans leur mise à disposition et une simplification de celle-ci, une plus grande cohérence et homogénéité avec les autres Fonds de l’Union concernés et des systèmes d’évaluation et de suivi plus complets, axés sur les résultats.</w:t>
      </w:r>
    </w:p>
    <w:p w:rsidR="009514FD" w:rsidRPr="003A3DFF" w:rsidRDefault="007C20DD" w:rsidP="00064D4D">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rPr>
      </w:pPr>
      <w:r>
        <w:rPr>
          <w:rFonts w:ascii="Times New Roman" w:hAnsi="Times New Roman"/>
          <w:b/>
          <w:color w:val="auto"/>
          <w:sz w:val="24"/>
        </w:rPr>
        <w:t>ARCHITECTURE DES FONDS ET OBJECTIFS</w:t>
      </w:r>
    </w:p>
    <w:p w:rsidR="00587562" w:rsidRDefault="00587562" w:rsidP="006F13C0">
      <w:pPr>
        <w:spacing w:before="120" w:after="120"/>
        <w:jc w:val="both"/>
        <w:rPr>
          <w:rFonts w:ascii="Times New Roman" w:hAnsi="Times New Roman" w:cs="Times New Roman"/>
          <w:sz w:val="24"/>
          <w:szCs w:val="24"/>
        </w:rPr>
      </w:pPr>
      <w:r>
        <w:rPr>
          <w:rFonts w:ascii="Times New Roman" w:hAnsi="Times New Roman"/>
          <w:sz w:val="24"/>
        </w:rPr>
        <w:t>Le pôle relatif aux migrations, aux frontières et à la sécurité du futur budget de l’Union sera couvert par quatre instruments relevant de trois Fonds.</w:t>
      </w:r>
    </w:p>
    <w:p w:rsidR="00501E28" w:rsidRDefault="00C3496D" w:rsidP="006F13C0">
      <w:pPr>
        <w:spacing w:before="120" w:after="120"/>
        <w:jc w:val="both"/>
        <w:rPr>
          <w:rFonts w:ascii="Times New Roman" w:hAnsi="Times New Roman" w:cs="Times New Roman"/>
          <w:sz w:val="24"/>
          <w:szCs w:val="24"/>
        </w:rPr>
      </w:pPr>
      <w:r>
        <w:rPr>
          <w:rFonts w:ascii="Times New Roman" w:hAnsi="Times New Roman"/>
          <w:sz w:val="24"/>
        </w:rPr>
        <w:t xml:space="preserve">Le </w:t>
      </w:r>
      <w:r>
        <w:rPr>
          <w:rFonts w:ascii="Times New Roman" w:hAnsi="Times New Roman"/>
          <w:b/>
          <w:sz w:val="24"/>
        </w:rPr>
        <w:t>Fonds «Asile et migration»</w:t>
      </w:r>
      <w:r>
        <w:rPr>
          <w:rFonts w:ascii="Times New Roman" w:hAnsi="Times New Roman"/>
          <w:sz w:val="24"/>
        </w:rPr>
        <w:t xml:space="preserve"> (FAMI) contribuera à la gestion efficace des flux migratoires en renforçant le régime d’asile européen commun, en soutenant la migration légale vers l’Europe et en contribuant à l’intégration effective des ressortissants de pays tiers dans les États membres, tout en améliorant sensiblement les politiques de retour et de réadmission dans les pays tiers et en renforçant la solidarité et le partage des responsabilités entre les États </w:t>
      </w:r>
      <w:r>
        <w:rPr>
          <w:rFonts w:ascii="Times New Roman" w:hAnsi="Times New Roman"/>
          <w:sz w:val="24"/>
        </w:rPr>
        <w:lastRenderedPageBreak/>
        <w:t>membres. Ce Fonds pourra soutenir des actions liées à la migration dans les pays tiers, en totale cohérence et en synergie avec l’action extérieure de l’Union.</w:t>
      </w:r>
    </w:p>
    <w:p w:rsidR="00C3496D" w:rsidRDefault="00C3496D" w:rsidP="006F13C0">
      <w:pPr>
        <w:spacing w:before="120" w:after="120"/>
        <w:jc w:val="both"/>
        <w:rPr>
          <w:rFonts w:ascii="Times New Roman" w:hAnsi="Times New Roman" w:cs="Times New Roman"/>
          <w:sz w:val="24"/>
          <w:szCs w:val="24"/>
        </w:rPr>
      </w:pPr>
      <w:r>
        <w:rPr>
          <w:rFonts w:ascii="Times New Roman" w:hAnsi="Times New Roman"/>
          <w:sz w:val="24"/>
        </w:rPr>
        <w:t xml:space="preserve">Le </w:t>
      </w:r>
      <w:r>
        <w:rPr>
          <w:rFonts w:ascii="Times New Roman" w:hAnsi="Times New Roman"/>
          <w:b/>
          <w:sz w:val="24"/>
        </w:rPr>
        <w:t>Fonds pour la gestion intégrée des frontières</w:t>
      </w:r>
      <w:r>
        <w:rPr>
          <w:rFonts w:ascii="Times New Roman" w:hAnsi="Times New Roman"/>
          <w:sz w:val="24"/>
        </w:rPr>
        <w:t xml:space="preserve"> (FGIF) comprendra deux volets, chacun ayant sa propre dotation budgétaire. Le volet </w:t>
      </w:r>
      <w:r>
        <w:rPr>
          <w:rFonts w:ascii="Times New Roman" w:hAnsi="Times New Roman"/>
          <w:b/>
          <w:sz w:val="24"/>
        </w:rPr>
        <w:t>«Gestion des frontière</w:t>
      </w:r>
      <w:r w:rsidR="00D77C73">
        <w:rPr>
          <w:rFonts w:ascii="Times New Roman" w:hAnsi="Times New Roman"/>
          <w:b/>
          <w:sz w:val="24"/>
        </w:rPr>
        <w:t>s</w:t>
      </w:r>
      <w:r>
        <w:rPr>
          <w:rFonts w:ascii="Times New Roman" w:hAnsi="Times New Roman"/>
          <w:b/>
          <w:sz w:val="24"/>
        </w:rPr>
        <w:t xml:space="preserve"> et visas»</w:t>
      </w:r>
      <w:r>
        <w:rPr>
          <w:rFonts w:ascii="Times New Roman" w:hAnsi="Times New Roman"/>
          <w:sz w:val="24"/>
        </w:rPr>
        <w:t xml:space="preserve"> (IGFV) soutiendra la mise en œuvre de la gestion européenne intégrée des frontières et de la politique commune des visas, en vue de lutter contre la migration irrégulière et de faciliter les déplacements légitimes. Le volet </w:t>
      </w:r>
      <w:r>
        <w:rPr>
          <w:rFonts w:ascii="Times New Roman" w:hAnsi="Times New Roman"/>
          <w:b/>
          <w:sz w:val="24"/>
        </w:rPr>
        <w:t>«Équipements de contrôle douanier»</w:t>
      </w:r>
      <w:r>
        <w:rPr>
          <w:rFonts w:ascii="Times New Roman" w:hAnsi="Times New Roman"/>
          <w:sz w:val="24"/>
        </w:rPr>
        <w:t xml:space="preserve"> (ECD) contribuera à la réalisation de contrôles douaniers adéquats et équivalents, en permettant l’achat d’équipements de contrôle douanier adaptés, modernes et fiables, ainsi que la maintenance et la mise à niveau de ceux-ci.</w:t>
      </w:r>
    </w:p>
    <w:p w:rsidR="00501E28" w:rsidRPr="00501E28" w:rsidRDefault="009F3F1D" w:rsidP="006F13C0">
      <w:pPr>
        <w:spacing w:before="120" w:after="120"/>
        <w:jc w:val="both"/>
        <w:rPr>
          <w:rFonts w:ascii="Times New Roman" w:hAnsi="Times New Roman" w:cs="Times New Roman"/>
          <w:b/>
          <w:sz w:val="24"/>
          <w:szCs w:val="24"/>
        </w:rPr>
      </w:pPr>
      <w:r>
        <w:rPr>
          <w:rFonts w:ascii="Times New Roman" w:hAnsi="Times New Roman"/>
          <w:sz w:val="24"/>
        </w:rPr>
        <w:t xml:space="preserve">Le </w:t>
      </w:r>
      <w:r>
        <w:rPr>
          <w:rFonts w:ascii="Times New Roman" w:hAnsi="Times New Roman"/>
          <w:b/>
          <w:sz w:val="24"/>
        </w:rPr>
        <w:t>Fonds pour la sécurité intérieure</w:t>
      </w:r>
      <w:r>
        <w:rPr>
          <w:rFonts w:ascii="Times New Roman" w:hAnsi="Times New Roman"/>
          <w:sz w:val="24"/>
        </w:rPr>
        <w:t xml:space="preserve"> (FSI) contribuera à garantir un niveau de sécurité élevé dans l’Union en s’attaquant au terrorisme et à la radicalisation, au crime organisé et à la cybercriminalité et en aidant et en protégeant les victimes de la criminalité. </w:t>
      </w:r>
    </w:p>
    <w:p w:rsidR="00706F74" w:rsidRPr="003A3DFF" w:rsidRDefault="009F3F1D">
      <w:pPr>
        <w:spacing w:before="120" w:after="120"/>
        <w:rPr>
          <w:rFonts w:ascii="Times New Roman" w:hAnsi="Times New Roman" w:cs="Times New Roman"/>
          <w:b/>
          <w:i/>
          <w:sz w:val="24"/>
          <w:szCs w:val="24"/>
        </w:rPr>
      </w:pPr>
      <w:r>
        <w:rPr>
          <w:rFonts w:ascii="Times New Roman" w:hAnsi="Times New Roman"/>
          <w:b/>
          <w:i/>
          <w:sz w:val="24"/>
        </w:rPr>
        <w:t>Synergies avec d’autres instruments de financement de l’UE</w:t>
      </w:r>
    </w:p>
    <w:p w:rsidR="00D43A1A" w:rsidRDefault="006F2E19" w:rsidP="006F13C0">
      <w:pPr>
        <w:pStyle w:val="Default"/>
        <w:spacing w:before="120" w:after="120" w:line="276" w:lineRule="auto"/>
        <w:ind w:right="244"/>
        <w:jc w:val="both"/>
        <w:rPr>
          <w:rFonts w:ascii="Times New Roman" w:eastAsia="MyriadPro-Light" w:hAnsi="Times New Roman" w:cs="Times New Roman"/>
          <w:color w:val="auto"/>
        </w:rPr>
      </w:pPr>
      <w:r>
        <w:rPr>
          <w:rFonts w:ascii="Times New Roman" w:hAnsi="Times New Roman"/>
          <w:color w:val="auto"/>
        </w:rPr>
        <w:t>Outre les synergies entre ces quatre instruments, d’autres synergies seront établies entre le FAMI et les successeurs des Fonds structurels et d’investissement européens, en ce qui concerne l’</w:t>
      </w:r>
      <w:r>
        <w:rPr>
          <w:rFonts w:ascii="Times New Roman" w:hAnsi="Times New Roman"/>
          <w:b/>
          <w:color w:val="auto"/>
        </w:rPr>
        <w:t>intégration</w:t>
      </w:r>
      <w:r>
        <w:rPr>
          <w:rFonts w:ascii="Times New Roman" w:hAnsi="Times New Roman"/>
          <w:color w:val="auto"/>
        </w:rPr>
        <w:t xml:space="preserve"> des ressortissants de pays tiers et la construction et l’entretien d’infrastructures d’accueil, ainsi qu’avec l’</w:t>
      </w:r>
      <w:r>
        <w:rPr>
          <w:rFonts w:ascii="Times New Roman" w:hAnsi="Times New Roman"/>
          <w:b/>
          <w:color w:val="auto"/>
        </w:rPr>
        <w:t>instrument de financement extérieur</w:t>
      </w:r>
      <w:r>
        <w:rPr>
          <w:rFonts w:ascii="Times New Roman" w:hAnsi="Times New Roman"/>
          <w:color w:val="auto"/>
        </w:rPr>
        <w:t xml:space="preserve">, qui </w:t>
      </w:r>
      <w:r>
        <w:rPr>
          <w:rFonts w:ascii="Times New Roman" w:hAnsi="Times New Roman"/>
          <w:b/>
          <w:color w:val="auto"/>
        </w:rPr>
        <w:t>seront fortement axés sur la migration</w:t>
      </w:r>
      <w:r>
        <w:rPr>
          <w:rFonts w:ascii="Times New Roman" w:hAnsi="Times New Roman"/>
          <w:color w:val="auto"/>
        </w:rPr>
        <w:t>.</w:t>
      </w:r>
      <w:r w:rsidRPr="002C385E">
        <w:rPr>
          <w:rFonts w:ascii="Times New Roman" w:hAnsi="Times New Roman"/>
          <w:color w:val="auto"/>
        </w:rPr>
        <w:t xml:space="preserve"> </w:t>
      </w:r>
      <w:r>
        <w:rPr>
          <w:rFonts w:ascii="Times New Roman" w:hAnsi="Times New Roman"/>
          <w:color w:val="auto"/>
        </w:rPr>
        <w:t xml:space="preserve">Dans ce contexte, les actions s’attaquant aux causes profondes de la migration et favorisant la réintégration durable dans les pays d’origine seront soigneusement calibrées. </w:t>
      </w:r>
    </w:p>
    <w:p w:rsidR="00706F74" w:rsidRPr="004657D9" w:rsidRDefault="00706F74" w:rsidP="006F13C0">
      <w:pPr>
        <w:pStyle w:val="Default"/>
        <w:spacing w:before="120" w:after="120" w:line="276" w:lineRule="auto"/>
        <w:ind w:right="244"/>
        <w:jc w:val="both"/>
        <w:rPr>
          <w:rFonts w:ascii="Times New Roman" w:eastAsia="MyriadPro-Light" w:hAnsi="Times New Roman" w:cs="Times New Roman"/>
          <w:b/>
          <w:color w:val="auto"/>
        </w:rPr>
      </w:pPr>
      <w:r>
        <w:rPr>
          <w:rFonts w:ascii="Times New Roman" w:hAnsi="Times New Roman"/>
          <w:color w:val="auto"/>
        </w:rPr>
        <w:t xml:space="preserve">En ce qui concerne l’IGFV et le FSI, des synergies avec d’autres instruments seront établies dans les domaines concernant </w:t>
      </w:r>
      <w:r>
        <w:rPr>
          <w:rFonts w:ascii="Times New Roman" w:hAnsi="Times New Roman"/>
          <w:b/>
        </w:rPr>
        <w:t>la sécurité et la surveillance maritimes</w:t>
      </w:r>
      <w:r>
        <w:rPr>
          <w:rFonts w:ascii="Times New Roman" w:hAnsi="Times New Roman"/>
        </w:rPr>
        <w:t xml:space="preserve">, la recherche en matière de sécurité, </w:t>
      </w:r>
      <w:r>
        <w:rPr>
          <w:rFonts w:ascii="Times New Roman" w:hAnsi="Times New Roman"/>
          <w:b/>
        </w:rPr>
        <w:t>la sécurité des infrastructures et des espaces publics, la cybersécurité, la prévention de la radicalisation</w:t>
      </w:r>
      <w:r>
        <w:rPr>
          <w:rFonts w:ascii="Times New Roman" w:hAnsi="Times New Roman"/>
        </w:rPr>
        <w:t xml:space="preserve">, et avec les instruments de financement de l’UE soutenant la </w:t>
      </w:r>
      <w:r>
        <w:rPr>
          <w:rFonts w:ascii="Times New Roman" w:hAnsi="Times New Roman"/>
          <w:b/>
        </w:rPr>
        <w:t>dimension extérieure de la gestion des frontières et de la sécurité</w:t>
      </w:r>
      <w:r>
        <w:rPr>
          <w:rFonts w:ascii="Times New Roman" w:hAnsi="Times New Roman"/>
        </w:rPr>
        <w:t xml:space="preserve">. En ce qui concerne les ECD, des synergies seront mises en place, notamment avec le </w:t>
      </w:r>
      <w:r>
        <w:rPr>
          <w:rFonts w:ascii="Times New Roman" w:hAnsi="Times New Roman"/>
          <w:b/>
        </w:rPr>
        <w:t>programme «Douane»</w:t>
      </w:r>
      <w:r>
        <w:rPr>
          <w:rFonts w:ascii="Times New Roman" w:hAnsi="Times New Roman"/>
        </w:rPr>
        <w:t>.</w:t>
      </w:r>
      <w:r>
        <w:rPr>
          <w:rFonts w:ascii="Times New Roman" w:hAnsi="Times New Roman"/>
          <w:b/>
          <w:color w:val="auto"/>
        </w:rPr>
        <w:t xml:space="preserve"> </w:t>
      </w:r>
    </w:p>
    <w:p w:rsidR="00D528E2" w:rsidRPr="003A3DFF" w:rsidRDefault="00D528E2" w:rsidP="00064D4D">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rPr>
      </w:pPr>
      <w:r>
        <w:rPr>
          <w:rFonts w:ascii="Times New Roman" w:hAnsi="Times New Roman"/>
          <w:b/>
          <w:color w:val="auto"/>
          <w:sz w:val="24"/>
        </w:rPr>
        <w:t>MÉCANISMES DE MISE À DISPOSITION DES FINANCEMENTS PRÉVUS</w:t>
      </w:r>
    </w:p>
    <w:p w:rsidR="00AC3E34" w:rsidRDefault="00F2102D" w:rsidP="00387E5A">
      <w:pPr>
        <w:spacing w:before="120" w:after="120"/>
        <w:jc w:val="both"/>
        <w:rPr>
          <w:rFonts w:ascii="Times New Roman" w:hAnsi="Times New Roman" w:cs="Times New Roman"/>
          <w:b/>
          <w:sz w:val="24"/>
          <w:szCs w:val="24"/>
        </w:rPr>
      </w:pPr>
      <w:r>
        <w:rPr>
          <w:rFonts w:ascii="Times New Roman" w:hAnsi="Times New Roman"/>
          <w:sz w:val="24"/>
        </w:rPr>
        <w:t xml:space="preserve">Le FAMI, l’IGFV et le FSI seront mis en œuvre essentiellement en </w:t>
      </w:r>
      <w:r>
        <w:rPr>
          <w:rFonts w:ascii="Times New Roman" w:hAnsi="Times New Roman"/>
          <w:b/>
          <w:sz w:val="24"/>
        </w:rPr>
        <w:t>gestion partagée</w:t>
      </w:r>
      <w:r>
        <w:rPr>
          <w:rFonts w:ascii="Times New Roman" w:hAnsi="Times New Roman"/>
          <w:sz w:val="24"/>
        </w:rPr>
        <w:t xml:space="preserve">, par les États membres et la Commission, ce qui garantira que les priorités de l’Union seront soutenues dans tous les États participants et permettra une prévisibilité en matière de financement. Cette gestion partagée sera complétée d’une </w:t>
      </w:r>
      <w:r>
        <w:rPr>
          <w:rFonts w:ascii="Times New Roman" w:hAnsi="Times New Roman"/>
          <w:b/>
          <w:sz w:val="24"/>
        </w:rPr>
        <w:t xml:space="preserve">gestion directe </w:t>
      </w:r>
      <w:r>
        <w:rPr>
          <w:rFonts w:ascii="Times New Roman" w:hAnsi="Times New Roman"/>
          <w:sz w:val="24"/>
        </w:rPr>
        <w:t>et, dans une mesure limitée, d’une gestion indirecte.</w:t>
      </w:r>
      <w:r>
        <w:rPr>
          <w:rFonts w:ascii="Times New Roman" w:hAnsi="Times New Roman"/>
          <w:b/>
          <w:sz w:val="24"/>
        </w:rPr>
        <w:t xml:space="preserve"> </w:t>
      </w:r>
      <w:r>
        <w:rPr>
          <w:rFonts w:ascii="Times New Roman" w:hAnsi="Times New Roman"/>
          <w:sz w:val="24"/>
        </w:rPr>
        <w:t xml:space="preserve">Le volet ECD sera mis en œuvre en </w:t>
      </w:r>
      <w:r>
        <w:rPr>
          <w:rFonts w:ascii="Times New Roman" w:hAnsi="Times New Roman"/>
          <w:b/>
          <w:sz w:val="24"/>
        </w:rPr>
        <w:t>gestion directe</w:t>
      </w:r>
      <w:r>
        <w:rPr>
          <w:rFonts w:ascii="Times New Roman" w:hAnsi="Times New Roman"/>
          <w:sz w:val="24"/>
        </w:rPr>
        <w:t>, principalement sous la forme de subventions.</w:t>
      </w:r>
    </w:p>
    <w:p w:rsidR="00940207" w:rsidRPr="007B23C0" w:rsidRDefault="007B23C0" w:rsidP="00387E5A">
      <w:pPr>
        <w:spacing w:before="120" w:after="120"/>
        <w:jc w:val="both"/>
        <w:rPr>
          <w:rFonts w:ascii="Times New Roman" w:hAnsi="Times New Roman" w:cs="Times New Roman"/>
          <w:sz w:val="24"/>
          <w:szCs w:val="24"/>
        </w:rPr>
      </w:pPr>
      <w:r>
        <w:rPr>
          <w:rFonts w:ascii="Times New Roman" w:hAnsi="Times New Roman"/>
          <w:sz w:val="24"/>
        </w:rPr>
        <w:t xml:space="preserve">Comme les défis dans le domaine de la migration et de la sécurité évoluent constamment, la </w:t>
      </w:r>
      <w:r>
        <w:rPr>
          <w:rFonts w:ascii="Times New Roman" w:hAnsi="Times New Roman"/>
          <w:b/>
          <w:sz w:val="24"/>
        </w:rPr>
        <w:t>flexibilité</w:t>
      </w:r>
      <w:r>
        <w:rPr>
          <w:rFonts w:ascii="Times New Roman" w:hAnsi="Times New Roman"/>
          <w:sz w:val="24"/>
        </w:rPr>
        <w:t xml:space="preserve"> sera un élément clé de ces nouveaux Fonds. De nouveaux mécanismes, tels que le mécanisme thématique et un examen à mi-parcours (ajustement technique et examen des performances), permettront d’adapter l’allocation des ressources aux variations des flux migratoires, aux pressions aux frontières et aux menaces pour la sécurité, et d’orienter les fonds vers les priorités de l’UE offrant la plus grande valeur ajoutée. En outre, la gestion de </w:t>
      </w:r>
      <w:r>
        <w:rPr>
          <w:rFonts w:ascii="Times New Roman" w:hAnsi="Times New Roman"/>
          <w:sz w:val="24"/>
        </w:rPr>
        <w:lastRenderedPageBreak/>
        <w:t xml:space="preserve">ces fonds sera </w:t>
      </w:r>
      <w:r>
        <w:rPr>
          <w:rFonts w:ascii="Times New Roman" w:hAnsi="Times New Roman"/>
          <w:b/>
          <w:sz w:val="24"/>
        </w:rPr>
        <w:t>simplifiée</w:t>
      </w:r>
      <w:r>
        <w:rPr>
          <w:rFonts w:ascii="Times New Roman" w:hAnsi="Times New Roman"/>
          <w:sz w:val="24"/>
        </w:rPr>
        <w:t xml:space="preserve"> grâce au renforcement de la cohérence avec les règles applicables à la gestion partagée et directe («corpus réglementaire unique»). </w:t>
      </w:r>
    </w:p>
    <w:p w:rsidR="00942A16" w:rsidRPr="003A3DFF" w:rsidRDefault="00D528E2" w:rsidP="00064D4D">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rPr>
      </w:pPr>
      <w:r>
        <w:rPr>
          <w:rFonts w:ascii="Times New Roman" w:hAnsi="Times New Roman"/>
          <w:b/>
          <w:color w:val="auto"/>
          <w:sz w:val="24"/>
        </w:rPr>
        <w:t>COMMENT LA PERFORMANCE SERA-T-ELLE SUIVIE ET</w:t>
      </w:r>
      <w:r w:rsidR="00316298">
        <w:rPr>
          <w:rFonts w:ascii="Times New Roman" w:hAnsi="Times New Roman"/>
          <w:b/>
          <w:color w:val="auto"/>
          <w:sz w:val="24"/>
        </w:rPr>
        <w:t xml:space="preserve"> </w:t>
      </w:r>
      <w:r>
        <w:rPr>
          <w:rFonts w:ascii="Times New Roman" w:hAnsi="Times New Roman"/>
          <w:b/>
          <w:color w:val="auto"/>
          <w:sz w:val="24"/>
        </w:rPr>
        <w:t>ÉVALUÉE?</w:t>
      </w:r>
    </w:p>
    <w:p w:rsidR="00501E28" w:rsidRPr="00501E28" w:rsidRDefault="00940207" w:rsidP="00064D4D">
      <w:pPr>
        <w:autoSpaceDE w:val="0"/>
        <w:autoSpaceDN w:val="0"/>
        <w:adjustRightInd w:val="0"/>
        <w:spacing w:before="120" w:after="120"/>
        <w:contextualSpacing/>
        <w:jc w:val="both"/>
        <w:rPr>
          <w:rFonts w:ascii="Times New Roman" w:hAnsi="Times New Roman" w:cs="Times New Roman"/>
          <w:b/>
          <w:sz w:val="24"/>
          <w:szCs w:val="24"/>
        </w:rPr>
      </w:pPr>
      <w:r>
        <w:rPr>
          <w:rFonts w:ascii="Times New Roman" w:hAnsi="Times New Roman"/>
          <w:sz w:val="24"/>
        </w:rPr>
        <w:t>Le cadre de suivi et d’évaluation sera amélioré afin d’encourager la réalisation des performances en temps voulu et de faire en sorte que les évaluations puissent apporter une contribution effective aux éventuelles révisions futures des interventions. À cet effet, les indicateurs seront améliorés, la coopération avec les partenaires concernés sera resserrée et un mécanisme encourageant la performance sera mis en place.</w:t>
      </w:r>
      <w:r>
        <w:rPr>
          <w:rFonts w:ascii="EC Square Sans Cond Pro" w:hAnsi="EC Square Sans Cond Pro"/>
          <w:sz w:val="24"/>
        </w:rPr>
        <w:t xml:space="preserve"> </w:t>
      </w:r>
    </w:p>
    <w:sectPr w:rsidR="00501E28" w:rsidRPr="00501E28" w:rsidSect="000F0023">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69" w:rsidRDefault="00781369" w:rsidP="000F0023">
      <w:pPr>
        <w:spacing w:after="0" w:line="240" w:lineRule="auto"/>
      </w:pPr>
      <w:r>
        <w:separator/>
      </w:r>
    </w:p>
  </w:endnote>
  <w:endnote w:type="continuationSeparator" w:id="0">
    <w:p w:rsidR="00781369" w:rsidRDefault="00781369" w:rsidP="000F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EC Square Sans Cond Pro">
    <w:panose1 w:val="020B0506040000020004"/>
    <w:charset w:val="00"/>
    <w:family w:val="swiss"/>
    <w:pitch w:val="variable"/>
    <w:sig w:usb0="A00002BF" w:usb1="500000D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FooterCoverPage"/>
      <w:rPr>
        <w:rFonts w:ascii="Arial" w:hAnsi="Arial" w:cs="Arial"/>
        <w:b/>
        <w:sz w:val="48"/>
      </w:rPr>
    </w:pPr>
    <w:r w:rsidRPr="00B52BB4">
      <w:rPr>
        <w:rFonts w:ascii="Arial" w:hAnsi="Arial" w:cs="Arial"/>
        <w:b/>
        <w:sz w:val="48"/>
      </w:rPr>
      <w:t>FR</w:t>
    </w:r>
    <w:r w:rsidRPr="00B52BB4">
      <w:rPr>
        <w:rFonts w:ascii="Arial" w:hAnsi="Arial" w:cs="Arial"/>
        <w:b/>
        <w:sz w:val="48"/>
      </w:rPr>
      <w:tab/>
    </w:r>
    <w:r w:rsidRPr="00B52BB4">
      <w:rPr>
        <w:rFonts w:ascii="Arial" w:hAnsi="Arial" w:cs="Arial"/>
        <w:b/>
        <w:sz w:val="48"/>
      </w:rPr>
      <w:tab/>
    </w:r>
    <w:r w:rsidRPr="00B52BB4">
      <w:tab/>
    </w:r>
    <w:r w:rsidRPr="00B52BB4">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3" w:rsidRDefault="000F00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74749"/>
      <w:docPartObj>
        <w:docPartGallery w:val="Page Numbers (Bottom of Page)"/>
        <w:docPartUnique/>
      </w:docPartObj>
    </w:sdtPr>
    <w:sdtEndPr>
      <w:rPr>
        <w:rFonts w:ascii="Times New Roman" w:hAnsi="Times New Roman" w:cs="Times New Roman"/>
        <w:noProof/>
      </w:rPr>
    </w:sdtEndPr>
    <w:sdtContent>
      <w:p w:rsidR="004E1733" w:rsidRPr="004E1733" w:rsidRDefault="004E1733">
        <w:pPr>
          <w:pStyle w:val="Footer"/>
          <w:jc w:val="center"/>
          <w:rPr>
            <w:rFonts w:ascii="Times New Roman" w:hAnsi="Times New Roman" w:cs="Times New Roman"/>
          </w:rPr>
        </w:pPr>
        <w:r w:rsidRPr="004E1733">
          <w:rPr>
            <w:rFonts w:ascii="Times New Roman" w:hAnsi="Times New Roman" w:cs="Times New Roman"/>
          </w:rPr>
          <w:fldChar w:fldCharType="begin"/>
        </w:r>
        <w:r w:rsidRPr="004E1733">
          <w:rPr>
            <w:rFonts w:ascii="Times New Roman" w:hAnsi="Times New Roman" w:cs="Times New Roman"/>
          </w:rPr>
          <w:instrText xml:space="preserve"> PAGE   \* MERGEFORMAT </w:instrText>
        </w:r>
        <w:r w:rsidRPr="004E1733">
          <w:rPr>
            <w:rFonts w:ascii="Times New Roman" w:hAnsi="Times New Roman" w:cs="Times New Roman"/>
          </w:rPr>
          <w:fldChar w:fldCharType="separate"/>
        </w:r>
        <w:r w:rsidR="00B52BB4">
          <w:rPr>
            <w:rFonts w:ascii="Times New Roman" w:hAnsi="Times New Roman" w:cs="Times New Roman"/>
            <w:noProof/>
          </w:rPr>
          <w:t>3</w:t>
        </w:r>
        <w:r w:rsidRPr="004E1733">
          <w:rPr>
            <w:rFonts w:ascii="Times New Roman" w:hAnsi="Times New Roman" w:cs="Times New Roman"/>
            <w:noProof/>
          </w:rPr>
          <w:fldChar w:fldCharType="end"/>
        </w:r>
      </w:p>
    </w:sdtContent>
  </w:sdt>
  <w:p w:rsidR="000F0023" w:rsidRDefault="000F00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3" w:rsidRDefault="000F0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69" w:rsidRDefault="00781369" w:rsidP="000F0023">
      <w:pPr>
        <w:spacing w:after="0" w:line="240" w:lineRule="auto"/>
      </w:pPr>
      <w:r>
        <w:separator/>
      </w:r>
    </w:p>
  </w:footnote>
  <w:footnote w:type="continuationSeparator" w:id="0">
    <w:p w:rsidR="00781369" w:rsidRDefault="00781369" w:rsidP="000F0023">
      <w:pPr>
        <w:spacing w:after="0" w:line="240" w:lineRule="auto"/>
      </w:pPr>
      <w:r>
        <w:continuationSeparator/>
      </w:r>
    </w:p>
  </w:footnote>
  <w:footnote w:id="1">
    <w:p w:rsidR="000D0B81" w:rsidRPr="004E1733" w:rsidRDefault="000D0B81" w:rsidP="000D0B81">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https://ec.europa.eu/commission/publications/reflection-paper-future-eu-finances_fr</w:t>
        </w:r>
      </w:hyperlink>
      <w:r>
        <w:rPr>
          <w:rStyle w:val="Hyperlink"/>
          <w:rFonts w:ascii="Times New Roman" w:hAnsi="Times New Roman"/>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BB4" w:rsidRPr="00B52BB4" w:rsidRDefault="00B52BB4" w:rsidP="00B52BB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3" w:rsidRDefault="000F00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3" w:rsidRDefault="000F00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23" w:rsidRDefault="000F0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6D0C"/>
    <w:multiLevelType w:val="hybridMultilevel"/>
    <w:tmpl w:val="5BA2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280CD0"/>
    <w:multiLevelType w:val="hybridMultilevel"/>
    <w:tmpl w:val="8A9C0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4C5D38"/>
    <w:multiLevelType w:val="hybridMultilevel"/>
    <w:tmpl w:val="D56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644BB4"/>
    <w:multiLevelType w:val="hybridMultilevel"/>
    <w:tmpl w:val="D848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DD7462"/>
    <w:multiLevelType w:val="hybridMultilevel"/>
    <w:tmpl w:val="42B6C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A96059"/>
    <w:multiLevelType w:val="multilevel"/>
    <w:tmpl w:val="3C72659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52B0F943-5283-463C-948A-49CE4B25993E"/>
    <w:docVar w:name="LW_COVERPAGE_TYPE" w:val="1"/>
    <w:docVar w:name="LW_CROSSREFERENCE" w:val="{COM(2018) 471}_x000a_{COM(2018) 472}_x000a_{COM(2018) 473}_x000a_{COM(2018) 474}_x000a_{SWD(2018) 347}_x000a_{SEC(2018) 315}"/>
    <w:docVar w:name="LW_DocType" w:val="NORMAL"/>
    <w:docVar w:name="LW_EMISSION" w:val="12.6.2018"/>
    <w:docVar w:name="LW_EMISSION_ISODATE" w:val="2018-06-12"/>
    <w:docVar w:name="LW_EMISSION_LOCATION" w:val="BRX"/>
    <w:docVar w:name="LW_EMISSION_PREFIX" w:val="Strasbourg, le"/>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lt;UNUSED&gt;"/>
    <w:docVar w:name="LW_PART_NBR" w:val="1"/>
    <w:docVar w:name="LW_PART_NBR_TOTAL" w:val="1"/>
    <w:docVar w:name="LW_REF.INST.NEW" w:val="SWD"/>
    <w:docVar w:name="LW_REF.INST.NEW_ADOPTED" w:val="&lt;EMPTY&gt;"/>
    <w:docVar w:name="LW_REF.INST.NEW_TEXT" w:val="(2018) 348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 de règlement du Parlement européen et du Conseil établissant le Fonds «Asile et migration»_x000b__x000b_Proposition de règlement du Parlement européen et du Conseil établissant le Fonds pour la sécurité intérieure_x000b__x000b_Proposition de règlement du Parlement européen et du Conseil établissant, dans le cadre du Fonds pour la gestion intégrée des frontières, l'instrument de soutien financier dans le domaine de la gestion des frontières et des visas_x000b__x000b_Proposition de règlement du Parlement européen et du Conseil portant création, dans le cadre du Fonds pour la gestion intégrée des frontières, de l\u8217?instrument de soutien financier relatif aux équipements de contrôle douanier_x000b_"/>
  </w:docVars>
  <w:rsids>
    <w:rsidRoot w:val="000F0023"/>
    <w:rsid w:val="00004FE3"/>
    <w:rsid w:val="000162B8"/>
    <w:rsid w:val="00032EEF"/>
    <w:rsid w:val="00034653"/>
    <w:rsid w:val="00064D4D"/>
    <w:rsid w:val="00073D04"/>
    <w:rsid w:val="00096A12"/>
    <w:rsid w:val="000A22A2"/>
    <w:rsid w:val="000D0B81"/>
    <w:rsid w:val="000D0DE9"/>
    <w:rsid w:val="000E1E7E"/>
    <w:rsid w:val="000F0023"/>
    <w:rsid w:val="00102DEC"/>
    <w:rsid w:val="001A0034"/>
    <w:rsid w:val="001E471F"/>
    <w:rsid w:val="001F49FA"/>
    <w:rsid w:val="00201CCD"/>
    <w:rsid w:val="00202E7E"/>
    <w:rsid w:val="00212543"/>
    <w:rsid w:val="0026594D"/>
    <w:rsid w:val="00294768"/>
    <w:rsid w:val="002C385E"/>
    <w:rsid w:val="0031147F"/>
    <w:rsid w:val="00316298"/>
    <w:rsid w:val="00334BAB"/>
    <w:rsid w:val="003670A5"/>
    <w:rsid w:val="00387E5A"/>
    <w:rsid w:val="003A3DFF"/>
    <w:rsid w:val="003F369A"/>
    <w:rsid w:val="004236E2"/>
    <w:rsid w:val="00461C22"/>
    <w:rsid w:val="004657D9"/>
    <w:rsid w:val="004B16F7"/>
    <w:rsid w:val="004E1733"/>
    <w:rsid w:val="00501E28"/>
    <w:rsid w:val="005041B4"/>
    <w:rsid w:val="00512188"/>
    <w:rsid w:val="0055798F"/>
    <w:rsid w:val="00561874"/>
    <w:rsid w:val="005625C6"/>
    <w:rsid w:val="005639C4"/>
    <w:rsid w:val="00587562"/>
    <w:rsid w:val="00591DAC"/>
    <w:rsid w:val="005A046E"/>
    <w:rsid w:val="005D2B72"/>
    <w:rsid w:val="005E1D7F"/>
    <w:rsid w:val="005F3EB7"/>
    <w:rsid w:val="006068F8"/>
    <w:rsid w:val="00642D1A"/>
    <w:rsid w:val="006756E2"/>
    <w:rsid w:val="00681F8D"/>
    <w:rsid w:val="006E7F3C"/>
    <w:rsid w:val="006F13C0"/>
    <w:rsid w:val="006F2E19"/>
    <w:rsid w:val="00706F74"/>
    <w:rsid w:val="00742109"/>
    <w:rsid w:val="007447A4"/>
    <w:rsid w:val="00745442"/>
    <w:rsid w:val="00781369"/>
    <w:rsid w:val="007B23C0"/>
    <w:rsid w:val="007C20DD"/>
    <w:rsid w:val="007D1058"/>
    <w:rsid w:val="007E3F84"/>
    <w:rsid w:val="007F7559"/>
    <w:rsid w:val="008109B2"/>
    <w:rsid w:val="0082273A"/>
    <w:rsid w:val="00830656"/>
    <w:rsid w:val="00843B03"/>
    <w:rsid w:val="0087599F"/>
    <w:rsid w:val="00894B44"/>
    <w:rsid w:val="008A29BC"/>
    <w:rsid w:val="008D22FA"/>
    <w:rsid w:val="008D773B"/>
    <w:rsid w:val="008E6A49"/>
    <w:rsid w:val="008F052B"/>
    <w:rsid w:val="00940207"/>
    <w:rsid w:val="00941C0D"/>
    <w:rsid w:val="00942A16"/>
    <w:rsid w:val="009514FD"/>
    <w:rsid w:val="00951A09"/>
    <w:rsid w:val="009544EA"/>
    <w:rsid w:val="0096512C"/>
    <w:rsid w:val="00974453"/>
    <w:rsid w:val="009C244D"/>
    <w:rsid w:val="009E11B4"/>
    <w:rsid w:val="009E168B"/>
    <w:rsid w:val="009F3F1D"/>
    <w:rsid w:val="00A12A87"/>
    <w:rsid w:val="00A502A2"/>
    <w:rsid w:val="00A75C2E"/>
    <w:rsid w:val="00A85DD7"/>
    <w:rsid w:val="00AC3E34"/>
    <w:rsid w:val="00AC7397"/>
    <w:rsid w:val="00AC746B"/>
    <w:rsid w:val="00AC7FB0"/>
    <w:rsid w:val="00AD2158"/>
    <w:rsid w:val="00B43790"/>
    <w:rsid w:val="00B52BB4"/>
    <w:rsid w:val="00B57B88"/>
    <w:rsid w:val="00B85814"/>
    <w:rsid w:val="00BA763B"/>
    <w:rsid w:val="00C06912"/>
    <w:rsid w:val="00C069C1"/>
    <w:rsid w:val="00C3496D"/>
    <w:rsid w:val="00C437B8"/>
    <w:rsid w:val="00C664F4"/>
    <w:rsid w:val="00C66732"/>
    <w:rsid w:val="00C72938"/>
    <w:rsid w:val="00C95F96"/>
    <w:rsid w:val="00CC23A4"/>
    <w:rsid w:val="00CE35B4"/>
    <w:rsid w:val="00D204D3"/>
    <w:rsid w:val="00D43A1A"/>
    <w:rsid w:val="00D503C5"/>
    <w:rsid w:val="00D528E2"/>
    <w:rsid w:val="00D62E82"/>
    <w:rsid w:val="00D65014"/>
    <w:rsid w:val="00D77C73"/>
    <w:rsid w:val="00D95A6F"/>
    <w:rsid w:val="00DB1F9D"/>
    <w:rsid w:val="00DC019F"/>
    <w:rsid w:val="00DC3E45"/>
    <w:rsid w:val="00E14F5D"/>
    <w:rsid w:val="00E42D51"/>
    <w:rsid w:val="00E650E1"/>
    <w:rsid w:val="00E717CA"/>
    <w:rsid w:val="00EB047A"/>
    <w:rsid w:val="00EB7C4A"/>
    <w:rsid w:val="00EC64E8"/>
    <w:rsid w:val="00F17A90"/>
    <w:rsid w:val="00F2102D"/>
    <w:rsid w:val="00F438CA"/>
    <w:rsid w:val="00F5392D"/>
    <w:rsid w:val="00F53AAC"/>
    <w:rsid w:val="00F746CD"/>
    <w:rsid w:val="00F8394E"/>
    <w:rsid w:val="00FA63E6"/>
    <w:rsid w:val="00FD615A"/>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69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0023"/>
    <w:rPr>
      <w:color w:val="0000FF"/>
      <w:shd w:val="clear" w:color="auto" w:fill="auto"/>
    </w:rPr>
  </w:style>
  <w:style w:type="paragraph" w:customStyle="1" w:styleId="Pagedecouverture">
    <w:name w:val="Page de couverture"/>
    <w:basedOn w:val="Normal"/>
    <w:next w:val="Normal"/>
    <w:rsid w:val="000F002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F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023"/>
  </w:style>
  <w:style w:type="paragraph" w:styleId="Footer">
    <w:name w:val="footer"/>
    <w:basedOn w:val="Normal"/>
    <w:link w:val="FooterChar"/>
    <w:uiPriority w:val="99"/>
    <w:unhideWhenUsed/>
    <w:rsid w:val="000F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023"/>
  </w:style>
  <w:style w:type="paragraph" w:customStyle="1" w:styleId="FooterCoverPage">
    <w:name w:val="Footer Cover Page"/>
    <w:basedOn w:val="Normal"/>
    <w:link w:val="FooterCoverPageChar"/>
    <w:rsid w:val="000F002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0023"/>
    <w:rPr>
      <w:rFonts w:ascii="Times New Roman" w:hAnsi="Times New Roman" w:cs="Times New Roman"/>
      <w:sz w:val="24"/>
    </w:rPr>
  </w:style>
  <w:style w:type="paragraph" w:customStyle="1" w:styleId="FooterSensitivity">
    <w:name w:val="Footer Sensitivity"/>
    <w:basedOn w:val="Normal"/>
    <w:link w:val="FooterSensitivityChar"/>
    <w:rsid w:val="000F002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0023"/>
    <w:rPr>
      <w:rFonts w:ascii="Times New Roman" w:hAnsi="Times New Roman" w:cs="Times New Roman"/>
      <w:b/>
      <w:sz w:val="32"/>
    </w:rPr>
  </w:style>
  <w:style w:type="paragraph" w:customStyle="1" w:styleId="HeaderCoverPage">
    <w:name w:val="Header Cover Page"/>
    <w:basedOn w:val="Normal"/>
    <w:link w:val="HeaderCoverPageChar"/>
    <w:rsid w:val="000F002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0023"/>
    <w:rPr>
      <w:rFonts w:ascii="Times New Roman" w:hAnsi="Times New Roman" w:cs="Times New Roman"/>
      <w:sz w:val="24"/>
    </w:rPr>
  </w:style>
  <w:style w:type="paragraph" w:customStyle="1" w:styleId="HeaderSensitivity">
    <w:name w:val="Header Sensitivity"/>
    <w:basedOn w:val="Normal"/>
    <w:link w:val="HeaderSensitivityChar"/>
    <w:rsid w:val="000F002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0023"/>
    <w:rPr>
      <w:rFonts w:ascii="Times New Roman" w:hAnsi="Times New Roman" w:cs="Times New Roman"/>
      <w:b/>
      <w:sz w:val="32"/>
    </w:rPr>
  </w:style>
  <w:style w:type="paragraph" w:styleId="BalloonText">
    <w:name w:val="Balloon Text"/>
    <w:basedOn w:val="Normal"/>
    <w:link w:val="BalloonTextChar"/>
    <w:uiPriority w:val="99"/>
    <w:semiHidden/>
    <w:unhideWhenUsed/>
    <w:rsid w:val="000F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23"/>
    <w:rPr>
      <w:rFonts w:ascii="Segoe UI" w:hAnsi="Segoe UI" w:cs="Segoe UI"/>
      <w:sz w:val="18"/>
      <w:szCs w:val="18"/>
    </w:rPr>
  </w:style>
  <w:style w:type="character" w:customStyle="1" w:styleId="Heading1Char">
    <w:name w:val="Heading 1 Char"/>
    <w:basedOn w:val="DefaultParagraphFont"/>
    <w:link w:val="Heading1"/>
    <w:rsid w:val="00C069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069C1"/>
    <w:pPr>
      <w:ind w:left="720"/>
      <w:contextualSpacing/>
    </w:pPr>
  </w:style>
  <w:style w:type="paragraph" w:styleId="FootnoteText">
    <w:name w:val="footnote text"/>
    <w:basedOn w:val="Normal"/>
    <w:link w:val="FootnoteTextChar"/>
    <w:uiPriority w:val="99"/>
    <w:unhideWhenUsed/>
    <w:rsid w:val="009544EA"/>
    <w:pPr>
      <w:spacing w:after="0" w:line="240" w:lineRule="auto"/>
    </w:pPr>
    <w:rPr>
      <w:sz w:val="20"/>
      <w:szCs w:val="20"/>
    </w:rPr>
  </w:style>
  <w:style w:type="character" w:customStyle="1" w:styleId="FootnoteTextChar">
    <w:name w:val="Footnote Text Char"/>
    <w:basedOn w:val="DefaultParagraphFont"/>
    <w:link w:val="FootnoteText"/>
    <w:uiPriority w:val="99"/>
    <w:rsid w:val="009544EA"/>
    <w:rPr>
      <w:sz w:val="20"/>
      <w:szCs w:val="20"/>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EN Footnote Reference,fr,FR"/>
    <w:basedOn w:val="DefaultParagraphFont"/>
    <w:link w:val="BVIfnrCarCarCarCarCharCharCharChar"/>
    <w:unhideWhenUsed/>
    <w:qFormat/>
    <w:rsid w:val="009544EA"/>
    <w:rPr>
      <w:vertAlign w:val="superscript"/>
    </w:rPr>
  </w:style>
  <w:style w:type="character" w:styleId="Hyperlink">
    <w:name w:val="Hyperlink"/>
    <w:basedOn w:val="DefaultParagraphFont"/>
    <w:uiPriority w:val="99"/>
    <w:unhideWhenUsed/>
    <w:rsid w:val="009544EA"/>
    <w:rPr>
      <w:color w:val="0000FF" w:themeColor="hyperlink"/>
      <w:u w:val="single"/>
    </w:rPr>
  </w:style>
  <w:style w:type="paragraph" w:customStyle="1" w:styleId="BVIfnrCarCarCarCarCharCharCharChar">
    <w:name w:val="BVI fnr Car Car Car Car Char Char Char Char"/>
    <w:basedOn w:val="Normal"/>
    <w:link w:val="FootnoteReference"/>
    <w:uiPriority w:val="99"/>
    <w:rsid w:val="009544EA"/>
    <w:pPr>
      <w:spacing w:after="160" w:line="240" w:lineRule="exact"/>
      <w:jc w:val="both"/>
    </w:pPr>
    <w:rPr>
      <w:vertAlign w:val="superscript"/>
    </w:rPr>
  </w:style>
  <w:style w:type="paragraph" w:customStyle="1" w:styleId="Default">
    <w:name w:val="Default"/>
    <w:rsid w:val="00501E2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706F74"/>
    <w:rPr>
      <w:sz w:val="20"/>
      <w:szCs w:val="20"/>
    </w:rPr>
  </w:style>
  <w:style w:type="paragraph" w:styleId="CommentSubject">
    <w:name w:val="annotation subject"/>
    <w:basedOn w:val="CommentText"/>
    <w:next w:val="CommentText"/>
    <w:link w:val="CommentSubjectChar"/>
    <w:uiPriority w:val="99"/>
    <w:semiHidden/>
    <w:unhideWhenUsed/>
    <w:rsid w:val="003A3DFF"/>
    <w:rPr>
      <w:b/>
      <w:bCs/>
    </w:rPr>
  </w:style>
  <w:style w:type="character" w:customStyle="1" w:styleId="CommentSubjectChar">
    <w:name w:val="Comment Subject Char"/>
    <w:basedOn w:val="CommentTextChar"/>
    <w:link w:val="CommentSubject"/>
    <w:uiPriority w:val="99"/>
    <w:semiHidden/>
    <w:rsid w:val="003A3D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69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0023"/>
    <w:rPr>
      <w:color w:val="0000FF"/>
      <w:shd w:val="clear" w:color="auto" w:fill="auto"/>
    </w:rPr>
  </w:style>
  <w:style w:type="paragraph" w:customStyle="1" w:styleId="Pagedecouverture">
    <w:name w:val="Page de couverture"/>
    <w:basedOn w:val="Normal"/>
    <w:next w:val="Normal"/>
    <w:rsid w:val="000F002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F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023"/>
  </w:style>
  <w:style w:type="paragraph" w:styleId="Footer">
    <w:name w:val="footer"/>
    <w:basedOn w:val="Normal"/>
    <w:link w:val="FooterChar"/>
    <w:uiPriority w:val="99"/>
    <w:unhideWhenUsed/>
    <w:rsid w:val="000F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023"/>
  </w:style>
  <w:style w:type="paragraph" w:customStyle="1" w:styleId="FooterCoverPage">
    <w:name w:val="Footer Cover Page"/>
    <w:basedOn w:val="Normal"/>
    <w:link w:val="FooterCoverPageChar"/>
    <w:rsid w:val="000F002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0023"/>
    <w:rPr>
      <w:rFonts w:ascii="Times New Roman" w:hAnsi="Times New Roman" w:cs="Times New Roman"/>
      <w:sz w:val="24"/>
    </w:rPr>
  </w:style>
  <w:style w:type="paragraph" w:customStyle="1" w:styleId="FooterSensitivity">
    <w:name w:val="Footer Sensitivity"/>
    <w:basedOn w:val="Normal"/>
    <w:link w:val="FooterSensitivityChar"/>
    <w:rsid w:val="000F002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0023"/>
    <w:rPr>
      <w:rFonts w:ascii="Times New Roman" w:hAnsi="Times New Roman" w:cs="Times New Roman"/>
      <w:b/>
      <w:sz w:val="32"/>
    </w:rPr>
  </w:style>
  <w:style w:type="paragraph" w:customStyle="1" w:styleId="HeaderCoverPage">
    <w:name w:val="Header Cover Page"/>
    <w:basedOn w:val="Normal"/>
    <w:link w:val="HeaderCoverPageChar"/>
    <w:rsid w:val="000F002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0023"/>
    <w:rPr>
      <w:rFonts w:ascii="Times New Roman" w:hAnsi="Times New Roman" w:cs="Times New Roman"/>
      <w:sz w:val="24"/>
    </w:rPr>
  </w:style>
  <w:style w:type="paragraph" w:customStyle="1" w:styleId="HeaderSensitivity">
    <w:name w:val="Header Sensitivity"/>
    <w:basedOn w:val="Normal"/>
    <w:link w:val="HeaderSensitivityChar"/>
    <w:rsid w:val="000F002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0023"/>
    <w:rPr>
      <w:rFonts w:ascii="Times New Roman" w:hAnsi="Times New Roman" w:cs="Times New Roman"/>
      <w:b/>
      <w:sz w:val="32"/>
    </w:rPr>
  </w:style>
  <w:style w:type="paragraph" w:styleId="BalloonText">
    <w:name w:val="Balloon Text"/>
    <w:basedOn w:val="Normal"/>
    <w:link w:val="BalloonTextChar"/>
    <w:uiPriority w:val="99"/>
    <w:semiHidden/>
    <w:unhideWhenUsed/>
    <w:rsid w:val="000F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23"/>
    <w:rPr>
      <w:rFonts w:ascii="Segoe UI" w:hAnsi="Segoe UI" w:cs="Segoe UI"/>
      <w:sz w:val="18"/>
      <w:szCs w:val="18"/>
    </w:rPr>
  </w:style>
  <w:style w:type="character" w:customStyle="1" w:styleId="Heading1Char">
    <w:name w:val="Heading 1 Char"/>
    <w:basedOn w:val="DefaultParagraphFont"/>
    <w:link w:val="Heading1"/>
    <w:rsid w:val="00C069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069C1"/>
    <w:pPr>
      <w:ind w:left="720"/>
      <w:contextualSpacing/>
    </w:pPr>
  </w:style>
  <w:style w:type="paragraph" w:styleId="FootnoteText">
    <w:name w:val="footnote text"/>
    <w:basedOn w:val="Normal"/>
    <w:link w:val="FootnoteTextChar"/>
    <w:uiPriority w:val="99"/>
    <w:unhideWhenUsed/>
    <w:rsid w:val="009544EA"/>
    <w:pPr>
      <w:spacing w:after="0" w:line="240" w:lineRule="auto"/>
    </w:pPr>
    <w:rPr>
      <w:sz w:val="20"/>
      <w:szCs w:val="20"/>
    </w:rPr>
  </w:style>
  <w:style w:type="character" w:customStyle="1" w:styleId="FootnoteTextChar">
    <w:name w:val="Footnote Text Char"/>
    <w:basedOn w:val="DefaultParagraphFont"/>
    <w:link w:val="FootnoteText"/>
    <w:uiPriority w:val="99"/>
    <w:rsid w:val="009544EA"/>
    <w:rPr>
      <w:sz w:val="20"/>
      <w:szCs w:val="20"/>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EN Footnote Reference,fr,FR"/>
    <w:basedOn w:val="DefaultParagraphFont"/>
    <w:link w:val="BVIfnrCarCarCarCarCharCharCharChar"/>
    <w:unhideWhenUsed/>
    <w:qFormat/>
    <w:rsid w:val="009544EA"/>
    <w:rPr>
      <w:vertAlign w:val="superscript"/>
    </w:rPr>
  </w:style>
  <w:style w:type="character" w:styleId="Hyperlink">
    <w:name w:val="Hyperlink"/>
    <w:basedOn w:val="DefaultParagraphFont"/>
    <w:uiPriority w:val="99"/>
    <w:unhideWhenUsed/>
    <w:rsid w:val="009544EA"/>
    <w:rPr>
      <w:color w:val="0000FF" w:themeColor="hyperlink"/>
      <w:u w:val="single"/>
    </w:rPr>
  </w:style>
  <w:style w:type="paragraph" w:customStyle="1" w:styleId="BVIfnrCarCarCarCarCharCharCharChar">
    <w:name w:val="BVI fnr Car Car Car Car Char Char Char Char"/>
    <w:basedOn w:val="Normal"/>
    <w:link w:val="FootnoteReference"/>
    <w:uiPriority w:val="99"/>
    <w:rsid w:val="009544EA"/>
    <w:pPr>
      <w:spacing w:after="160" w:line="240" w:lineRule="exact"/>
      <w:jc w:val="both"/>
    </w:pPr>
    <w:rPr>
      <w:vertAlign w:val="superscript"/>
    </w:rPr>
  </w:style>
  <w:style w:type="paragraph" w:customStyle="1" w:styleId="Default">
    <w:name w:val="Default"/>
    <w:rsid w:val="00501E2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706F74"/>
    <w:rPr>
      <w:sz w:val="20"/>
      <w:szCs w:val="20"/>
    </w:rPr>
  </w:style>
  <w:style w:type="paragraph" w:styleId="CommentSubject">
    <w:name w:val="annotation subject"/>
    <w:basedOn w:val="CommentText"/>
    <w:next w:val="CommentText"/>
    <w:link w:val="CommentSubjectChar"/>
    <w:uiPriority w:val="99"/>
    <w:semiHidden/>
    <w:unhideWhenUsed/>
    <w:rsid w:val="003A3DFF"/>
    <w:rPr>
      <w:b/>
      <w:bCs/>
    </w:rPr>
  </w:style>
  <w:style w:type="character" w:customStyle="1" w:styleId="CommentSubjectChar">
    <w:name w:val="Comment Subject Char"/>
    <w:basedOn w:val="CommentTextChar"/>
    <w:link w:val="CommentSubject"/>
    <w:uiPriority w:val="99"/>
    <w:semiHidden/>
    <w:rsid w:val="003A3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ublications/reflection-paper-future-eu-finances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0ff6b8ff-7241-407e-ae42-f8b2ba1d3207">Not Started</EC_Collab_Status>
    <_Status xmlns="http://schemas.microsoft.com/sharepoint/v3/fields">Not Started</_Status>
    <EC_Collab_DocumentLanguage xmlns="0ff6b8ff-7241-407e-ae42-f8b2ba1d3207">EN</EC_Collab_DocumentLanguage>
    <EC_Collab_Reference xmlns="0ff6b8ff-7241-407e-ae42-f8b2ba1d32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4C0A5E0BCE6A246833ECC29AE3F28D4" ma:contentTypeVersion="0" ma:contentTypeDescription="Create a new document in this library." ma:contentTypeScope="" ma:versionID="fb94626cb63d7e43b75015a3394473c3">
  <xsd:schema xmlns:xsd="http://www.w3.org/2001/XMLSchema" xmlns:xs="http://www.w3.org/2001/XMLSchema" xmlns:p="http://schemas.microsoft.com/office/2006/metadata/properties" xmlns:ns2="http://schemas.microsoft.com/sharepoint/v3/fields" xmlns:ns3="0ff6b8ff-7241-407e-ae42-f8b2ba1d3207" targetNamespace="http://schemas.microsoft.com/office/2006/metadata/properties" ma:root="true" ma:fieldsID="fa26ad5dc592005652087c9e2928476d" ns2:_="" ns3:_="">
    <xsd:import namespace="http://schemas.microsoft.com/sharepoint/v3/fields"/>
    <xsd:import namespace="0ff6b8ff-7241-407e-ae42-f8b2ba1d320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f6b8ff-7241-407e-ae42-f8b2ba1d320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2956-C9A6-4F9C-B4A6-EB874DA84DFC}">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0ff6b8ff-7241-407e-ae42-f8b2ba1d3207"/>
    <ds:schemaRef ds:uri="http://schemas.microsoft.com/sharepoint/v3/fields"/>
    <ds:schemaRef ds:uri="http://purl.org/dc/terms/"/>
  </ds:schemaRefs>
</ds:datastoreItem>
</file>

<file path=customXml/itemProps2.xml><?xml version="1.0" encoding="utf-8"?>
<ds:datastoreItem xmlns:ds="http://schemas.openxmlformats.org/officeDocument/2006/customXml" ds:itemID="{E4DA8270-C35D-4162-8D09-DE68E01D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ff6b8ff-7241-407e-ae42-f8b2ba1d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75ACF-68BD-413E-ADB9-4071282B4537}">
  <ds:schemaRefs>
    <ds:schemaRef ds:uri="http://schemas.microsoft.com/sharepoint/v3/contenttype/forms"/>
  </ds:schemaRefs>
</ds:datastoreItem>
</file>

<file path=customXml/itemProps4.xml><?xml version="1.0" encoding="utf-8"?>
<ds:datastoreItem xmlns:ds="http://schemas.openxmlformats.org/officeDocument/2006/customXml" ds:itemID="{5D691954-575D-4982-A760-CD0E22B5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6267</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KORZILIUS Matthijs (HOME)</dc:creator>
  <cp:lastModifiedBy>Stefanie Heilemann</cp:lastModifiedBy>
  <cp:revision>2</cp:revision>
  <cp:lastPrinted>2018-06-12T09:09:00Z</cp:lastPrinted>
  <dcterms:created xsi:type="dcterms:W3CDTF">2018-06-12T09:09:00Z</dcterms:created>
  <dcterms:modified xsi:type="dcterms:W3CDTF">2018-06-12T09:09:00Z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0x010100258AA79CEB83498886A3A086811232500004C0A5E0BCE6A246833ECC29AE3F28D4</vt:lpwstr>
  </property>
</Properties>
</file>