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50C5" w:rsidRDefault="00724275" w:rsidP="00724275">
      <w:pPr>
        <w:pStyle w:val="Pagedecouverture"/>
        <w:rPr>
          <w:noProof/>
          <w:lang w:eastAsia="ar-SA"/>
        </w:rPr>
      </w:pPr>
      <w:bookmarkStart w:id="0" w:name="LW_BM_COVERPAGE"/>
      <w:r>
        <w:rPr>
          <w:noProof/>
          <w:lang w:eastAsia="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3D872749-6644-4990-8823-83E626004C48" style="width:450.6pt;height:388.8pt">
            <v:imagedata r:id="rId9" o:title=""/>
          </v:shape>
        </w:pict>
      </w:r>
    </w:p>
    <w:bookmarkEnd w:id="0"/>
    <w:p w:rsidR="00AB50C5" w:rsidRDefault="00AB50C5">
      <w:pPr>
        <w:rPr>
          <w:noProof/>
          <w:lang w:eastAsia="ar-SA"/>
        </w:rPr>
        <w:sectPr w:rsidR="00AB50C5" w:rsidSect="00724275">
          <w:headerReference w:type="even" r:id="rId10"/>
          <w:headerReference w:type="default" r:id="rId11"/>
          <w:footerReference w:type="even" r:id="rId12"/>
          <w:footerReference w:type="default" r:id="rId13"/>
          <w:headerReference w:type="first" r:id="rId14"/>
          <w:footerReference w:type="first" r:id="rId15"/>
          <w:pgSz w:w="11907" w:h="16839"/>
          <w:pgMar w:top="1134" w:right="1417" w:bottom="1134" w:left="1417" w:header="709" w:footer="709" w:gutter="0"/>
          <w:pgNumType w:start="2"/>
          <w:cols w:space="720"/>
          <w:docGrid w:linePitch="360"/>
        </w:sectPr>
      </w:pPr>
    </w:p>
    <w:p w:rsidR="00AB50C5" w:rsidRDefault="00AB50C5">
      <w:pPr>
        <w:pStyle w:val="Heading2"/>
        <w:numPr>
          <w:ilvl w:val="0"/>
          <w:numId w:val="0"/>
        </w:numPr>
        <w:rPr>
          <w:bCs w:val="0"/>
          <w:iCs w:val="0"/>
          <w:noProof/>
          <w:lang w:val="en"/>
        </w:rPr>
      </w:pPr>
      <w:bookmarkStart w:id="1" w:name="_Toc507407445"/>
      <w:bookmarkStart w:id="2" w:name="_Toc485126730"/>
      <w:bookmarkStart w:id="3" w:name="_GoBack"/>
      <w:bookmarkEnd w:id="3"/>
    </w:p>
    <w:p w:rsidR="00AB50C5" w:rsidRDefault="00724275">
      <w:pPr>
        <w:keepNext/>
        <w:spacing w:before="360" w:after="120" w:line="240" w:lineRule="auto"/>
        <w:jc w:val="both"/>
        <w:outlineLvl w:val="0"/>
        <w:rPr>
          <w:rFonts w:ascii="Times New Roman" w:eastAsia="Times New Roman" w:hAnsi="Times New Roman" w:cs="Times New Roman"/>
          <w:b/>
          <w:bCs/>
          <w:smallCaps/>
          <w:noProof/>
          <w:sz w:val="24"/>
          <w:szCs w:val="32"/>
          <w:lang w:eastAsia="de-DE"/>
        </w:rPr>
      </w:pPr>
      <w:bookmarkStart w:id="4" w:name="_Toc516234746"/>
      <w:r>
        <w:rPr>
          <w:rFonts w:ascii="Times New Roman" w:eastAsia="Times New Roman" w:hAnsi="Times New Roman" w:cs="Times New Roman"/>
          <w:b/>
          <w:bCs/>
          <w:smallCaps/>
          <w:noProof/>
          <w:sz w:val="24"/>
          <w:szCs w:val="32"/>
          <w:lang w:eastAsia="de-DE"/>
        </w:rPr>
        <w:t>Table of content</w:t>
      </w:r>
      <w:bookmarkEnd w:id="4"/>
    </w:p>
    <w:sdt>
      <w:sdtPr>
        <w:rPr>
          <w:rFonts w:asciiTheme="minorHAnsi" w:eastAsiaTheme="minorHAnsi" w:hAnsiTheme="minorHAnsi" w:cstheme="minorBidi"/>
          <w:b w:val="0"/>
          <w:noProof/>
          <w:sz w:val="22"/>
          <w:szCs w:val="22"/>
          <w:lang w:eastAsia="en-US"/>
        </w:rPr>
        <w:id w:val="808675826"/>
        <w:docPartObj>
          <w:docPartGallery w:val="Table of Contents"/>
          <w:docPartUnique/>
        </w:docPartObj>
      </w:sdtPr>
      <w:sdtEndPr/>
      <w:sdtContent>
        <w:p w:rsidR="00AB50C5" w:rsidRDefault="00724275">
          <w:pPr>
            <w:pStyle w:val="TOCHeading"/>
            <w:rPr>
              <w:rFonts w:asciiTheme="minorHAnsi" w:eastAsiaTheme="minorEastAsia" w:hAnsiTheme="minorHAnsi" w:cstheme="minorBidi"/>
              <w:noProof/>
              <w:sz w:val="22"/>
              <w:szCs w:val="22"/>
              <w:lang w:eastAsia="en-GB"/>
            </w:rPr>
          </w:pPr>
          <w:r>
            <w:rPr>
              <w:noProof/>
            </w:rPr>
            <w:fldChar w:fldCharType="begin"/>
          </w:r>
          <w:r>
            <w:rPr>
              <w:noProof/>
            </w:rPr>
            <w:instrText xml:space="preserve"> TOC \o "1-3" \h \z \u </w:instrText>
          </w:r>
          <w:r>
            <w:rPr>
              <w:noProof/>
            </w:rPr>
            <w:fldChar w:fldCharType="separate"/>
          </w:r>
        </w:p>
        <w:p w:rsidR="00AB50C5" w:rsidRDefault="00724275">
          <w:pPr>
            <w:pStyle w:val="TOC2"/>
            <w:rPr>
              <w:rFonts w:asciiTheme="minorHAnsi" w:eastAsiaTheme="minorEastAsia" w:hAnsiTheme="minorHAnsi" w:cstheme="minorBidi"/>
              <w:noProof/>
              <w:sz w:val="22"/>
              <w:szCs w:val="22"/>
              <w:lang w:eastAsia="en-GB"/>
            </w:rPr>
          </w:pPr>
          <w:hyperlink w:anchor="_Toc516234747" w:history="1">
            <w:r>
              <w:rPr>
                <w:rStyle w:val="Hyperlink"/>
                <w:noProof/>
              </w:rPr>
              <w:t xml:space="preserve">Annex 7 - JRC Technical Report on the development of minimum quality </w:t>
            </w:r>
            <w:r>
              <w:rPr>
                <w:rStyle w:val="Hyperlink"/>
                <w:noProof/>
              </w:rPr>
              <w:t>requirements for water reuse in agricultural irrigation and aquifer proposed</w:t>
            </w:r>
            <w:r>
              <w:rPr>
                <w:noProof/>
                <w:webHidden/>
              </w:rPr>
              <w:tab/>
            </w:r>
            <w:r>
              <w:rPr>
                <w:rStyle w:val="Hyperlink"/>
                <w:noProof/>
              </w:rPr>
              <w:fldChar w:fldCharType="begin"/>
            </w:r>
            <w:r>
              <w:rPr>
                <w:noProof/>
                <w:webHidden/>
              </w:rPr>
              <w:instrText xml:space="preserve"> PAGEREF _Toc516234747 \h </w:instrText>
            </w:r>
            <w:r>
              <w:rPr>
                <w:rStyle w:val="Hyperlink"/>
                <w:noProof/>
              </w:rPr>
            </w:r>
            <w:r>
              <w:rPr>
                <w:rStyle w:val="Hyperlink"/>
                <w:noProof/>
              </w:rPr>
              <w:fldChar w:fldCharType="separate"/>
            </w:r>
            <w:r>
              <w:rPr>
                <w:noProof/>
                <w:webHidden/>
              </w:rPr>
              <w:t>2</w:t>
            </w:r>
            <w:r>
              <w:rPr>
                <w:rStyle w:val="Hyperlink"/>
                <w:noProof/>
              </w:rPr>
              <w:fldChar w:fldCharType="end"/>
            </w:r>
          </w:hyperlink>
        </w:p>
        <w:p w:rsidR="00AB50C5" w:rsidRDefault="00724275">
          <w:pPr>
            <w:pStyle w:val="TOC2"/>
            <w:rPr>
              <w:rFonts w:asciiTheme="minorHAnsi" w:eastAsiaTheme="minorEastAsia" w:hAnsiTheme="minorHAnsi" w:cstheme="minorBidi"/>
              <w:noProof/>
              <w:sz w:val="22"/>
              <w:szCs w:val="22"/>
              <w:lang w:eastAsia="en-GB"/>
            </w:rPr>
          </w:pPr>
          <w:hyperlink w:anchor="_Toc516234784" w:history="1">
            <w:r>
              <w:rPr>
                <w:rStyle w:val="Hyperlink"/>
                <w:noProof/>
              </w:rPr>
              <w:t xml:space="preserve">Annex 7a - Non-technical summary of JRC technical </w:t>
            </w:r>
            <w:r>
              <w:rPr>
                <w:rStyle w:val="Hyperlink"/>
                <w:noProof/>
              </w:rPr>
              <w:t>report on the development of minimum quality requirements for water reuse in agricultural irrigation and aquifer proposed</w:t>
            </w:r>
            <w:r>
              <w:rPr>
                <w:noProof/>
                <w:webHidden/>
              </w:rPr>
              <w:tab/>
            </w:r>
            <w:r>
              <w:rPr>
                <w:rStyle w:val="Hyperlink"/>
                <w:noProof/>
              </w:rPr>
              <w:fldChar w:fldCharType="begin"/>
            </w:r>
            <w:r>
              <w:rPr>
                <w:noProof/>
                <w:webHidden/>
              </w:rPr>
              <w:instrText xml:space="preserve"> PAGEREF _Toc516234784 \h </w:instrText>
            </w:r>
            <w:r>
              <w:rPr>
                <w:rStyle w:val="Hyperlink"/>
                <w:noProof/>
              </w:rPr>
            </w:r>
            <w:r>
              <w:rPr>
                <w:rStyle w:val="Hyperlink"/>
                <w:noProof/>
              </w:rPr>
              <w:fldChar w:fldCharType="separate"/>
            </w:r>
            <w:r>
              <w:rPr>
                <w:noProof/>
                <w:webHidden/>
              </w:rPr>
              <w:t>67</w:t>
            </w:r>
            <w:r>
              <w:rPr>
                <w:rStyle w:val="Hyperlink"/>
                <w:noProof/>
              </w:rPr>
              <w:fldChar w:fldCharType="end"/>
            </w:r>
          </w:hyperlink>
        </w:p>
        <w:p w:rsidR="00AB50C5" w:rsidRDefault="00724275">
          <w:pPr>
            <w:pStyle w:val="TOC2"/>
            <w:rPr>
              <w:rFonts w:asciiTheme="minorHAnsi" w:eastAsiaTheme="minorEastAsia" w:hAnsiTheme="minorHAnsi" w:cstheme="minorBidi"/>
              <w:noProof/>
              <w:sz w:val="22"/>
              <w:szCs w:val="22"/>
              <w:lang w:eastAsia="en-GB"/>
            </w:rPr>
          </w:pPr>
          <w:hyperlink w:anchor="_Toc516234785" w:history="1">
            <w:r>
              <w:rPr>
                <w:rStyle w:val="Hyperlink"/>
                <w:noProof/>
              </w:rPr>
              <w:t>Anne</w:t>
            </w:r>
            <w:r>
              <w:rPr>
                <w:rStyle w:val="Hyperlink"/>
                <w:noProof/>
              </w:rPr>
              <w:t>x 8 - Assessment of impacts on Research and Innovation</w:t>
            </w:r>
            <w:r>
              <w:rPr>
                <w:noProof/>
                <w:webHidden/>
              </w:rPr>
              <w:tab/>
            </w:r>
            <w:r>
              <w:rPr>
                <w:rStyle w:val="Hyperlink"/>
                <w:noProof/>
              </w:rPr>
              <w:fldChar w:fldCharType="begin"/>
            </w:r>
            <w:r>
              <w:rPr>
                <w:noProof/>
                <w:webHidden/>
              </w:rPr>
              <w:instrText xml:space="preserve"> PAGEREF _Toc516234785 \h </w:instrText>
            </w:r>
            <w:r>
              <w:rPr>
                <w:rStyle w:val="Hyperlink"/>
                <w:noProof/>
              </w:rPr>
            </w:r>
            <w:r>
              <w:rPr>
                <w:rStyle w:val="Hyperlink"/>
                <w:noProof/>
              </w:rPr>
              <w:fldChar w:fldCharType="separate"/>
            </w:r>
            <w:r>
              <w:rPr>
                <w:noProof/>
                <w:webHidden/>
              </w:rPr>
              <w:t>71</w:t>
            </w:r>
            <w:r>
              <w:rPr>
                <w:rStyle w:val="Hyperlink"/>
                <w:noProof/>
              </w:rPr>
              <w:fldChar w:fldCharType="end"/>
            </w:r>
          </w:hyperlink>
        </w:p>
        <w:p w:rsidR="00AB50C5" w:rsidRDefault="00724275">
          <w:pPr>
            <w:pStyle w:val="TOC2"/>
            <w:rPr>
              <w:rFonts w:asciiTheme="minorHAnsi" w:eastAsiaTheme="minorEastAsia" w:hAnsiTheme="minorHAnsi" w:cstheme="minorBidi"/>
              <w:noProof/>
              <w:sz w:val="22"/>
              <w:szCs w:val="22"/>
              <w:lang w:eastAsia="en-GB"/>
            </w:rPr>
          </w:pPr>
          <w:hyperlink w:anchor="_Toc516234796" w:history="1">
            <w:r>
              <w:rPr>
                <w:rStyle w:val="Hyperlink"/>
                <w:noProof/>
              </w:rPr>
              <w:t>Annex 9 - Assessment of territorial impacts</w:t>
            </w:r>
            <w:r>
              <w:rPr>
                <w:noProof/>
                <w:webHidden/>
              </w:rPr>
              <w:tab/>
            </w:r>
            <w:r>
              <w:rPr>
                <w:rStyle w:val="Hyperlink"/>
                <w:noProof/>
              </w:rPr>
              <w:fldChar w:fldCharType="begin"/>
            </w:r>
            <w:r>
              <w:rPr>
                <w:noProof/>
                <w:webHidden/>
              </w:rPr>
              <w:instrText xml:space="preserve"> PAGEREF _Toc516234796 \h </w:instrText>
            </w:r>
            <w:r>
              <w:rPr>
                <w:rStyle w:val="Hyperlink"/>
                <w:noProof/>
              </w:rPr>
            </w:r>
            <w:r>
              <w:rPr>
                <w:rStyle w:val="Hyperlink"/>
                <w:noProof/>
              </w:rPr>
              <w:fldChar w:fldCharType="separate"/>
            </w:r>
            <w:r>
              <w:rPr>
                <w:noProof/>
                <w:webHidden/>
              </w:rPr>
              <w:t>85</w:t>
            </w:r>
            <w:r>
              <w:rPr>
                <w:rStyle w:val="Hyperlink"/>
                <w:noProof/>
              </w:rPr>
              <w:fldChar w:fldCharType="end"/>
            </w:r>
          </w:hyperlink>
        </w:p>
        <w:p w:rsidR="00AB50C5" w:rsidRDefault="00724275">
          <w:pPr>
            <w:pStyle w:val="TOC2"/>
            <w:rPr>
              <w:rFonts w:asciiTheme="minorHAnsi" w:eastAsiaTheme="minorEastAsia" w:hAnsiTheme="minorHAnsi" w:cstheme="minorBidi"/>
              <w:noProof/>
              <w:sz w:val="22"/>
              <w:szCs w:val="22"/>
              <w:lang w:eastAsia="en-GB"/>
            </w:rPr>
          </w:pPr>
          <w:hyperlink w:anchor="_Toc516234828" w:history="1">
            <w:r>
              <w:rPr>
                <w:rStyle w:val="Hyperlink"/>
                <w:bCs/>
                <w:iCs/>
                <w:noProof/>
                <w:lang w:val="en"/>
              </w:rPr>
              <w:t>Annex 10 - International trade dimension</w:t>
            </w:r>
            <w:r>
              <w:rPr>
                <w:noProof/>
                <w:webHidden/>
              </w:rPr>
              <w:tab/>
            </w:r>
            <w:r>
              <w:rPr>
                <w:rStyle w:val="Hyperlink"/>
                <w:noProof/>
              </w:rPr>
              <w:fldChar w:fldCharType="begin"/>
            </w:r>
            <w:r>
              <w:rPr>
                <w:noProof/>
                <w:webHidden/>
              </w:rPr>
              <w:instrText xml:space="preserve"> PAGEREF _Toc516234828 \h </w:instrText>
            </w:r>
            <w:r>
              <w:rPr>
                <w:rStyle w:val="Hyperlink"/>
                <w:noProof/>
              </w:rPr>
            </w:r>
            <w:r>
              <w:rPr>
                <w:rStyle w:val="Hyperlink"/>
                <w:noProof/>
              </w:rPr>
              <w:fldChar w:fldCharType="separate"/>
            </w:r>
            <w:r>
              <w:rPr>
                <w:noProof/>
                <w:webHidden/>
              </w:rPr>
              <w:t>147</w:t>
            </w:r>
            <w:r>
              <w:rPr>
                <w:rStyle w:val="Hyperlink"/>
                <w:noProof/>
              </w:rPr>
              <w:fldChar w:fldCharType="end"/>
            </w:r>
          </w:hyperlink>
        </w:p>
        <w:p w:rsidR="00AB50C5" w:rsidRDefault="00724275">
          <w:pPr>
            <w:pStyle w:val="TOC2"/>
            <w:rPr>
              <w:rFonts w:asciiTheme="minorHAnsi" w:eastAsiaTheme="minorEastAsia" w:hAnsiTheme="minorHAnsi" w:cstheme="minorBidi"/>
              <w:noProof/>
              <w:sz w:val="22"/>
              <w:szCs w:val="22"/>
              <w:lang w:eastAsia="en-GB"/>
            </w:rPr>
          </w:pPr>
          <w:hyperlink w:anchor="_Toc516234829" w:history="1">
            <w:r>
              <w:rPr>
                <w:rStyle w:val="Hyperlink"/>
                <w:bCs/>
                <w:iCs/>
                <w:noProof/>
                <w:lang w:val="en"/>
              </w:rPr>
              <w:t>Annex 11 – Subsidiarity assessment of potential EU-level regulation of water reuse for aquifer recharge</w:t>
            </w:r>
            <w:r>
              <w:rPr>
                <w:noProof/>
                <w:webHidden/>
              </w:rPr>
              <w:tab/>
            </w:r>
            <w:r>
              <w:rPr>
                <w:rStyle w:val="Hyperlink"/>
                <w:noProof/>
              </w:rPr>
              <w:fldChar w:fldCharType="begin"/>
            </w:r>
            <w:r>
              <w:rPr>
                <w:noProof/>
                <w:webHidden/>
              </w:rPr>
              <w:instrText xml:space="preserve"> PAGEREF _Toc516234829 \h </w:instrText>
            </w:r>
            <w:r>
              <w:rPr>
                <w:rStyle w:val="Hyperlink"/>
                <w:noProof/>
              </w:rPr>
            </w:r>
            <w:r>
              <w:rPr>
                <w:rStyle w:val="Hyperlink"/>
                <w:noProof/>
              </w:rPr>
              <w:fldChar w:fldCharType="separate"/>
            </w:r>
            <w:r>
              <w:rPr>
                <w:noProof/>
                <w:webHidden/>
              </w:rPr>
              <w:t>149</w:t>
            </w:r>
            <w:r>
              <w:rPr>
                <w:rStyle w:val="Hyperlink"/>
                <w:noProof/>
              </w:rPr>
              <w:fldChar w:fldCharType="end"/>
            </w:r>
          </w:hyperlink>
        </w:p>
        <w:p w:rsidR="00AB50C5" w:rsidRDefault="00724275">
          <w:pPr>
            <w:pStyle w:val="TOC2"/>
            <w:rPr>
              <w:rFonts w:asciiTheme="minorHAnsi" w:eastAsiaTheme="minorEastAsia" w:hAnsiTheme="minorHAnsi" w:cstheme="minorBidi"/>
              <w:noProof/>
              <w:sz w:val="22"/>
              <w:szCs w:val="22"/>
              <w:lang w:eastAsia="en-GB"/>
            </w:rPr>
          </w:pPr>
          <w:hyperlink w:anchor="_Toc516234830" w:history="1">
            <w:r>
              <w:rPr>
                <w:rStyle w:val="Hyperlink"/>
                <w:rFonts w:eastAsia="Calibri" w:cs="Arial"/>
                <w:noProof/>
                <w:lang w:eastAsia="ar-SA"/>
              </w:rPr>
              <w:t>Annex 12 – Comparison of impacts per policy options and per different group of Member States</w:t>
            </w:r>
            <w:r>
              <w:rPr>
                <w:noProof/>
                <w:webHidden/>
              </w:rPr>
              <w:tab/>
            </w:r>
            <w:r>
              <w:rPr>
                <w:rStyle w:val="Hyperlink"/>
                <w:noProof/>
              </w:rPr>
              <w:fldChar w:fldCharType="begin"/>
            </w:r>
            <w:r>
              <w:rPr>
                <w:noProof/>
                <w:webHidden/>
              </w:rPr>
              <w:instrText xml:space="preserve"> PAGEREF _Toc516234830 \h </w:instrText>
            </w:r>
            <w:r>
              <w:rPr>
                <w:rStyle w:val="Hyperlink"/>
                <w:noProof/>
              </w:rPr>
            </w:r>
            <w:r>
              <w:rPr>
                <w:rStyle w:val="Hyperlink"/>
                <w:noProof/>
              </w:rPr>
              <w:fldChar w:fldCharType="separate"/>
            </w:r>
            <w:r>
              <w:rPr>
                <w:noProof/>
                <w:webHidden/>
              </w:rPr>
              <w:t>150</w:t>
            </w:r>
            <w:r>
              <w:rPr>
                <w:rStyle w:val="Hyperlink"/>
                <w:noProof/>
              </w:rPr>
              <w:fldChar w:fldCharType="end"/>
            </w:r>
          </w:hyperlink>
        </w:p>
        <w:p w:rsidR="00AB50C5" w:rsidRDefault="00724275">
          <w:pPr>
            <w:pStyle w:val="TOC2"/>
            <w:rPr>
              <w:rFonts w:asciiTheme="minorHAnsi" w:eastAsiaTheme="minorEastAsia" w:hAnsiTheme="minorHAnsi" w:cstheme="minorBidi"/>
              <w:noProof/>
              <w:sz w:val="22"/>
              <w:szCs w:val="22"/>
              <w:lang w:eastAsia="en-GB"/>
            </w:rPr>
          </w:pPr>
          <w:hyperlink w:anchor="_Toc516234831" w:history="1">
            <w:r>
              <w:rPr>
                <w:rStyle w:val="Hyperlink"/>
                <w:rFonts w:eastAsia="Calibri"/>
                <w:noProof/>
              </w:rPr>
              <w:t>Annex 13 – Abbreviations and Glossary</w:t>
            </w:r>
            <w:r>
              <w:rPr>
                <w:noProof/>
                <w:webHidden/>
              </w:rPr>
              <w:tab/>
            </w:r>
            <w:r>
              <w:rPr>
                <w:rStyle w:val="Hyperlink"/>
                <w:noProof/>
              </w:rPr>
              <w:fldChar w:fldCharType="begin"/>
            </w:r>
            <w:r>
              <w:rPr>
                <w:noProof/>
                <w:webHidden/>
              </w:rPr>
              <w:instrText xml:space="preserve"> PAGEREF _Toc516234831 \h </w:instrText>
            </w:r>
            <w:r>
              <w:rPr>
                <w:rStyle w:val="Hyperlink"/>
                <w:noProof/>
              </w:rPr>
            </w:r>
            <w:r>
              <w:rPr>
                <w:rStyle w:val="Hyperlink"/>
                <w:noProof/>
              </w:rPr>
              <w:fldChar w:fldCharType="separate"/>
            </w:r>
            <w:r>
              <w:rPr>
                <w:noProof/>
                <w:webHidden/>
              </w:rPr>
              <w:t>152</w:t>
            </w:r>
            <w:r>
              <w:rPr>
                <w:rStyle w:val="Hyperlink"/>
                <w:noProof/>
              </w:rPr>
              <w:fldChar w:fldCharType="end"/>
            </w:r>
          </w:hyperlink>
        </w:p>
        <w:p w:rsidR="00AB50C5" w:rsidRDefault="00724275">
          <w:pPr>
            <w:rPr>
              <w:noProof/>
            </w:rPr>
          </w:pPr>
          <w:r>
            <w:rPr>
              <w:b/>
              <w:bCs/>
              <w:noProof/>
            </w:rPr>
            <w:fldChar w:fldCharType="end"/>
          </w:r>
        </w:p>
      </w:sdtContent>
    </w:sdt>
    <w:p w:rsidR="00AB50C5" w:rsidRDefault="00724275">
      <w:pPr>
        <w:pStyle w:val="Heading2"/>
        <w:numPr>
          <w:ilvl w:val="0"/>
          <w:numId w:val="0"/>
        </w:numPr>
        <w:rPr>
          <w:bCs w:val="0"/>
          <w:iCs w:val="0"/>
          <w:noProof/>
          <w:lang w:val="en"/>
        </w:rPr>
      </w:pPr>
      <w:r>
        <w:rPr>
          <w:bCs w:val="0"/>
          <w:iCs w:val="0"/>
          <w:noProof/>
          <w:lang w:val="en"/>
        </w:rPr>
        <w:br w:type="page"/>
      </w:r>
    </w:p>
    <w:p w:rsidR="00AB50C5" w:rsidRDefault="00724275">
      <w:pPr>
        <w:pStyle w:val="Annexes"/>
        <w:rPr>
          <w:bCs/>
          <w:iCs/>
        </w:rPr>
      </w:pPr>
      <w:bookmarkStart w:id="5" w:name="_Toc516234747"/>
      <w:r>
        <w:lastRenderedPageBreak/>
        <w:t>Annex 7 - JRC T</w:t>
      </w:r>
      <w:r>
        <w:t>echnical Report on the development of minimum quality requirements for water reuse in agricultural irrigation and aquifer proposed</w:t>
      </w:r>
      <w:bookmarkEnd w:id="1"/>
      <w:bookmarkEnd w:id="5"/>
      <w:r>
        <w:t xml:space="preserve"> </w:t>
      </w:r>
    </w:p>
    <w:p w:rsidR="00AB50C5" w:rsidRDefault="00AB50C5">
      <w:pPr>
        <w:rPr>
          <w:rFonts w:ascii="Times New Roman" w:eastAsia="Times New Roman" w:hAnsi="Times New Roman" w:cs="Times New Roman"/>
          <w:b/>
          <w:bCs/>
          <w:iCs/>
          <w:noProof/>
          <w:sz w:val="24"/>
          <w:szCs w:val="28"/>
          <w:lang w:eastAsia="de-DE"/>
        </w:rPr>
      </w:pPr>
    </w:p>
    <w:p w:rsidR="00AB50C5" w:rsidRDefault="00724275">
      <w:pPr>
        <w:spacing w:before="600" w:after="600" w:line="640" w:lineRule="exact"/>
        <w:jc w:val="center"/>
        <w:rPr>
          <w:rFonts w:ascii="Times New Roman" w:eastAsia="Calibri" w:hAnsi="Times New Roman" w:cs="Times New Roman"/>
          <w:noProof/>
          <w:sz w:val="24"/>
          <w:szCs w:val="24"/>
          <w:lang w:eastAsia="en-GB"/>
        </w:rPr>
      </w:pPr>
      <w:r>
        <w:rPr>
          <w:rFonts w:ascii="Times New Roman" w:eastAsia="Calibri" w:hAnsi="Times New Roman" w:cs="Times New Roman"/>
          <w:noProof/>
          <w:sz w:val="24"/>
          <w:szCs w:val="24"/>
          <w:lang w:eastAsia="en-GB"/>
        </w:rPr>
        <w:t>Minimum quality requirements for water reuse in agricultural irrigation and aquifer recharge</w:t>
      </w:r>
    </w:p>
    <w:p w:rsidR="00AB50C5" w:rsidRDefault="00724275">
      <w:pPr>
        <w:jc w:val="center"/>
        <w:rPr>
          <w:rFonts w:ascii="Times New Roman" w:eastAsia="Times New Roman" w:hAnsi="Times New Roman" w:cs="Times New Roman"/>
          <w:b/>
          <w:bCs/>
          <w:iCs/>
          <w:noProof/>
          <w:sz w:val="24"/>
          <w:szCs w:val="24"/>
          <w:lang w:eastAsia="de-DE"/>
        </w:rPr>
      </w:pPr>
      <w:r>
        <w:rPr>
          <w:rFonts w:ascii="Times New Roman" w:eastAsia="Times New Roman" w:hAnsi="Times New Roman" w:cs="Times New Roman"/>
          <w:noProof/>
          <w:sz w:val="24"/>
          <w:szCs w:val="24"/>
          <w:lang w:eastAsia="en-GB"/>
        </w:rPr>
        <w:t xml:space="preserve">Towards a legal instrument on </w:t>
      </w:r>
      <w:r>
        <w:rPr>
          <w:rFonts w:ascii="Times New Roman" w:eastAsia="Times New Roman" w:hAnsi="Times New Roman" w:cs="Times New Roman"/>
          <w:noProof/>
          <w:sz w:val="24"/>
          <w:szCs w:val="24"/>
          <w:lang w:eastAsia="en-GB"/>
        </w:rPr>
        <w:t>water reuse at EU level</w:t>
      </w:r>
      <w:r>
        <w:rPr>
          <w:rFonts w:ascii="Times New Roman" w:eastAsia="Times New Roman" w:hAnsi="Times New Roman" w:cs="Times New Roman"/>
          <w:b/>
          <w:bCs/>
          <w:iCs/>
          <w:noProof/>
          <w:sz w:val="24"/>
          <w:szCs w:val="24"/>
          <w:lang w:eastAsia="de-DE"/>
        </w:rPr>
        <w:t xml:space="preserve"> </w:t>
      </w:r>
    </w:p>
    <w:p w:rsidR="00AB50C5" w:rsidRDefault="00AB50C5">
      <w:pPr>
        <w:jc w:val="center"/>
        <w:rPr>
          <w:rFonts w:ascii="Times New Roman" w:eastAsia="Times New Roman" w:hAnsi="Times New Roman" w:cs="Times New Roman"/>
          <w:b/>
          <w:bCs/>
          <w:iCs/>
          <w:noProof/>
          <w:sz w:val="24"/>
          <w:szCs w:val="24"/>
          <w:lang w:eastAsia="de-DE"/>
        </w:rPr>
      </w:pPr>
    </w:p>
    <w:p w:rsidR="00AB50C5" w:rsidRDefault="00724275">
      <w:pPr>
        <w:jc w:val="center"/>
        <w:rPr>
          <w:rFonts w:ascii="Times New Roman" w:eastAsia="Times New Roman" w:hAnsi="Times New Roman" w:cs="Times New Roman"/>
          <w:b/>
          <w:bCs/>
          <w:iCs/>
          <w:noProof/>
          <w:sz w:val="24"/>
          <w:szCs w:val="24"/>
          <w:lang w:eastAsia="de-DE"/>
        </w:rPr>
      </w:pPr>
      <w:r>
        <w:rPr>
          <w:rFonts w:ascii="Times New Roman" w:hAnsi="Times New Roman" w:cs="Times New Roman"/>
          <w:noProof/>
          <w:sz w:val="24"/>
          <w:szCs w:val="24"/>
        </w:rPr>
        <w:t>Alcalde-Sanz, L. and Gawlik, B.M</w:t>
      </w:r>
      <w:r>
        <w:rPr>
          <w:rFonts w:ascii="Times New Roman" w:eastAsia="Times New Roman" w:hAnsi="Times New Roman" w:cs="Times New Roman"/>
          <w:b/>
          <w:bCs/>
          <w:iCs/>
          <w:noProof/>
          <w:sz w:val="24"/>
          <w:szCs w:val="24"/>
          <w:lang w:eastAsia="de-DE"/>
        </w:rPr>
        <w:t xml:space="preserve"> </w:t>
      </w:r>
    </w:p>
    <w:p w:rsidR="00AB50C5" w:rsidRDefault="00AB50C5">
      <w:pPr>
        <w:jc w:val="center"/>
        <w:rPr>
          <w:rFonts w:ascii="Times New Roman" w:eastAsia="Times New Roman" w:hAnsi="Times New Roman" w:cs="Times New Roman"/>
          <w:b/>
          <w:bCs/>
          <w:iCs/>
          <w:noProof/>
          <w:sz w:val="24"/>
          <w:szCs w:val="24"/>
          <w:lang w:eastAsia="de-DE"/>
        </w:rPr>
      </w:pPr>
    </w:p>
    <w:p w:rsidR="00AB50C5" w:rsidRDefault="00724275">
      <w:pPr>
        <w:pStyle w:val="JRCCovertext"/>
        <w:spacing w:line="276" w:lineRule="auto"/>
        <w:jc w:val="both"/>
        <w:rPr>
          <w:rFonts w:ascii="Times New Roman" w:hAnsi="Times New Roman"/>
          <w:noProof/>
          <w:sz w:val="24"/>
          <w:szCs w:val="24"/>
        </w:rPr>
      </w:pPr>
      <w:r>
        <w:rPr>
          <w:rFonts w:ascii="Times New Roman" w:hAnsi="Times New Roman"/>
          <w:noProof/>
          <w:sz w:val="24"/>
          <w:szCs w:val="24"/>
        </w:rPr>
        <w:t>This publication is a Science for Policy report by the Joint Research Centre (JRC), the European Commission’s science and knowledge service. It aims to provide evidence-based scientific support t</w:t>
      </w:r>
      <w:r>
        <w:rPr>
          <w:rFonts w:ascii="Times New Roman" w:hAnsi="Times New Roman"/>
          <w:noProof/>
          <w:sz w:val="24"/>
          <w:szCs w:val="24"/>
        </w:rPr>
        <w:t>o the European policymaking process. The scientific output expressed does not imply a policy position of the European Commission. Neither the European Commission nor any person acting on behalf of the Commission is responsible for the use that might be mad</w:t>
      </w:r>
      <w:r>
        <w:rPr>
          <w:rFonts w:ascii="Times New Roman" w:hAnsi="Times New Roman"/>
          <w:noProof/>
          <w:sz w:val="24"/>
          <w:szCs w:val="24"/>
        </w:rPr>
        <w:t>e of this publication.</w:t>
      </w:r>
    </w:p>
    <w:p w:rsidR="00AB50C5" w:rsidRDefault="00AB50C5">
      <w:pPr>
        <w:pStyle w:val="JRCCovertext"/>
        <w:rPr>
          <w:rFonts w:ascii="Times New Roman" w:hAnsi="Times New Roman"/>
          <w:noProof/>
          <w:sz w:val="24"/>
          <w:szCs w:val="24"/>
        </w:rPr>
      </w:pPr>
    </w:p>
    <w:p w:rsidR="00AB50C5" w:rsidRDefault="00724275">
      <w:pPr>
        <w:pStyle w:val="JRCCovertext"/>
        <w:rPr>
          <w:rFonts w:ascii="Times New Roman" w:hAnsi="Times New Roman"/>
          <w:noProof/>
          <w:sz w:val="24"/>
          <w:szCs w:val="24"/>
        </w:rPr>
      </w:pPr>
      <w:r>
        <w:rPr>
          <w:rFonts w:ascii="Times New Roman" w:hAnsi="Times New Roman"/>
          <w:b/>
          <w:noProof/>
          <w:sz w:val="24"/>
          <w:szCs w:val="24"/>
        </w:rPr>
        <w:t>Contact information</w:t>
      </w:r>
    </w:p>
    <w:p w:rsidR="00AB50C5" w:rsidRDefault="00724275">
      <w:pPr>
        <w:pStyle w:val="JRCCovertext"/>
        <w:rPr>
          <w:rFonts w:ascii="Times New Roman" w:hAnsi="Times New Roman"/>
          <w:noProof/>
          <w:sz w:val="24"/>
          <w:szCs w:val="24"/>
        </w:rPr>
      </w:pPr>
      <w:r>
        <w:rPr>
          <w:rFonts w:ascii="Times New Roman" w:hAnsi="Times New Roman"/>
          <w:noProof/>
          <w:sz w:val="24"/>
          <w:szCs w:val="24"/>
        </w:rPr>
        <w:t>Name: Bernd Manfred Gawlik</w:t>
      </w:r>
    </w:p>
    <w:p w:rsidR="00AB50C5" w:rsidRDefault="00724275">
      <w:pPr>
        <w:pStyle w:val="JRCCovertext"/>
        <w:spacing w:line="276" w:lineRule="auto"/>
        <w:rPr>
          <w:rFonts w:ascii="Times New Roman" w:hAnsi="Times New Roman"/>
          <w:noProof/>
          <w:sz w:val="24"/>
          <w:szCs w:val="24"/>
          <w:lang w:val="it-IT"/>
        </w:rPr>
      </w:pPr>
      <w:r>
        <w:rPr>
          <w:rFonts w:ascii="Times New Roman" w:hAnsi="Times New Roman"/>
          <w:noProof/>
          <w:sz w:val="24"/>
          <w:szCs w:val="24"/>
          <w:lang w:val="it-IT"/>
        </w:rPr>
        <w:t>Address: EC – Joint Research Centre, Directorate D, Via Enrico Fermi 2749, I-21027 Ispra (Va)</w:t>
      </w:r>
    </w:p>
    <w:p w:rsidR="00AB50C5" w:rsidRDefault="00724275">
      <w:pPr>
        <w:pStyle w:val="JRCCovertext"/>
        <w:spacing w:line="276" w:lineRule="auto"/>
        <w:rPr>
          <w:rFonts w:ascii="Times New Roman" w:hAnsi="Times New Roman"/>
          <w:noProof/>
          <w:sz w:val="24"/>
          <w:szCs w:val="24"/>
          <w:lang w:val="fr-FR"/>
        </w:rPr>
      </w:pPr>
      <w:r>
        <w:rPr>
          <w:rFonts w:ascii="Times New Roman" w:hAnsi="Times New Roman"/>
          <w:noProof/>
          <w:sz w:val="24"/>
          <w:szCs w:val="24"/>
          <w:lang w:val="fr-FR"/>
        </w:rPr>
        <w:t xml:space="preserve">Email: </w:t>
      </w:r>
      <w:hyperlink r:id="rId16" w:history="1">
        <w:r>
          <w:rPr>
            <w:rStyle w:val="Hyperlink"/>
            <w:rFonts w:ascii="Times New Roman" w:hAnsi="Times New Roman"/>
            <w:noProof/>
            <w:sz w:val="24"/>
            <w:szCs w:val="24"/>
            <w:lang w:val="fr-FR"/>
          </w:rPr>
          <w:t>bernd.gawlik@ec.europa.eu</w:t>
        </w:r>
      </w:hyperlink>
    </w:p>
    <w:p w:rsidR="00AB50C5" w:rsidRDefault="00724275">
      <w:pPr>
        <w:pStyle w:val="JRCCovertext"/>
        <w:spacing w:line="276" w:lineRule="auto"/>
        <w:rPr>
          <w:rFonts w:ascii="Times New Roman" w:hAnsi="Times New Roman"/>
          <w:noProof/>
          <w:sz w:val="24"/>
          <w:szCs w:val="24"/>
          <w:lang w:val="fr-FR"/>
        </w:rPr>
      </w:pPr>
      <w:r>
        <w:rPr>
          <w:rFonts w:ascii="Times New Roman" w:hAnsi="Times New Roman"/>
          <w:noProof/>
          <w:sz w:val="24"/>
          <w:szCs w:val="24"/>
          <w:lang w:val="fr-FR"/>
        </w:rPr>
        <w:t>Tel.: +39</w:t>
      </w:r>
      <w:r>
        <w:rPr>
          <w:rFonts w:ascii="Times New Roman" w:hAnsi="Times New Roman"/>
          <w:noProof/>
          <w:sz w:val="24"/>
          <w:szCs w:val="24"/>
          <w:lang w:val="fr-FR"/>
        </w:rPr>
        <w:t xml:space="preserve"> 0332 78 9487</w:t>
      </w:r>
    </w:p>
    <w:p w:rsidR="00AB50C5" w:rsidRDefault="00AB50C5">
      <w:pPr>
        <w:pStyle w:val="JRCCovertext"/>
        <w:rPr>
          <w:rFonts w:ascii="Times New Roman" w:hAnsi="Times New Roman"/>
          <w:noProof/>
          <w:sz w:val="24"/>
          <w:szCs w:val="24"/>
          <w:lang w:val="fr-FR"/>
        </w:rPr>
      </w:pPr>
    </w:p>
    <w:p w:rsidR="00AB50C5" w:rsidRDefault="00724275">
      <w:pPr>
        <w:pStyle w:val="JRCCovertext"/>
        <w:rPr>
          <w:rFonts w:ascii="Times New Roman" w:hAnsi="Times New Roman"/>
          <w:b/>
          <w:noProof/>
          <w:sz w:val="24"/>
          <w:szCs w:val="24"/>
          <w:lang w:val="fr-BE"/>
        </w:rPr>
      </w:pPr>
      <w:r>
        <w:rPr>
          <w:rFonts w:ascii="Times New Roman" w:hAnsi="Times New Roman"/>
          <w:b/>
          <w:noProof/>
          <w:sz w:val="24"/>
          <w:szCs w:val="24"/>
          <w:lang w:val="fr-BE"/>
        </w:rPr>
        <w:t>JRC Science Hub</w:t>
      </w:r>
    </w:p>
    <w:p w:rsidR="00AB50C5" w:rsidRDefault="00724275">
      <w:pPr>
        <w:pStyle w:val="JRCCovertext"/>
        <w:rPr>
          <w:rFonts w:ascii="Times New Roman" w:hAnsi="Times New Roman"/>
          <w:noProof/>
          <w:sz w:val="24"/>
          <w:szCs w:val="24"/>
          <w:lang w:val="fr-BE"/>
        </w:rPr>
      </w:pPr>
      <w:r>
        <w:rPr>
          <w:rFonts w:ascii="Times New Roman" w:hAnsi="Times New Roman"/>
          <w:noProof/>
          <w:sz w:val="24"/>
          <w:szCs w:val="24"/>
          <w:lang w:val="fr-BE"/>
        </w:rPr>
        <w:t>https://ec.europa.eu/jrc</w:t>
      </w:r>
    </w:p>
    <w:p w:rsidR="00AB50C5" w:rsidRDefault="00AB50C5">
      <w:pPr>
        <w:pStyle w:val="JRCCovertext"/>
        <w:rPr>
          <w:rFonts w:ascii="Times New Roman" w:hAnsi="Times New Roman"/>
          <w:noProof/>
          <w:sz w:val="24"/>
          <w:szCs w:val="24"/>
          <w:lang w:val="fr-BE"/>
        </w:rPr>
      </w:pPr>
    </w:p>
    <w:p w:rsidR="00AB50C5" w:rsidRDefault="00AB50C5">
      <w:pPr>
        <w:pStyle w:val="JRCCovertext"/>
        <w:rPr>
          <w:rFonts w:ascii="Times New Roman" w:hAnsi="Times New Roman"/>
          <w:noProof/>
          <w:sz w:val="24"/>
          <w:szCs w:val="24"/>
          <w:lang w:val="fr-BE"/>
        </w:rPr>
      </w:pPr>
    </w:p>
    <w:p w:rsidR="00AB50C5" w:rsidRDefault="00724275">
      <w:pPr>
        <w:pStyle w:val="JRCCovertext"/>
        <w:rPr>
          <w:rFonts w:ascii="Times New Roman" w:hAnsi="Times New Roman"/>
          <w:noProof/>
          <w:sz w:val="24"/>
          <w:szCs w:val="24"/>
          <w:lang w:val="fr-BE"/>
        </w:rPr>
      </w:pPr>
      <w:r>
        <w:rPr>
          <w:rFonts w:ascii="Times New Roman" w:hAnsi="Times New Roman"/>
          <w:noProof/>
          <w:sz w:val="24"/>
          <w:szCs w:val="24"/>
          <w:lang w:val="fr-BE"/>
        </w:rPr>
        <w:t>JRC109291</w:t>
      </w:r>
    </w:p>
    <w:p w:rsidR="00AB50C5" w:rsidRDefault="00AB50C5">
      <w:pPr>
        <w:pStyle w:val="JRCCovertext"/>
        <w:rPr>
          <w:rFonts w:ascii="Times New Roman" w:hAnsi="Times New Roman"/>
          <w:noProof/>
          <w:sz w:val="24"/>
          <w:szCs w:val="24"/>
          <w:lang w:val="fr-BE"/>
        </w:rPr>
      </w:pPr>
    </w:p>
    <w:p w:rsidR="00AB50C5" w:rsidRDefault="00724275">
      <w:pPr>
        <w:pStyle w:val="JRCCovertext"/>
        <w:rPr>
          <w:rFonts w:ascii="Times New Roman" w:hAnsi="Times New Roman"/>
          <w:noProof/>
          <w:sz w:val="24"/>
          <w:szCs w:val="24"/>
          <w:lang w:val="fr-BE"/>
        </w:rPr>
      </w:pPr>
      <w:r>
        <w:rPr>
          <w:rFonts w:ascii="Times New Roman" w:hAnsi="Times New Roman"/>
          <w:noProof/>
          <w:sz w:val="24"/>
          <w:szCs w:val="24"/>
          <w:lang w:val="fr-BE"/>
        </w:rPr>
        <w:t>EUR 28962 EN</w:t>
      </w:r>
    </w:p>
    <w:p w:rsidR="00AB50C5" w:rsidRDefault="00AB50C5">
      <w:pPr>
        <w:pStyle w:val="JRCCovertext"/>
        <w:rPr>
          <w:rFonts w:ascii="Times New Roman" w:hAnsi="Times New Roman"/>
          <w:noProof/>
          <w:sz w:val="24"/>
          <w:szCs w:val="24"/>
          <w:lang w:val="fr-BE"/>
        </w:rPr>
      </w:pPr>
    </w:p>
    <w:p w:rsidR="00AB50C5" w:rsidRDefault="00AB50C5">
      <w:pPr>
        <w:pStyle w:val="JRCCovertext"/>
        <w:rPr>
          <w:rFonts w:ascii="Times New Roman" w:hAnsi="Times New Roman"/>
          <w:noProof/>
          <w:sz w:val="24"/>
          <w:szCs w:val="24"/>
          <w:lang w:val="fr-BE"/>
        </w:rPr>
      </w:pPr>
    </w:p>
    <w:tbl>
      <w:tblPr>
        <w:tblStyle w:val="TableGrid"/>
        <w:tblW w:w="7088" w:type="dxa"/>
        <w:tblInd w:w="108" w:type="dxa"/>
        <w:tblBorders>
          <w:top w:val="none" w:sz="0" w:space="0" w:color="auto"/>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818"/>
        <w:gridCol w:w="2443"/>
        <w:gridCol w:w="1701"/>
        <w:gridCol w:w="2126"/>
      </w:tblGrid>
      <w:tr w:rsidR="00AB50C5">
        <w:trPr>
          <w:trHeight w:val="695"/>
        </w:trPr>
        <w:tc>
          <w:tcPr>
            <w:tcW w:w="818" w:type="dxa"/>
            <w:vAlign w:val="center"/>
          </w:tcPr>
          <w:p w:rsidR="00AB50C5" w:rsidRDefault="00AB50C5">
            <w:pPr>
              <w:pStyle w:val="JRCCovertext"/>
              <w:rPr>
                <w:rFonts w:ascii="Times New Roman" w:hAnsi="Times New Roman"/>
                <w:noProof/>
                <w:sz w:val="24"/>
                <w:szCs w:val="24"/>
              </w:rPr>
            </w:pPr>
          </w:p>
          <w:p w:rsidR="00AB50C5" w:rsidRDefault="00724275">
            <w:pPr>
              <w:pStyle w:val="JRCCovertext"/>
              <w:rPr>
                <w:rFonts w:ascii="Times New Roman" w:hAnsi="Times New Roman"/>
                <w:noProof/>
                <w:sz w:val="24"/>
                <w:szCs w:val="24"/>
              </w:rPr>
            </w:pPr>
            <w:r>
              <w:rPr>
                <w:rFonts w:ascii="Times New Roman" w:hAnsi="Times New Roman"/>
                <w:noProof/>
                <w:sz w:val="24"/>
                <w:szCs w:val="24"/>
              </w:rPr>
              <w:t>Print</w:t>
            </w:r>
          </w:p>
        </w:tc>
        <w:tc>
          <w:tcPr>
            <w:tcW w:w="2443" w:type="dxa"/>
            <w:vAlign w:val="center"/>
          </w:tcPr>
          <w:p w:rsidR="00AB50C5" w:rsidRDefault="00AB50C5">
            <w:pPr>
              <w:pStyle w:val="JRCCovertext"/>
              <w:rPr>
                <w:rFonts w:ascii="Times New Roman" w:hAnsi="Times New Roman"/>
                <w:noProof/>
                <w:sz w:val="24"/>
                <w:szCs w:val="24"/>
              </w:rPr>
            </w:pPr>
          </w:p>
          <w:p w:rsidR="00AB50C5" w:rsidRDefault="00724275">
            <w:pPr>
              <w:pStyle w:val="JRCCovertext"/>
              <w:rPr>
                <w:rFonts w:ascii="Times New Roman" w:hAnsi="Times New Roman"/>
                <w:noProof/>
                <w:sz w:val="24"/>
                <w:szCs w:val="24"/>
              </w:rPr>
            </w:pPr>
            <w:r>
              <w:rPr>
                <w:rFonts w:ascii="Times New Roman" w:hAnsi="Times New Roman"/>
                <w:noProof/>
                <w:sz w:val="24"/>
                <w:szCs w:val="24"/>
              </w:rPr>
              <w:t>ISBN 978-92-79-77176-7</w:t>
            </w:r>
          </w:p>
        </w:tc>
        <w:tc>
          <w:tcPr>
            <w:tcW w:w="1701" w:type="dxa"/>
            <w:vAlign w:val="center"/>
          </w:tcPr>
          <w:p w:rsidR="00AB50C5" w:rsidRDefault="00AB50C5">
            <w:pPr>
              <w:pStyle w:val="JRCCovertext"/>
              <w:rPr>
                <w:rFonts w:ascii="Times New Roman" w:hAnsi="Times New Roman"/>
                <w:noProof/>
                <w:sz w:val="24"/>
                <w:szCs w:val="24"/>
              </w:rPr>
            </w:pPr>
          </w:p>
          <w:p w:rsidR="00AB50C5" w:rsidRDefault="00724275">
            <w:pPr>
              <w:pStyle w:val="JRCCovertext"/>
              <w:rPr>
                <w:rFonts w:ascii="Times New Roman" w:hAnsi="Times New Roman"/>
                <w:noProof/>
                <w:sz w:val="24"/>
                <w:szCs w:val="24"/>
              </w:rPr>
            </w:pPr>
            <w:r>
              <w:rPr>
                <w:rFonts w:ascii="Times New Roman" w:hAnsi="Times New Roman"/>
                <w:noProof/>
                <w:sz w:val="24"/>
                <w:szCs w:val="24"/>
              </w:rPr>
              <w:t>ISSN 1018-5593</w:t>
            </w:r>
          </w:p>
        </w:tc>
        <w:tc>
          <w:tcPr>
            <w:tcW w:w="2126" w:type="dxa"/>
            <w:vAlign w:val="center"/>
          </w:tcPr>
          <w:p w:rsidR="00AB50C5" w:rsidRDefault="00AB50C5">
            <w:pPr>
              <w:pStyle w:val="JRCCovertext"/>
              <w:rPr>
                <w:rFonts w:ascii="Times New Roman" w:hAnsi="Times New Roman"/>
                <w:noProof/>
                <w:sz w:val="24"/>
                <w:szCs w:val="24"/>
              </w:rPr>
            </w:pPr>
          </w:p>
          <w:p w:rsidR="00AB50C5" w:rsidRDefault="00724275">
            <w:pPr>
              <w:pStyle w:val="JRCCovertext"/>
              <w:rPr>
                <w:rFonts w:ascii="Times New Roman" w:hAnsi="Times New Roman"/>
                <w:noProof/>
                <w:sz w:val="24"/>
                <w:szCs w:val="24"/>
              </w:rPr>
            </w:pPr>
            <w:r>
              <w:rPr>
                <w:rFonts w:ascii="Times New Roman" w:hAnsi="Times New Roman"/>
                <w:noProof/>
                <w:sz w:val="24"/>
                <w:szCs w:val="24"/>
              </w:rPr>
              <w:t>doi: 10.2760/887727</w:t>
            </w:r>
          </w:p>
        </w:tc>
      </w:tr>
      <w:tr w:rsidR="00AB50C5">
        <w:trPr>
          <w:trHeight w:val="709"/>
        </w:trPr>
        <w:tc>
          <w:tcPr>
            <w:tcW w:w="818" w:type="dxa"/>
            <w:vAlign w:val="center"/>
          </w:tcPr>
          <w:p w:rsidR="00AB50C5" w:rsidRDefault="00724275">
            <w:pPr>
              <w:pStyle w:val="JRCCovertext"/>
              <w:rPr>
                <w:rFonts w:ascii="Times New Roman" w:hAnsi="Times New Roman"/>
                <w:noProof/>
                <w:sz w:val="24"/>
                <w:szCs w:val="24"/>
              </w:rPr>
            </w:pPr>
            <w:r>
              <w:rPr>
                <w:rFonts w:ascii="Times New Roman" w:hAnsi="Times New Roman"/>
                <w:noProof/>
                <w:sz w:val="24"/>
                <w:szCs w:val="24"/>
              </w:rPr>
              <w:t>PDF</w:t>
            </w:r>
          </w:p>
        </w:tc>
        <w:tc>
          <w:tcPr>
            <w:tcW w:w="2443" w:type="dxa"/>
            <w:vAlign w:val="center"/>
          </w:tcPr>
          <w:p w:rsidR="00AB50C5" w:rsidRDefault="00724275">
            <w:pPr>
              <w:pStyle w:val="JRCCovertext"/>
              <w:spacing w:line="240" w:lineRule="auto"/>
              <w:rPr>
                <w:rFonts w:ascii="Times New Roman" w:hAnsi="Times New Roman"/>
                <w:noProof/>
                <w:sz w:val="24"/>
                <w:szCs w:val="24"/>
              </w:rPr>
            </w:pPr>
            <w:r>
              <w:rPr>
                <w:rFonts w:ascii="Times New Roman" w:hAnsi="Times New Roman"/>
                <w:noProof/>
                <w:sz w:val="24"/>
                <w:szCs w:val="24"/>
              </w:rPr>
              <w:t>ISBN 978-92-79-</w:t>
            </w:r>
          </w:p>
          <w:p w:rsidR="00AB50C5" w:rsidRDefault="00724275">
            <w:pPr>
              <w:pStyle w:val="JRCCovertext"/>
              <w:spacing w:after="240" w:line="276" w:lineRule="auto"/>
              <w:rPr>
                <w:rFonts w:ascii="Times New Roman" w:hAnsi="Times New Roman"/>
                <w:noProof/>
                <w:sz w:val="24"/>
                <w:szCs w:val="24"/>
              </w:rPr>
            </w:pPr>
            <w:r>
              <w:rPr>
                <w:rFonts w:ascii="Times New Roman" w:hAnsi="Times New Roman"/>
                <w:noProof/>
                <w:sz w:val="24"/>
                <w:szCs w:val="24"/>
              </w:rPr>
              <w:t>77175-0</w:t>
            </w:r>
          </w:p>
        </w:tc>
        <w:tc>
          <w:tcPr>
            <w:tcW w:w="1701" w:type="dxa"/>
            <w:vAlign w:val="center"/>
          </w:tcPr>
          <w:p w:rsidR="00AB50C5" w:rsidRDefault="00724275">
            <w:pPr>
              <w:pStyle w:val="JRCCovertext"/>
              <w:spacing w:line="240" w:lineRule="auto"/>
              <w:rPr>
                <w:rFonts w:ascii="Times New Roman" w:hAnsi="Times New Roman"/>
                <w:noProof/>
                <w:sz w:val="24"/>
                <w:szCs w:val="24"/>
              </w:rPr>
            </w:pPr>
            <w:r>
              <w:rPr>
                <w:rFonts w:ascii="Times New Roman" w:hAnsi="Times New Roman"/>
                <w:noProof/>
                <w:sz w:val="24"/>
                <w:szCs w:val="24"/>
              </w:rPr>
              <w:t>ISSN 1831-9424</w:t>
            </w:r>
          </w:p>
        </w:tc>
        <w:tc>
          <w:tcPr>
            <w:tcW w:w="2126" w:type="dxa"/>
            <w:vAlign w:val="center"/>
          </w:tcPr>
          <w:p w:rsidR="00AB50C5" w:rsidRDefault="00724275">
            <w:pPr>
              <w:pStyle w:val="JRCCovertext"/>
              <w:spacing w:line="276" w:lineRule="auto"/>
              <w:rPr>
                <w:rFonts w:ascii="Times New Roman" w:hAnsi="Times New Roman"/>
                <w:noProof/>
                <w:sz w:val="24"/>
                <w:szCs w:val="24"/>
              </w:rPr>
            </w:pPr>
            <w:r>
              <w:rPr>
                <w:rFonts w:ascii="Times New Roman" w:hAnsi="Times New Roman"/>
                <w:noProof/>
                <w:sz w:val="24"/>
                <w:szCs w:val="24"/>
              </w:rPr>
              <w:t>doi: 10.2760/804116</w:t>
            </w:r>
          </w:p>
        </w:tc>
      </w:tr>
    </w:tbl>
    <w:p w:rsidR="00AB50C5" w:rsidRDefault="00AB50C5">
      <w:pPr>
        <w:pStyle w:val="JRCCovertext"/>
        <w:rPr>
          <w:rFonts w:ascii="Times New Roman" w:hAnsi="Times New Roman"/>
          <w:noProof/>
          <w:sz w:val="24"/>
          <w:szCs w:val="24"/>
          <w:lang w:val="pt-PT"/>
        </w:rPr>
      </w:pPr>
    </w:p>
    <w:p w:rsidR="00AB50C5" w:rsidRDefault="00AB50C5">
      <w:pPr>
        <w:pStyle w:val="JRCCovertext"/>
        <w:rPr>
          <w:rFonts w:ascii="Times New Roman" w:hAnsi="Times New Roman"/>
          <w:noProof/>
          <w:sz w:val="24"/>
          <w:szCs w:val="24"/>
          <w:lang w:val="pt-PT"/>
        </w:rPr>
      </w:pPr>
    </w:p>
    <w:p w:rsidR="00AB50C5" w:rsidRDefault="00AB50C5">
      <w:pPr>
        <w:pStyle w:val="JRCCovertext"/>
        <w:jc w:val="both"/>
        <w:rPr>
          <w:rFonts w:ascii="Times New Roman" w:hAnsi="Times New Roman"/>
          <w:noProof/>
          <w:sz w:val="24"/>
          <w:szCs w:val="24"/>
        </w:rPr>
      </w:pPr>
    </w:p>
    <w:p w:rsidR="00AB50C5" w:rsidRDefault="00724275">
      <w:pPr>
        <w:pStyle w:val="JRCCovertext"/>
        <w:spacing w:line="276" w:lineRule="auto"/>
        <w:jc w:val="both"/>
        <w:rPr>
          <w:rFonts w:ascii="Times New Roman" w:hAnsi="Times New Roman"/>
          <w:noProof/>
          <w:sz w:val="24"/>
          <w:szCs w:val="24"/>
        </w:rPr>
      </w:pPr>
      <w:r>
        <w:rPr>
          <w:rFonts w:ascii="Times New Roman" w:hAnsi="Times New Roman"/>
          <w:noProof/>
          <w:sz w:val="24"/>
          <w:szCs w:val="24"/>
        </w:rPr>
        <w:t xml:space="preserve">Luxembourg: Publications Office of </w:t>
      </w:r>
      <w:r>
        <w:rPr>
          <w:rFonts w:ascii="Times New Roman" w:hAnsi="Times New Roman"/>
          <w:noProof/>
          <w:sz w:val="24"/>
          <w:szCs w:val="24"/>
        </w:rPr>
        <w:t>the European Union, 2017</w:t>
      </w:r>
    </w:p>
    <w:p w:rsidR="00AB50C5" w:rsidRDefault="00AB50C5">
      <w:pPr>
        <w:pStyle w:val="JRCCovertext"/>
        <w:jc w:val="both"/>
        <w:rPr>
          <w:rFonts w:ascii="Times New Roman" w:hAnsi="Times New Roman"/>
          <w:noProof/>
          <w:sz w:val="24"/>
          <w:szCs w:val="24"/>
        </w:rPr>
      </w:pPr>
    </w:p>
    <w:p w:rsidR="00AB50C5" w:rsidRDefault="00724275">
      <w:pPr>
        <w:pStyle w:val="JRCCovertext"/>
        <w:jc w:val="both"/>
        <w:rPr>
          <w:rFonts w:ascii="Times New Roman" w:hAnsi="Times New Roman"/>
          <w:b/>
          <w:noProof/>
          <w:sz w:val="24"/>
          <w:szCs w:val="24"/>
        </w:rPr>
      </w:pPr>
      <w:r>
        <w:rPr>
          <w:rFonts w:ascii="Times New Roman" w:hAnsi="Times New Roman"/>
          <w:noProof/>
          <w:sz w:val="24"/>
          <w:szCs w:val="24"/>
        </w:rPr>
        <w:t>© European Union, 2017</w:t>
      </w:r>
    </w:p>
    <w:p w:rsidR="00AB50C5" w:rsidRDefault="00AB50C5">
      <w:pPr>
        <w:pStyle w:val="JRCCovertext"/>
        <w:jc w:val="both"/>
        <w:rPr>
          <w:rFonts w:ascii="Times New Roman" w:hAnsi="Times New Roman"/>
          <w:noProof/>
          <w:sz w:val="24"/>
          <w:szCs w:val="24"/>
        </w:rPr>
      </w:pPr>
    </w:p>
    <w:p w:rsidR="00AB50C5" w:rsidRDefault="00724275">
      <w:pPr>
        <w:jc w:val="both"/>
        <w:rPr>
          <w:rFonts w:ascii="Times New Roman" w:hAnsi="Times New Roman" w:cs="Times New Roman"/>
          <w:noProof/>
          <w:sz w:val="24"/>
          <w:szCs w:val="24"/>
        </w:rPr>
      </w:pPr>
      <w:r>
        <w:rPr>
          <w:rFonts w:ascii="Times New Roman" w:hAnsi="Times New Roman" w:cs="Times New Roman"/>
          <w:noProof/>
          <w:sz w:val="24"/>
          <w:szCs w:val="24"/>
        </w:rPr>
        <w:t>Reuse is authorised provided the source is acknowledged. The reuse policy of European Commission documents is regulated by Decision 2011/833/EU (OJ L 330, 14.12.2011, p. 39).</w:t>
      </w:r>
    </w:p>
    <w:p w:rsidR="00AB50C5" w:rsidRDefault="00724275">
      <w:pPr>
        <w:pStyle w:val="JRCCovertext"/>
        <w:jc w:val="both"/>
        <w:rPr>
          <w:rFonts w:ascii="Times New Roman" w:hAnsi="Times New Roman"/>
          <w:noProof/>
          <w:sz w:val="24"/>
          <w:szCs w:val="24"/>
        </w:rPr>
      </w:pPr>
      <w:r>
        <w:rPr>
          <w:rFonts w:ascii="Times New Roman" w:hAnsi="Times New Roman"/>
          <w:noProof/>
          <w:sz w:val="24"/>
          <w:szCs w:val="24"/>
        </w:rPr>
        <w:t xml:space="preserve">For any use or reproduction of </w:t>
      </w:r>
      <w:r>
        <w:rPr>
          <w:rFonts w:ascii="Times New Roman" w:hAnsi="Times New Roman"/>
          <w:noProof/>
          <w:sz w:val="24"/>
          <w:szCs w:val="24"/>
        </w:rPr>
        <w:t>photos or other material that is not under the EU copyright, permission must be sought directly from the copyright holders.</w:t>
      </w:r>
    </w:p>
    <w:p w:rsidR="00AB50C5" w:rsidRDefault="00AB50C5">
      <w:pPr>
        <w:pStyle w:val="JRCCovertext"/>
        <w:jc w:val="both"/>
        <w:rPr>
          <w:rFonts w:ascii="Times New Roman" w:hAnsi="Times New Roman"/>
          <w:noProof/>
          <w:sz w:val="24"/>
          <w:szCs w:val="24"/>
        </w:rPr>
      </w:pPr>
    </w:p>
    <w:p w:rsidR="00AB50C5" w:rsidRDefault="00724275">
      <w:pPr>
        <w:pStyle w:val="JRCCovertext"/>
        <w:spacing w:before="240" w:line="240" w:lineRule="auto"/>
        <w:jc w:val="both"/>
        <w:rPr>
          <w:rFonts w:ascii="Times New Roman" w:hAnsi="Times New Roman"/>
          <w:noProof/>
          <w:sz w:val="24"/>
          <w:szCs w:val="24"/>
        </w:rPr>
      </w:pPr>
      <w:r>
        <w:rPr>
          <w:rFonts w:ascii="Times New Roman" w:hAnsi="Times New Roman"/>
          <w:noProof/>
          <w:sz w:val="24"/>
          <w:szCs w:val="24"/>
        </w:rPr>
        <w:t xml:space="preserve">How to cite this report: L. Alcalde-Sanz, B. M. Gawlik, </w:t>
      </w:r>
      <w:r>
        <w:rPr>
          <w:rFonts w:ascii="Times New Roman" w:hAnsi="Times New Roman"/>
          <w:i/>
          <w:noProof/>
          <w:sz w:val="24"/>
          <w:szCs w:val="24"/>
        </w:rPr>
        <w:t>Minimum quality requirements for water reuse in agricultural irrigation and</w:t>
      </w:r>
      <w:r>
        <w:rPr>
          <w:rFonts w:ascii="Times New Roman" w:hAnsi="Times New Roman"/>
          <w:i/>
          <w:noProof/>
          <w:sz w:val="24"/>
          <w:szCs w:val="24"/>
        </w:rPr>
        <w:t xml:space="preserve"> aquifer recharge -Towards a legal instrument on water reuse at EU level</w:t>
      </w:r>
      <w:r>
        <w:rPr>
          <w:rFonts w:ascii="Times New Roman" w:hAnsi="Times New Roman"/>
          <w:noProof/>
          <w:sz w:val="24"/>
          <w:szCs w:val="24"/>
        </w:rPr>
        <w:t>, EUR 28962 EN, Publications Office of the European Union, Luxembourg, 2017, ISBN 978-92-79-77176-7, doi 10.2760/887727, PUBSY No.109291</w:t>
      </w:r>
    </w:p>
    <w:p w:rsidR="00AB50C5" w:rsidRDefault="00AB50C5">
      <w:pPr>
        <w:pStyle w:val="JRCCovertext"/>
        <w:spacing w:line="240" w:lineRule="auto"/>
        <w:rPr>
          <w:rFonts w:ascii="Times New Roman" w:hAnsi="Times New Roman"/>
          <w:noProof/>
          <w:sz w:val="24"/>
          <w:szCs w:val="24"/>
        </w:rPr>
      </w:pPr>
    </w:p>
    <w:p w:rsidR="00AB50C5" w:rsidRDefault="00724275">
      <w:pPr>
        <w:pStyle w:val="JRCCovertext"/>
        <w:spacing w:line="240" w:lineRule="auto"/>
        <w:jc w:val="both"/>
        <w:rPr>
          <w:rFonts w:ascii="Times New Roman" w:hAnsi="Times New Roman"/>
          <w:i/>
          <w:noProof/>
          <w:sz w:val="24"/>
          <w:szCs w:val="24"/>
        </w:rPr>
      </w:pPr>
      <w:r>
        <w:rPr>
          <w:rFonts w:ascii="Times New Roman" w:hAnsi="Times New Roman"/>
          <w:noProof/>
          <w:sz w:val="24"/>
          <w:szCs w:val="24"/>
        </w:rPr>
        <w:t xml:space="preserve">All images © European Union 2017, except: </w:t>
      </w:r>
      <w:r>
        <w:rPr>
          <w:rFonts w:ascii="Times New Roman" w:hAnsi="Times New Roman"/>
          <w:i/>
          <w:noProof/>
          <w:sz w:val="24"/>
          <w:szCs w:val="24"/>
        </w:rPr>
        <w:t>Cove</w:t>
      </w:r>
      <w:r>
        <w:rPr>
          <w:rFonts w:ascii="Times New Roman" w:hAnsi="Times New Roman"/>
          <w:i/>
          <w:noProof/>
          <w:sz w:val="24"/>
          <w:szCs w:val="24"/>
        </w:rPr>
        <w:t>r picture, The city of Milan, the WWTP of Nosedo and the fields towards Chiaravalle Abbay, 5 June 2012, Photo commissioned by MilanoDepur S.p.A-Via Lampedusa 13 Milano, with courtesy of Ing .Roberto Mazzini (President)</w:t>
      </w:r>
    </w:p>
    <w:p w:rsidR="00AB50C5" w:rsidRDefault="00AB50C5">
      <w:pPr>
        <w:pStyle w:val="JRCCovertext"/>
        <w:jc w:val="both"/>
        <w:rPr>
          <w:rFonts w:ascii="Times New Roman" w:hAnsi="Times New Roman"/>
          <w:noProof/>
          <w:sz w:val="24"/>
          <w:szCs w:val="24"/>
        </w:rPr>
      </w:pPr>
    </w:p>
    <w:p w:rsidR="00AB50C5" w:rsidRDefault="00724275">
      <w:pPr>
        <w:pStyle w:val="JRCCovertext"/>
        <w:spacing w:line="276" w:lineRule="auto"/>
        <w:jc w:val="both"/>
        <w:rPr>
          <w:rFonts w:ascii="Times New Roman" w:hAnsi="Times New Roman"/>
          <w:b/>
          <w:iCs/>
          <w:noProof/>
          <w:sz w:val="24"/>
          <w:szCs w:val="24"/>
        </w:rPr>
      </w:pPr>
      <w:r>
        <w:rPr>
          <w:rFonts w:ascii="Times New Roman" w:hAnsi="Times New Roman"/>
          <w:b/>
          <w:bCs/>
          <w:noProof/>
          <w:sz w:val="24"/>
          <w:szCs w:val="24"/>
        </w:rPr>
        <w:t>Title</w:t>
      </w:r>
      <w:r>
        <w:rPr>
          <w:rFonts w:ascii="Times New Roman" w:hAnsi="Times New Roman"/>
          <w:noProof/>
          <w:sz w:val="24"/>
          <w:szCs w:val="24"/>
        </w:rPr>
        <w:t xml:space="preserve"> </w:t>
      </w:r>
      <w:r>
        <w:rPr>
          <w:rFonts w:ascii="Times New Roman" w:hAnsi="Times New Roman"/>
          <w:b/>
          <w:iCs/>
          <w:noProof/>
          <w:sz w:val="24"/>
          <w:szCs w:val="24"/>
        </w:rPr>
        <w:t>Minimum quality requirements f</w:t>
      </w:r>
      <w:r>
        <w:rPr>
          <w:rFonts w:ascii="Times New Roman" w:hAnsi="Times New Roman"/>
          <w:b/>
          <w:iCs/>
          <w:noProof/>
          <w:sz w:val="24"/>
          <w:szCs w:val="24"/>
        </w:rPr>
        <w:t>or water reuse in agricultural irrigation and aquifer recharge</w:t>
      </w:r>
    </w:p>
    <w:p w:rsidR="00AB50C5" w:rsidRDefault="00AB50C5">
      <w:pPr>
        <w:pStyle w:val="JRCCovertext"/>
        <w:jc w:val="both"/>
        <w:rPr>
          <w:rFonts w:ascii="Times New Roman" w:hAnsi="Times New Roman"/>
          <w:i/>
          <w:iCs/>
          <w:noProof/>
          <w:sz w:val="24"/>
          <w:szCs w:val="24"/>
          <w:highlight w:val="green"/>
        </w:rPr>
      </w:pPr>
    </w:p>
    <w:p w:rsidR="00AB50C5" w:rsidRDefault="00724275">
      <w:pPr>
        <w:pStyle w:val="JRCCovertext"/>
        <w:spacing w:line="240" w:lineRule="auto"/>
        <w:jc w:val="both"/>
        <w:rPr>
          <w:rFonts w:ascii="Times New Roman" w:hAnsi="Times New Roman"/>
          <w:b/>
          <w:noProof/>
          <w:sz w:val="24"/>
          <w:szCs w:val="24"/>
        </w:rPr>
      </w:pPr>
      <w:r>
        <w:rPr>
          <w:rFonts w:ascii="Times New Roman" w:hAnsi="Times New Roman"/>
          <w:b/>
          <w:noProof/>
          <w:sz w:val="24"/>
          <w:szCs w:val="24"/>
        </w:rPr>
        <w:t>Abstract</w:t>
      </w:r>
    </w:p>
    <w:p w:rsidR="00AB50C5" w:rsidRDefault="00724275">
      <w:pPr>
        <w:pStyle w:val="JRCCovertext"/>
        <w:spacing w:line="240" w:lineRule="auto"/>
        <w:jc w:val="both"/>
        <w:rPr>
          <w:rFonts w:ascii="Times New Roman" w:eastAsia="MS Mincho" w:hAnsi="Times New Roman"/>
          <w:noProof/>
          <w:sz w:val="24"/>
          <w:szCs w:val="24"/>
        </w:rPr>
      </w:pPr>
      <w:r>
        <w:rPr>
          <w:rFonts w:ascii="Times New Roman" w:eastAsia="MS Mincho" w:hAnsi="Times New Roman"/>
          <w:noProof/>
          <w:sz w:val="24"/>
          <w:szCs w:val="24"/>
        </w:rPr>
        <w:t xml:space="preserve">As an input to the design of a Legal Instrument on Water Reuse in Europe, this report recommends minimum quality requirements for water reuse in agricultural irrigation and aquifer </w:t>
      </w:r>
      <w:r>
        <w:rPr>
          <w:rFonts w:ascii="Times New Roman" w:eastAsia="MS Mincho" w:hAnsi="Times New Roman"/>
          <w:noProof/>
          <w:sz w:val="24"/>
          <w:szCs w:val="24"/>
        </w:rPr>
        <w:t>recharge based on a risk management approach.</w:t>
      </w:r>
    </w:p>
    <w:p w:rsidR="00AB50C5" w:rsidRDefault="00AB50C5">
      <w:pPr>
        <w:pStyle w:val="JRCCovertext"/>
        <w:rPr>
          <w:rFonts w:ascii="Times New Roman" w:eastAsia="MS Mincho" w:hAnsi="Times New Roman"/>
          <w:noProof/>
          <w:sz w:val="24"/>
          <w:szCs w:val="24"/>
          <w:u w:val="single"/>
        </w:rPr>
      </w:pPr>
    </w:p>
    <w:p w:rsidR="00AB50C5" w:rsidRDefault="00AB50C5">
      <w:pPr>
        <w:pStyle w:val="JRCCovertext"/>
        <w:rPr>
          <w:rFonts w:ascii="Times New Roman" w:eastAsia="MS Mincho" w:hAnsi="Times New Roman"/>
          <w:noProof/>
          <w:sz w:val="24"/>
          <w:szCs w:val="24"/>
          <w:u w:val="single"/>
        </w:rPr>
      </w:pPr>
    </w:p>
    <w:p w:rsidR="00AB50C5" w:rsidRDefault="00AB50C5">
      <w:pPr>
        <w:pStyle w:val="JRCCovertext"/>
        <w:rPr>
          <w:rFonts w:ascii="Times New Roman" w:eastAsia="MS Mincho" w:hAnsi="Times New Roman"/>
          <w:noProof/>
          <w:sz w:val="24"/>
          <w:szCs w:val="24"/>
          <w:u w:val="single"/>
        </w:rPr>
      </w:pPr>
    </w:p>
    <w:p w:rsidR="00AB50C5" w:rsidRDefault="00AB50C5">
      <w:pPr>
        <w:pStyle w:val="JRCCovertext"/>
        <w:rPr>
          <w:rFonts w:ascii="Times New Roman" w:eastAsia="MS Mincho" w:hAnsi="Times New Roman"/>
          <w:noProof/>
          <w:sz w:val="24"/>
          <w:szCs w:val="24"/>
          <w:u w:val="single"/>
        </w:rPr>
      </w:pPr>
    </w:p>
    <w:p w:rsidR="00AB50C5" w:rsidRDefault="00AB50C5">
      <w:pPr>
        <w:pStyle w:val="JRCCovertext"/>
        <w:rPr>
          <w:rFonts w:ascii="Times New Roman" w:eastAsia="MS Mincho" w:hAnsi="Times New Roman"/>
          <w:noProof/>
          <w:sz w:val="24"/>
          <w:szCs w:val="24"/>
          <w:u w:val="single"/>
        </w:rPr>
      </w:pPr>
    </w:p>
    <w:p w:rsidR="00AB50C5" w:rsidRDefault="00AB50C5">
      <w:pPr>
        <w:pStyle w:val="JRCCovertext"/>
        <w:rPr>
          <w:rFonts w:ascii="Times New Roman" w:eastAsia="MS Mincho" w:hAnsi="Times New Roman"/>
          <w:noProof/>
          <w:sz w:val="24"/>
          <w:szCs w:val="24"/>
          <w:u w:val="single"/>
        </w:rPr>
      </w:pPr>
    </w:p>
    <w:p w:rsidR="00AB50C5" w:rsidRDefault="00AB50C5">
      <w:pPr>
        <w:pStyle w:val="JRCCovertext"/>
        <w:rPr>
          <w:rFonts w:ascii="Times New Roman" w:eastAsia="MS Mincho" w:hAnsi="Times New Roman"/>
          <w:noProof/>
          <w:sz w:val="24"/>
          <w:szCs w:val="24"/>
          <w:u w:val="single"/>
        </w:rPr>
      </w:pPr>
    </w:p>
    <w:p w:rsidR="00AB50C5" w:rsidRDefault="00AB50C5">
      <w:pPr>
        <w:pStyle w:val="JRCCovertext"/>
        <w:rPr>
          <w:rFonts w:ascii="Times New Roman" w:eastAsia="MS Mincho" w:hAnsi="Times New Roman"/>
          <w:noProof/>
          <w:sz w:val="24"/>
          <w:szCs w:val="24"/>
          <w:u w:val="single"/>
        </w:rPr>
      </w:pPr>
    </w:p>
    <w:p w:rsidR="00AB50C5" w:rsidRDefault="00AB50C5">
      <w:pPr>
        <w:pStyle w:val="JRCCovertext"/>
        <w:rPr>
          <w:rFonts w:ascii="Times New Roman" w:eastAsia="MS Mincho" w:hAnsi="Times New Roman"/>
          <w:noProof/>
          <w:sz w:val="24"/>
          <w:szCs w:val="24"/>
          <w:u w:val="single"/>
        </w:rPr>
      </w:pPr>
    </w:p>
    <w:p w:rsidR="00AB50C5" w:rsidRDefault="00AB50C5">
      <w:pPr>
        <w:pStyle w:val="JRCCovertext"/>
        <w:rPr>
          <w:rFonts w:ascii="Times New Roman" w:eastAsia="MS Mincho" w:hAnsi="Times New Roman"/>
          <w:noProof/>
          <w:sz w:val="24"/>
          <w:szCs w:val="24"/>
          <w:u w:val="single"/>
        </w:rPr>
      </w:pPr>
    </w:p>
    <w:p w:rsidR="00AB50C5" w:rsidRDefault="00AB50C5">
      <w:pPr>
        <w:pStyle w:val="JRCCovertext"/>
        <w:rPr>
          <w:rFonts w:ascii="Times New Roman" w:eastAsia="MS Mincho" w:hAnsi="Times New Roman"/>
          <w:noProof/>
          <w:sz w:val="24"/>
          <w:szCs w:val="24"/>
          <w:u w:val="single"/>
        </w:rPr>
      </w:pPr>
    </w:p>
    <w:p w:rsidR="00AB50C5" w:rsidRDefault="00AB50C5">
      <w:pPr>
        <w:pStyle w:val="JRCCovertext"/>
        <w:rPr>
          <w:rFonts w:ascii="Times New Roman" w:eastAsia="MS Mincho" w:hAnsi="Times New Roman"/>
          <w:noProof/>
          <w:sz w:val="24"/>
          <w:szCs w:val="24"/>
          <w:u w:val="single"/>
        </w:rPr>
      </w:pPr>
    </w:p>
    <w:p w:rsidR="00AB50C5" w:rsidRDefault="00AB50C5">
      <w:pPr>
        <w:pStyle w:val="JRCCovertext"/>
        <w:rPr>
          <w:rFonts w:ascii="Times New Roman" w:eastAsia="MS Mincho" w:hAnsi="Times New Roman"/>
          <w:noProof/>
          <w:sz w:val="24"/>
          <w:szCs w:val="24"/>
          <w:u w:val="single"/>
        </w:rPr>
      </w:pPr>
    </w:p>
    <w:p w:rsidR="00AB50C5" w:rsidRDefault="00AB50C5">
      <w:pPr>
        <w:pStyle w:val="JRCCovertext"/>
        <w:rPr>
          <w:rFonts w:ascii="Times New Roman" w:eastAsia="MS Mincho" w:hAnsi="Times New Roman"/>
          <w:noProof/>
          <w:sz w:val="24"/>
          <w:szCs w:val="24"/>
          <w:u w:val="single"/>
        </w:rPr>
      </w:pPr>
    </w:p>
    <w:p w:rsidR="00AB50C5" w:rsidRDefault="00AB50C5">
      <w:pPr>
        <w:pStyle w:val="JRCCovertext"/>
        <w:rPr>
          <w:rFonts w:ascii="Times New Roman" w:eastAsia="MS Mincho" w:hAnsi="Times New Roman"/>
          <w:noProof/>
          <w:sz w:val="24"/>
          <w:szCs w:val="24"/>
        </w:rPr>
      </w:pPr>
    </w:p>
    <w:p w:rsidR="00AB50C5" w:rsidRDefault="00724275">
      <w:pPr>
        <w:pStyle w:val="JRCCovertext"/>
        <w:rPr>
          <w:rFonts w:ascii="Times New Roman" w:hAnsi="Times New Roman"/>
          <w:i/>
          <w:noProof/>
          <w:sz w:val="24"/>
          <w:szCs w:val="24"/>
        </w:rPr>
      </w:pPr>
      <w:r>
        <w:rPr>
          <w:rFonts w:ascii="Times New Roman" w:hAnsi="Times New Roman"/>
          <w:i/>
          <w:noProof/>
          <w:sz w:val="24"/>
          <w:szCs w:val="24"/>
        </w:rPr>
        <w:t>Printed in Italy</w:t>
      </w:r>
    </w:p>
    <w:p w:rsidR="00AB50C5" w:rsidRDefault="00AB50C5">
      <w:pPr>
        <w:pStyle w:val="JRCLevel-1Fronttitle"/>
        <w:rPr>
          <w:noProof/>
        </w:rPr>
        <w:sectPr w:rsidR="00AB50C5">
          <w:headerReference w:type="even" r:id="rId17"/>
          <w:headerReference w:type="default" r:id="rId18"/>
          <w:footerReference w:type="even" r:id="rId19"/>
          <w:footerReference w:type="default" r:id="rId20"/>
          <w:headerReference w:type="first" r:id="rId21"/>
          <w:footerReference w:type="first" r:id="rId22"/>
          <w:pgSz w:w="11906" w:h="16838"/>
          <w:pgMar w:top="1417" w:right="1417" w:bottom="1417" w:left="1417" w:header="708" w:footer="708" w:gutter="0"/>
          <w:pgNumType w:start="1"/>
          <w:cols w:space="708"/>
          <w:docGrid w:linePitch="360"/>
        </w:sectPr>
      </w:pPr>
    </w:p>
    <w:p w:rsidR="00AB50C5" w:rsidRDefault="00724275">
      <w:pPr>
        <w:pStyle w:val="TOCHeading"/>
        <w:rPr>
          <w:noProof/>
        </w:rPr>
      </w:pPr>
      <w:r>
        <w:rPr>
          <w:noProof/>
        </w:rPr>
        <w:t>Contents</w:t>
      </w:r>
    </w:p>
    <w:p w:rsidR="00AB50C5" w:rsidRDefault="00724275">
      <w:pPr>
        <w:pStyle w:val="TOC1"/>
        <w:spacing w:before="0" w:after="0"/>
        <w:rPr>
          <w:rFonts w:asciiTheme="minorHAnsi" w:eastAsiaTheme="minorEastAsia" w:hAnsiTheme="minorHAnsi" w:cstheme="minorBidi"/>
          <w:noProof/>
          <w:sz w:val="22"/>
          <w:lang w:val="it-IT" w:eastAsia="it-IT"/>
        </w:rPr>
      </w:pPr>
      <w:r>
        <w:rPr>
          <w:noProof/>
        </w:rPr>
        <w:fldChar w:fldCharType="begin"/>
      </w:r>
      <w:r>
        <w:rPr>
          <w:noProof/>
        </w:rPr>
        <w:instrText xml:space="preserve"> TOC \h \z \t "JRC_Level-1_Front_title,1,JRC_Level-2_Back_title,2,JRC_Level-2_title,2,JRC_Level-1_title,1,JRC_Level-4_title,4,JRC_Level-3_title,3,JRC_Level-5_title,5,JRC_Level-1_Back_title,1" </w:instrText>
      </w:r>
      <w:r>
        <w:rPr>
          <w:noProof/>
        </w:rPr>
        <w:fldChar w:fldCharType="separate"/>
      </w:r>
      <w:hyperlink w:anchor="_Toc498695662" w:history="1">
        <w:r>
          <w:rPr>
            <w:rStyle w:val="Hyperlink"/>
            <w:noProof/>
          </w:rPr>
          <w:t>Acknowledgements</w:t>
        </w:r>
        <w:r>
          <w:rPr>
            <w:noProof/>
            <w:webHidden/>
          </w:rPr>
          <w:tab/>
        </w:r>
        <w:r>
          <w:rPr>
            <w:noProof/>
            <w:webHidden/>
          </w:rPr>
          <w:fldChar w:fldCharType="begin"/>
        </w:r>
        <w:r>
          <w:rPr>
            <w:noProof/>
            <w:webHidden/>
          </w:rPr>
          <w:instrText xml:space="preserve"> PAGEREF _Toc4</w:instrText>
        </w:r>
        <w:r>
          <w:rPr>
            <w:noProof/>
            <w:webHidden/>
          </w:rPr>
          <w:instrText xml:space="preserve">98695662 \h </w:instrText>
        </w:r>
        <w:r>
          <w:rPr>
            <w:noProof/>
            <w:webHidden/>
          </w:rPr>
        </w:r>
        <w:r>
          <w:rPr>
            <w:noProof/>
            <w:webHidden/>
          </w:rPr>
          <w:fldChar w:fldCharType="separate"/>
        </w:r>
        <w:r>
          <w:rPr>
            <w:noProof/>
            <w:webHidden/>
          </w:rPr>
          <w:t>5</w:t>
        </w:r>
        <w:r>
          <w:rPr>
            <w:noProof/>
            <w:webHidden/>
          </w:rPr>
          <w:fldChar w:fldCharType="end"/>
        </w:r>
      </w:hyperlink>
    </w:p>
    <w:p w:rsidR="00AB50C5" w:rsidRDefault="00724275">
      <w:pPr>
        <w:pStyle w:val="TOC1"/>
        <w:spacing w:before="0" w:after="0"/>
        <w:rPr>
          <w:rFonts w:asciiTheme="minorHAnsi" w:eastAsiaTheme="minorEastAsia" w:hAnsiTheme="minorHAnsi" w:cstheme="minorBidi"/>
          <w:noProof/>
          <w:sz w:val="22"/>
          <w:lang w:val="it-IT" w:eastAsia="it-IT"/>
        </w:rPr>
      </w:pPr>
      <w:hyperlink w:anchor="_Toc498695663" w:history="1">
        <w:r>
          <w:rPr>
            <w:rStyle w:val="Hyperlink"/>
            <w:noProof/>
          </w:rPr>
          <w:t>Executive summary</w:t>
        </w:r>
        <w:r>
          <w:rPr>
            <w:noProof/>
            <w:webHidden/>
          </w:rPr>
          <w:tab/>
        </w:r>
        <w:r>
          <w:rPr>
            <w:noProof/>
            <w:webHidden/>
          </w:rPr>
          <w:fldChar w:fldCharType="begin"/>
        </w:r>
        <w:r>
          <w:rPr>
            <w:noProof/>
            <w:webHidden/>
          </w:rPr>
          <w:instrText xml:space="preserve"> PAGEREF _Toc498695663 \h </w:instrText>
        </w:r>
        <w:r>
          <w:rPr>
            <w:noProof/>
            <w:webHidden/>
          </w:rPr>
        </w:r>
        <w:r>
          <w:rPr>
            <w:noProof/>
            <w:webHidden/>
          </w:rPr>
          <w:fldChar w:fldCharType="separate"/>
        </w:r>
        <w:r>
          <w:rPr>
            <w:noProof/>
            <w:webHidden/>
          </w:rPr>
          <w:t>6</w:t>
        </w:r>
        <w:r>
          <w:rPr>
            <w:noProof/>
            <w:webHidden/>
          </w:rPr>
          <w:fldChar w:fldCharType="end"/>
        </w:r>
      </w:hyperlink>
    </w:p>
    <w:p w:rsidR="00AB50C5" w:rsidRDefault="00724275">
      <w:pPr>
        <w:pStyle w:val="TOC1"/>
        <w:spacing w:before="0" w:after="0"/>
        <w:rPr>
          <w:rFonts w:asciiTheme="minorHAnsi" w:eastAsiaTheme="minorEastAsia" w:hAnsiTheme="minorHAnsi" w:cstheme="minorBidi"/>
          <w:noProof/>
          <w:sz w:val="22"/>
          <w:lang w:val="it-IT" w:eastAsia="it-IT"/>
        </w:rPr>
      </w:pPr>
      <w:hyperlink w:anchor="_Toc498695664" w:history="1">
        <w:r>
          <w:rPr>
            <w:rStyle w:val="Hyperlink"/>
            <w:noProof/>
          </w:rPr>
          <w:t>1</w:t>
        </w:r>
        <w:r>
          <w:rPr>
            <w:rFonts w:asciiTheme="minorHAnsi" w:eastAsiaTheme="minorEastAsia" w:hAnsiTheme="minorHAnsi" w:cstheme="minorBidi"/>
            <w:noProof/>
            <w:sz w:val="22"/>
            <w:lang w:val="it-IT" w:eastAsia="it-IT"/>
          </w:rPr>
          <w:tab/>
        </w:r>
        <w:r>
          <w:rPr>
            <w:rStyle w:val="Hyperlink"/>
            <w:noProof/>
          </w:rPr>
          <w:t>Introduction</w:t>
        </w:r>
        <w:r>
          <w:rPr>
            <w:noProof/>
            <w:webHidden/>
          </w:rPr>
          <w:tab/>
        </w:r>
        <w:r>
          <w:rPr>
            <w:noProof/>
            <w:webHidden/>
          </w:rPr>
          <w:fldChar w:fldCharType="begin"/>
        </w:r>
        <w:r>
          <w:rPr>
            <w:noProof/>
            <w:webHidden/>
          </w:rPr>
          <w:instrText xml:space="preserve"> PAGEREF _Toc498695664 \h </w:instrText>
        </w:r>
        <w:r>
          <w:rPr>
            <w:noProof/>
            <w:webHidden/>
          </w:rPr>
        </w:r>
        <w:r>
          <w:rPr>
            <w:noProof/>
            <w:webHidden/>
          </w:rPr>
          <w:fldChar w:fldCharType="separate"/>
        </w:r>
        <w:r>
          <w:rPr>
            <w:noProof/>
            <w:webHidden/>
          </w:rPr>
          <w:t>8</w:t>
        </w:r>
        <w:r>
          <w:rPr>
            <w:noProof/>
            <w:webHidden/>
          </w:rPr>
          <w:fldChar w:fldCharType="end"/>
        </w:r>
      </w:hyperlink>
    </w:p>
    <w:p w:rsidR="00AB50C5" w:rsidRDefault="00724275">
      <w:pPr>
        <w:pStyle w:val="TOC1"/>
        <w:spacing w:before="0" w:after="0"/>
        <w:rPr>
          <w:rFonts w:asciiTheme="minorHAnsi" w:eastAsiaTheme="minorEastAsia" w:hAnsiTheme="minorHAnsi" w:cstheme="minorBidi"/>
          <w:noProof/>
          <w:sz w:val="22"/>
          <w:lang w:val="it-IT" w:eastAsia="it-IT"/>
        </w:rPr>
      </w:pPr>
      <w:hyperlink w:anchor="_Toc498695665" w:history="1">
        <w:r>
          <w:rPr>
            <w:rStyle w:val="Hyperlink"/>
            <w:noProof/>
          </w:rPr>
          <w:t>2</w:t>
        </w:r>
        <w:r>
          <w:rPr>
            <w:rFonts w:asciiTheme="minorHAnsi" w:eastAsiaTheme="minorEastAsia" w:hAnsiTheme="minorHAnsi" w:cstheme="minorBidi"/>
            <w:noProof/>
            <w:sz w:val="22"/>
            <w:lang w:val="it-IT" w:eastAsia="it-IT"/>
          </w:rPr>
          <w:tab/>
        </w:r>
        <w:r>
          <w:rPr>
            <w:rStyle w:val="Hyperlink"/>
            <w:noProof/>
          </w:rPr>
          <w:t>Scope of the document</w:t>
        </w:r>
        <w:r>
          <w:rPr>
            <w:noProof/>
            <w:webHidden/>
          </w:rPr>
          <w:tab/>
        </w:r>
        <w:r>
          <w:rPr>
            <w:noProof/>
            <w:webHidden/>
          </w:rPr>
          <w:fldChar w:fldCharType="begin"/>
        </w:r>
        <w:r>
          <w:rPr>
            <w:noProof/>
            <w:webHidden/>
          </w:rPr>
          <w:instrText xml:space="preserve"> PAGEREF _Toc498695665 \h </w:instrText>
        </w:r>
        <w:r>
          <w:rPr>
            <w:noProof/>
            <w:webHidden/>
          </w:rPr>
        </w:r>
        <w:r>
          <w:rPr>
            <w:noProof/>
            <w:webHidden/>
          </w:rPr>
          <w:fldChar w:fldCharType="separate"/>
        </w:r>
        <w:r>
          <w:rPr>
            <w:noProof/>
            <w:webHidden/>
          </w:rPr>
          <w:t>10</w:t>
        </w:r>
        <w:r>
          <w:rPr>
            <w:noProof/>
            <w:webHidden/>
          </w:rPr>
          <w:fldChar w:fldCharType="end"/>
        </w:r>
      </w:hyperlink>
    </w:p>
    <w:p w:rsidR="00AB50C5" w:rsidRDefault="00724275">
      <w:pPr>
        <w:pStyle w:val="TOC1"/>
        <w:spacing w:before="0" w:after="0"/>
        <w:rPr>
          <w:rFonts w:asciiTheme="minorHAnsi" w:eastAsiaTheme="minorEastAsia" w:hAnsiTheme="minorHAnsi" w:cstheme="minorBidi"/>
          <w:noProof/>
          <w:sz w:val="22"/>
          <w:lang w:val="it-IT" w:eastAsia="it-IT"/>
        </w:rPr>
      </w:pPr>
      <w:hyperlink w:anchor="_Toc498695666" w:history="1">
        <w:r>
          <w:rPr>
            <w:rStyle w:val="Hyperlink"/>
            <w:noProof/>
          </w:rPr>
          <w:t>3</w:t>
        </w:r>
        <w:r>
          <w:rPr>
            <w:rFonts w:asciiTheme="minorHAnsi" w:eastAsiaTheme="minorEastAsia" w:hAnsiTheme="minorHAnsi" w:cstheme="minorBidi"/>
            <w:noProof/>
            <w:sz w:val="22"/>
            <w:lang w:val="it-IT" w:eastAsia="it-IT"/>
          </w:rPr>
          <w:tab/>
        </w:r>
        <w:r>
          <w:rPr>
            <w:rStyle w:val="Hyperlink"/>
            <w:noProof/>
          </w:rPr>
          <w:t>Framework for water reuse management</w:t>
        </w:r>
        <w:r>
          <w:rPr>
            <w:noProof/>
            <w:webHidden/>
          </w:rPr>
          <w:tab/>
        </w:r>
        <w:r>
          <w:rPr>
            <w:noProof/>
            <w:webHidden/>
          </w:rPr>
          <w:fldChar w:fldCharType="begin"/>
        </w:r>
        <w:r>
          <w:rPr>
            <w:noProof/>
            <w:webHidden/>
          </w:rPr>
          <w:instrText xml:space="preserve"> PAGEREF _Toc498695666 \h </w:instrText>
        </w:r>
        <w:r>
          <w:rPr>
            <w:noProof/>
            <w:webHidden/>
          </w:rPr>
        </w:r>
        <w:r>
          <w:rPr>
            <w:noProof/>
            <w:webHidden/>
          </w:rPr>
          <w:fldChar w:fldCharType="separate"/>
        </w:r>
        <w:r>
          <w:rPr>
            <w:noProof/>
            <w:webHidden/>
          </w:rPr>
          <w:t>12</w:t>
        </w:r>
        <w:r>
          <w:rPr>
            <w:noProof/>
            <w:webHidden/>
          </w:rPr>
          <w:fldChar w:fldCharType="end"/>
        </w:r>
      </w:hyperlink>
    </w:p>
    <w:p w:rsidR="00AB50C5" w:rsidRDefault="00724275">
      <w:pPr>
        <w:pStyle w:val="TOC1"/>
        <w:spacing w:before="0" w:after="0"/>
        <w:rPr>
          <w:rFonts w:asciiTheme="minorHAnsi" w:eastAsiaTheme="minorEastAsia" w:hAnsiTheme="minorHAnsi" w:cstheme="minorBidi"/>
          <w:noProof/>
          <w:sz w:val="22"/>
          <w:lang w:val="it-IT" w:eastAsia="it-IT"/>
        </w:rPr>
      </w:pPr>
      <w:hyperlink w:anchor="_Toc498695667" w:history="1">
        <w:r>
          <w:rPr>
            <w:rStyle w:val="Hyperlink"/>
            <w:noProof/>
            <w:lang w:val="en-US"/>
          </w:rPr>
          <w:t>4</w:t>
        </w:r>
        <w:r>
          <w:rPr>
            <w:rFonts w:asciiTheme="minorHAnsi" w:eastAsiaTheme="minorEastAsia" w:hAnsiTheme="minorHAnsi" w:cstheme="minorBidi"/>
            <w:noProof/>
            <w:sz w:val="22"/>
            <w:lang w:val="it-IT" w:eastAsia="it-IT"/>
          </w:rPr>
          <w:tab/>
        </w:r>
        <w:r>
          <w:rPr>
            <w:rStyle w:val="Hyperlink"/>
            <w:noProof/>
            <w:lang w:val="en-US"/>
          </w:rPr>
          <w:t xml:space="preserve">Management of health and environmental </w:t>
        </w:r>
        <w:r>
          <w:rPr>
            <w:rStyle w:val="Hyperlink"/>
            <w:noProof/>
            <w:lang w:val="en-US"/>
          </w:rPr>
          <w:t>risks for water reuse in agricultural irrigation</w:t>
        </w:r>
        <w:r>
          <w:rPr>
            <w:noProof/>
            <w:webHidden/>
          </w:rPr>
          <w:tab/>
        </w:r>
        <w:r>
          <w:rPr>
            <w:noProof/>
            <w:webHidden/>
          </w:rPr>
          <w:fldChar w:fldCharType="begin"/>
        </w:r>
        <w:r>
          <w:rPr>
            <w:noProof/>
            <w:webHidden/>
          </w:rPr>
          <w:instrText xml:space="preserve"> PAGEREF _Toc498695667 \h </w:instrText>
        </w:r>
        <w:r>
          <w:rPr>
            <w:noProof/>
            <w:webHidden/>
          </w:rPr>
        </w:r>
        <w:r>
          <w:rPr>
            <w:noProof/>
            <w:webHidden/>
          </w:rPr>
          <w:fldChar w:fldCharType="separate"/>
        </w:r>
        <w:r>
          <w:rPr>
            <w:noProof/>
            <w:webHidden/>
          </w:rPr>
          <w:t>15</w:t>
        </w:r>
        <w:r>
          <w:rPr>
            <w:noProof/>
            <w:webHidden/>
          </w:rPr>
          <w:fldChar w:fldCharType="end"/>
        </w:r>
      </w:hyperlink>
    </w:p>
    <w:p w:rsidR="00AB50C5" w:rsidRDefault="00724275">
      <w:pPr>
        <w:pStyle w:val="TOC2"/>
        <w:spacing w:before="0" w:after="0"/>
        <w:rPr>
          <w:rFonts w:asciiTheme="minorHAnsi" w:eastAsiaTheme="minorEastAsia" w:hAnsiTheme="minorHAnsi" w:cstheme="minorBidi"/>
          <w:noProof/>
          <w:sz w:val="22"/>
          <w:lang w:val="it-IT" w:eastAsia="it-IT"/>
        </w:rPr>
      </w:pPr>
      <w:hyperlink w:anchor="_Toc498695668" w:history="1">
        <w:r>
          <w:rPr>
            <w:rStyle w:val="Hyperlink"/>
            <w:noProof/>
            <w:lang w:val="en-US"/>
          </w:rPr>
          <w:t>4.1</w:t>
        </w:r>
        <w:r>
          <w:rPr>
            <w:rFonts w:asciiTheme="minorHAnsi" w:eastAsiaTheme="minorEastAsia" w:hAnsiTheme="minorHAnsi" w:cstheme="minorBidi"/>
            <w:noProof/>
            <w:sz w:val="22"/>
            <w:lang w:val="it-IT" w:eastAsia="it-IT"/>
          </w:rPr>
          <w:tab/>
        </w:r>
        <w:r>
          <w:rPr>
            <w:rStyle w:val="Hyperlink"/>
            <w:noProof/>
            <w:lang w:val="en-US"/>
          </w:rPr>
          <w:t>Agricultural irrigation uses</w:t>
        </w:r>
        <w:r>
          <w:rPr>
            <w:noProof/>
            <w:webHidden/>
          </w:rPr>
          <w:tab/>
        </w:r>
        <w:r>
          <w:rPr>
            <w:noProof/>
            <w:webHidden/>
          </w:rPr>
          <w:fldChar w:fldCharType="begin"/>
        </w:r>
        <w:r>
          <w:rPr>
            <w:noProof/>
            <w:webHidden/>
          </w:rPr>
          <w:instrText xml:space="preserve"> PAGEREF _Toc498695668 \h </w:instrText>
        </w:r>
        <w:r>
          <w:rPr>
            <w:noProof/>
            <w:webHidden/>
          </w:rPr>
        </w:r>
        <w:r>
          <w:rPr>
            <w:noProof/>
            <w:webHidden/>
          </w:rPr>
          <w:fldChar w:fldCharType="separate"/>
        </w:r>
        <w:r>
          <w:rPr>
            <w:noProof/>
            <w:webHidden/>
          </w:rPr>
          <w:t>15</w:t>
        </w:r>
        <w:r>
          <w:rPr>
            <w:noProof/>
            <w:webHidden/>
          </w:rPr>
          <w:fldChar w:fldCharType="end"/>
        </w:r>
      </w:hyperlink>
    </w:p>
    <w:p w:rsidR="00AB50C5" w:rsidRDefault="00724275">
      <w:pPr>
        <w:pStyle w:val="TOC2"/>
        <w:spacing w:before="0" w:after="0"/>
        <w:rPr>
          <w:rFonts w:asciiTheme="minorHAnsi" w:eastAsiaTheme="minorEastAsia" w:hAnsiTheme="minorHAnsi" w:cstheme="minorBidi"/>
          <w:noProof/>
          <w:sz w:val="22"/>
          <w:lang w:val="it-IT" w:eastAsia="it-IT"/>
        </w:rPr>
      </w:pPr>
      <w:hyperlink w:anchor="_Toc498695669" w:history="1">
        <w:r>
          <w:rPr>
            <w:rStyle w:val="Hyperlink"/>
            <w:noProof/>
            <w:lang w:val="en-US"/>
          </w:rPr>
          <w:t>4.2</w:t>
        </w:r>
        <w:r>
          <w:rPr>
            <w:rFonts w:asciiTheme="minorHAnsi" w:eastAsiaTheme="minorEastAsia" w:hAnsiTheme="minorHAnsi" w:cstheme="minorBidi"/>
            <w:noProof/>
            <w:sz w:val="22"/>
            <w:lang w:val="it-IT" w:eastAsia="it-IT"/>
          </w:rPr>
          <w:tab/>
        </w:r>
        <w:r>
          <w:rPr>
            <w:rStyle w:val="Hyperlink"/>
            <w:noProof/>
            <w:lang w:val="en-US"/>
          </w:rPr>
          <w:t>Risk management framework for agricultural irrigation</w:t>
        </w:r>
        <w:r>
          <w:rPr>
            <w:noProof/>
            <w:webHidden/>
          </w:rPr>
          <w:tab/>
        </w:r>
        <w:r>
          <w:rPr>
            <w:noProof/>
            <w:webHidden/>
          </w:rPr>
          <w:fldChar w:fldCharType="begin"/>
        </w:r>
        <w:r>
          <w:rPr>
            <w:noProof/>
            <w:webHidden/>
          </w:rPr>
          <w:instrText xml:space="preserve"> PAGEREF _Toc498695669 \h </w:instrText>
        </w:r>
        <w:r>
          <w:rPr>
            <w:noProof/>
            <w:webHidden/>
          </w:rPr>
        </w:r>
        <w:r>
          <w:rPr>
            <w:noProof/>
            <w:webHidden/>
          </w:rPr>
          <w:fldChar w:fldCharType="separate"/>
        </w:r>
        <w:r>
          <w:rPr>
            <w:noProof/>
            <w:webHidden/>
          </w:rPr>
          <w:t>15</w:t>
        </w:r>
        <w:r>
          <w:rPr>
            <w:noProof/>
            <w:webHidden/>
          </w:rPr>
          <w:fldChar w:fldCharType="end"/>
        </w:r>
      </w:hyperlink>
    </w:p>
    <w:p w:rsidR="00AB50C5" w:rsidRDefault="00724275">
      <w:pPr>
        <w:pStyle w:val="TOC3"/>
        <w:spacing w:before="0" w:after="0"/>
        <w:rPr>
          <w:rFonts w:asciiTheme="minorHAnsi" w:eastAsiaTheme="minorEastAsia" w:hAnsiTheme="minorHAnsi" w:cstheme="minorBidi"/>
          <w:noProof/>
          <w:sz w:val="22"/>
          <w:lang w:val="it-IT" w:eastAsia="it-IT"/>
        </w:rPr>
      </w:pPr>
      <w:hyperlink w:anchor="_Toc498695670" w:history="1">
        <w:r>
          <w:rPr>
            <w:rStyle w:val="Hyperlink"/>
            <w:noProof/>
            <w:lang w:val="en-US"/>
            <w14:scene3d>
              <w14:camera w14:prst="orthographicFront"/>
              <w14:lightRig w14:rig="threePt" w14:dir="t">
                <w14:rot w14:lat="0" w14:lon="0" w14:rev="0"/>
              </w14:lightRig>
            </w14:scene3d>
          </w:rPr>
          <w:t>4.2.1</w:t>
        </w:r>
        <w:r>
          <w:rPr>
            <w:rFonts w:asciiTheme="minorHAnsi" w:eastAsiaTheme="minorEastAsia" w:hAnsiTheme="minorHAnsi" w:cstheme="minorBidi"/>
            <w:noProof/>
            <w:sz w:val="22"/>
            <w:lang w:val="it-IT" w:eastAsia="it-IT"/>
          </w:rPr>
          <w:tab/>
        </w:r>
        <w:r>
          <w:rPr>
            <w:rStyle w:val="Hyperlink"/>
            <w:noProof/>
            <w:lang w:val="en-US"/>
          </w:rPr>
          <w:t>Assembly of a risk management team</w:t>
        </w:r>
        <w:r>
          <w:rPr>
            <w:noProof/>
            <w:webHidden/>
          </w:rPr>
          <w:tab/>
        </w:r>
        <w:r>
          <w:rPr>
            <w:noProof/>
            <w:webHidden/>
          </w:rPr>
          <w:fldChar w:fldCharType="begin"/>
        </w:r>
        <w:r>
          <w:rPr>
            <w:noProof/>
            <w:webHidden/>
          </w:rPr>
          <w:instrText xml:space="preserve"> PAGEREF _Toc498695670 \h </w:instrText>
        </w:r>
        <w:r>
          <w:rPr>
            <w:noProof/>
            <w:webHidden/>
          </w:rPr>
        </w:r>
        <w:r>
          <w:rPr>
            <w:noProof/>
            <w:webHidden/>
          </w:rPr>
          <w:fldChar w:fldCharType="separate"/>
        </w:r>
        <w:r>
          <w:rPr>
            <w:noProof/>
            <w:webHidden/>
          </w:rPr>
          <w:t>16</w:t>
        </w:r>
        <w:r>
          <w:rPr>
            <w:noProof/>
            <w:webHidden/>
          </w:rPr>
          <w:fldChar w:fldCharType="end"/>
        </w:r>
      </w:hyperlink>
    </w:p>
    <w:p w:rsidR="00AB50C5" w:rsidRDefault="00724275">
      <w:pPr>
        <w:pStyle w:val="TOC3"/>
        <w:spacing w:before="0" w:after="0"/>
        <w:rPr>
          <w:rFonts w:asciiTheme="minorHAnsi" w:eastAsiaTheme="minorEastAsia" w:hAnsiTheme="minorHAnsi" w:cstheme="minorBidi"/>
          <w:noProof/>
          <w:sz w:val="22"/>
          <w:lang w:val="it-IT" w:eastAsia="it-IT"/>
        </w:rPr>
      </w:pPr>
      <w:hyperlink w:anchor="_Toc498695671" w:history="1">
        <w:r>
          <w:rPr>
            <w:rStyle w:val="Hyperlink"/>
            <w:noProof/>
            <w:lang w:val="en-US"/>
            <w14:scene3d>
              <w14:camera w14:prst="orthographicFront"/>
              <w14:lightRig w14:rig="threePt" w14:dir="t">
                <w14:rot w14:lat="0" w14:lon="0" w14:rev="0"/>
              </w14:lightRig>
            </w14:scene3d>
          </w:rPr>
          <w:t>4.2.2</w:t>
        </w:r>
        <w:r>
          <w:rPr>
            <w:rFonts w:asciiTheme="minorHAnsi" w:eastAsiaTheme="minorEastAsia" w:hAnsiTheme="minorHAnsi" w:cstheme="minorBidi"/>
            <w:noProof/>
            <w:sz w:val="22"/>
            <w:lang w:val="it-IT" w:eastAsia="it-IT"/>
          </w:rPr>
          <w:tab/>
        </w:r>
        <w:r>
          <w:rPr>
            <w:rStyle w:val="Hyperlink"/>
            <w:noProof/>
            <w:lang w:val="en-US"/>
          </w:rPr>
          <w:t>Description of the water reuse system</w:t>
        </w:r>
        <w:r>
          <w:rPr>
            <w:noProof/>
            <w:webHidden/>
          </w:rPr>
          <w:tab/>
        </w:r>
        <w:r>
          <w:rPr>
            <w:noProof/>
            <w:webHidden/>
          </w:rPr>
          <w:fldChar w:fldCharType="begin"/>
        </w:r>
        <w:r>
          <w:rPr>
            <w:noProof/>
            <w:webHidden/>
          </w:rPr>
          <w:instrText xml:space="preserve"> PAGEREF _Toc498695671 \h </w:instrText>
        </w:r>
        <w:r>
          <w:rPr>
            <w:noProof/>
            <w:webHidden/>
          </w:rPr>
        </w:r>
        <w:r>
          <w:rPr>
            <w:noProof/>
            <w:webHidden/>
          </w:rPr>
          <w:fldChar w:fldCharType="separate"/>
        </w:r>
        <w:r>
          <w:rPr>
            <w:noProof/>
            <w:webHidden/>
          </w:rPr>
          <w:t>16</w:t>
        </w:r>
        <w:r>
          <w:rPr>
            <w:noProof/>
            <w:webHidden/>
          </w:rPr>
          <w:fldChar w:fldCharType="end"/>
        </w:r>
      </w:hyperlink>
    </w:p>
    <w:p w:rsidR="00AB50C5" w:rsidRDefault="00724275">
      <w:pPr>
        <w:pStyle w:val="TOC3"/>
        <w:spacing w:before="0" w:after="0"/>
        <w:rPr>
          <w:rFonts w:asciiTheme="minorHAnsi" w:eastAsiaTheme="minorEastAsia" w:hAnsiTheme="minorHAnsi" w:cstheme="minorBidi"/>
          <w:noProof/>
          <w:sz w:val="22"/>
          <w:lang w:val="it-IT" w:eastAsia="it-IT"/>
        </w:rPr>
      </w:pPr>
      <w:hyperlink w:anchor="_Toc498695672" w:history="1">
        <w:r>
          <w:rPr>
            <w:rStyle w:val="Hyperlink"/>
            <w:noProof/>
            <w14:scene3d>
              <w14:camera w14:prst="orthographicFront"/>
              <w14:lightRig w14:rig="threePt" w14:dir="t">
                <w14:rot w14:lat="0" w14:lon="0" w14:rev="0"/>
              </w14:lightRig>
            </w14:scene3d>
          </w:rPr>
          <w:t>4.2.3</w:t>
        </w:r>
        <w:r>
          <w:rPr>
            <w:rFonts w:asciiTheme="minorHAnsi" w:eastAsiaTheme="minorEastAsia" w:hAnsiTheme="minorHAnsi" w:cstheme="minorBidi"/>
            <w:noProof/>
            <w:sz w:val="22"/>
            <w:lang w:val="it-IT" w:eastAsia="it-IT"/>
          </w:rPr>
          <w:tab/>
        </w:r>
        <w:r>
          <w:rPr>
            <w:rStyle w:val="Hyperlink"/>
            <w:noProof/>
          </w:rPr>
          <w:t>Identification of hazards and hazardous events, and risk assessment</w:t>
        </w:r>
        <w:r>
          <w:rPr>
            <w:noProof/>
            <w:webHidden/>
          </w:rPr>
          <w:tab/>
        </w:r>
        <w:r>
          <w:rPr>
            <w:noProof/>
            <w:webHidden/>
          </w:rPr>
          <w:fldChar w:fldCharType="begin"/>
        </w:r>
        <w:r>
          <w:rPr>
            <w:noProof/>
            <w:webHidden/>
          </w:rPr>
          <w:instrText xml:space="preserve"> PAGEREF _Toc498695672 \h </w:instrText>
        </w:r>
        <w:r>
          <w:rPr>
            <w:noProof/>
            <w:webHidden/>
          </w:rPr>
        </w:r>
        <w:r>
          <w:rPr>
            <w:noProof/>
            <w:webHidden/>
          </w:rPr>
          <w:fldChar w:fldCharType="separate"/>
        </w:r>
        <w:r>
          <w:rPr>
            <w:noProof/>
            <w:webHidden/>
          </w:rPr>
          <w:t>16</w:t>
        </w:r>
        <w:r>
          <w:rPr>
            <w:noProof/>
            <w:webHidden/>
          </w:rPr>
          <w:fldChar w:fldCharType="end"/>
        </w:r>
      </w:hyperlink>
    </w:p>
    <w:p w:rsidR="00AB50C5" w:rsidRDefault="00724275">
      <w:pPr>
        <w:pStyle w:val="TOC4"/>
        <w:spacing w:before="0" w:after="0"/>
        <w:rPr>
          <w:rFonts w:asciiTheme="minorHAnsi" w:eastAsiaTheme="minorEastAsia" w:hAnsiTheme="minorHAnsi" w:cstheme="minorBidi"/>
          <w:noProof/>
          <w:sz w:val="22"/>
          <w:lang w:val="it-IT" w:eastAsia="it-IT"/>
        </w:rPr>
      </w:pPr>
      <w:hyperlink w:anchor="_Toc498695673" w:history="1">
        <w:r>
          <w:rPr>
            <w:rStyle w:val="Hyperlink"/>
            <w:noProof/>
            <w:lang w:val="en-US" w:eastAsia="it-IT"/>
          </w:rPr>
          <w:t>4.2.3.1</w:t>
        </w:r>
        <w:r>
          <w:rPr>
            <w:rFonts w:asciiTheme="minorHAnsi" w:eastAsiaTheme="minorEastAsia" w:hAnsiTheme="minorHAnsi" w:cstheme="minorBidi"/>
            <w:noProof/>
            <w:sz w:val="22"/>
            <w:lang w:val="it-IT" w:eastAsia="it-IT"/>
          </w:rPr>
          <w:tab/>
        </w:r>
        <w:r>
          <w:rPr>
            <w:rStyle w:val="Hyperlink"/>
            <w:noProof/>
            <w:lang w:val="en-US" w:eastAsia="it-IT"/>
          </w:rPr>
          <w:t>Health risks</w:t>
        </w:r>
        <w:r>
          <w:rPr>
            <w:noProof/>
            <w:webHidden/>
          </w:rPr>
          <w:tab/>
        </w:r>
        <w:r>
          <w:rPr>
            <w:noProof/>
            <w:webHidden/>
          </w:rPr>
          <w:fldChar w:fldCharType="begin"/>
        </w:r>
        <w:r>
          <w:rPr>
            <w:noProof/>
            <w:webHidden/>
          </w:rPr>
          <w:instrText xml:space="preserve"> PAGEREF _Toc498695673 \h </w:instrText>
        </w:r>
        <w:r>
          <w:rPr>
            <w:noProof/>
            <w:webHidden/>
          </w:rPr>
        </w:r>
        <w:r>
          <w:rPr>
            <w:noProof/>
            <w:webHidden/>
          </w:rPr>
          <w:fldChar w:fldCharType="separate"/>
        </w:r>
        <w:r>
          <w:rPr>
            <w:noProof/>
            <w:webHidden/>
          </w:rPr>
          <w:t>16</w:t>
        </w:r>
        <w:r>
          <w:rPr>
            <w:noProof/>
            <w:webHidden/>
          </w:rPr>
          <w:fldChar w:fldCharType="end"/>
        </w:r>
      </w:hyperlink>
    </w:p>
    <w:p w:rsidR="00AB50C5" w:rsidRDefault="00724275">
      <w:pPr>
        <w:pStyle w:val="TOC4"/>
        <w:spacing w:before="0" w:after="0"/>
        <w:rPr>
          <w:rFonts w:asciiTheme="minorHAnsi" w:eastAsiaTheme="minorEastAsia" w:hAnsiTheme="minorHAnsi" w:cstheme="minorBidi"/>
          <w:noProof/>
          <w:sz w:val="22"/>
          <w:lang w:val="it-IT" w:eastAsia="it-IT"/>
        </w:rPr>
      </w:pPr>
      <w:hyperlink w:anchor="_Toc498695674" w:history="1">
        <w:r>
          <w:rPr>
            <w:rStyle w:val="Hyperlink"/>
            <w:noProof/>
            <w:lang w:val="en-US"/>
          </w:rPr>
          <w:t>4.2.3.2</w:t>
        </w:r>
        <w:r>
          <w:rPr>
            <w:rFonts w:asciiTheme="minorHAnsi" w:eastAsiaTheme="minorEastAsia" w:hAnsiTheme="minorHAnsi" w:cstheme="minorBidi"/>
            <w:noProof/>
            <w:sz w:val="22"/>
            <w:lang w:val="it-IT" w:eastAsia="it-IT"/>
          </w:rPr>
          <w:tab/>
        </w:r>
        <w:r>
          <w:rPr>
            <w:rStyle w:val="Hyperlink"/>
            <w:noProof/>
            <w:lang w:val="en-US"/>
          </w:rPr>
          <w:t>Environmental risks</w:t>
        </w:r>
        <w:r>
          <w:rPr>
            <w:noProof/>
            <w:webHidden/>
          </w:rPr>
          <w:tab/>
        </w:r>
        <w:r>
          <w:rPr>
            <w:noProof/>
            <w:webHidden/>
          </w:rPr>
          <w:fldChar w:fldCharType="begin"/>
        </w:r>
        <w:r>
          <w:rPr>
            <w:noProof/>
            <w:webHidden/>
          </w:rPr>
          <w:instrText xml:space="preserve"> PAGEREF _Toc498695674 \h </w:instrText>
        </w:r>
        <w:r>
          <w:rPr>
            <w:noProof/>
            <w:webHidden/>
          </w:rPr>
        </w:r>
        <w:r>
          <w:rPr>
            <w:noProof/>
            <w:webHidden/>
          </w:rPr>
          <w:fldChar w:fldCharType="separate"/>
        </w:r>
        <w:r>
          <w:rPr>
            <w:noProof/>
            <w:webHidden/>
          </w:rPr>
          <w:t>17</w:t>
        </w:r>
        <w:r>
          <w:rPr>
            <w:noProof/>
            <w:webHidden/>
          </w:rPr>
          <w:fldChar w:fldCharType="end"/>
        </w:r>
      </w:hyperlink>
    </w:p>
    <w:p w:rsidR="00AB50C5" w:rsidRDefault="00724275">
      <w:pPr>
        <w:pStyle w:val="TOC3"/>
        <w:spacing w:before="0" w:after="0"/>
        <w:rPr>
          <w:rFonts w:asciiTheme="minorHAnsi" w:eastAsiaTheme="minorEastAsia" w:hAnsiTheme="minorHAnsi" w:cstheme="minorBidi"/>
          <w:noProof/>
          <w:sz w:val="22"/>
          <w:lang w:val="it-IT" w:eastAsia="it-IT"/>
        </w:rPr>
      </w:pPr>
      <w:hyperlink w:anchor="_Toc498695675" w:history="1">
        <w:r>
          <w:rPr>
            <w:rStyle w:val="Hyperlink"/>
            <w:noProof/>
            <w:lang w:val="en-US"/>
            <w14:scene3d>
              <w14:camera w14:prst="orthographicFront"/>
              <w14:lightRig w14:rig="threePt" w14:dir="t">
                <w14:rot w14:lat="0" w14:lon="0" w14:rev="0"/>
              </w14:lightRig>
            </w14:scene3d>
          </w:rPr>
          <w:t>4.2.4</w:t>
        </w:r>
        <w:r>
          <w:rPr>
            <w:rFonts w:asciiTheme="minorHAnsi" w:eastAsiaTheme="minorEastAsia" w:hAnsiTheme="minorHAnsi" w:cstheme="minorBidi"/>
            <w:noProof/>
            <w:sz w:val="22"/>
            <w:lang w:val="it-IT" w:eastAsia="it-IT"/>
          </w:rPr>
          <w:tab/>
        </w:r>
        <w:r>
          <w:rPr>
            <w:rStyle w:val="Hyperlink"/>
            <w:noProof/>
            <w:lang w:val="en-US"/>
          </w:rPr>
          <w:t>Determination of preventive measures to limit risks</w:t>
        </w:r>
        <w:r>
          <w:rPr>
            <w:noProof/>
            <w:webHidden/>
          </w:rPr>
          <w:tab/>
        </w:r>
        <w:r>
          <w:rPr>
            <w:noProof/>
            <w:webHidden/>
          </w:rPr>
          <w:fldChar w:fldCharType="begin"/>
        </w:r>
        <w:r>
          <w:rPr>
            <w:noProof/>
            <w:webHidden/>
          </w:rPr>
          <w:instrText xml:space="preserve"> PAGEREF _Toc498695675 \h </w:instrText>
        </w:r>
        <w:r>
          <w:rPr>
            <w:noProof/>
            <w:webHidden/>
          </w:rPr>
        </w:r>
        <w:r>
          <w:rPr>
            <w:noProof/>
            <w:webHidden/>
          </w:rPr>
          <w:fldChar w:fldCharType="separate"/>
        </w:r>
        <w:r>
          <w:rPr>
            <w:noProof/>
            <w:webHidden/>
          </w:rPr>
          <w:t>19</w:t>
        </w:r>
        <w:r>
          <w:rPr>
            <w:noProof/>
            <w:webHidden/>
          </w:rPr>
          <w:fldChar w:fldCharType="end"/>
        </w:r>
      </w:hyperlink>
    </w:p>
    <w:p w:rsidR="00AB50C5" w:rsidRDefault="00724275">
      <w:pPr>
        <w:pStyle w:val="TOC3"/>
        <w:spacing w:before="0" w:after="0"/>
        <w:rPr>
          <w:rFonts w:asciiTheme="minorHAnsi" w:eastAsiaTheme="minorEastAsia" w:hAnsiTheme="minorHAnsi" w:cstheme="minorBidi"/>
          <w:noProof/>
          <w:sz w:val="22"/>
          <w:lang w:val="it-IT" w:eastAsia="it-IT"/>
        </w:rPr>
      </w:pPr>
      <w:hyperlink w:anchor="_Toc498695676" w:history="1">
        <w:r>
          <w:rPr>
            <w:rStyle w:val="Hyperlink"/>
            <w:noProof/>
            <w:lang w:val="en-US"/>
            <w14:scene3d>
              <w14:camera w14:prst="orthographicFront"/>
              <w14:lightRig w14:rig="threePt" w14:dir="t">
                <w14:rot w14:lat="0" w14:lon="0" w14:rev="0"/>
              </w14:lightRig>
            </w14:scene3d>
          </w:rPr>
          <w:t>4.2.5</w:t>
        </w:r>
        <w:r>
          <w:rPr>
            <w:rFonts w:asciiTheme="minorHAnsi" w:eastAsiaTheme="minorEastAsia" w:hAnsiTheme="minorHAnsi" w:cstheme="minorBidi"/>
            <w:noProof/>
            <w:sz w:val="22"/>
            <w:lang w:val="it-IT" w:eastAsia="it-IT"/>
          </w:rPr>
          <w:tab/>
        </w:r>
        <w:r>
          <w:rPr>
            <w:rStyle w:val="Hyperlink"/>
            <w:noProof/>
            <w:lang w:val="en-US"/>
          </w:rPr>
          <w:t>Development of operational procedures</w:t>
        </w:r>
        <w:r>
          <w:rPr>
            <w:noProof/>
            <w:webHidden/>
          </w:rPr>
          <w:tab/>
        </w:r>
        <w:r>
          <w:rPr>
            <w:noProof/>
            <w:webHidden/>
          </w:rPr>
          <w:fldChar w:fldCharType="begin"/>
        </w:r>
        <w:r>
          <w:rPr>
            <w:noProof/>
            <w:webHidden/>
          </w:rPr>
          <w:instrText xml:space="preserve"> PAGEREF _Toc498695676 \h </w:instrText>
        </w:r>
        <w:r>
          <w:rPr>
            <w:noProof/>
            <w:webHidden/>
          </w:rPr>
        </w:r>
        <w:r>
          <w:rPr>
            <w:noProof/>
            <w:webHidden/>
          </w:rPr>
          <w:fldChar w:fldCharType="separate"/>
        </w:r>
        <w:r>
          <w:rPr>
            <w:noProof/>
            <w:webHidden/>
          </w:rPr>
          <w:t>21</w:t>
        </w:r>
        <w:r>
          <w:rPr>
            <w:noProof/>
            <w:webHidden/>
          </w:rPr>
          <w:fldChar w:fldCharType="end"/>
        </w:r>
      </w:hyperlink>
    </w:p>
    <w:p w:rsidR="00AB50C5" w:rsidRDefault="00724275">
      <w:pPr>
        <w:pStyle w:val="TOC3"/>
        <w:spacing w:before="0" w:after="0"/>
        <w:rPr>
          <w:rFonts w:asciiTheme="minorHAnsi" w:eastAsiaTheme="minorEastAsia" w:hAnsiTheme="minorHAnsi" w:cstheme="minorBidi"/>
          <w:noProof/>
          <w:sz w:val="22"/>
          <w:lang w:val="it-IT" w:eastAsia="it-IT"/>
        </w:rPr>
      </w:pPr>
      <w:hyperlink w:anchor="_Toc498695677" w:history="1">
        <w:r>
          <w:rPr>
            <w:rStyle w:val="Hyperlink"/>
            <w:noProof/>
            <w14:scene3d>
              <w14:camera w14:prst="orthographicFront"/>
              <w14:lightRig w14:rig="threePt" w14:dir="t">
                <w14:rot w14:lat="0" w14:lon="0" w14:rev="0"/>
              </w14:lightRig>
            </w14:scene3d>
          </w:rPr>
          <w:t>4.2.6</w:t>
        </w:r>
        <w:r>
          <w:rPr>
            <w:rFonts w:asciiTheme="minorHAnsi" w:eastAsiaTheme="minorEastAsia" w:hAnsiTheme="minorHAnsi" w:cstheme="minorBidi"/>
            <w:noProof/>
            <w:sz w:val="22"/>
            <w:lang w:val="it-IT" w:eastAsia="it-IT"/>
          </w:rPr>
          <w:tab/>
        </w:r>
        <w:r>
          <w:rPr>
            <w:rStyle w:val="Hyperlink"/>
            <w:noProof/>
          </w:rPr>
          <w:t>Verification of water quality and receiving environments</w:t>
        </w:r>
        <w:r>
          <w:rPr>
            <w:noProof/>
            <w:webHidden/>
          </w:rPr>
          <w:tab/>
        </w:r>
        <w:r>
          <w:rPr>
            <w:noProof/>
            <w:webHidden/>
          </w:rPr>
          <w:fldChar w:fldCharType="begin"/>
        </w:r>
        <w:r>
          <w:rPr>
            <w:noProof/>
            <w:webHidden/>
          </w:rPr>
          <w:instrText xml:space="preserve"> PAGEREF _Toc498695677 \h </w:instrText>
        </w:r>
        <w:r>
          <w:rPr>
            <w:noProof/>
            <w:webHidden/>
          </w:rPr>
        </w:r>
        <w:r>
          <w:rPr>
            <w:noProof/>
            <w:webHidden/>
          </w:rPr>
          <w:fldChar w:fldCharType="separate"/>
        </w:r>
        <w:r>
          <w:rPr>
            <w:noProof/>
            <w:webHidden/>
          </w:rPr>
          <w:t>23</w:t>
        </w:r>
        <w:r>
          <w:rPr>
            <w:noProof/>
            <w:webHidden/>
          </w:rPr>
          <w:fldChar w:fldCharType="end"/>
        </w:r>
      </w:hyperlink>
    </w:p>
    <w:p w:rsidR="00AB50C5" w:rsidRDefault="00724275">
      <w:pPr>
        <w:pStyle w:val="TOC3"/>
        <w:spacing w:before="0" w:after="0"/>
        <w:rPr>
          <w:rFonts w:asciiTheme="minorHAnsi" w:eastAsiaTheme="minorEastAsia" w:hAnsiTheme="minorHAnsi" w:cstheme="minorBidi"/>
          <w:noProof/>
          <w:sz w:val="22"/>
          <w:lang w:val="it-IT" w:eastAsia="it-IT"/>
        </w:rPr>
      </w:pPr>
      <w:hyperlink w:anchor="_Toc498695678" w:history="1">
        <w:r>
          <w:rPr>
            <w:rStyle w:val="Hyperlink"/>
            <w:noProof/>
            <w:lang w:val="en-US"/>
            <w14:scene3d>
              <w14:camera w14:prst="orthographicFront"/>
              <w14:lightRig w14:rig="threePt" w14:dir="t">
                <w14:rot w14:lat="0" w14:lon="0" w14:rev="0"/>
              </w14:lightRig>
            </w14:scene3d>
          </w:rPr>
          <w:t>4.2.7</w:t>
        </w:r>
        <w:r>
          <w:rPr>
            <w:rFonts w:asciiTheme="minorHAnsi" w:eastAsiaTheme="minorEastAsia" w:hAnsiTheme="minorHAnsi" w:cstheme="minorBidi"/>
            <w:noProof/>
            <w:sz w:val="22"/>
            <w:lang w:val="it-IT" w:eastAsia="it-IT"/>
          </w:rPr>
          <w:tab/>
        </w:r>
        <w:r>
          <w:rPr>
            <w:rStyle w:val="Hyperlink"/>
            <w:noProof/>
            <w:lang w:val="en-US"/>
          </w:rPr>
          <w:t>Validation of processes and procedures</w:t>
        </w:r>
        <w:r>
          <w:rPr>
            <w:noProof/>
            <w:webHidden/>
          </w:rPr>
          <w:tab/>
        </w:r>
        <w:r>
          <w:rPr>
            <w:noProof/>
            <w:webHidden/>
          </w:rPr>
          <w:fldChar w:fldCharType="begin"/>
        </w:r>
        <w:r>
          <w:rPr>
            <w:noProof/>
            <w:webHidden/>
          </w:rPr>
          <w:instrText xml:space="preserve"> PAGEREF _Toc498695678 \h </w:instrText>
        </w:r>
        <w:r>
          <w:rPr>
            <w:noProof/>
            <w:webHidden/>
          </w:rPr>
        </w:r>
        <w:r>
          <w:rPr>
            <w:noProof/>
            <w:webHidden/>
          </w:rPr>
          <w:fldChar w:fldCharType="separate"/>
        </w:r>
        <w:r>
          <w:rPr>
            <w:noProof/>
            <w:webHidden/>
          </w:rPr>
          <w:t>24</w:t>
        </w:r>
        <w:r>
          <w:rPr>
            <w:noProof/>
            <w:webHidden/>
          </w:rPr>
          <w:fldChar w:fldCharType="end"/>
        </w:r>
      </w:hyperlink>
    </w:p>
    <w:p w:rsidR="00AB50C5" w:rsidRDefault="00724275">
      <w:pPr>
        <w:pStyle w:val="TOC3"/>
        <w:spacing w:before="0" w:after="0"/>
        <w:rPr>
          <w:rFonts w:asciiTheme="minorHAnsi" w:eastAsiaTheme="minorEastAsia" w:hAnsiTheme="minorHAnsi" w:cstheme="minorBidi"/>
          <w:noProof/>
          <w:sz w:val="22"/>
          <w:lang w:val="it-IT" w:eastAsia="it-IT"/>
        </w:rPr>
      </w:pPr>
      <w:hyperlink w:anchor="_Toc498695679" w:history="1">
        <w:r>
          <w:rPr>
            <w:rStyle w:val="Hyperlink"/>
            <w:noProof/>
            <w:lang w:val="en-US"/>
            <w14:scene3d>
              <w14:camera w14:prst="orthographicFront"/>
              <w14:lightRig w14:rig="threePt" w14:dir="t">
                <w14:rot w14:lat="0" w14:lon="0" w14:rev="0"/>
              </w14:lightRig>
            </w14:scene3d>
          </w:rPr>
          <w:t>4.2.8</w:t>
        </w:r>
        <w:r>
          <w:rPr>
            <w:rFonts w:asciiTheme="minorHAnsi" w:eastAsiaTheme="minorEastAsia" w:hAnsiTheme="minorHAnsi" w:cstheme="minorBidi"/>
            <w:noProof/>
            <w:sz w:val="22"/>
            <w:lang w:val="it-IT" w:eastAsia="it-IT"/>
          </w:rPr>
          <w:tab/>
        </w:r>
        <w:r>
          <w:rPr>
            <w:rStyle w:val="Hyperlink"/>
            <w:noProof/>
            <w:lang w:val="en-US"/>
          </w:rPr>
          <w:t>Management of incidents and emergencies</w:t>
        </w:r>
        <w:r>
          <w:rPr>
            <w:noProof/>
            <w:webHidden/>
          </w:rPr>
          <w:tab/>
        </w:r>
        <w:r>
          <w:rPr>
            <w:noProof/>
            <w:webHidden/>
          </w:rPr>
          <w:fldChar w:fldCharType="begin"/>
        </w:r>
        <w:r>
          <w:rPr>
            <w:noProof/>
            <w:webHidden/>
          </w:rPr>
          <w:instrText xml:space="preserve"> PAGEREF _Toc498695679 \h </w:instrText>
        </w:r>
        <w:r>
          <w:rPr>
            <w:noProof/>
            <w:webHidden/>
          </w:rPr>
        </w:r>
        <w:r>
          <w:rPr>
            <w:noProof/>
            <w:webHidden/>
          </w:rPr>
          <w:fldChar w:fldCharType="separate"/>
        </w:r>
        <w:r>
          <w:rPr>
            <w:noProof/>
            <w:webHidden/>
          </w:rPr>
          <w:t>24</w:t>
        </w:r>
        <w:r>
          <w:rPr>
            <w:noProof/>
            <w:webHidden/>
          </w:rPr>
          <w:fldChar w:fldCharType="end"/>
        </w:r>
      </w:hyperlink>
    </w:p>
    <w:p w:rsidR="00AB50C5" w:rsidRDefault="00724275">
      <w:pPr>
        <w:pStyle w:val="TOC2"/>
        <w:spacing w:before="0" w:after="0"/>
        <w:rPr>
          <w:rFonts w:asciiTheme="minorHAnsi" w:eastAsiaTheme="minorEastAsia" w:hAnsiTheme="minorHAnsi" w:cstheme="minorBidi"/>
          <w:noProof/>
          <w:sz w:val="22"/>
          <w:lang w:val="it-IT" w:eastAsia="it-IT"/>
        </w:rPr>
      </w:pPr>
      <w:hyperlink w:anchor="_Toc498695680" w:history="1">
        <w:r>
          <w:rPr>
            <w:rStyle w:val="Hyperlink"/>
            <w:noProof/>
            <w:lang w:val="en-US"/>
          </w:rPr>
          <w:t>4.3</w:t>
        </w:r>
        <w:r>
          <w:rPr>
            <w:rFonts w:asciiTheme="minorHAnsi" w:eastAsiaTheme="minorEastAsia" w:hAnsiTheme="minorHAnsi" w:cstheme="minorBidi"/>
            <w:noProof/>
            <w:sz w:val="22"/>
            <w:lang w:val="it-IT" w:eastAsia="it-IT"/>
          </w:rPr>
          <w:tab/>
        </w:r>
        <w:r>
          <w:rPr>
            <w:rStyle w:val="Hyperlink"/>
            <w:noProof/>
            <w:lang w:val="en-US"/>
          </w:rPr>
          <w:t>Minimum reclaimed water quality criteria and preventive measures</w:t>
        </w:r>
        <w:r>
          <w:rPr>
            <w:noProof/>
            <w:webHidden/>
          </w:rPr>
          <w:tab/>
        </w:r>
        <w:r>
          <w:rPr>
            <w:noProof/>
            <w:webHidden/>
          </w:rPr>
          <w:fldChar w:fldCharType="begin"/>
        </w:r>
        <w:r>
          <w:rPr>
            <w:noProof/>
            <w:webHidden/>
          </w:rPr>
          <w:instrText xml:space="preserve"> PAGEREF _Toc498695680 \h </w:instrText>
        </w:r>
        <w:r>
          <w:rPr>
            <w:noProof/>
            <w:webHidden/>
          </w:rPr>
        </w:r>
        <w:r>
          <w:rPr>
            <w:noProof/>
            <w:webHidden/>
          </w:rPr>
          <w:fldChar w:fldCharType="separate"/>
        </w:r>
        <w:r>
          <w:rPr>
            <w:noProof/>
            <w:webHidden/>
          </w:rPr>
          <w:t>24</w:t>
        </w:r>
        <w:r>
          <w:rPr>
            <w:noProof/>
            <w:webHidden/>
          </w:rPr>
          <w:fldChar w:fldCharType="end"/>
        </w:r>
      </w:hyperlink>
    </w:p>
    <w:p w:rsidR="00AB50C5" w:rsidRDefault="00724275">
      <w:pPr>
        <w:pStyle w:val="TOC2"/>
        <w:spacing w:before="0" w:after="0"/>
        <w:rPr>
          <w:rFonts w:asciiTheme="minorHAnsi" w:eastAsiaTheme="minorEastAsia" w:hAnsiTheme="minorHAnsi" w:cstheme="minorBidi"/>
          <w:noProof/>
          <w:sz w:val="22"/>
          <w:lang w:val="it-IT" w:eastAsia="it-IT"/>
        </w:rPr>
      </w:pPr>
      <w:hyperlink w:anchor="_Toc498695681" w:history="1">
        <w:r>
          <w:rPr>
            <w:rStyle w:val="Hyperlink"/>
            <w:noProof/>
          </w:rPr>
          <w:t>4.4</w:t>
        </w:r>
        <w:r>
          <w:rPr>
            <w:rFonts w:asciiTheme="minorHAnsi" w:eastAsiaTheme="minorEastAsia" w:hAnsiTheme="minorHAnsi" w:cstheme="minorBidi"/>
            <w:noProof/>
            <w:sz w:val="22"/>
            <w:lang w:val="it-IT" w:eastAsia="it-IT"/>
          </w:rPr>
          <w:tab/>
        </w:r>
        <w:r>
          <w:rPr>
            <w:rStyle w:val="Hyperlink"/>
            <w:noProof/>
          </w:rPr>
          <w:t>Just</w:t>
        </w:r>
        <w:r>
          <w:rPr>
            <w:rStyle w:val="Hyperlink"/>
            <w:noProof/>
          </w:rPr>
          <w:t>ification for the selected quality requirements</w:t>
        </w:r>
        <w:r>
          <w:rPr>
            <w:noProof/>
            <w:webHidden/>
          </w:rPr>
          <w:tab/>
        </w:r>
        <w:r>
          <w:rPr>
            <w:noProof/>
            <w:webHidden/>
          </w:rPr>
          <w:fldChar w:fldCharType="begin"/>
        </w:r>
        <w:r>
          <w:rPr>
            <w:noProof/>
            <w:webHidden/>
          </w:rPr>
          <w:instrText xml:space="preserve"> PAGEREF _Toc498695681 \h </w:instrText>
        </w:r>
        <w:r>
          <w:rPr>
            <w:noProof/>
            <w:webHidden/>
          </w:rPr>
        </w:r>
        <w:r>
          <w:rPr>
            <w:noProof/>
            <w:webHidden/>
          </w:rPr>
          <w:fldChar w:fldCharType="separate"/>
        </w:r>
        <w:r>
          <w:rPr>
            <w:noProof/>
            <w:webHidden/>
          </w:rPr>
          <w:t>28</w:t>
        </w:r>
        <w:r>
          <w:rPr>
            <w:noProof/>
            <w:webHidden/>
          </w:rPr>
          <w:fldChar w:fldCharType="end"/>
        </w:r>
      </w:hyperlink>
    </w:p>
    <w:p w:rsidR="00AB50C5" w:rsidRDefault="00724275">
      <w:pPr>
        <w:pStyle w:val="TOC3"/>
        <w:spacing w:before="0" w:after="0"/>
        <w:rPr>
          <w:rFonts w:asciiTheme="minorHAnsi" w:eastAsiaTheme="minorEastAsia" w:hAnsiTheme="minorHAnsi" w:cstheme="minorBidi"/>
          <w:noProof/>
          <w:sz w:val="22"/>
          <w:lang w:val="it-IT" w:eastAsia="it-IT"/>
        </w:rPr>
      </w:pPr>
      <w:hyperlink w:anchor="_Toc498695682" w:history="1">
        <w:r>
          <w:rPr>
            <w:rStyle w:val="Hyperlink"/>
            <w:noProof/>
            <w:lang w:val="en-US"/>
            <w14:scene3d>
              <w14:camera w14:prst="orthographicFront"/>
              <w14:lightRig w14:rig="threePt" w14:dir="t">
                <w14:rot w14:lat="0" w14:lon="0" w14:rev="0"/>
              </w14:lightRig>
            </w14:scene3d>
          </w:rPr>
          <w:t>4.4.1</w:t>
        </w:r>
        <w:r>
          <w:rPr>
            <w:rFonts w:asciiTheme="minorHAnsi" w:eastAsiaTheme="minorEastAsia" w:hAnsiTheme="minorHAnsi" w:cstheme="minorBidi"/>
            <w:noProof/>
            <w:sz w:val="22"/>
            <w:lang w:val="it-IT" w:eastAsia="it-IT"/>
          </w:rPr>
          <w:tab/>
        </w:r>
        <w:r>
          <w:rPr>
            <w:rStyle w:val="Hyperlink"/>
            <w:noProof/>
            <w:lang w:val="en-US"/>
          </w:rPr>
          <w:t>Health and environmental risks considered for agricultural irrigation</w:t>
        </w:r>
        <w:r>
          <w:rPr>
            <w:noProof/>
            <w:webHidden/>
          </w:rPr>
          <w:tab/>
        </w:r>
        <w:r>
          <w:rPr>
            <w:noProof/>
            <w:webHidden/>
          </w:rPr>
          <w:fldChar w:fldCharType="begin"/>
        </w:r>
        <w:r>
          <w:rPr>
            <w:noProof/>
            <w:webHidden/>
          </w:rPr>
          <w:instrText xml:space="preserve"> PAGEREF _Toc498695682 \h </w:instrText>
        </w:r>
        <w:r>
          <w:rPr>
            <w:noProof/>
            <w:webHidden/>
          </w:rPr>
        </w:r>
        <w:r>
          <w:rPr>
            <w:noProof/>
            <w:webHidden/>
          </w:rPr>
          <w:fldChar w:fldCharType="separate"/>
        </w:r>
        <w:r>
          <w:rPr>
            <w:noProof/>
            <w:webHidden/>
          </w:rPr>
          <w:t>28</w:t>
        </w:r>
        <w:r>
          <w:rPr>
            <w:noProof/>
            <w:webHidden/>
          </w:rPr>
          <w:fldChar w:fldCharType="end"/>
        </w:r>
      </w:hyperlink>
    </w:p>
    <w:p w:rsidR="00AB50C5" w:rsidRDefault="00724275">
      <w:pPr>
        <w:pStyle w:val="TOC3"/>
        <w:spacing w:before="0" w:after="0"/>
        <w:rPr>
          <w:rFonts w:asciiTheme="minorHAnsi" w:eastAsiaTheme="minorEastAsia" w:hAnsiTheme="minorHAnsi" w:cstheme="minorBidi"/>
          <w:noProof/>
          <w:sz w:val="22"/>
          <w:lang w:val="it-IT" w:eastAsia="it-IT"/>
        </w:rPr>
      </w:pPr>
      <w:hyperlink w:anchor="_Toc498695683" w:history="1">
        <w:r>
          <w:rPr>
            <w:rStyle w:val="Hyperlink"/>
            <w:noProof/>
            <w:lang w:val="en-US"/>
            <w14:scene3d>
              <w14:camera w14:prst="orthographicFront"/>
              <w14:lightRig w14:rig="threePt" w14:dir="t">
                <w14:rot w14:lat="0" w14:lon="0" w14:rev="0"/>
              </w14:lightRig>
            </w14:scene3d>
          </w:rPr>
          <w:t>4.4.2</w:t>
        </w:r>
        <w:r>
          <w:rPr>
            <w:rFonts w:asciiTheme="minorHAnsi" w:eastAsiaTheme="minorEastAsia" w:hAnsiTheme="minorHAnsi" w:cstheme="minorBidi"/>
            <w:noProof/>
            <w:sz w:val="22"/>
            <w:lang w:val="it-IT" w:eastAsia="it-IT"/>
          </w:rPr>
          <w:tab/>
        </w:r>
        <w:r>
          <w:rPr>
            <w:rStyle w:val="Hyperlink"/>
            <w:noProof/>
            <w:lang w:val="en-US"/>
          </w:rPr>
          <w:t>Tolerable risk for human health</w:t>
        </w:r>
        <w:r>
          <w:rPr>
            <w:noProof/>
            <w:webHidden/>
          </w:rPr>
          <w:tab/>
        </w:r>
        <w:r>
          <w:rPr>
            <w:noProof/>
            <w:webHidden/>
          </w:rPr>
          <w:fldChar w:fldCharType="begin"/>
        </w:r>
        <w:r>
          <w:rPr>
            <w:noProof/>
            <w:webHidden/>
          </w:rPr>
          <w:instrText xml:space="preserve"> PAGEREF _Toc498695683 \h </w:instrText>
        </w:r>
        <w:r>
          <w:rPr>
            <w:noProof/>
            <w:webHidden/>
          </w:rPr>
        </w:r>
        <w:r>
          <w:rPr>
            <w:noProof/>
            <w:webHidden/>
          </w:rPr>
          <w:fldChar w:fldCharType="separate"/>
        </w:r>
        <w:r>
          <w:rPr>
            <w:noProof/>
            <w:webHidden/>
          </w:rPr>
          <w:t>29</w:t>
        </w:r>
        <w:r>
          <w:rPr>
            <w:noProof/>
            <w:webHidden/>
          </w:rPr>
          <w:fldChar w:fldCharType="end"/>
        </w:r>
      </w:hyperlink>
    </w:p>
    <w:p w:rsidR="00AB50C5" w:rsidRDefault="00724275">
      <w:pPr>
        <w:pStyle w:val="TOC3"/>
        <w:spacing w:before="0" w:after="0"/>
        <w:rPr>
          <w:rFonts w:asciiTheme="minorHAnsi" w:eastAsiaTheme="minorEastAsia" w:hAnsiTheme="minorHAnsi" w:cstheme="minorBidi"/>
          <w:noProof/>
          <w:sz w:val="22"/>
          <w:lang w:val="it-IT" w:eastAsia="it-IT"/>
        </w:rPr>
      </w:pPr>
      <w:hyperlink w:anchor="_Toc498695684" w:history="1">
        <w:r>
          <w:rPr>
            <w:rStyle w:val="Hyperlink"/>
            <w:noProof/>
            <w:lang w:val="en-US"/>
            <w14:scene3d>
              <w14:camera w14:prst="orthographicFront"/>
              <w14:lightRig w14:rig="threePt" w14:dir="t">
                <w14:rot w14:lat="0" w14:lon="0" w14:rev="0"/>
              </w14:lightRig>
            </w14:scene3d>
          </w:rPr>
          <w:t>4.4.3</w:t>
        </w:r>
        <w:r>
          <w:rPr>
            <w:rFonts w:asciiTheme="minorHAnsi" w:eastAsiaTheme="minorEastAsia" w:hAnsiTheme="minorHAnsi" w:cstheme="minorBidi"/>
            <w:noProof/>
            <w:sz w:val="22"/>
            <w:lang w:val="it-IT" w:eastAsia="it-IT"/>
          </w:rPr>
          <w:tab/>
        </w:r>
        <w:r>
          <w:rPr>
            <w:rStyle w:val="Hyperlink"/>
            <w:noProof/>
            <w:shd w:val="clear" w:color="auto" w:fill="FFFFFF"/>
            <w:lang w:val="en-US"/>
          </w:rPr>
          <w:t>Reference pathogens</w:t>
        </w:r>
        <w:r>
          <w:rPr>
            <w:noProof/>
            <w:webHidden/>
          </w:rPr>
          <w:tab/>
        </w:r>
        <w:r>
          <w:rPr>
            <w:noProof/>
            <w:webHidden/>
          </w:rPr>
          <w:fldChar w:fldCharType="begin"/>
        </w:r>
        <w:r>
          <w:rPr>
            <w:noProof/>
            <w:webHidden/>
          </w:rPr>
          <w:instrText xml:space="preserve"> PAGEREF _Toc498695684 \h </w:instrText>
        </w:r>
        <w:r>
          <w:rPr>
            <w:noProof/>
            <w:webHidden/>
          </w:rPr>
        </w:r>
        <w:r>
          <w:rPr>
            <w:noProof/>
            <w:webHidden/>
          </w:rPr>
          <w:fldChar w:fldCharType="separate"/>
        </w:r>
        <w:r>
          <w:rPr>
            <w:noProof/>
            <w:webHidden/>
          </w:rPr>
          <w:t>30</w:t>
        </w:r>
        <w:r>
          <w:rPr>
            <w:noProof/>
            <w:webHidden/>
          </w:rPr>
          <w:fldChar w:fldCharType="end"/>
        </w:r>
      </w:hyperlink>
    </w:p>
    <w:p w:rsidR="00AB50C5" w:rsidRDefault="00724275">
      <w:pPr>
        <w:pStyle w:val="TOC3"/>
        <w:spacing w:before="0" w:after="0"/>
        <w:rPr>
          <w:rFonts w:asciiTheme="minorHAnsi" w:eastAsiaTheme="minorEastAsia" w:hAnsiTheme="minorHAnsi" w:cstheme="minorBidi"/>
          <w:noProof/>
          <w:sz w:val="22"/>
          <w:lang w:val="it-IT" w:eastAsia="it-IT"/>
        </w:rPr>
      </w:pPr>
      <w:hyperlink w:anchor="_Toc498695685" w:history="1">
        <w:r>
          <w:rPr>
            <w:rStyle w:val="Hyperlink"/>
            <w:noProof/>
            <w:lang w:val="en-US"/>
            <w14:scene3d>
              <w14:camera w14:prst="orthographicFront"/>
              <w14:lightRig w14:rig="threePt" w14:dir="t">
                <w14:rot w14:lat="0" w14:lon="0" w14:rev="0"/>
              </w14:lightRig>
            </w14:scene3d>
          </w:rPr>
          <w:t>4.4.4</w:t>
        </w:r>
        <w:r>
          <w:rPr>
            <w:rFonts w:asciiTheme="minorHAnsi" w:eastAsiaTheme="minorEastAsia" w:hAnsiTheme="minorHAnsi" w:cstheme="minorBidi"/>
            <w:noProof/>
            <w:sz w:val="22"/>
            <w:lang w:val="it-IT" w:eastAsia="it-IT"/>
          </w:rPr>
          <w:tab/>
        </w:r>
        <w:r>
          <w:rPr>
            <w:rStyle w:val="Hyperlink"/>
            <w:noProof/>
            <w:lang w:val="en-US"/>
          </w:rPr>
          <w:t>Performance targets</w:t>
        </w:r>
        <w:r>
          <w:rPr>
            <w:noProof/>
            <w:webHidden/>
          </w:rPr>
          <w:tab/>
        </w:r>
        <w:r>
          <w:rPr>
            <w:noProof/>
            <w:webHidden/>
          </w:rPr>
          <w:fldChar w:fldCharType="begin"/>
        </w:r>
        <w:r>
          <w:rPr>
            <w:noProof/>
            <w:webHidden/>
          </w:rPr>
          <w:instrText xml:space="preserve"> PAGEREF _Toc498695685 \h </w:instrText>
        </w:r>
        <w:r>
          <w:rPr>
            <w:noProof/>
            <w:webHidden/>
          </w:rPr>
        </w:r>
        <w:r>
          <w:rPr>
            <w:noProof/>
            <w:webHidden/>
          </w:rPr>
          <w:fldChar w:fldCharType="separate"/>
        </w:r>
        <w:r>
          <w:rPr>
            <w:noProof/>
            <w:webHidden/>
          </w:rPr>
          <w:t>31</w:t>
        </w:r>
        <w:r>
          <w:rPr>
            <w:noProof/>
            <w:webHidden/>
          </w:rPr>
          <w:fldChar w:fldCharType="end"/>
        </w:r>
      </w:hyperlink>
    </w:p>
    <w:p w:rsidR="00AB50C5" w:rsidRDefault="00724275">
      <w:pPr>
        <w:pStyle w:val="TOC3"/>
        <w:spacing w:before="0" w:after="0"/>
        <w:rPr>
          <w:rFonts w:asciiTheme="minorHAnsi" w:eastAsiaTheme="minorEastAsia" w:hAnsiTheme="minorHAnsi" w:cstheme="minorBidi"/>
          <w:noProof/>
          <w:sz w:val="22"/>
          <w:lang w:val="it-IT" w:eastAsia="it-IT"/>
        </w:rPr>
      </w:pPr>
      <w:hyperlink w:anchor="_Toc498695686" w:history="1">
        <w:r>
          <w:rPr>
            <w:rStyle w:val="Hyperlink"/>
            <w:noProof/>
            <w:lang w:val="en-US"/>
            <w14:scene3d>
              <w14:camera w14:prst="orthographicFront"/>
              <w14:lightRig w14:rig="threePt" w14:dir="t">
                <w14:rot w14:lat="0" w14:lon="0" w14:rev="0"/>
              </w14:lightRig>
            </w14:scene3d>
          </w:rPr>
          <w:t>4.4.5</w:t>
        </w:r>
        <w:r>
          <w:rPr>
            <w:rFonts w:asciiTheme="minorHAnsi" w:eastAsiaTheme="minorEastAsia" w:hAnsiTheme="minorHAnsi" w:cstheme="minorBidi"/>
            <w:noProof/>
            <w:sz w:val="22"/>
            <w:lang w:val="it-IT" w:eastAsia="it-IT"/>
          </w:rPr>
          <w:tab/>
        </w:r>
        <w:r>
          <w:rPr>
            <w:rStyle w:val="Hyperlink"/>
            <w:noProof/>
            <w:lang w:val="en-US"/>
          </w:rPr>
          <w:t>Microbiological parameters for monitoring</w:t>
        </w:r>
        <w:r>
          <w:rPr>
            <w:noProof/>
            <w:webHidden/>
          </w:rPr>
          <w:tab/>
        </w:r>
        <w:r>
          <w:rPr>
            <w:noProof/>
            <w:webHidden/>
          </w:rPr>
          <w:fldChar w:fldCharType="begin"/>
        </w:r>
        <w:r>
          <w:rPr>
            <w:noProof/>
            <w:webHidden/>
          </w:rPr>
          <w:instrText xml:space="preserve"> PAGEREF _Toc498695686 \h </w:instrText>
        </w:r>
        <w:r>
          <w:rPr>
            <w:noProof/>
            <w:webHidden/>
          </w:rPr>
        </w:r>
        <w:r>
          <w:rPr>
            <w:noProof/>
            <w:webHidden/>
          </w:rPr>
          <w:fldChar w:fldCharType="separate"/>
        </w:r>
        <w:r>
          <w:rPr>
            <w:noProof/>
            <w:webHidden/>
          </w:rPr>
          <w:t>32</w:t>
        </w:r>
        <w:r>
          <w:rPr>
            <w:noProof/>
            <w:webHidden/>
          </w:rPr>
          <w:fldChar w:fldCharType="end"/>
        </w:r>
      </w:hyperlink>
    </w:p>
    <w:p w:rsidR="00AB50C5" w:rsidRDefault="00724275">
      <w:pPr>
        <w:pStyle w:val="TOC3"/>
        <w:spacing w:before="0" w:after="0"/>
        <w:rPr>
          <w:rFonts w:asciiTheme="minorHAnsi" w:eastAsiaTheme="minorEastAsia" w:hAnsiTheme="minorHAnsi" w:cstheme="minorBidi"/>
          <w:noProof/>
          <w:sz w:val="22"/>
          <w:lang w:val="it-IT" w:eastAsia="it-IT"/>
        </w:rPr>
      </w:pPr>
      <w:hyperlink w:anchor="_Toc498695687" w:history="1">
        <w:r>
          <w:rPr>
            <w:rStyle w:val="Hyperlink"/>
            <w:noProof/>
            <w:lang w:val="en-US"/>
            <w14:scene3d>
              <w14:camera w14:prst="orthographicFront"/>
              <w14:lightRig w14:rig="threePt" w14:dir="t">
                <w14:rot w14:lat="0" w14:lon="0" w14:rev="0"/>
              </w14:lightRig>
            </w14:scene3d>
          </w:rPr>
          <w:t>4.4.6</w:t>
        </w:r>
        <w:r>
          <w:rPr>
            <w:rFonts w:asciiTheme="minorHAnsi" w:eastAsiaTheme="minorEastAsia" w:hAnsiTheme="minorHAnsi" w:cstheme="minorBidi"/>
            <w:noProof/>
            <w:sz w:val="22"/>
            <w:lang w:val="it-IT" w:eastAsia="it-IT"/>
          </w:rPr>
          <w:tab/>
        </w:r>
        <w:r>
          <w:rPr>
            <w:rStyle w:val="Hyperlink"/>
            <w:noProof/>
            <w:shd w:val="clear" w:color="auto" w:fill="FFFFFF"/>
            <w:lang w:val="en-US"/>
          </w:rPr>
          <w:t>Water quality criteria</w:t>
        </w:r>
        <w:r>
          <w:rPr>
            <w:noProof/>
            <w:webHidden/>
          </w:rPr>
          <w:tab/>
        </w:r>
        <w:r>
          <w:rPr>
            <w:noProof/>
            <w:webHidden/>
          </w:rPr>
          <w:fldChar w:fldCharType="begin"/>
        </w:r>
        <w:r>
          <w:rPr>
            <w:noProof/>
            <w:webHidden/>
          </w:rPr>
          <w:instrText xml:space="preserve"> PAGEREF _Toc498695687 \h </w:instrText>
        </w:r>
        <w:r>
          <w:rPr>
            <w:noProof/>
            <w:webHidden/>
          </w:rPr>
        </w:r>
        <w:r>
          <w:rPr>
            <w:noProof/>
            <w:webHidden/>
          </w:rPr>
          <w:fldChar w:fldCharType="separate"/>
        </w:r>
        <w:r>
          <w:rPr>
            <w:noProof/>
            <w:webHidden/>
          </w:rPr>
          <w:t>35</w:t>
        </w:r>
        <w:r>
          <w:rPr>
            <w:noProof/>
            <w:webHidden/>
          </w:rPr>
          <w:fldChar w:fldCharType="end"/>
        </w:r>
      </w:hyperlink>
    </w:p>
    <w:p w:rsidR="00AB50C5" w:rsidRDefault="00724275">
      <w:pPr>
        <w:pStyle w:val="TOC3"/>
        <w:spacing w:before="0" w:after="0"/>
        <w:rPr>
          <w:rFonts w:asciiTheme="minorHAnsi" w:eastAsiaTheme="minorEastAsia" w:hAnsiTheme="minorHAnsi" w:cstheme="minorBidi"/>
          <w:noProof/>
          <w:sz w:val="22"/>
          <w:lang w:val="it-IT" w:eastAsia="it-IT"/>
        </w:rPr>
      </w:pPr>
      <w:hyperlink w:anchor="_Toc498695688" w:history="1">
        <w:r>
          <w:rPr>
            <w:rStyle w:val="Hyperlink"/>
            <w:noProof/>
            <w:lang w:val="en-US"/>
            <w14:scene3d>
              <w14:camera w14:prst="orthographicFront"/>
              <w14:lightRig w14:rig="threePt" w14:dir="t">
                <w14:rot w14:lat="0" w14:lon="0" w14:rev="0"/>
              </w14:lightRig>
            </w14:scene3d>
          </w:rPr>
          <w:t>4.4.7</w:t>
        </w:r>
        <w:r>
          <w:rPr>
            <w:rFonts w:asciiTheme="minorHAnsi" w:eastAsiaTheme="minorEastAsia" w:hAnsiTheme="minorHAnsi" w:cstheme="minorBidi"/>
            <w:noProof/>
            <w:sz w:val="22"/>
            <w:lang w:val="it-IT" w:eastAsia="it-IT"/>
          </w:rPr>
          <w:tab/>
        </w:r>
        <w:r>
          <w:rPr>
            <w:rStyle w:val="Hyperlink"/>
            <w:noProof/>
            <w:lang w:val="en-US"/>
          </w:rPr>
          <w:t>Physico-chemical parameters for monitoring</w:t>
        </w:r>
        <w:r>
          <w:rPr>
            <w:noProof/>
            <w:webHidden/>
          </w:rPr>
          <w:tab/>
        </w:r>
        <w:r>
          <w:rPr>
            <w:noProof/>
            <w:webHidden/>
          </w:rPr>
          <w:fldChar w:fldCharType="begin"/>
        </w:r>
        <w:r>
          <w:rPr>
            <w:noProof/>
            <w:webHidden/>
          </w:rPr>
          <w:instrText xml:space="preserve"> PAGEREF _Toc498695688 \h </w:instrText>
        </w:r>
        <w:r>
          <w:rPr>
            <w:noProof/>
            <w:webHidden/>
          </w:rPr>
        </w:r>
        <w:r>
          <w:rPr>
            <w:noProof/>
            <w:webHidden/>
          </w:rPr>
          <w:fldChar w:fldCharType="separate"/>
        </w:r>
        <w:r>
          <w:rPr>
            <w:noProof/>
            <w:webHidden/>
          </w:rPr>
          <w:t>38</w:t>
        </w:r>
        <w:r>
          <w:rPr>
            <w:noProof/>
            <w:webHidden/>
          </w:rPr>
          <w:fldChar w:fldCharType="end"/>
        </w:r>
      </w:hyperlink>
    </w:p>
    <w:p w:rsidR="00AB50C5" w:rsidRDefault="00724275">
      <w:pPr>
        <w:pStyle w:val="TOC1"/>
        <w:spacing w:before="0" w:after="0"/>
        <w:rPr>
          <w:rFonts w:asciiTheme="minorHAnsi" w:eastAsiaTheme="minorEastAsia" w:hAnsiTheme="minorHAnsi" w:cstheme="minorBidi"/>
          <w:noProof/>
          <w:sz w:val="22"/>
          <w:lang w:eastAsia="it-IT"/>
        </w:rPr>
      </w:pPr>
      <w:hyperlink w:anchor="_Toc498695689" w:history="1">
        <w:r>
          <w:rPr>
            <w:rStyle w:val="Hyperlink"/>
            <w:noProof/>
            <w:lang w:val="en-US"/>
          </w:rPr>
          <w:t>5</w:t>
        </w:r>
        <w:r>
          <w:rPr>
            <w:rFonts w:asciiTheme="minorHAnsi" w:eastAsiaTheme="minorEastAsia" w:hAnsiTheme="minorHAnsi" w:cstheme="minorBidi"/>
            <w:noProof/>
            <w:sz w:val="22"/>
            <w:lang w:val="it-IT" w:eastAsia="it-IT"/>
          </w:rPr>
          <w:tab/>
        </w:r>
        <w:r>
          <w:rPr>
            <w:rStyle w:val="Hyperlink"/>
            <w:noProof/>
            <w:lang w:val="en-US"/>
          </w:rPr>
          <w:t>Management of health and environmental risks for water reuse in aquifer recharge</w:t>
        </w:r>
        <w:r>
          <w:rPr>
            <w:noProof/>
            <w:webHidden/>
          </w:rPr>
          <w:tab/>
        </w:r>
        <w:r>
          <w:rPr>
            <w:noProof/>
            <w:webHidden/>
          </w:rPr>
          <w:fldChar w:fldCharType="begin"/>
        </w:r>
        <w:r>
          <w:rPr>
            <w:noProof/>
            <w:webHidden/>
          </w:rPr>
          <w:instrText xml:space="preserve"> PAGEREF _Toc498695689 \h </w:instrText>
        </w:r>
        <w:r>
          <w:rPr>
            <w:noProof/>
            <w:webHidden/>
          </w:rPr>
        </w:r>
        <w:r>
          <w:rPr>
            <w:noProof/>
            <w:webHidden/>
          </w:rPr>
          <w:fldChar w:fldCharType="separate"/>
        </w:r>
        <w:r>
          <w:rPr>
            <w:noProof/>
            <w:webHidden/>
          </w:rPr>
          <w:t>41</w:t>
        </w:r>
        <w:r>
          <w:rPr>
            <w:noProof/>
            <w:webHidden/>
          </w:rPr>
          <w:fldChar w:fldCharType="end"/>
        </w:r>
      </w:hyperlink>
    </w:p>
    <w:p w:rsidR="00AB50C5" w:rsidRDefault="00724275">
      <w:pPr>
        <w:pStyle w:val="TOC2"/>
        <w:spacing w:before="0" w:after="0"/>
        <w:rPr>
          <w:rFonts w:asciiTheme="minorHAnsi" w:eastAsiaTheme="minorEastAsia" w:hAnsiTheme="minorHAnsi" w:cstheme="minorBidi"/>
          <w:noProof/>
          <w:sz w:val="22"/>
          <w:lang w:val="it-IT" w:eastAsia="it-IT"/>
        </w:rPr>
      </w:pPr>
      <w:hyperlink w:anchor="_Toc498695690" w:history="1">
        <w:r>
          <w:rPr>
            <w:rStyle w:val="Hyperlink"/>
            <w:noProof/>
            <w:lang w:val="en-US"/>
          </w:rPr>
          <w:t>5.1</w:t>
        </w:r>
        <w:r>
          <w:rPr>
            <w:rFonts w:asciiTheme="minorHAnsi" w:eastAsiaTheme="minorEastAsia" w:hAnsiTheme="minorHAnsi" w:cstheme="minorBidi"/>
            <w:noProof/>
            <w:sz w:val="22"/>
            <w:lang w:val="it-IT" w:eastAsia="it-IT"/>
          </w:rPr>
          <w:tab/>
        </w:r>
        <w:r>
          <w:rPr>
            <w:rStyle w:val="Hyperlink"/>
            <w:noProof/>
            <w:lang w:val="en-US"/>
          </w:rPr>
          <w:t>Aquifer recharge uses</w:t>
        </w:r>
        <w:r>
          <w:rPr>
            <w:noProof/>
            <w:webHidden/>
          </w:rPr>
          <w:tab/>
        </w:r>
        <w:r>
          <w:rPr>
            <w:noProof/>
            <w:webHidden/>
          </w:rPr>
          <w:fldChar w:fldCharType="begin"/>
        </w:r>
        <w:r>
          <w:rPr>
            <w:noProof/>
            <w:webHidden/>
          </w:rPr>
          <w:instrText xml:space="preserve"> PAGEREF _Toc498695690 \h </w:instrText>
        </w:r>
        <w:r>
          <w:rPr>
            <w:noProof/>
            <w:webHidden/>
          </w:rPr>
        </w:r>
        <w:r>
          <w:rPr>
            <w:noProof/>
            <w:webHidden/>
          </w:rPr>
          <w:fldChar w:fldCharType="separate"/>
        </w:r>
        <w:r>
          <w:rPr>
            <w:noProof/>
            <w:webHidden/>
          </w:rPr>
          <w:t>41</w:t>
        </w:r>
        <w:r>
          <w:rPr>
            <w:noProof/>
            <w:webHidden/>
          </w:rPr>
          <w:fldChar w:fldCharType="end"/>
        </w:r>
      </w:hyperlink>
    </w:p>
    <w:p w:rsidR="00AB50C5" w:rsidRDefault="00724275">
      <w:pPr>
        <w:pStyle w:val="TOC2"/>
        <w:spacing w:before="0" w:after="0"/>
        <w:rPr>
          <w:rFonts w:asciiTheme="minorHAnsi" w:eastAsiaTheme="minorEastAsia" w:hAnsiTheme="minorHAnsi" w:cstheme="minorBidi"/>
          <w:noProof/>
          <w:sz w:val="22"/>
          <w:lang w:val="it-IT" w:eastAsia="it-IT"/>
        </w:rPr>
      </w:pPr>
      <w:hyperlink w:anchor="_Toc498695691" w:history="1">
        <w:r>
          <w:rPr>
            <w:rStyle w:val="Hyperlink"/>
            <w:noProof/>
            <w:lang w:val="en-US"/>
          </w:rPr>
          <w:t>5.</w:t>
        </w:r>
        <w:r>
          <w:rPr>
            <w:rStyle w:val="Hyperlink"/>
            <w:noProof/>
            <w:lang w:val="en-US"/>
          </w:rPr>
          <w:t>2</w:t>
        </w:r>
        <w:r>
          <w:rPr>
            <w:rFonts w:asciiTheme="minorHAnsi" w:eastAsiaTheme="minorEastAsia" w:hAnsiTheme="minorHAnsi" w:cstheme="minorBidi"/>
            <w:noProof/>
            <w:sz w:val="22"/>
            <w:lang w:val="it-IT" w:eastAsia="it-IT"/>
          </w:rPr>
          <w:tab/>
        </w:r>
        <w:r>
          <w:rPr>
            <w:rStyle w:val="Hyperlink"/>
            <w:noProof/>
            <w:lang w:val="en-US"/>
          </w:rPr>
          <w:t>Risk management framework for managed aquifer recharge</w:t>
        </w:r>
        <w:r>
          <w:rPr>
            <w:noProof/>
            <w:webHidden/>
          </w:rPr>
          <w:tab/>
        </w:r>
        <w:r>
          <w:rPr>
            <w:noProof/>
            <w:webHidden/>
          </w:rPr>
          <w:fldChar w:fldCharType="begin"/>
        </w:r>
        <w:r>
          <w:rPr>
            <w:noProof/>
            <w:webHidden/>
          </w:rPr>
          <w:instrText xml:space="preserve"> PAGEREF _Toc498695691 \h </w:instrText>
        </w:r>
        <w:r>
          <w:rPr>
            <w:noProof/>
            <w:webHidden/>
          </w:rPr>
        </w:r>
        <w:r>
          <w:rPr>
            <w:noProof/>
            <w:webHidden/>
          </w:rPr>
          <w:fldChar w:fldCharType="separate"/>
        </w:r>
        <w:r>
          <w:rPr>
            <w:noProof/>
            <w:webHidden/>
          </w:rPr>
          <w:t>42</w:t>
        </w:r>
        <w:r>
          <w:rPr>
            <w:noProof/>
            <w:webHidden/>
          </w:rPr>
          <w:fldChar w:fldCharType="end"/>
        </w:r>
      </w:hyperlink>
    </w:p>
    <w:p w:rsidR="00AB50C5" w:rsidRDefault="00724275">
      <w:pPr>
        <w:pStyle w:val="TOC2"/>
        <w:spacing w:before="0" w:after="0"/>
        <w:rPr>
          <w:rFonts w:asciiTheme="minorHAnsi" w:eastAsiaTheme="minorEastAsia" w:hAnsiTheme="minorHAnsi" w:cstheme="minorBidi"/>
          <w:noProof/>
          <w:sz w:val="22"/>
          <w:lang w:val="it-IT" w:eastAsia="it-IT"/>
        </w:rPr>
      </w:pPr>
      <w:hyperlink w:anchor="_Toc498695692" w:history="1">
        <w:r>
          <w:rPr>
            <w:rStyle w:val="Hyperlink"/>
            <w:noProof/>
            <w:lang w:val="en-US"/>
          </w:rPr>
          <w:t>5.3</w:t>
        </w:r>
        <w:r>
          <w:rPr>
            <w:rFonts w:asciiTheme="minorHAnsi" w:eastAsiaTheme="minorEastAsia" w:hAnsiTheme="minorHAnsi" w:cstheme="minorBidi"/>
            <w:noProof/>
            <w:sz w:val="22"/>
            <w:lang w:val="it-IT" w:eastAsia="it-IT"/>
          </w:rPr>
          <w:tab/>
        </w:r>
        <w:r>
          <w:rPr>
            <w:rStyle w:val="Hyperlink"/>
            <w:noProof/>
            <w:lang w:val="en-US"/>
          </w:rPr>
          <w:t>Justification for the selected requirements</w:t>
        </w:r>
        <w:r>
          <w:rPr>
            <w:noProof/>
            <w:webHidden/>
          </w:rPr>
          <w:tab/>
        </w:r>
        <w:r>
          <w:rPr>
            <w:noProof/>
            <w:webHidden/>
          </w:rPr>
          <w:fldChar w:fldCharType="begin"/>
        </w:r>
        <w:r>
          <w:rPr>
            <w:noProof/>
            <w:webHidden/>
          </w:rPr>
          <w:instrText xml:space="preserve"> PAGEREF _Toc498695692</w:instrText>
        </w:r>
        <w:r>
          <w:rPr>
            <w:noProof/>
            <w:webHidden/>
          </w:rPr>
          <w:instrText xml:space="preserve"> \h </w:instrText>
        </w:r>
        <w:r>
          <w:rPr>
            <w:noProof/>
            <w:webHidden/>
          </w:rPr>
        </w:r>
        <w:r>
          <w:rPr>
            <w:noProof/>
            <w:webHidden/>
          </w:rPr>
          <w:fldChar w:fldCharType="separate"/>
        </w:r>
        <w:r>
          <w:rPr>
            <w:noProof/>
            <w:webHidden/>
          </w:rPr>
          <w:t>44</w:t>
        </w:r>
        <w:r>
          <w:rPr>
            <w:noProof/>
            <w:webHidden/>
          </w:rPr>
          <w:fldChar w:fldCharType="end"/>
        </w:r>
      </w:hyperlink>
    </w:p>
    <w:p w:rsidR="00AB50C5" w:rsidRDefault="00724275">
      <w:pPr>
        <w:pStyle w:val="TOC1"/>
        <w:spacing w:before="0" w:after="0"/>
        <w:rPr>
          <w:rFonts w:asciiTheme="minorHAnsi" w:eastAsiaTheme="minorEastAsia" w:hAnsiTheme="minorHAnsi" w:cstheme="minorBidi"/>
          <w:noProof/>
          <w:sz w:val="22"/>
          <w:lang w:val="it-IT" w:eastAsia="it-IT"/>
        </w:rPr>
      </w:pPr>
      <w:hyperlink w:anchor="_Toc498695693" w:history="1">
        <w:r>
          <w:rPr>
            <w:rStyle w:val="Hyperlink"/>
            <w:noProof/>
          </w:rPr>
          <w:t>6</w:t>
        </w:r>
        <w:r>
          <w:rPr>
            <w:rFonts w:asciiTheme="minorHAnsi" w:eastAsiaTheme="minorEastAsia" w:hAnsiTheme="minorHAnsi" w:cstheme="minorBidi"/>
            <w:noProof/>
            <w:sz w:val="22"/>
            <w:lang w:val="it-IT" w:eastAsia="it-IT"/>
          </w:rPr>
          <w:tab/>
        </w:r>
        <w:r>
          <w:rPr>
            <w:rStyle w:val="Hyperlink"/>
            <w:noProof/>
          </w:rPr>
          <w:t>Compounds of emerging concern</w:t>
        </w:r>
        <w:r>
          <w:rPr>
            <w:noProof/>
            <w:webHidden/>
          </w:rPr>
          <w:tab/>
        </w:r>
        <w:r>
          <w:rPr>
            <w:noProof/>
            <w:webHidden/>
          </w:rPr>
          <w:fldChar w:fldCharType="begin"/>
        </w:r>
        <w:r>
          <w:rPr>
            <w:noProof/>
            <w:webHidden/>
          </w:rPr>
          <w:instrText xml:space="preserve"> PAGEREF _Toc498695693 \h </w:instrText>
        </w:r>
        <w:r>
          <w:rPr>
            <w:noProof/>
            <w:webHidden/>
          </w:rPr>
        </w:r>
        <w:r>
          <w:rPr>
            <w:noProof/>
            <w:webHidden/>
          </w:rPr>
          <w:fldChar w:fldCharType="separate"/>
        </w:r>
        <w:r>
          <w:rPr>
            <w:noProof/>
            <w:webHidden/>
          </w:rPr>
          <w:t>46</w:t>
        </w:r>
        <w:r>
          <w:rPr>
            <w:noProof/>
            <w:webHidden/>
          </w:rPr>
          <w:fldChar w:fldCharType="end"/>
        </w:r>
      </w:hyperlink>
    </w:p>
    <w:p w:rsidR="00AB50C5" w:rsidRDefault="00724275">
      <w:pPr>
        <w:pStyle w:val="TOC2"/>
        <w:spacing w:before="0" w:after="0"/>
        <w:rPr>
          <w:rFonts w:asciiTheme="minorHAnsi" w:eastAsiaTheme="minorEastAsia" w:hAnsiTheme="minorHAnsi" w:cstheme="minorBidi"/>
          <w:noProof/>
          <w:sz w:val="22"/>
          <w:lang w:val="it-IT" w:eastAsia="it-IT"/>
        </w:rPr>
      </w:pPr>
      <w:hyperlink w:anchor="_Toc498695694" w:history="1">
        <w:r>
          <w:rPr>
            <w:rStyle w:val="Hyperlink"/>
            <w:noProof/>
          </w:rPr>
          <w:t>6.1</w:t>
        </w:r>
        <w:r>
          <w:rPr>
            <w:rFonts w:asciiTheme="minorHAnsi" w:eastAsiaTheme="minorEastAsia" w:hAnsiTheme="minorHAnsi" w:cstheme="minorBidi"/>
            <w:noProof/>
            <w:sz w:val="22"/>
            <w:lang w:val="it-IT" w:eastAsia="it-IT"/>
          </w:rPr>
          <w:tab/>
        </w:r>
        <w:r>
          <w:rPr>
            <w:rStyle w:val="Hyperlink"/>
            <w:noProof/>
          </w:rPr>
          <w:t>Knowledge and gaps</w:t>
        </w:r>
        <w:r>
          <w:rPr>
            <w:noProof/>
            <w:webHidden/>
          </w:rPr>
          <w:tab/>
        </w:r>
        <w:r>
          <w:rPr>
            <w:noProof/>
            <w:webHidden/>
          </w:rPr>
          <w:fldChar w:fldCharType="begin"/>
        </w:r>
        <w:r>
          <w:rPr>
            <w:noProof/>
            <w:webHidden/>
          </w:rPr>
          <w:instrText xml:space="preserve"> PAGEREF _Toc498695694 \h </w:instrText>
        </w:r>
        <w:r>
          <w:rPr>
            <w:noProof/>
            <w:webHidden/>
          </w:rPr>
        </w:r>
        <w:r>
          <w:rPr>
            <w:noProof/>
            <w:webHidden/>
          </w:rPr>
          <w:fldChar w:fldCharType="separate"/>
        </w:r>
        <w:r>
          <w:rPr>
            <w:noProof/>
            <w:webHidden/>
          </w:rPr>
          <w:t>46</w:t>
        </w:r>
        <w:r>
          <w:rPr>
            <w:noProof/>
            <w:webHidden/>
          </w:rPr>
          <w:fldChar w:fldCharType="end"/>
        </w:r>
      </w:hyperlink>
    </w:p>
    <w:p w:rsidR="00AB50C5" w:rsidRDefault="00724275">
      <w:pPr>
        <w:pStyle w:val="TOC2"/>
        <w:spacing w:before="0" w:after="0"/>
        <w:rPr>
          <w:rFonts w:asciiTheme="minorHAnsi" w:eastAsiaTheme="minorEastAsia" w:hAnsiTheme="minorHAnsi" w:cstheme="minorBidi"/>
          <w:noProof/>
          <w:sz w:val="22"/>
          <w:lang w:val="it-IT" w:eastAsia="it-IT"/>
        </w:rPr>
      </w:pPr>
      <w:hyperlink w:anchor="_Toc498695695" w:history="1">
        <w:r>
          <w:rPr>
            <w:rStyle w:val="Hyperlink"/>
            <w:noProof/>
            <w:lang w:val="en-US"/>
          </w:rPr>
          <w:t>6.2</w:t>
        </w:r>
        <w:r>
          <w:rPr>
            <w:rFonts w:asciiTheme="minorHAnsi" w:eastAsiaTheme="minorEastAsia" w:hAnsiTheme="minorHAnsi" w:cstheme="minorBidi"/>
            <w:noProof/>
            <w:sz w:val="22"/>
            <w:lang w:val="it-IT" w:eastAsia="it-IT"/>
          </w:rPr>
          <w:tab/>
        </w:r>
        <w:r>
          <w:rPr>
            <w:rStyle w:val="Hyperlink"/>
            <w:noProof/>
            <w:lang w:val="en-US"/>
          </w:rPr>
          <w:t>An</w:t>
        </w:r>
        <w:r>
          <w:rPr>
            <w:rStyle w:val="Hyperlink"/>
            <w:noProof/>
            <w:lang w:val="en-US"/>
          </w:rPr>
          <w:t>ti-microbial resistances</w:t>
        </w:r>
        <w:r>
          <w:rPr>
            <w:noProof/>
            <w:webHidden/>
          </w:rPr>
          <w:tab/>
        </w:r>
        <w:r>
          <w:rPr>
            <w:noProof/>
            <w:webHidden/>
          </w:rPr>
          <w:fldChar w:fldCharType="begin"/>
        </w:r>
        <w:r>
          <w:rPr>
            <w:noProof/>
            <w:webHidden/>
          </w:rPr>
          <w:instrText xml:space="preserve"> PAGEREF _Toc498695695 \h </w:instrText>
        </w:r>
        <w:r>
          <w:rPr>
            <w:noProof/>
            <w:webHidden/>
          </w:rPr>
        </w:r>
        <w:r>
          <w:rPr>
            <w:noProof/>
            <w:webHidden/>
          </w:rPr>
          <w:fldChar w:fldCharType="separate"/>
        </w:r>
        <w:r>
          <w:rPr>
            <w:noProof/>
            <w:webHidden/>
          </w:rPr>
          <w:t>47</w:t>
        </w:r>
        <w:r>
          <w:rPr>
            <w:noProof/>
            <w:webHidden/>
          </w:rPr>
          <w:fldChar w:fldCharType="end"/>
        </w:r>
      </w:hyperlink>
    </w:p>
    <w:p w:rsidR="00AB50C5" w:rsidRDefault="00724275">
      <w:pPr>
        <w:pStyle w:val="TOC2"/>
        <w:spacing w:before="0" w:after="0"/>
        <w:rPr>
          <w:rFonts w:asciiTheme="minorHAnsi" w:eastAsiaTheme="minorEastAsia" w:hAnsiTheme="minorHAnsi" w:cstheme="minorBidi"/>
          <w:noProof/>
          <w:sz w:val="22"/>
          <w:lang w:val="it-IT" w:eastAsia="it-IT"/>
        </w:rPr>
      </w:pPr>
      <w:hyperlink w:anchor="_Toc498695696" w:history="1">
        <w:r>
          <w:rPr>
            <w:rStyle w:val="Hyperlink"/>
            <w:noProof/>
          </w:rPr>
          <w:t>6.3</w:t>
        </w:r>
        <w:r>
          <w:rPr>
            <w:rFonts w:asciiTheme="minorHAnsi" w:eastAsiaTheme="minorEastAsia" w:hAnsiTheme="minorHAnsi" w:cstheme="minorBidi"/>
            <w:noProof/>
            <w:sz w:val="22"/>
            <w:lang w:val="it-IT" w:eastAsia="it-IT"/>
          </w:rPr>
          <w:tab/>
        </w:r>
        <w:r>
          <w:rPr>
            <w:rStyle w:val="Hyperlink"/>
            <w:noProof/>
          </w:rPr>
          <w:t>Measurements and testing</w:t>
        </w:r>
        <w:r>
          <w:rPr>
            <w:noProof/>
            <w:webHidden/>
          </w:rPr>
          <w:tab/>
        </w:r>
        <w:r>
          <w:rPr>
            <w:noProof/>
            <w:webHidden/>
          </w:rPr>
          <w:fldChar w:fldCharType="begin"/>
        </w:r>
        <w:r>
          <w:rPr>
            <w:noProof/>
            <w:webHidden/>
          </w:rPr>
          <w:instrText xml:space="preserve"> PAGEREF _Toc498695696 \h </w:instrText>
        </w:r>
        <w:r>
          <w:rPr>
            <w:noProof/>
            <w:webHidden/>
          </w:rPr>
        </w:r>
        <w:r>
          <w:rPr>
            <w:noProof/>
            <w:webHidden/>
          </w:rPr>
          <w:fldChar w:fldCharType="separate"/>
        </w:r>
        <w:r>
          <w:rPr>
            <w:noProof/>
            <w:webHidden/>
          </w:rPr>
          <w:t>48</w:t>
        </w:r>
        <w:r>
          <w:rPr>
            <w:noProof/>
            <w:webHidden/>
          </w:rPr>
          <w:fldChar w:fldCharType="end"/>
        </w:r>
      </w:hyperlink>
    </w:p>
    <w:p w:rsidR="00AB50C5" w:rsidRDefault="00724275">
      <w:pPr>
        <w:pStyle w:val="TOC1"/>
        <w:spacing w:before="0" w:after="0"/>
        <w:rPr>
          <w:rFonts w:asciiTheme="minorHAnsi" w:eastAsiaTheme="minorEastAsia" w:hAnsiTheme="minorHAnsi" w:cstheme="minorBidi"/>
          <w:noProof/>
          <w:sz w:val="22"/>
          <w:lang w:val="it-IT" w:eastAsia="it-IT"/>
        </w:rPr>
      </w:pPr>
      <w:hyperlink w:anchor="_Toc498695697" w:history="1">
        <w:r>
          <w:rPr>
            <w:rStyle w:val="Hyperlink"/>
            <w:noProof/>
          </w:rPr>
          <w:t>7</w:t>
        </w:r>
        <w:r>
          <w:rPr>
            <w:rFonts w:asciiTheme="minorHAnsi" w:eastAsiaTheme="minorEastAsia" w:hAnsiTheme="minorHAnsi" w:cstheme="minorBidi"/>
            <w:noProof/>
            <w:sz w:val="22"/>
            <w:lang w:val="it-IT" w:eastAsia="it-IT"/>
          </w:rPr>
          <w:tab/>
        </w:r>
        <w:r>
          <w:rPr>
            <w:rStyle w:val="Hyperlink"/>
            <w:noProof/>
          </w:rPr>
          <w:t>Conclusions</w:t>
        </w:r>
        <w:r>
          <w:rPr>
            <w:noProof/>
            <w:webHidden/>
          </w:rPr>
          <w:tab/>
        </w:r>
        <w:r>
          <w:rPr>
            <w:noProof/>
            <w:webHidden/>
          </w:rPr>
          <w:fldChar w:fldCharType="begin"/>
        </w:r>
        <w:r>
          <w:rPr>
            <w:noProof/>
            <w:webHidden/>
          </w:rPr>
          <w:instrText xml:space="preserve"> PAGEREF _Toc498695697 \h </w:instrText>
        </w:r>
        <w:r>
          <w:rPr>
            <w:noProof/>
            <w:webHidden/>
          </w:rPr>
        </w:r>
        <w:r>
          <w:rPr>
            <w:noProof/>
            <w:webHidden/>
          </w:rPr>
          <w:fldChar w:fldCharType="separate"/>
        </w:r>
        <w:r>
          <w:rPr>
            <w:noProof/>
            <w:webHidden/>
          </w:rPr>
          <w:t>50</w:t>
        </w:r>
        <w:r>
          <w:rPr>
            <w:noProof/>
            <w:webHidden/>
          </w:rPr>
          <w:fldChar w:fldCharType="end"/>
        </w:r>
      </w:hyperlink>
    </w:p>
    <w:p w:rsidR="00AB50C5" w:rsidRDefault="00724275">
      <w:pPr>
        <w:pStyle w:val="TOC1"/>
        <w:spacing w:before="0" w:after="0"/>
        <w:rPr>
          <w:rFonts w:asciiTheme="minorHAnsi" w:eastAsiaTheme="minorEastAsia" w:hAnsiTheme="minorHAnsi" w:cstheme="minorBidi"/>
          <w:noProof/>
          <w:sz w:val="22"/>
          <w:lang w:val="it-IT" w:eastAsia="it-IT"/>
        </w:rPr>
      </w:pPr>
      <w:hyperlink w:anchor="_Toc498695698" w:history="1">
        <w:r>
          <w:rPr>
            <w:rStyle w:val="Hyperlink"/>
            <w:noProof/>
            <w:lang w:val="en-US"/>
          </w:rPr>
          <w:t>References</w:t>
        </w:r>
        <w:r>
          <w:rPr>
            <w:noProof/>
            <w:webHidden/>
          </w:rPr>
          <w:tab/>
        </w:r>
        <w:r>
          <w:rPr>
            <w:noProof/>
            <w:webHidden/>
          </w:rPr>
          <w:fldChar w:fldCharType="begin"/>
        </w:r>
        <w:r>
          <w:rPr>
            <w:noProof/>
            <w:webHidden/>
          </w:rPr>
          <w:instrText xml:space="preserve"> PAGEREF _Toc498695698 \h </w:instrText>
        </w:r>
        <w:r>
          <w:rPr>
            <w:noProof/>
            <w:webHidden/>
          </w:rPr>
        </w:r>
        <w:r>
          <w:rPr>
            <w:noProof/>
            <w:webHidden/>
          </w:rPr>
          <w:fldChar w:fldCharType="separate"/>
        </w:r>
        <w:r>
          <w:rPr>
            <w:noProof/>
            <w:webHidden/>
          </w:rPr>
          <w:t>51</w:t>
        </w:r>
        <w:r>
          <w:rPr>
            <w:noProof/>
            <w:webHidden/>
          </w:rPr>
          <w:fldChar w:fldCharType="end"/>
        </w:r>
      </w:hyperlink>
    </w:p>
    <w:p w:rsidR="00AB50C5" w:rsidRDefault="00724275">
      <w:pPr>
        <w:pStyle w:val="TOC1"/>
        <w:spacing w:before="0" w:after="0"/>
        <w:rPr>
          <w:rFonts w:asciiTheme="minorHAnsi" w:eastAsiaTheme="minorEastAsia" w:hAnsiTheme="minorHAnsi" w:cstheme="minorBidi"/>
          <w:noProof/>
          <w:sz w:val="22"/>
          <w:lang w:val="it-IT" w:eastAsia="it-IT"/>
        </w:rPr>
      </w:pPr>
      <w:hyperlink w:anchor="_Toc498695699" w:history="1">
        <w:r>
          <w:rPr>
            <w:rStyle w:val="Hyperlink"/>
            <w:noProof/>
          </w:rPr>
          <w:t>List of abbreviations and definitions</w:t>
        </w:r>
        <w:r>
          <w:rPr>
            <w:noProof/>
            <w:webHidden/>
          </w:rPr>
          <w:tab/>
        </w:r>
        <w:r>
          <w:rPr>
            <w:noProof/>
            <w:webHidden/>
          </w:rPr>
          <w:fldChar w:fldCharType="begin"/>
        </w:r>
        <w:r>
          <w:rPr>
            <w:noProof/>
            <w:webHidden/>
          </w:rPr>
          <w:instrText xml:space="preserve"> PAGEREF _Toc498695699 \h </w:instrText>
        </w:r>
        <w:r>
          <w:rPr>
            <w:noProof/>
            <w:webHidden/>
          </w:rPr>
        </w:r>
        <w:r>
          <w:rPr>
            <w:noProof/>
            <w:webHidden/>
          </w:rPr>
          <w:fldChar w:fldCharType="separate"/>
        </w:r>
        <w:r>
          <w:rPr>
            <w:noProof/>
            <w:webHidden/>
          </w:rPr>
          <w:t>58</w:t>
        </w:r>
        <w:r>
          <w:rPr>
            <w:noProof/>
            <w:webHidden/>
          </w:rPr>
          <w:fldChar w:fldCharType="end"/>
        </w:r>
      </w:hyperlink>
    </w:p>
    <w:p w:rsidR="00AB50C5" w:rsidRDefault="00724275">
      <w:pPr>
        <w:pStyle w:val="TOC1"/>
        <w:spacing w:before="0" w:after="0"/>
        <w:rPr>
          <w:rFonts w:asciiTheme="minorHAnsi" w:eastAsiaTheme="minorEastAsia" w:hAnsiTheme="minorHAnsi" w:cstheme="minorBidi"/>
          <w:noProof/>
          <w:sz w:val="22"/>
          <w:lang w:val="it-IT" w:eastAsia="it-IT"/>
        </w:rPr>
      </w:pPr>
      <w:hyperlink w:anchor="_Toc498695700" w:history="1">
        <w:r>
          <w:rPr>
            <w:rStyle w:val="Hyperlink"/>
            <w:noProof/>
            <w:lang w:val="en-US" w:eastAsia="en-AU"/>
          </w:rPr>
          <w:t>List of figures</w:t>
        </w:r>
        <w:r>
          <w:rPr>
            <w:noProof/>
            <w:webHidden/>
          </w:rPr>
          <w:tab/>
        </w:r>
        <w:r>
          <w:rPr>
            <w:noProof/>
            <w:webHidden/>
          </w:rPr>
          <w:fldChar w:fldCharType="begin"/>
        </w:r>
        <w:r>
          <w:rPr>
            <w:noProof/>
            <w:webHidden/>
          </w:rPr>
          <w:instrText xml:space="preserve"> PAGEREF _Toc498695700 \h </w:instrText>
        </w:r>
        <w:r>
          <w:rPr>
            <w:noProof/>
            <w:webHidden/>
          </w:rPr>
        </w:r>
        <w:r>
          <w:rPr>
            <w:noProof/>
            <w:webHidden/>
          </w:rPr>
          <w:fldChar w:fldCharType="separate"/>
        </w:r>
        <w:r>
          <w:rPr>
            <w:noProof/>
            <w:webHidden/>
          </w:rPr>
          <w:t>62</w:t>
        </w:r>
        <w:r>
          <w:rPr>
            <w:noProof/>
            <w:webHidden/>
          </w:rPr>
          <w:fldChar w:fldCharType="end"/>
        </w:r>
      </w:hyperlink>
    </w:p>
    <w:p w:rsidR="00AB50C5" w:rsidRDefault="00724275">
      <w:pPr>
        <w:pStyle w:val="TOC1"/>
        <w:spacing w:before="0" w:after="0"/>
        <w:rPr>
          <w:rFonts w:asciiTheme="minorHAnsi" w:eastAsiaTheme="minorEastAsia" w:hAnsiTheme="minorHAnsi" w:cstheme="minorBidi"/>
          <w:noProof/>
          <w:sz w:val="22"/>
          <w:lang w:val="it-IT" w:eastAsia="it-IT"/>
        </w:rPr>
      </w:pPr>
      <w:hyperlink w:anchor="_Toc498695701" w:history="1">
        <w:r>
          <w:rPr>
            <w:rStyle w:val="Hyperlink"/>
            <w:noProof/>
            <w:lang w:val="en-US" w:eastAsia="en-AU"/>
          </w:rPr>
          <w:t>List of tables</w:t>
        </w:r>
        <w:r>
          <w:rPr>
            <w:noProof/>
            <w:webHidden/>
          </w:rPr>
          <w:tab/>
        </w:r>
        <w:r>
          <w:rPr>
            <w:noProof/>
            <w:webHidden/>
          </w:rPr>
          <w:fldChar w:fldCharType="begin"/>
        </w:r>
        <w:r>
          <w:rPr>
            <w:noProof/>
            <w:webHidden/>
          </w:rPr>
          <w:instrText xml:space="preserve"> PAGEREF _Toc498695701 \h </w:instrText>
        </w:r>
        <w:r>
          <w:rPr>
            <w:noProof/>
            <w:webHidden/>
          </w:rPr>
        </w:r>
        <w:r>
          <w:rPr>
            <w:noProof/>
            <w:webHidden/>
          </w:rPr>
          <w:fldChar w:fldCharType="separate"/>
        </w:r>
        <w:r>
          <w:rPr>
            <w:noProof/>
            <w:webHidden/>
          </w:rPr>
          <w:t>63</w:t>
        </w:r>
        <w:r>
          <w:rPr>
            <w:noProof/>
            <w:webHidden/>
          </w:rPr>
          <w:fldChar w:fldCharType="end"/>
        </w:r>
      </w:hyperlink>
    </w:p>
    <w:p w:rsidR="00AB50C5" w:rsidRDefault="00724275">
      <w:pPr>
        <w:pStyle w:val="TOC1"/>
        <w:spacing w:before="0" w:after="0"/>
        <w:rPr>
          <w:rFonts w:asciiTheme="minorHAnsi" w:eastAsiaTheme="minorEastAsia" w:hAnsiTheme="minorHAnsi" w:cstheme="minorBidi"/>
          <w:noProof/>
          <w:sz w:val="22"/>
          <w:lang w:eastAsia="it-IT"/>
        </w:rPr>
      </w:pPr>
      <w:hyperlink w:anchor="_Toc498695702" w:history="1">
        <w:r>
          <w:rPr>
            <w:rStyle w:val="Hyperlink"/>
            <w:noProof/>
          </w:rPr>
          <w:t>Annex</w:t>
        </w:r>
        <w:r>
          <w:rPr>
            <w:noProof/>
            <w:webHidden/>
          </w:rPr>
          <w:tab/>
        </w:r>
        <w:r>
          <w:rPr>
            <w:noProof/>
            <w:webHidden/>
          </w:rPr>
          <w:fldChar w:fldCharType="begin"/>
        </w:r>
        <w:r>
          <w:rPr>
            <w:noProof/>
            <w:webHidden/>
          </w:rPr>
          <w:instrText xml:space="preserve"> PAGEREF _Toc498695702 \h </w:instrText>
        </w:r>
        <w:r>
          <w:rPr>
            <w:noProof/>
            <w:webHidden/>
          </w:rPr>
        </w:r>
        <w:r>
          <w:rPr>
            <w:noProof/>
            <w:webHidden/>
          </w:rPr>
          <w:fldChar w:fldCharType="separate"/>
        </w:r>
        <w:r>
          <w:rPr>
            <w:noProof/>
            <w:webHidden/>
          </w:rPr>
          <w:t>64</w:t>
        </w:r>
        <w:r>
          <w:rPr>
            <w:noProof/>
            <w:webHidden/>
          </w:rPr>
          <w:fldChar w:fldCharType="end"/>
        </w:r>
      </w:hyperlink>
    </w:p>
    <w:p w:rsidR="00AB50C5" w:rsidRDefault="00724275">
      <w:pPr>
        <w:pStyle w:val="JRCText"/>
        <w:rPr>
          <w:noProof/>
          <w:lang w:val="pt-PT"/>
        </w:rPr>
        <w:sectPr w:rsidR="00AB50C5">
          <w:headerReference w:type="even" r:id="rId23"/>
          <w:headerReference w:type="default" r:id="rId24"/>
          <w:footerReference w:type="even" r:id="rId25"/>
          <w:footerReference w:type="default" r:id="rId26"/>
          <w:headerReference w:type="first" r:id="rId27"/>
          <w:footerReference w:type="first" r:id="rId28"/>
          <w:pgSz w:w="11906" w:h="16838"/>
          <w:pgMar w:top="1417" w:right="1417" w:bottom="1417" w:left="1417" w:header="708" w:footer="708" w:gutter="0"/>
          <w:cols w:space="708"/>
          <w:docGrid w:linePitch="360"/>
        </w:sectPr>
      </w:pPr>
      <w:r>
        <w:rPr>
          <w:noProof/>
          <w:lang w:val="pt-PT"/>
        </w:rPr>
        <w:fldChar w:fldCharType="end"/>
      </w:r>
    </w:p>
    <w:p w:rsidR="00AB50C5" w:rsidRDefault="00724275">
      <w:pPr>
        <w:pStyle w:val="JRCLevel-1Fronttitle"/>
        <w:jc w:val="both"/>
        <w:rPr>
          <w:rFonts w:ascii="Times New Roman" w:hAnsi="Times New Roman"/>
          <w:noProof/>
          <w:szCs w:val="24"/>
        </w:rPr>
      </w:pPr>
      <w:bookmarkStart w:id="6" w:name="_Toc498695662"/>
      <w:r>
        <w:rPr>
          <w:rFonts w:ascii="Times New Roman" w:hAnsi="Times New Roman"/>
          <w:noProof/>
          <w:szCs w:val="24"/>
        </w:rPr>
        <w:t>Acknowledgements</w:t>
      </w:r>
      <w:bookmarkEnd w:id="6"/>
    </w:p>
    <w:p w:rsidR="00AB50C5" w:rsidRDefault="00724275">
      <w:pPr>
        <w:spacing w:line="240" w:lineRule="auto"/>
        <w:jc w:val="both"/>
        <w:rPr>
          <w:rFonts w:ascii="Times New Roman" w:hAnsi="Times New Roman" w:cs="Times New Roman"/>
          <w:noProof/>
          <w:sz w:val="24"/>
          <w:szCs w:val="24"/>
          <w:lang w:val="pt-PT"/>
        </w:rPr>
      </w:pPr>
      <w:r>
        <w:rPr>
          <w:rFonts w:ascii="Times New Roman" w:hAnsi="Times New Roman" w:cs="Times New Roman"/>
          <w:noProof/>
          <w:sz w:val="24"/>
          <w:szCs w:val="24"/>
          <w:lang w:val="pt-PT" w:eastAsia="it-IT"/>
        </w:rPr>
        <w:t>The authors gratefully acknowledge the useful comments and suggestions provided by the experts consulted Anders Daalsgard</w:t>
      </w:r>
      <w:r>
        <w:rPr>
          <w:rFonts w:ascii="Times New Roman" w:hAnsi="Times New Roman" w:cs="Times New Roman"/>
          <w:noProof/>
          <w:sz w:val="24"/>
          <w:szCs w:val="24"/>
          <w:lang w:val="pt-PT" w:eastAsia="it-IT"/>
        </w:rPr>
        <w:t xml:space="preserve"> (</w:t>
      </w:r>
      <w:r>
        <w:rPr>
          <w:rFonts w:ascii="Times New Roman" w:hAnsi="Times New Roman" w:cs="Times New Roman"/>
          <w:noProof/>
          <w:sz w:val="24"/>
          <w:szCs w:val="24"/>
          <w:lang w:val="pt-PT"/>
        </w:rPr>
        <w:t>University of Copenhagen, WHO representative on water reuse issues for the EC</w:t>
      </w:r>
      <w:r>
        <w:rPr>
          <w:rFonts w:ascii="Times New Roman" w:hAnsi="Times New Roman" w:cs="Times New Roman"/>
          <w:noProof/>
          <w:sz w:val="24"/>
          <w:szCs w:val="24"/>
          <w:lang w:val="pt-PT" w:eastAsia="it-IT"/>
        </w:rPr>
        <w:t xml:space="preserve">), </w:t>
      </w:r>
      <w:r>
        <w:rPr>
          <w:rFonts w:ascii="Times New Roman" w:hAnsi="Times New Roman" w:cs="Times New Roman"/>
          <w:noProof/>
          <w:sz w:val="24"/>
          <w:szCs w:val="24"/>
          <w:lang w:val="pt-PT"/>
        </w:rPr>
        <w:t xml:space="preserve">Jörg E. Drewes (Technological University of Munich, Chair of the IWA Specialist Group Water Reuse), </w:t>
      </w:r>
      <w:r>
        <w:rPr>
          <w:rFonts w:ascii="Times New Roman" w:hAnsi="Times New Roman" w:cs="Times New Roman"/>
          <w:noProof/>
          <w:sz w:val="24"/>
          <w:szCs w:val="24"/>
          <w:lang w:val="pt-PT" w:eastAsia="it-IT"/>
        </w:rPr>
        <w:t>Valentina Lazarova (</w:t>
      </w:r>
      <w:r>
        <w:rPr>
          <w:rFonts w:ascii="Times New Roman" w:hAnsi="Times New Roman" w:cs="Times New Roman"/>
          <w:noProof/>
          <w:sz w:val="24"/>
          <w:szCs w:val="24"/>
          <w:lang w:val="pt-PT"/>
        </w:rPr>
        <w:t>SUEZ Environnement</w:t>
      </w:r>
      <w:r>
        <w:rPr>
          <w:rFonts w:ascii="Times New Roman" w:hAnsi="Times New Roman" w:cs="Times New Roman"/>
          <w:noProof/>
          <w:sz w:val="24"/>
          <w:szCs w:val="24"/>
          <w:lang w:val="pt-PT" w:eastAsia="it-IT"/>
        </w:rPr>
        <w:t>), Gertjan Medema (</w:t>
      </w:r>
      <w:r>
        <w:rPr>
          <w:rFonts w:ascii="Times New Roman" w:hAnsi="Times New Roman" w:cs="Times New Roman"/>
          <w:noProof/>
          <w:sz w:val="24"/>
          <w:szCs w:val="24"/>
          <w:lang w:val="pt-PT"/>
        </w:rPr>
        <w:t>Water Cycle Resea</w:t>
      </w:r>
      <w:r>
        <w:rPr>
          <w:rFonts w:ascii="Times New Roman" w:hAnsi="Times New Roman" w:cs="Times New Roman"/>
          <w:noProof/>
          <w:sz w:val="24"/>
          <w:szCs w:val="24"/>
          <w:lang w:val="pt-PT"/>
        </w:rPr>
        <w:t>rch Institute (KWR))</w:t>
      </w:r>
      <w:r>
        <w:rPr>
          <w:rFonts w:ascii="Times New Roman" w:hAnsi="Times New Roman" w:cs="Times New Roman"/>
          <w:noProof/>
          <w:sz w:val="24"/>
          <w:szCs w:val="24"/>
          <w:lang w:val="pt-PT" w:eastAsia="it-IT"/>
        </w:rPr>
        <w:t>, Alfieri Pollice (</w:t>
      </w:r>
      <w:r>
        <w:rPr>
          <w:rFonts w:ascii="Times New Roman" w:hAnsi="Times New Roman" w:cs="Times New Roman"/>
          <w:noProof/>
          <w:sz w:val="24"/>
          <w:szCs w:val="24"/>
          <w:lang w:val="pt-PT"/>
        </w:rPr>
        <w:t>Water Research Institute, Italian National Research Council (IRSA-CNR)),</w:t>
      </w:r>
      <w:r>
        <w:rPr>
          <w:rFonts w:ascii="Times New Roman" w:hAnsi="Times New Roman" w:cs="Times New Roman"/>
          <w:noProof/>
          <w:sz w:val="24"/>
          <w:szCs w:val="24"/>
          <w:lang w:val="pt-PT" w:eastAsia="it-IT"/>
        </w:rPr>
        <w:t xml:space="preserve"> Jaroslav Slobodnik (</w:t>
      </w:r>
      <w:r>
        <w:rPr>
          <w:rFonts w:ascii="Times New Roman" w:hAnsi="Times New Roman" w:cs="Times New Roman"/>
          <w:noProof/>
          <w:sz w:val="24"/>
          <w:szCs w:val="24"/>
          <w:lang w:val="pt-PT"/>
        </w:rPr>
        <w:t>Environmental Institute)</w:t>
      </w:r>
      <w:r>
        <w:rPr>
          <w:rFonts w:ascii="Times New Roman" w:hAnsi="Times New Roman" w:cs="Times New Roman"/>
          <w:noProof/>
          <w:sz w:val="24"/>
          <w:szCs w:val="24"/>
          <w:lang w:val="pt-PT" w:eastAsia="it-IT"/>
        </w:rPr>
        <w:t>, Thomas Ternes (</w:t>
      </w:r>
      <w:r>
        <w:rPr>
          <w:rFonts w:ascii="Times New Roman" w:hAnsi="Times New Roman" w:cs="Times New Roman"/>
          <w:noProof/>
          <w:sz w:val="24"/>
          <w:szCs w:val="24"/>
          <w:lang w:val="pt-PT"/>
        </w:rPr>
        <w:t>German Federal Institute of Hydrology (BfG))</w:t>
      </w:r>
      <w:r>
        <w:rPr>
          <w:rFonts w:ascii="Times New Roman" w:hAnsi="Times New Roman" w:cs="Times New Roman"/>
          <w:noProof/>
          <w:sz w:val="24"/>
          <w:szCs w:val="24"/>
          <w:lang w:val="pt-PT" w:eastAsia="it-IT"/>
        </w:rPr>
        <w:t>, and Thomas Wintgens (</w:t>
      </w:r>
      <w:r>
        <w:rPr>
          <w:rFonts w:ascii="Times New Roman" w:hAnsi="Times New Roman" w:cs="Times New Roman"/>
          <w:noProof/>
          <w:sz w:val="24"/>
          <w:szCs w:val="24"/>
          <w:lang w:val="pt-PT"/>
        </w:rPr>
        <w:t xml:space="preserve">University of </w:t>
      </w:r>
      <w:r>
        <w:rPr>
          <w:rFonts w:ascii="Times New Roman" w:hAnsi="Times New Roman" w:cs="Times New Roman"/>
          <w:noProof/>
          <w:sz w:val="24"/>
          <w:szCs w:val="24"/>
          <w:lang w:val="pt-PT"/>
        </w:rPr>
        <w:t>Applied Science and Arts Northwestern Switzerland (FHNW))</w:t>
      </w:r>
      <w:r>
        <w:rPr>
          <w:rFonts w:ascii="Times New Roman" w:hAnsi="Times New Roman" w:cs="Times New Roman"/>
          <w:noProof/>
          <w:sz w:val="24"/>
          <w:szCs w:val="24"/>
          <w:lang w:val="pt-PT" w:eastAsia="it-IT"/>
        </w:rPr>
        <w:t xml:space="preserve">. </w:t>
      </w:r>
    </w:p>
    <w:p w:rsidR="00AB50C5" w:rsidRDefault="00724275">
      <w:pPr>
        <w:pStyle w:val="JRCLevel-1Fronttitle"/>
        <w:jc w:val="both"/>
        <w:rPr>
          <w:rFonts w:ascii="Times New Roman" w:hAnsi="Times New Roman"/>
          <w:noProof/>
          <w:szCs w:val="24"/>
          <w:lang w:val="en-GB"/>
        </w:rPr>
      </w:pPr>
      <w:bookmarkStart w:id="7" w:name="_Toc498695663"/>
      <w:r>
        <w:rPr>
          <w:rFonts w:ascii="Times New Roman" w:hAnsi="Times New Roman"/>
          <w:noProof/>
          <w:szCs w:val="24"/>
          <w:lang w:val="en-GB"/>
        </w:rPr>
        <w:t>Executive summary</w:t>
      </w:r>
      <w:bookmarkEnd w:id="7"/>
    </w:p>
    <w:p w:rsidR="00AB50C5" w:rsidRDefault="00724275">
      <w:pPr>
        <w:pStyle w:val="JRCText"/>
        <w:rPr>
          <w:rFonts w:ascii="Times New Roman" w:hAnsi="Times New Roman"/>
          <w:noProof/>
          <w:sz w:val="24"/>
          <w:szCs w:val="24"/>
        </w:rPr>
      </w:pPr>
      <w:r>
        <w:rPr>
          <w:rFonts w:ascii="Times New Roman" w:hAnsi="Times New Roman"/>
          <w:noProof/>
          <w:sz w:val="24"/>
          <w:szCs w:val="24"/>
        </w:rPr>
        <w:t>At present, the uptake of water reuse solutions remains limited in comparison with their potential, which remains largely untapped. In the 2015 Communication ‘</w:t>
      </w:r>
      <w:r>
        <w:rPr>
          <w:rFonts w:ascii="Times New Roman" w:hAnsi="Times New Roman"/>
          <w:i/>
          <w:noProof/>
          <w:sz w:val="24"/>
          <w:szCs w:val="24"/>
        </w:rPr>
        <w:t xml:space="preserve">Closing the loop – </w:t>
      </w:r>
      <w:r>
        <w:rPr>
          <w:rFonts w:ascii="Times New Roman" w:hAnsi="Times New Roman"/>
          <w:i/>
          <w:noProof/>
          <w:sz w:val="24"/>
          <w:szCs w:val="24"/>
        </w:rPr>
        <w:t>An EU action plan for the Circular Economy</w:t>
      </w:r>
      <w:r>
        <w:rPr>
          <w:rFonts w:ascii="Times New Roman" w:hAnsi="Times New Roman"/>
          <w:noProof/>
          <w:sz w:val="24"/>
          <w:szCs w:val="24"/>
        </w:rPr>
        <w:t>’ (COM/2015/614) and in the Inception Impact Assessment of the EU, water reuse initiative at hand, agricultural irrigation and aquifer recharge were identified as main potential sources of demand for reclaimed wate</w:t>
      </w:r>
      <w:r>
        <w:rPr>
          <w:rFonts w:ascii="Times New Roman" w:hAnsi="Times New Roman"/>
          <w:noProof/>
          <w:sz w:val="24"/>
          <w:szCs w:val="24"/>
        </w:rPr>
        <w:t>r. This is because both applications have the greatest potential in terms of its higher uptake, scarcity alleviation and EU relevance: agricultural irrigation as the biggest user of treated wastewater and the links with the Internal Market and aquifer rech</w:t>
      </w:r>
      <w:r>
        <w:rPr>
          <w:rFonts w:ascii="Times New Roman" w:hAnsi="Times New Roman"/>
          <w:noProof/>
          <w:sz w:val="24"/>
          <w:szCs w:val="24"/>
        </w:rPr>
        <w:t>arge due to the cross-border nature of many aquifers. A primary goal is hence to encourage efficient resource use and reduce pressures on the water environment, in particular water scarcity, by fostering the development of safe reuse of treated wastewater.</w:t>
      </w:r>
      <w:r>
        <w:rPr>
          <w:rFonts w:ascii="Times New Roman" w:hAnsi="Times New Roman"/>
          <w:noProof/>
          <w:sz w:val="24"/>
          <w:szCs w:val="24"/>
        </w:rPr>
        <w:t xml:space="preserve"> As an input to the design of an EU Legal Instrument aiming at these two water reuse applications, this report recommends minimum quality requirements for water reuse in agricultural irrigation and aquifer recharge based on a risk management approach.</w:t>
      </w:r>
    </w:p>
    <w:p w:rsidR="00AB50C5" w:rsidRDefault="00724275">
      <w:pPr>
        <w:pStyle w:val="JRCLevel-2Frontsmalltitle"/>
        <w:jc w:val="both"/>
        <w:rPr>
          <w:rFonts w:ascii="Times New Roman" w:hAnsi="Times New Roman"/>
          <w:noProof/>
          <w:sz w:val="24"/>
          <w:szCs w:val="24"/>
          <w:lang w:val="en-US"/>
        </w:rPr>
      </w:pPr>
      <w:r>
        <w:rPr>
          <w:rFonts w:ascii="Times New Roman" w:hAnsi="Times New Roman"/>
          <w:noProof/>
          <w:sz w:val="24"/>
          <w:szCs w:val="24"/>
          <w:lang w:val="en-US"/>
        </w:rPr>
        <w:t>Poli</w:t>
      </w:r>
      <w:r>
        <w:rPr>
          <w:rFonts w:ascii="Times New Roman" w:hAnsi="Times New Roman"/>
          <w:noProof/>
          <w:sz w:val="24"/>
          <w:szCs w:val="24"/>
          <w:lang w:val="en-US"/>
        </w:rPr>
        <w:t>cy context</w:t>
      </w:r>
    </w:p>
    <w:p w:rsidR="00AB50C5" w:rsidRDefault="00724275">
      <w:pPr>
        <w:pStyle w:val="JRCText"/>
        <w:rPr>
          <w:rFonts w:ascii="Times New Roman" w:hAnsi="Times New Roman"/>
          <w:noProof/>
          <w:sz w:val="24"/>
          <w:szCs w:val="24"/>
        </w:rPr>
      </w:pPr>
      <w:r>
        <w:rPr>
          <w:rFonts w:ascii="Times New Roman" w:hAnsi="Times New Roman"/>
          <w:noProof/>
          <w:sz w:val="24"/>
          <w:szCs w:val="24"/>
        </w:rPr>
        <w:t>This report provides the scientific support for the development of a Legal Instrument on minimum quality requirements for water reuse at EU level for two specific uses, agricultural irrigation and aquifer recharge. This document has been request</w:t>
      </w:r>
      <w:r>
        <w:rPr>
          <w:rFonts w:ascii="Times New Roman" w:hAnsi="Times New Roman"/>
          <w:noProof/>
          <w:sz w:val="24"/>
          <w:szCs w:val="24"/>
        </w:rPr>
        <w:t>ed by DG ENV and developed with additional inputs from experts in the water reuse field.</w:t>
      </w:r>
    </w:p>
    <w:p w:rsidR="00AB50C5" w:rsidRDefault="00724275">
      <w:pPr>
        <w:pStyle w:val="JRCText"/>
        <w:rPr>
          <w:rFonts w:ascii="Times New Roman" w:hAnsi="Times New Roman"/>
          <w:noProof/>
          <w:color w:val="000000"/>
          <w:sz w:val="24"/>
          <w:szCs w:val="24"/>
        </w:rPr>
      </w:pPr>
      <w:r>
        <w:rPr>
          <w:rFonts w:ascii="Times New Roman" w:hAnsi="Times New Roman"/>
          <w:noProof/>
          <w:color w:val="000000"/>
          <w:sz w:val="24"/>
          <w:szCs w:val="24"/>
          <w:lang w:val="en-US"/>
        </w:rPr>
        <w:t>The opportunity to take action at EU level with a view to increasing water reuse was already identified in the 2012 Commission Communication "</w:t>
      </w:r>
      <w:r>
        <w:rPr>
          <w:rFonts w:ascii="Times New Roman" w:hAnsi="Times New Roman"/>
          <w:bCs/>
          <w:i/>
          <w:noProof/>
          <w:color w:val="000000"/>
          <w:sz w:val="24"/>
          <w:szCs w:val="24"/>
          <w:lang w:val="en-US"/>
        </w:rPr>
        <w:t xml:space="preserve">A Blueprint to Safeguard </w:t>
      </w:r>
      <w:r>
        <w:rPr>
          <w:rFonts w:ascii="Times New Roman" w:hAnsi="Times New Roman"/>
          <w:bCs/>
          <w:i/>
          <w:noProof/>
          <w:color w:val="000000"/>
          <w:sz w:val="24"/>
          <w:szCs w:val="24"/>
          <w:lang w:val="en-US"/>
        </w:rPr>
        <w:t>Europe's Water Resources</w:t>
      </w:r>
      <w:r>
        <w:rPr>
          <w:rFonts w:ascii="Times New Roman" w:hAnsi="Times New Roman"/>
          <w:noProof/>
          <w:color w:val="000000"/>
          <w:sz w:val="24"/>
          <w:szCs w:val="24"/>
          <w:lang w:val="en-US"/>
        </w:rPr>
        <w:t xml:space="preserve">" (COM(2012)673). </w:t>
      </w:r>
      <w:r>
        <w:rPr>
          <w:rFonts w:ascii="Times New Roman" w:hAnsi="Times New Roman"/>
          <w:noProof/>
          <w:color w:val="000000"/>
          <w:sz w:val="24"/>
          <w:szCs w:val="24"/>
        </w:rPr>
        <w:t>This initiative would contribute to the achievements of some key objectives under the 7</w:t>
      </w:r>
      <w:r>
        <w:rPr>
          <w:rFonts w:ascii="Times New Roman" w:hAnsi="Times New Roman"/>
          <w:noProof/>
          <w:color w:val="000000"/>
          <w:sz w:val="24"/>
          <w:szCs w:val="24"/>
          <w:vertAlign w:val="superscript"/>
        </w:rPr>
        <w:t>th</w:t>
      </w:r>
      <w:r>
        <w:rPr>
          <w:rFonts w:ascii="Times New Roman" w:hAnsi="Times New Roman"/>
          <w:noProof/>
          <w:color w:val="000000"/>
          <w:sz w:val="24"/>
          <w:szCs w:val="24"/>
        </w:rPr>
        <w:t xml:space="preserve"> EU Environment Action Programme to 2020 (i.e. protecting, conserving and enhancing the Union’s natural capital and turning the Union into a resource-efficient economy).</w:t>
      </w:r>
      <w:r>
        <w:rPr>
          <w:rFonts w:ascii="Times New Roman" w:hAnsi="Times New Roman"/>
          <w:noProof/>
          <w:sz w:val="24"/>
          <w:szCs w:val="24"/>
        </w:rPr>
        <w:t xml:space="preserve"> </w:t>
      </w:r>
      <w:r>
        <w:rPr>
          <w:rFonts w:ascii="Times New Roman" w:hAnsi="Times New Roman"/>
          <w:noProof/>
          <w:color w:val="000000"/>
          <w:sz w:val="24"/>
          <w:szCs w:val="24"/>
        </w:rPr>
        <w:t>In the Communication "</w:t>
      </w:r>
      <w:r>
        <w:rPr>
          <w:rFonts w:ascii="Times New Roman" w:hAnsi="Times New Roman"/>
          <w:i/>
          <w:noProof/>
          <w:color w:val="000000"/>
          <w:sz w:val="24"/>
          <w:szCs w:val="24"/>
        </w:rPr>
        <w:t>Closing the loop – An EU action plan for the circular economy</w:t>
      </w:r>
      <w:r>
        <w:rPr>
          <w:rFonts w:ascii="Times New Roman" w:hAnsi="Times New Roman"/>
          <w:noProof/>
          <w:color w:val="000000"/>
          <w:sz w:val="24"/>
          <w:szCs w:val="24"/>
        </w:rPr>
        <w:t>" (</w:t>
      </w:r>
      <w:r>
        <w:rPr>
          <w:rFonts w:ascii="Times New Roman" w:hAnsi="Times New Roman"/>
          <w:noProof/>
          <w:color w:val="000000"/>
          <w:sz w:val="24"/>
          <w:szCs w:val="24"/>
        </w:rPr>
        <w:t>COM(2015)614), the Commission already committed to develop a series of non-regulatory actions to promote safe and cost-effective water reuse.</w:t>
      </w:r>
      <w:r>
        <w:rPr>
          <w:rFonts w:ascii="Times New Roman" w:hAnsi="Times New Roman"/>
          <w:noProof/>
          <w:sz w:val="24"/>
          <w:szCs w:val="24"/>
        </w:rPr>
        <w:t xml:space="preserve"> </w:t>
      </w:r>
      <w:r>
        <w:rPr>
          <w:rFonts w:ascii="Times New Roman" w:hAnsi="Times New Roman"/>
          <w:noProof/>
          <w:color w:val="000000"/>
          <w:sz w:val="24"/>
          <w:szCs w:val="24"/>
        </w:rPr>
        <w:t>The Commission published in April 2016 an Inception Impact Assessment on “</w:t>
      </w:r>
      <w:r>
        <w:rPr>
          <w:rFonts w:ascii="Times New Roman" w:hAnsi="Times New Roman"/>
          <w:i/>
          <w:noProof/>
          <w:color w:val="000000"/>
          <w:sz w:val="24"/>
          <w:szCs w:val="24"/>
        </w:rPr>
        <w:t xml:space="preserve">Minimum quality requirements for reused </w:t>
      </w:r>
      <w:r>
        <w:rPr>
          <w:rFonts w:ascii="Times New Roman" w:hAnsi="Times New Roman"/>
          <w:i/>
          <w:noProof/>
          <w:color w:val="000000"/>
          <w:sz w:val="24"/>
          <w:szCs w:val="24"/>
        </w:rPr>
        <w:t>water in the EU (new EU legislation)</w:t>
      </w:r>
      <w:r>
        <w:rPr>
          <w:rFonts w:ascii="Times New Roman" w:hAnsi="Times New Roman"/>
          <w:noProof/>
          <w:color w:val="000000"/>
          <w:sz w:val="24"/>
          <w:szCs w:val="24"/>
        </w:rPr>
        <w:t>” stating that the initiative of a regulation on minimum quality requirements for reused water in agricultural irrigation and aquifer recharge will encourage efficient resource use and reduce pressures on the water envir</w:t>
      </w:r>
      <w:r>
        <w:rPr>
          <w:rFonts w:ascii="Times New Roman" w:hAnsi="Times New Roman"/>
          <w:noProof/>
          <w:color w:val="000000"/>
          <w:sz w:val="24"/>
          <w:szCs w:val="24"/>
        </w:rPr>
        <w:t>onment, provide clarity, coherence and predictability to market operators, and complement the existing EU water policy, notably the Water Framework Directive and the Urban Wastewater Treatment Directive.</w:t>
      </w:r>
    </w:p>
    <w:p w:rsidR="00AB50C5" w:rsidRDefault="00724275">
      <w:pPr>
        <w:pStyle w:val="JRCText"/>
        <w:rPr>
          <w:rFonts w:ascii="Times New Roman" w:hAnsi="Times New Roman"/>
          <w:noProof/>
          <w:color w:val="000000"/>
          <w:sz w:val="24"/>
          <w:szCs w:val="24"/>
        </w:rPr>
      </w:pPr>
      <w:r>
        <w:rPr>
          <w:rFonts w:ascii="Times New Roman" w:hAnsi="Times New Roman"/>
          <w:noProof/>
          <w:color w:val="000000"/>
          <w:sz w:val="24"/>
          <w:szCs w:val="24"/>
        </w:rPr>
        <w:t>The intention to address water reuse with a new legi</w:t>
      </w:r>
      <w:r>
        <w:rPr>
          <w:rFonts w:ascii="Times New Roman" w:hAnsi="Times New Roman"/>
          <w:noProof/>
          <w:color w:val="000000"/>
          <w:sz w:val="24"/>
          <w:szCs w:val="24"/>
        </w:rPr>
        <w:t>slative proposal was noted with interest by the Council in its conclusions on Sustainable Water Management (11902/16). Furthermore, the European Parliament, in its Resolution on the follow-up to the European Citizens’ Initiative Right2Water in September 20</w:t>
      </w:r>
      <w:r>
        <w:rPr>
          <w:rFonts w:ascii="Times New Roman" w:hAnsi="Times New Roman"/>
          <w:noProof/>
          <w:color w:val="000000"/>
          <w:sz w:val="24"/>
          <w:szCs w:val="24"/>
        </w:rPr>
        <w:t>15, encouraged the Commission to draw up a legislative framework on water reuse, as well as the Committee of the Regions, in its opinion on "</w:t>
      </w:r>
      <w:r>
        <w:rPr>
          <w:rFonts w:ascii="Times New Roman" w:hAnsi="Times New Roman"/>
          <w:i/>
          <w:noProof/>
          <w:color w:val="000000"/>
          <w:sz w:val="24"/>
          <w:szCs w:val="24"/>
        </w:rPr>
        <w:t>Effective water management system: an approach to innovative solutions</w:t>
      </w:r>
      <w:r>
        <w:rPr>
          <w:rFonts w:ascii="Times New Roman" w:hAnsi="Times New Roman"/>
          <w:noProof/>
          <w:color w:val="000000"/>
          <w:sz w:val="24"/>
          <w:szCs w:val="24"/>
        </w:rPr>
        <w:t>" in December 2016.</w:t>
      </w:r>
    </w:p>
    <w:p w:rsidR="00AB50C5" w:rsidRDefault="00724275">
      <w:pPr>
        <w:pStyle w:val="JRCLevel-2Frontsmalltitle"/>
        <w:jc w:val="both"/>
        <w:rPr>
          <w:rFonts w:ascii="Times New Roman" w:hAnsi="Times New Roman"/>
          <w:noProof/>
          <w:sz w:val="24"/>
          <w:szCs w:val="24"/>
        </w:rPr>
      </w:pPr>
      <w:r>
        <w:rPr>
          <w:rFonts w:ascii="Times New Roman" w:hAnsi="Times New Roman"/>
          <w:noProof/>
          <w:sz w:val="24"/>
          <w:szCs w:val="24"/>
        </w:rPr>
        <w:t>Key conclusions</w:t>
      </w:r>
    </w:p>
    <w:p w:rsidR="00AB50C5" w:rsidRDefault="00724275">
      <w:pPr>
        <w:pStyle w:val="JRCText"/>
        <w:rPr>
          <w:rFonts w:ascii="Times New Roman" w:hAnsi="Times New Roman"/>
          <w:noProof/>
          <w:sz w:val="24"/>
          <w:szCs w:val="24"/>
          <w:lang w:val="en-US"/>
        </w:rPr>
      </w:pPr>
      <w:r>
        <w:rPr>
          <w:rFonts w:ascii="Times New Roman" w:hAnsi="Times New Roman"/>
          <w:noProof/>
          <w:sz w:val="24"/>
          <w:szCs w:val="24"/>
        </w:rPr>
        <w:t>The devel</w:t>
      </w:r>
      <w:r>
        <w:rPr>
          <w:rFonts w:ascii="Times New Roman" w:hAnsi="Times New Roman"/>
          <w:noProof/>
          <w:sz w:val="24"/>
          <w:szCs w:val="24"/>
        </w:rPr>
        <w:t>opment of minimum quality requirements for water reuse in agricultural irrigation and aquifer recharge is based on a risk management framework, which is recommended to tackle health and environmental risks and assure a safe use of reclaimed water for agric</w:t>
      </w:r>
      <w:r>
        <w:rPr>
          <w:rFonts w:ascii="Times New Roman" w:hAnsi="Times New Roman"/>
          <w:noProof/>
          <w:sz w:val="24"/>
          <w:szCs w:val="24"/>
        </w:rPr>
        <w:t xml:space="preserve">ulture and aquifer recharge. </w:t>
      </w:r>
      <w:r>
        <w:rPr>
          <w:rFonts w:ascii="Times New Roman" w:hAnsi="Times New Roman"/>
          <w:noProof/>
          <w:sz w:val="24"/>
          <w:szCs w:val="24"/>
          <w:lang w:val="en-US"/>
        </w:rPr>
        <w:t xml:space="preserve">The minimum requirements defined here ensure an appropriate health and environmental protection and thus provide public confidence in reuse practices. This document will contribute to establish a common approach on water reuse </w:t>
      </w:r>
      <w:r>
        <w:rPr>
          <w:rFonts w:ascii="Times New Roman" w:hAnsi="Times New Roman"/>
          <w:noProof/>
          <w:sz w:val="24"/>
          <w:szCs w:val="24"/>
          <w:lang w:val="en-US"/>
        </w:rPr>
        <w:t>across the EU providing clarity, coherence and predictability to market operators, who wish to invest in water reuse in the EU under comparable regulatory conditions.</w:t>
      </w:r>
    </w:p>
    <w:p w:rsidR="00AB50C5" w:rsidRDefault="00724275">
      <w:pPr>
        <w:pStyle w:val="JRCText"/>
        <w:rPr>
          <w:rFonts w:ascii="Times New Roman" w:hAnsi="Times New Roman"/>
          <w:noProof/>
          <w:sz w:val="24"/>
          <w:szCs w:val="24"/>
          <w:lang w:val="en-US"/>
        </w:rPr>
      </w:pPr>
      <w:r>
        <w:rPr>
          <w:rFonts w:ascii="Times New Roman" w:hAnsi="Times New Roman"/>
          <w:noProof/>
          <w:sz w:val="24"/>
          <w:szCs w:val="24"/>
          <w:lang w:val="en-US"/>
        </w:rPr>
        <w:t xml:space="preserve">Additional guidance on the application of a risk management framework is identified as a </w:t>
      </w:r>
      <w:r>
        <w:rPr>
          <w:rFonts w:ascii="Times New Roman" w:hAnsi="Times New Roman"/>
          <w:noProof/>
          <w:sz w:val="24"/>
          <w:szCs w:val="24"/>
          <w:lang w:val="en-US"/>
        </w:rPr>
        <w:t>need to complement a future regulation on water reuse.</w:t>
      </w:r>
    </w:p>
    <w:p w:rsidR="00AB50C5" w:rsidRDefault="00724275">
      <w:pPr>
        <w:pStyle w:val="JRCLevel-2Frontsmalltitle"/>
        <w:jc w:val="both"/>
        <w:rPr>
          <w:rFonts w:ascii="Times New Roman" w:hAnsi="Times New Roman"/>
          <w:noProof/>
          <w:sz w:val="24"/>
          <w:szCs w:val="24"/>
        </w:rPr>
      </w:pPr>
      <w:r>
        <w:rPr>
          <w:rFonts w:ascii="Times New Roman" w:hAnsi="Times New Roman"/>
          <w:noProof/>
          <w:sz w:val="24"/>
          <w:szCs w:val="24"/>
        </w:rPr>
        <w:t>Main findings</w:t>
      </w:r>
    </w:p>
    <w:p w:rsidR="00AB50C5" w:rsidRDefault="00724275">
      <w:pPr>
        <w:pStyle w:val="JRCText"/>
        <w:rPr>
          <w:rFonts w:ascii="Times New Roman" w:hAnsi="Times New Roman"/>
          <w:noProof/>
          <w:sz w:val="24"/>
          <w:szCs w:val="24"/>
        </w:rPr>
      </w:pPr>
      <w:r>
        <w:rPr>
          <w:rFonts w:ascii="Times New Roman" w:hAnsi="Times New Roman"/>
          <w:noProof/>
          <w:sz w:val="24"/>
          <w:szCs w:val="24"/>
        </w:rPr>
        <w:t>The document recommends specific minimum requirements for reclaimed water quality taking into consideration the health and environmental risks related to water reuse practices.</w:t>
      </w:r>
    </w:p>
    <w:p w:rsidR="00AB50C5" w:rsidRDefault="00724275">
      <w:pPr>
        <w:pStyle w:val="JRCText"/>
        <w:rPr>
          <w:rFonts w:ascii="Times New Roman" w:hAnsi="Times New Roman"/>
          <w:noProof/>
          <w:sz w:val="24"/>
          <w:szCs w:val="24"/>
        </w:rPr>
      </w:pPr>
      <w:r>
        <w:rPr>
          <w:rFonts w:ascii="Times New Roman" w:hAnsi="Times New Roman"/>
          <w:noProof/>
          <w:sz w:val="24"/>
          <w:szCs w:val="24"/>
        </w:rPr>
        <w:t>A risk man</w:t>
      </w:r>
      <w:r>
        <w:rPr>
          <w:rFonts w:ascii="Times New Roman" w:hAnsi="Times New Roman"/>
          <w:noProof/>
          <w:sz w:val="24"/>
          <w:szCs w:val="24"/>
        </w:rPr>
        <w:t>agement framework has to be applied to water reuse systems to assure a safe use of reclaimed water for agriculture and aquifer recharge, following the World Health Organization recommendation. Therefore, the main elements to implement a risk management fra</w:t>
      </w:r>
      <w:r>
        <w:rPr>
          <w:rFonts w:ascii="Times New Roman" w:hAnsi="Times New Roman"/>
          <w:noProof/>
          <w:sz w:val="24"/>
          <w:szCs w:val="24"/>
        </w:rPr>
        <w:t>mework are established, including the steps to develop health and environmental risks assessments. The related EU legislation has been always considered when appropriate.</w:t>
      </w:r>
    </w:p>
    <w:p w:rsidR="00AB50C5" w:rsidRDefault="00724275">
      <w:pPr>
        <w:pStyle w:val="JRCText"/>
        <w:rPr>
          <w:rFonts w:ascii="Times New Roman" w:hAnsi="Times New Roman"/>
          <w:noProof/>
          <w:sz w:val="24"/>
          <w:szCs w:val="24"/>
        </w:rPr>
      </w:pPr>
      <w:r>
        <w:rPr>
          <w:rFonts w:ascii="Times New Roman" w:hAnsi="Times New Roman"/>
          <w:noProof/>
          <w:sz w:val="24"/>
          <w:szCs w:val="24"/>
        </w:rPr>
        <w:t>Minimum quality requirements including microbiological and physico-chemical parameter</w:t>
      </w:r>
      <w:r>
        <w:rPr>
          <w:rFonts w:ascii="Times New Roman" w:hAnsi="Times New Roman"/>
          <w:noProof/>
          <w:sz w:val="24"/>
          <w:szCs w:val="24"/>
        </w:rPr>
        <w:t>s, associated limit values and monitoring frequencies are established for agricultural irrigation. Preventive measures to be adopted are also defined.</w:t>
      </w:r>
    </w:p>
    <w:p w:rsidR="00AB50C5" w:rsidRDefault="00724275">
      <w:pPr>
        <w:pStyle w:val="JRCText"/>
        <w:rPr>
          <w:rFonts w:ascii="Times New Roman" w:hAnsi="Times New Roman"/>
          <w:noProof/>
          <w:sz w:val="24"/>
          <w:szCs w:val="24"/>
        </w:rPr>
      </w:pPr>
      <w:r>
        <w:rPr>
          <w:rFonts w:ascii="Times New Roman" w:hAnsi="Times New Roman"/>
          <w:noProof/>
          <w:sz w:val="24"/>
          <w:szCs w:val="24"/>
        </w:rPr>
        <w:t>The Groundwater Directive is the overarching framework for aquifer recharge with reclaimed water, and thi</w:t>
      </w:r>
      <w:r>
        <w:rPr>
          <w:rFonts w:ascii="Times New Roman" w:hAnsi="Times New Roman"/>
          <w:noProof/>
          <w:sz w:val="24"/>
          <w:szCs w:val="24"/>
        </w:rPr>
        <w:t>s Directive is embedded in the risk management framework to be applied.</w:t>
      </w:r>
    </w:p>
    <w:p w:rsidR="00AB50C5" w:rsidRDefault="00724275">
      <w:pPr>
        <w:pStyle w:val="JRCText"/>
        <w:rPr>
          <w:rFonts w:ascii="Times New Roman" w:hAnsi="Times New Roman"/>
          <w:noProof/>
          <w:sz w:val="24"/>
          <w:szCs w:val="24"/>
        </w:rPr>
      </w:pPr>
      <w:r>
        <w:rPr>
          <w:rFonts w:ascii="Times New Roman" w:hAnsi="Times New Roman"/>
          <w:noProof/>
          <w:sz w:val="24"/>
          <w:szCs w:val="24"/>
        </w:rPr>
        <w:t>Flexibility is given to Member States to define more stringent limits and to assess risks considering site specific conditions, especially for environmental risks.</w:t>
      </w:r>
    </w:p>
    <w:p w:rsidR="00AB50C5" w:rsidRDefault="00724275">
      <w:pPr>
        <w:pStyle w:val="JRCLevel-2Frontsmalltitle"/>
        <w:jc w:val="both"/>
        <w:rPr>
          <w:rFonts w:ascii="Times New Roman" w:hAnsi="Times New Roman"/>
          <w:noProof/>
          <w:sz w:val="24"/>
          <w:szCs w:val="24"/>
        </w:rPr>
      </w:pPr>
      <w:r>
        <w:rPr>
          <w:rFonts w:ascii="Times New Roman" w:hAnsi="Times New Roman"/>
          <w:noProof/>
          <w:sz w:val="24"/>
          <w:szCs w:val="24"/>
        </w:rPr>
        <w:t xml:space="preserve">Related and future </w:t>
      </w:r>
      <w:r>
        <w:rPr>
          <w:rFonts w:ascii="Times New Roman" w:hAnsi="Times New Roman"/>
          <w:noProof/>
          <w:sz w:val="24"/>
          <w:szCs w:val="24"/>
        </w:rPr>
        <w:t>JRC work</w:t>
      </w:r>
    </w:p>
    <w:p w:rsidR="00AB50C5" w:rsidRDefault="00724275">
      <w:pPr>
        <w:pStyle w:val="JRCText"/>
        <w:rPr>
          <w:rFonts w:ascii="Times New Roman" w:hAnsi="Times New Roman"/>
          <w:noProof/>
          <w:sz w:val="24"/>
          <w:szCs w:val="24"/>
        </w:rPr>
      </w:pPr>
      <w:r>
        <w:rPr>
          <w:rFonts w:ascii="Times New Roman" w:hAnsi="Times New Roman"/>
          <w:noProof/>
          <w:sz w:val="24"/>
          <w:szCs w:val="24"/>
        </w:rPr>
        <w:t>The JRC report “</w:t>
      </w:r>
      <w:r>
        <w:rPr>
          <w:rFonts w:ascii="Times New Roman" w:hAnsi="Times New Roman"/>
          <w:i/>
          <w:noProof/>
          <w:sz w:val="24"/>
          <w:szCs w:val="24"/>
        </w:rPr>
        <w:t>Water Reuse in Europe: Relevant guidelines, needs for and barriers to innovation. A synoptic overview</w:t>
      </w:r>
      <w:r>
        <w:rPr>
          <w:rFonts w:ascii="Times New Roman" w:hAnsi="Times New Roman"/>
          <w:noProof/>
          <w:sz w:val="24"/>
          <w:szCs w:val="24"/>
        </w:rPr>
        <w:t>” is an antecedent to the present document, also related to the water reuse topic. JRC support to forthcoming guidance on water re</w:t>
      </w:r>
      <w:r>
        <w:rPr>
          <w:rFonts w:ascii="Times New Roman" w:hAnsi="Times New Roman"/>
          <w:noProof/>
          <w:sz w:val="24"/>
          <w:szCs w:val="24"/>
        </w:rPr>
        <w:t>use may be expected as a follow-up from this report, as a complement to a future legal instrument on water reuse.</w:t>
      </w:r>
    </w:p>
    <w:p w:rsidR="00AB50C5" w:rsidRDefault="00724275">
      <w:pPr>
        <w:pStyle w:val="JRCLevel-2Frontsmalltitle"/>
        <w:jc w:val="both"/>
        <w:rPr>
          <w:rFonts w:ascii="Times New Roman" w:hAnsi="Times New Roman"/>
          <w:noProof/>
          <w:sz w:val="24"/>
          <w:szCs w:val="24"/>
        </w:rPr>
      </w:pPr>
      <w:r>
        <w:rPr>
          <w:rFonts w:ascii="Times New Roman" w:hAnsi="Times New Roman"/>
          <w:noProof/>
          <w:sz w:val="24"/>
          <w:szCs w:val="24"/>
        </w:rPr>
        <w:t>Quick guide</w:t>
      </w:r>
    </w:p>
    <w:p w:rsidR="00AB50C5" w:rsidRDefault="00724275">
      <w:pPr>
        <w:pStyle w:val="JRCText"/>
        <w:rPr>
          <w:rFonts w:ascii="Times New Roman" w:hAnsi="Times New Roman"/>
          <w:noProof/>
          <w:sz w:val="24"/>
          <w:szCs w:val="24"/>
        </w:rPr>
      </w:pPr>
      <w:r>
        <w:rPr>
          <w:rFonts w:ascii="Times New Roman" w:hAnsi="Times New Roman"/>
          <w:noProof/>
          <w:sz w:val="24"/>
          <w:szCs w:val="24"/>
        </w:rPr>
        <w:t>Water reuse is defined as the use of treated wastewater for beneficial use. Synonymous to water reuse are also water reclamation a</w:t>
      </w:r>
      <w:r>
        <w:rPr>
          <w:rFonts w:ascii="Times New Roman" w:hAnsi="Times New Roman"/>
          <w:noProof/>
          <w:sz w:val="24"/>
          <w:szCs w:val="24"/>
        </w:rPr>
        <w:t>nd water recycling. A risk management framework involves identifying and managing risks in a proactive way, being a dynamic and practical system that, applied to water reuse, incorporates the concept of producing reclaimed water of a quality that is ‘</w:t>
      </w:r>
      <w:r>
        <w:rPr>
          <w:rFonts w:ascii="Times New Roman" w:hAnsi="Times New Roman"/>
          <w:i/>
          <w:noProof/>
          <w:sz w:val="24"/>
          <w:szCs w:val="24"/>
        </w:rPr>
        <w:t>fit-f</w:t>
      </w:r>
      <w:r>
        <w:rPr>
          <w:rFonts w:ascii="Times New Roman" w:hAnsi="Times New Roman"/>
          <w:i/>
          <w:noProof/>
          <w:sz w:val="24"/>
          <w:szCs w:val="24"/>
        </w:rPr>
        <w:t>or-purpose’</w:t>
      </w:r>
      <w:r>
        <w:rPr>
          <w:rFonts w:ascii="Times New Roman" w:hAnsi="Times New Roman"/>
          <w:noProof/>
          <w:sz w:val="24"/>
          <w:szCs w:val="24"/>
        </w:rPr>
        <w:t xml:space="preserve">. It is also a systematic management tool that consistently ensures the safety and acceptability of water reuse practices. A central feature is that it is sufficiently flexible to be applied to all types of water reuse systems. </w:t>
      </w:r>
    </w:p>
    <w:p w:rsidR="00AB50C5" w:rsidRDefault="00724275">
      <w:pPr>
        <w:pStyle w:val="JRCLevel-1title"/>
        <w:jc w:val="both"/>
        <w:rPr>
          <w:rFonts w:ascii="Times New Roman" w:hAnsi="Times New Roman"/>
          <w:noProof/>
          <w:sz w:val="24"/>
        </w:rPr>
      </w:pPr>
      <w:bookmarkStart w:id="8" w:name="_Toc442866529"/>
      <w:bookmarkStart w:id="9" w:name="_Toc454372594"/>
      <w:bookmarkStart w:id="10" w:name="_Toc498695664"/>
      <w:bookmarkStart w:id="11" w:name="_Toc516234748"/>
      <w:r>
        <w:rPr>
          <w:rFonts w:ascii="Times New Roman" w:hAnsi="Times New Roman"/>
          <w:noProof/>
          <w:sz w:val="24"/>
        </w:rPr>
        <w:t>Introduction</w:t>
      </w:r>
      <w:bookmarkEnd w:id="8"/>
      <w:bookmarkEnd w:id="9"/>
      <w:bookmarkEnd w:id="10"/>
      <w:bookmarkEnd w:id="11"/>
    </w:p>
    <w:p w:rsidR="00AB50C5" w:rsidRDefault="00724275">
      <w:pPr>
        <w:pStyle w:val="JRCText"/>
        <w:rPr>
          <w:rFonts w:ascii="Times New Roman" w:hAnsi="Times New Roman"/>
          <w:noProof/>
          <w:sz w:val="24"/>
          <w:szCs w:val="24"/>
        </w:rPr>
      </w:pPr>
      <w:r>
        <w:rPr>
          <w:rFonts w:ascii="Times New Roman" w:hAnsi="Times New Roman"/>
          <w:noProof/>
          <w:sz w:val="24"/>
          <w:szCs w:val="24"/>
        </w:rPr>
        <w:t>More and more Europe's water resources are increasingly coming under stress, leading to water scarcity and quality deterioration. Pressures from climate change, droughts and urban development have put a significant strain on freshwater supplies (EEA, 2012)</w:t>
      </w:r>
      <w:r>
        <w:rPr>
          <w:rFonts w:ascii="Times New Roman" w:hAnsi="Times New Roman"/>
          <w:noProof/>
          <w:sz w:val="24"/>
          <w:szCs w:val="24"/>
        </w:rPr>
        <w:t>. In this context, Europe’s ability to respond to the increasing risks to water resources could be enhanced by a wider reuse of treated wastewater. As stated in COM (2015)614: “</w:t>
      </w:r>
      <w:r>
        <w:rPr>
          <w:rFonts w:ascii="Times New Roman" w:hAnsi="Times New Roman"/>
          <w:i/>
          <w:noProof/>
          <w:sz w:val="24"/>
          <w:szCs w:val="24"/>
        </w:rPr>
        <w:t>Closing the loop – An EU action plan for the circular economy</w:t>
      </w:r>
      <w:r>
        <w:rPr>
          <w:rFonts w:ascii="Times New Roman" w:hAnsi="Times New Roman"/>
          <w:noProof/>
          <w:sz w:val="24"/>
          <w:szCs w:val="24"/>
        </w:rPr>
        <w:t>” the Commission w</w:t>
      </w:r>
      <w:r>
        <w:rPr>
          <w:rFonts w:ascii="Times New Roman" w:hAnsi="Times New Roman"/>
          <w:noProof/>
          <w:sz w:val="24"/>
          <w:szCs w:val="24"/>
        </w:rPr>
        <w:t>ill take a series of actions to promote the reuse of treated wastewaters, including development of a regulatory instrument on minimum quality requirements for water reuse in agricultural irrigation and aquifer recharge.</w:t>
      </w:r>
    </w:p>
    <w:p w:rsidR="00AB50C5" w:rsidRDefault="00724275">
      <w:pPr>
        <w:pStyle w:val="JRCText"/>
        <w:rPr>
          <w:rFonts w:ascii="Times New Roman" w:hAnsi="Times New Roman"/>
          <w:noProof/>
          <w:sz w:val="24"/>
          <w:szCs w:val="24"/>
        </w:rPr>
      </w:pPr>
      <w:r>
        <w:rPr>
          <w:rFonts w:ascii="Times New Roman" w:hAnsi="Times New Roman"/>
          <w:noProof/>
          <w:sz w:val="24"/>
          <w:szCs w:val="24"/>
        </w:rPr>
        <w:t>Information sources agree on the sig</w:t>
      </w:r>
      <w:r>
        <w:rPr>
          <w:rFonts w:ascii="Times New Roman" w:hAnsi="Times New Roman"/>
          <w:noProof/>
          <w:sz w:val="24"/>
          <w:szCs w:val="24"/>
        </w:rPr>
        <w:t>nificant potential for further development of water reuse projects in the EU (BIO, 2015). Water reuse can help lower the pressure on freshwater resources. Other benefits include decreasing wastewater discharges, even if sometimes, during the summer period,</w:t>
      </w:r>
      <w:r>
        <w:rPr>
          <w:rFonts w:ascii="Times New Roman" w:hAnsi="Times New Roman"/>
          <w:noProof/>
          <w:sz w:val="24"/>
          <w:szCs w:val="24"/>
        </w:rPr>
        <w:t xml:space="preserve"> the discharges are needed to achieve the ecological flow, and reducing and preventing pollution of surface water. In addition, development of reuse in the EU is a market opportunity for the water industry and other industries with a strong eco-innovation </w:t>
      </w:r>
      <w:r>
        <w:rPr>
          <w:rFonts w:ascii="Times New Roman" w:hAnsi="Times New Roman"/>
          <w:noProof/>
          <w:sz w:val="24"/>
          <w:szCs w:val="24"/>
        </w:rPr>
        <w:t>potential in terms of technologies and services around water recycling in industry, agriculture and domestic water systems. It will provide new and significant opportunities for Europe to become a global market leader in water-related innovation and techno</w:t>
      </w:r>
      <w:r>
        <w:rPr>
          <w:rFonts w:ascii="Times New Roman" w:hAnsi="Times New Roman"/>
          <w:noProof/>
          <w:sz w:val="24"/>
          <w:szCs w:val="24"/>
        </w:rPr>
        <w:t>logy.</w:t>
      </w:r>
    </w:p>
    <w:p w:rsidR="00AB50C5" w:rsidRDefault="00724275">
      <w:pPr>
        <w:pStyle w:val="JRCText"/>
        <w:rPr>
          <w:rFonts w:ascii="Times New Roman" w:hAnsi="Times New Roman"/>
          <w:noProof/>
          <w:sz w:val="24"/>
          <w:szCs w:val="24"/>
        </w:rPr>
      </w:pPr>
      <w:r>
        <w:rPr>
          <w:rFonts w:ascii="Times New Roman" w:hAnsi="Times New Roman"/>
          <w:noProof/>
          <w:sz w:val="24"/>
          <w:szCs w:val="24"/>
        </w:rPr>
        <w:t xml:space="preserve">Water reuse needs to be considered as a measure within the context of the water policy hierarchy. The EC Communication on Water Scarcity and Droughts (COM (2007)414) sets out the water hierarchy of measures that Member States (MS) should consider in </w:t>
      </w:r>
      <w:r>
        <w:rPr>
          <w:rFonts w:ascii="Times New Roman" w:hAnsi="Times New Roman"/>
          <w:noProof/>
          <w:sz w:val="24"/>
          <w:szCs w:val="24"/>
        </w:rPr>
        <w:t>managing water scarcity and droughts. This communication states that water saving must become the priority and all possibilities to improve water efficiency must therefore be explored. Policy making should be based on a clear water hierarchy. Additional wa</w:t>
      </w:r>
      <w:r>
        <w:rPr>
          <w:rFonts w:ascii="Times New Roman" w:hAnsi="Times New Roman"/>
          <w:noProof/>
          <w:sz w:val="24"/>
          <w:szCs w:val="24"/>
        </w:rPr>
        <w:t>ter supply infrastructures should be considered as an option when other options have been exhausted, including effective water pricing policy and cost-effective alternatives. Water uses should also be prioritised: it is clear that public water supply shoul</w:t>
      </w:r>
      <w:r>
        <w:rPr>
          <w:rFonts w:ascii="Times New Roman" w:hAnsi="Times New Roman"/>
          <w:noProof/>
          <w:sz w:val="24"/>
          <w:szCs w:val="24"/>
        </w:rPr>
        <w:t>d always be the overriding priority to ensure access to adequate water provision. It also states that in regions where all prevention measures have been implemented according to the water hierarchy (from water saving to water pricing policy and alternative</w:t>
      </w:r>
      <w:r>
        <w:rPr>
          <w:rFonts w:ascii="Times New Roman" w:hAnsi="Times New Roman"/>
          <w:noProof/>
          <w:sz w:val="24"/>
          <w:szCs w:val="24"/>
        </w:rPr>
        <w:t xml:space="preserve"> solutions) and taking due account of the cost-benefit dimension, and where demand still exceeds water availability, additional water supply infrastructure can in some circumstances be identified as a possible other way of mitigating the impacts of severe </w:t>
      </w:r>
      <w:r>
        <w:rPr>
          <w:rFonts w:ascii="Times New Roman" w:hAnsi="Times New Roman"/>
          <w:noProof/>
          <w:sz w:val="24"/>
          <w:szCs w:val="24"/>
        </w:rPr>
        <w:t>drought.</w:t>
      </w:r>
    </w:p>
    <w:p w:rsidR="00AB50C5" w:rsidRDefault="00724275">
      <w:pPr>
        <w:pStyle w:val="JRCText"/>
        <w:rPr>
          <w:rFonts w:ascii="Times New Roman" w:hAnsi="Times New Roman"/>
          <w:noProof/>
          <w:sz w:val="24"/>
          <w:szCs w:val="24"/>
        </w:rPr>
      </w:pPr>
      <w:r>
        <w:rPr>
          <w:rFonts w:ascii="Times New Roman" w:hAnsi="Times New Roman"/>
          <w:noProof/>
          <w:sz w:val="24"/>
          <w:szCs w:val="24"/>
        </w:rPr>
        <w:t>Although the use of reclaimed water is an accepted practice in several EU countries experiencing water scarcity issues (e.g. Cyprus, Greece, Italy, Malta, Portugal, Spain), where it has become a component of long-term water resources management, o</w:t>
      </w:r>
      <w:r>
        <w:rPr>
          <w:rFonts w:ascii="Times New Roman" w:hAnsi="Times New Roman"/>
          <w:noProof/>
          <w:sz w:val="24"/>
          <w:szCs w:val="24"/>
        </w:rPr>
        <w:t xml:space="preserve">verall a small proportion of reclaimed water is currently reused in the EU, even in those countries. Hence, there is significant potential for increased uptake of water reuse solutions in countries with several regions of water scarcity (Hochstrat </w:t>
      </w:r>
      <w:r>
        <w:rPr>
          <w:rFonts w:ascii="Times New Roman" w:hAnsi="Times New Roman"/>
          <w:i/>
          <w:noProof/>
          <w:sz w:val="24"/>
          <w:szCs w:val="24"/>
        </w:rPr>
        <w:t>et al.</w:t>
      </w:r>
      <w:r>
        <w:rPr>
          <w:rFonts w:ascii="Times New Roman" w:hAnsi="Times New Roman"/>
          <w:noProof/>
          <w:sz w:val="24"/>
          <w:szCs w:val="24"/>
        </w:rPr>
        <w:t xml:space="preserve">, </w:t>
      </w:r>
      <w:r>
        <w:rPr>
          <w:rFonts w:ascii="Times New Roman" w:hAnsi="Times New Roman"/>
          <w:noProof/>
          <w:sz w:val="24"/>
          <w:szCs w:val="24"/>
        </w:rPr>
        <w:t>2005).</w:t>
      </w:r>
    </w:p>
    <w:p w:rsidR="00AB50C5" w:rsidRDefault="00724275">
      <w:pPr>
        <w:pStyle w:val="JRCText"/>
        <w:rPr>
          <w:rFonts w:ascii="Times New Roman" w:hAnsi="Times New Roman"/>
          <w:noProof/>
          <w:sz w:val="24"/>
          <w:szCs w:val="24"/>
        </w:rPr>
      </w:pPr>
      <w:r>
        <w:rPr>
          <w:rFonts w:ascii="Times New Roman" w:hAnsi="Times New Roman"/>
          <w:noProof/>
          <w:sz w:val="24"/>
          <w:szCs w:val="24"/>
        </w:rPr>
        <w:t>One of the main barriers identified is the lack of harmonization in the regulatory framework to manage health and environmental risks related to water reuse at the EU level, and thus a lack of confidence in the health and environmental safety of wat</w:t>
      </w:r>
      <w:r>
        <w:rPr>
          <w:rFonts w:ascii="Times New Roman" w:hAnsi="Times New Roman"/>
          <w:noProof/>
          <w:sz w:val="24"/>
          <w:szCs w:val="24"/>
        </w:rPr>
        <w:t>er reuse practices.</w:t>
      </w:r>
    </w:p>
    <w:p w:rsidR="00AB50C5" w:rsidRDefault="00724275">
      <w:pPr>
        <w:pStyle w:val="JRCText"/>
        <w:rPr>
          <w:rFonts w:ascii="Times New Roman" w:hAnsi="Times New Roman"/>
          <w:noProof/>
          <w:sz w:val="24"/>
          <w:szCs w:val="24"/>
        </w:rPr>
      </w:pPr>
      <w:r>
        <w:rPr>
          <w:rFonts w:ascii="Times New Roman" w:hAnsi="Times New Roman"/>
          <w:noProof/>
          <w:sz w:val="24"/>
          <w:szCs w:val="24"/>
        </w:rPr>
        <w:t xml:space="preserve">The health and environmental safety conditions under which wastewater may be reused are not specifically regulated at the EU level. There are no guidelines, regulations or good management practices at European Union (EU) level on water </w:t>
      </w:r>
      <w:r>
        <w:rPr>
          <w:rFonts w:ascii="Times New Roman" w:hAnsi="Times New Roman"/>
          <w:noProof/>
          <w:sz w:val="24"/>
          <w:szCs w:val="24"/>
        </w:rPr>
        <w:t>quality for water reuse purposes. In the Water Framework Directive (WFD) (2000/60/EC), reuse of water is mentioned as one of the possible measures to achieve the Directive’s quality goals: Part B of Annex VI refers to reuse as one of the “</w:t>
      </w:r>
      <w:r>
        <w:rPr>
          <w:rFonts w:ascii="Times New Roman" w:hAnsi="Times New Roman"/>
          <w:i/>
          <w:noProof/>
          <w:sz w:val="24"/>
          <w:szCs w:val="24"/>
        </w:rPr>
        <w:t>supplementary mea</w:t>
      </w:r>
      <w:r>
        <w:rPr>
          <w:rFonts w:ascii="Times New Roman" w:hAnsi="Times New Roman"/>
          <w:i/>
          <w:noProof/>
          <w:sz w:val="24"/>
          <w:szCs w:val="24"/>
        </w:rPr>
        <w:t>sures</w:t>
      </w:r>
      <w:r>
        <w:rPr>
          <w:rFonts w:ascii="Times New Roman" w:hAnsi="Times New Roman"/>
          <w:noProof/>
          <w:sz w:val="24"/>
          <w:szCs w:val="24"/>
        </w:rPr>
        <w:t>” which Member States within each river basin district may choose to adopt as part of the programme of measures required under Article 11(4). Besides that, Article 12 (4) of the Urban Wastewater Treatment Directive (91/271/EEC) concerning the reuse of</w:t>
      </w:r>
      <w:r>
        <w:rPr>
          <w:rFonts w:ascii="Times New Roman" w:hAnsi="Times New Roman"/>
          <w:noProof/>
          <w:sz w:val="24"/>
          <w:szCs w:val="24"/>
        </w:rPr>
        <w:t xml:space="preserve"> treated wastewater states that “</w:t>
      </w:r>
      <w:r>
        <w:rPr>
          <w:rFonts w:ascii="Times New Roman" w:hAnsi="Times New Roman"/>
          <w:i/>
          <w:noProof/>
          <w:sz w:val="24"/>
          <w:szCs w:val="24"/>
        </w:rPr>
        <w:t>treated wastewater shall be reused whenever appropriate</w:t>
      </w:r>
      <w:r>
        <w:rPr>
          <w:rFonts w:ascii="Times New Roman" w:hAnsi="Times New Roman"/>
          <w:noProof/>
          <w:sz w:val="24"/>
          <w:szCs w:val="24"/>
        </w:rPr>
        <w:t>”.</w:t>
      </w:r>
    </w:p>
    <w:p w:rsidR="00AB50C5" w:rsidRDefault="00724275">
      <w:pPr>
        <w:pStyle w:val="JRCText"/>
        <w:rPr>
          <w:rFonts w:ascii="Times New Roman" w:hAnsi="Times New Roman"/>
          <w:noProof/>
          <w:sz w:val="24"/>
          <w:szCs w:val="24"/>
        </w:rPr>
      </w:pPr>
      <w:r>
        <w:rPr>
          <w:rFonts w:ascii="Times New Roman" w:hAnsi="Times New Roman"/>
          <w:noProof/>
          <w:sz w:val="24"/>
          <w:szCs w:val="24"/>
        </w:rPr>
        <w:t xml:space="preserve">Even though the lack of common water reuse criteria at the EU level, several Member States (MS) have issued their own regulations, or guidelines for different water </w:t>
      </w:r>
      <w:r>
        <w:rPr>
          <w:rFonts w:ascii="Times New Roman" w:hAnsi="Times New Roman"/>
          <w:noProof/>
          <w:sz w:val="24"/>
          <w:szCs w:val="24"/>
        </w:rPr>
        <w:t>reuse applications. However, after an evaluation carried out by the EC on the water reuse standards of several MS it was concluded that there are important divergences among the different regulations regarding the permitted uses, the parameters to be monit</w:t>
      </w:r>
      <w:r>
        <w:rPr>
          <w:rFonts w:ascii="Times New Roman" w:hAnsi="Times New Roman"/>
          <w:noProof/>
          <w:sz w:val="24"/>
          <w:szCs w:val="24"/>
        </w:rPr>
        <w:t>ored, and the limiting values allowed (JRC, 2014). This lack of harmonization among water reuse standards within the EU might create some trade barriers for agricultural goods irrigated with reclaimed water. Once on the common market, the level of safety i</w:t>
      </w:r>
      <w:r>
        <w:rPr>
          <w:rFonts w:ascii="Times New Roman" w:hAnsi="Times New Roman"/>
          <w:noProof/>
          <w:sz w:val="24"/>
          <w:szCs w:val="24"/>
        </w:rPr>
        <w:t xml:space="preserve">n the producing MS may not be considered as sufficient by the importing countries. </w:t>
      </w:r>
    </w:p>
    <w:p w:rsidR="00AB50C5" w:rsidRDefault="00724275">
      <w:pPr>
        <w:pStyle w:val="JRCText"/>
        <w:rPr>
          <w:rFonts w:ascii="Times New Roman" w:hAnsi="Times New Roman"/>
          <w:noProof/>
          <w:sz w:val="24"/>
          <w:szCs w:val="24"/>
        </w:rPr>
      </w:pPr>
      <w:r>
        <w:rPr>
          <w:rFonts w:ascii="Times New Roman" w:hAnsi="Times New Roman"/>
          <w:noProof/>
          <w:sz w:val="24"/>
          <w:szCs w:val="24"/>
        </w:rPr>
        <w:t>The relevance of EU action on water reuse was identified in the Impact Assessment of the “</w:t>
      </w:r>
      <w:r>
        <w:rPr>
          <w:rFonts w:ascii="Times New Roman" w:hAnsi="Times New Roman"/>
          <w:i/>
          <w:noProof/>
          <w:sz w:val="24"/>
          <w:szCs w:val="24"/>
        </w:rPr>
        <w:t>Blueprint to Safeguard Europe's Water Resources</w:t>
      </w:r>
      <w:r>
        <w:rPr>
          <w:rFonts w:ascii="Times New Roman" w:hAnsi="Times New Roman"/>
          <w:noProof/>
          <w:sz w:val="24"/>
          <w:szCs w:val="24"/>
        </w:rPr>
        <w:t>” published in November 2012. The B</w:t>
      </w:r>
      <w:r>
        <w:rPr>
          <w:rFonts w:ascii="Times New Roman" w:hAnsi="Times New Roman"/>
          <w:noProof/>
          <w:sz w:val="24"/>
          <w:szCs w:val="24"/>
        </w:rPr>
        <w:t xml:space="preserve">lueprint made clear that one alternative supply option- water reuse for irrigation or industrial purposes- has emerged as an issue requiring EU attention (COM(2012)673). Reuse of appropriately treated wastewater is considered to have a lower environmental </w:t>
      </w:r>
      <w:r>
        <w:rPr>
          <w:rFonts w:ascii="Times New Roman" w:hAnsi="Times New Roman"/>
          <w:noProof/>
          <w:sz w:val="24"/>
          <w:szCs w:val="24"/>
        </w:rPr>
        <w:t>impact than other alternative water supplies (e.g. water transfers or desalination), but it is only used to a limited extent in the EU. This appears to be due to the lack of common EU environmental/health standards for water reuse and the potential obstacl</w:t>
      </w:r>
      <w:r>
        <w:rPr>
          <w:rFonts w:ascii="Times New Roman" w:hAnsi="Times New Roman"/>
          <w:noProof/>
          <w:sz w:val="24"/>
          <w:szCs w:val="24"/>
        </w:rPr>
        <w:t>es to the free movement of agricultural products irrigated with reclaimed water (COM(2012)673).</w:t>
      </w:r>
    </w:p>
    <w:p w:rsidR="00AB50C5" w:rsidRDefault="00724275">
      <w:pPr>
        <w:pStyle w:val="JRCText"/>
        <w:rPr>
          <w:rFonts w:ascii="Times New Roman" w:hAnsi="Times New Roman"/>
          <w:noProof/>
          <w:sz w:val="24"/>
          <w:szCs w:val="24"/>
        </w:rPr>
      </w:pPr>
      <w:r>
        <w:rPr>
          <w:rFonts w:ascii="Times New Roman" w:hAnsi="Times New Roman"/>
          <w:noProof/>
          <w:sz w:val="24"/>
          <w:szCs w:val="24"/>
        </w:rPr>
        <w:t>After the 2015 Communication “</w:t>
      </w:r>
      <w:r>
        <w:rPr>
          <w:rFonts w:ascii="Times New Roman" w:hAnsi="Times New Roman"/>
          <w:i/>
          <w:noProof/>
          <w:sz w:val="24"/>
          <w:szCs w:val="24"/>
        </w:rPr>
        <w:t>Closing the loop - An EU action plan for the Circular Economy</w:t>
      </w:r>
      <w:r>
        <w:rPr>
          <w:rFonts w:ascii="Times New Roman" w:hAnsi="Times New Roman"/>
          <w:noProof/>
          <w:sz w:val="24"/>
          <w:szCs w:val="24"/>
        </w:rPr>
        <w:t>” the Commission published in April 2016 an Inception Impact Assessme</w:t>
      </w:r>
      <w:r>
        <w:rPr>
          <w:rFonts w:ascii="Times New Roman" w:hAnsi="Times New Roman"/>
          <w:noProof/>
          <w:sz w:val="24"/>
          <w:szCs w:val="24"/>
        </w:rPr>
        <w:t>nt on “</w:t>
      </w:r>
      <w:r>
        <w:rPr>
          <w:rFonts w:ascii="Times New Roman" w:hAnsi="Times New Roman"/>
          <w:i/>
          <w:noProof/>
          <w:sz w:val="24"/>
          <w:szCs w:val="24"/>
        </w:rPr>
        <w:t>Minimum quality requirements for reused water in the EU (new EU legislation)</w:t>
      </w:r>
      <w:r>
        <w:rPr>
          <w:rFonts w:ascii="Times New Roman" w:hAnsi="Times New Roman"/>
          <w:noProof/>
          <w:sz w:val="24"/>
          <w:szCs w:val="24"/>
        </w:rPr>
        <w:t>” stating that the initiative of a regulation on minimum quality requirements for reused water in agricultural irrigation and aquifer recharge will encourage efficient resou</w:t>
      </w:r>
      <w:r>
        <w:rPr>
          <w:rFonts w:ascii="Times New Roman" w:hAnsi="Times New Roman"/>
          <w:noProof/>
          <w:sz w:val="24"/>
          <w:szCs w:val="24"/>
        </w:rPr>
        <w:t>rce use and reduce pressures on the water environment, provide clarity, coherence and predictability to market operators, and complement the existing EU water policy, notably the Water Framework Directive and the Urban Wastewater Treatment Directive.</w:t>
      </w:r>
    </w:p>
    <w:p w:rsidR="00AB50C5" w:rsidRDefault="00724275">
      <w:pPr>
        <w:pStyle w:val="JRCText"/>
        <w:rPr>
          <w:rFonts w:ascii="Times New Roman" w:hAnsi="Times New Roman"/>
          <w:noProof/>
          <w:sz w:val="24"/>
          <w:szCs w:val="24"/>
        </w:rPr>
      </w:pPr>
      <w:r>
        <w:rPr>
          <w:rFonts w:ascii="Times New Roman" w:hAnsi="Times New Roman"/>
          <w:noProof/>
          <w:sz w:val="24"/>
          <w:szCs w:val="24"/>
        </w:rPr>
        <w:t>To su</w:t>
      </w:r>
      <w:r>
        <w:rPr>
          <w:rFonts w:ascii="Times New Roman" w:hAnsi="Times New Roman"/>
          <w:noProof/>
          <w:sz w:val="24"/>
          <w:szCs w:val="24"/>
        </w:rPr>
        <w:t xml:space="preserve">pport this initiative the EC (DG ENV) asked its science and knowledge service, the Joint Research Centre (JRC) to develop a technical proposal for the minimum quality requirements for water reuse in agricultural irrigation and aquifer recharge. </w:t>
      </w:r>
    </w:p>
    <w:p w:rsidR="00AB50C5" w:rsidRDefault="00724275">
      <w:pPr>
        <w:pStyle w:val="JRCText"/>
        <w:rPr>
          <w:rFonts w:ascii="Times New Roman" w:hAnsi="Times New Roman"/>
          <w:noProof/>
          <w:sz w:val="24"/>
          <w:szCs w:val="24"/>
        </w:rPr>
      </w:pPr>
      <w:r>
        <w:rPr>
          <w:rFonts w:ascii="Times New Roman" w:hAnsi="Times New Roman"/>
          <w:noProof/>
          <w:sz w:val="24"/>
          <w:szCs w:val="24"/>
        </w:rPr>
        <w:t>Considerin</w:t>
      </w:r>
      <w:r>
        <w:rPr>
          <w:rFonts w:ascii="Times New Roman" w:hAnsi="Times New Roman"/>
          <w:noProof/>
          <w:sz w:val="24"/>
          <w:szCs w:val="24"/>
        </w:rPr>
        <w:t>g the sensitivity of the health and environmental issue and public confidence in water reuse practice, the scientific advice of the independent Scientific Committee on Health, Environmental and Emerging Risks (SCHEER)  and the European Food Safety Authorit</w:t>
      </w:r>
      <w:r>
        <w:rPr>
          <w:rFonts w:ascii="Times New Roman" w:hAnsi="Times New Roman"/>
          <w:noProof/>
          <w:sz w:val="24"/>
          <w:szCs w:val="24"/>
        </w:rPr>
        <w:t>y (EFSA) has been be requested and taken into consideration in the final document.</w:t>
      </w:r>
    </w:p>
    <w:p w:rsidR="00AB50C5" w:rsidRDefault="00AB50C5">
      <w:pPr>
        <w:pStyle w:val="JRCText"/>
        <w:rPr>
          <w:rFonts w:ascii="Times New Roman" w:hAnsi="Times New Roman"/>
          <w:noProof/>
          <w:sz w:val="24"/>
          <w:szCs w:val="24"/>
        </w:rPr>
      </w:pPr>
    </w:p>
    <w:p w:rsidR="00AB50C5" w:rsidRDefault="00724275">
      <w:pPr>
        <w:pStyle w:val="JRCLevel-1title"/>
        <w:jc w:val="both"/>
        <w:rPr>
          <w:rFonts w:ascii="Times New Roman" w:hAnsi="Times New Roman"/>
          <w:noProof/>
          <w:sz w:val="24"/>
        </w:rPr>
      </w:pPr>
      <w:bookmarkStart w:id="12" w:name="_Toc498695665"/>
      <w:bookmarkStart w:id="13" w:name="_Toc516234749"/>
      <w:r>
        <w:rPr>
          <w:rFonts w:ascii="Times New Roman" w:hAnsi="Times New Roman"/>
          <w:noProof/>
          <w:sz w:val="24"/>
        </w:rPr>
        <w:t>Scope of the document</w:t>
      </w:r>
      <w:bookmarkEnd w:id="12"/>
      <w:bookmarkEnd w:id="13"/>
    </w:p>
    <w:p w:rsidR="00AB50C5" w:rsidRDefault="00724275">
      <w:pPr>
        <w:spacing w:line="240" w:lineRule="auto"/>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The purpose of this document is to propose minimum quality requirements for water reuse for two specific water reuse applications: agricultural irriga</w:t>
      </w:r>
      <w:r>
        <w:rPr>
          <w:rFonts w:ascii="Times New Roman" w:hAnsi="Times New Roman" w:cs="Times New Roman"/>
          <w:noProof/>
          <w:sz w:val="24"/>
          <w:szCs w:val="24"/>
          <w:lang w:val="en-US" w:eastAsia="it-IT"/>
        </w:rPr>
        <w:t>tion and aquifer recharge. These requirements should ensure appropriate health and environmental protection and thus provide public confidence in reuse practices in order to enhance water reuse at EU level. This technical document is expected to support th</w:t>
      </w:r>
      <w:r>
        <w:rPr>
          <w:rFonts w:ascii="Times New Roman" w:hAnsi="Times New Roman" w:cs="Times New Roman"/>
          <w:noProof/>
          <w:sz w:val="24"/>
          <w:szCs w:val="24"/>
          <w:lang w:val="en-US" w:eastAsia="it-IT"/>
        </w:rPr>
        <w:t xml:space="preserve">e proposal of EU legislation on water reuse. </w:t>
      </w:r>
    </w:p>
    <w:p w:rsidR="00AB50C5" w:rsidRDefault="0072427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lang w:val="en-US"/>
        </w:rPr>
        <w:t>The only source of wastewater considered in this document is the urban wastewater covered by Directive 91/271/EEC (Urban Wastewater Treatment Directive UWWTD) where urban wastewater is defined as domestic waste</w:t>
      </w:r>
      <w:r>
        <w:rPr>
          <w:rFonts w:ascii="Times New Roman" w:hAnsi="Times New Roman" w:cs="Times New Roman"/>
          <w:noProof/>
          <w:sz w:val="24"/>
          <w:szCs w:val="24"/>
          <w:lang w:val="en-US"/>
        </w:rPr>
        <w:t>water or the mixture of domestic wastewater with industrial wastewater and/or run-off rain water. The industrial wastewater considered is from the industrial sectors listed in Annex III of the UWWTD, which are the following</w:t>
      </w:r>
      <w:r>
        <w:rPr>
          <w:rFonts w:ascii="Times New Roman" w:hAnsi="Times New Roman" w:cs="Times New Roman"/>
          <w:noProof/>
          <w:sz w:val="24"/>
          <w:szCs w:val="24"/>
        </w:rPr>
        <w:t>:</w:t>
      </w:r>
    </w:p>
    <w:p w:rsidR="00AB50C5" w:rsidRDefault="00724275">
      <w:pPr>
        <w:pStyle w:val="JRCTextbulletedlist1"/>
        <w:rPr>
          <w:rFonts w:ascii="Times New Roman" w:hAnsi="Times New Roman"/>
          <w:noProof/>
          <w:sz w:val="24"/>
          <w:szCs w:val="24"/>
          <w:lang w:val="en-US"/>
        </w:rPr>
      </w:pPr>
      <w:r>
        <w:rPr>
          <w:rFonts w:ascii="Times New Roman" w:hAnsi="Times New Roman"/>
          <w:noProof/>
          <w:sz w:val="24"/>
          <w:szCs w:val="24"/>
          <w:lang w:val="en-US"/>
        </w:rPr>
        <w:t>Milk-processing</w:t>
      </w:r>
    </w:p>
    <w:p w:rsidR="00AB50C5" w:rsidRDefault="00724275">
      <w:pPr>
        <w:pStyle w:val="JRCTextbulletedlist1"/>
        <w:rPr>
          <w:rFonts w:ascii="Times New Roman" w:hAnsi="Times New Roman"/>
          <w:noProof/>
          <w:sz w:val="24"/>
          <w:szCs w:val="24"/>
          <w:lang w:val="en-US"/>
        </w:rPr>
      </w:pPr>
      <w:r>
        <w:rPr>
          <w:rFonts w:ascii="Times New Roman" w:hAnsi="Times New Roman"/>
          <w:noProof/>
          <w:sz w:val="24"/>
          <w:szCs w:val="24"/>
          <w:lang w:val="en-US"/>
        </w:rPr>
        <w:t xml:space="preserve">Manufacture of </w:t>
      </w:r>
      <w:r>
        <w:rPr>
          <w:rFonts w:ascii="Times New Roman" w:hAnsi="Times New Roman"/>
          <w:noProof/>
          <w:sz w:val="24"/>
          <w:szCs w:val="24"/>
          <w:lang w:val="en-US"/>
        </w:rPr>
        <w:t>fruit and vegetables products</w:t>
      </w:r>
    </w:p>
    <w:p w:rsidR="00AB50C5" w:rsidRDefault="00724275">
      <w:pPr>
        <w:pStyle w:val="JRCTextbulletedlist1"/>
        <w:rPr>
          <w:rFonts w:ascii="Times New Roman" w:hAnsi="Times New Roman"/>
          <w:noProof/>
          <w:sz w:val="24"/>
          <w:szCs w:val="24"/>
          <w:lang w:val="en-US"/>
        </w:rPr>
      </w:pPr>
      <w:r>
        <w:rPr>
          <w:rFonts w:ascii="Times New Roman" w:hAnsi="Times New Roman"/>
          <w:noProof/>
          <w:sz w:val="24"/>
          <w:szCs w:val="24"/>
          <w:lang w:val="en-US"/>
        </w:rPr>
        <w:t>Manufacture and bottling of soft drinks</w:t>
      </w:r>
    </w:p>
    <w:p w:rsidR="00AB50C5" w:rsidRDefault="00724275">
      <w:pPr>
        <w:pStyle w:val="JRCTextbulletedlist1"/>
        <w:rPr>
          <w:rFonts w:ascii="Times New Roman" w:hAnsi="Times New Roman"/>
          <w:noProof/>
          <w:sz w:val="24"/>
          <w:szCs w:val="24"/>
          <w:lang w:val="en-US"/>
        </w:rPr>
      </w:pPr>
      <w:r>
        <w:rPr>
          <w:rFonts w:ascii="Times New Roman" w:hAnsi="Times New Roman"/>
          <w:noProof/>
          <w:sz w:val="24"/>
          <w:szCs w:val="24"/>
          <w:lang w:val="en-US"/>
        </w:rPr>
        <w:t>Potato-processing</w:t>
      </w:r>
    </w:p>
    <w:p w:rsidR="00AB50C5" w:rsidRDefault="00724275">
      <w:pPr>
        <w:pStyle w:val="JRCTextbulletedlist1"/>
        <w:rPr>
          <w:rFonts w:ascii="Times New Roman" w:hAnsi="Times New Roman"/>
          <w:noProof/>
          <w:sz w:val="24"/>
          <w:szCs w:val="24"/>
          <w:lang w:val="en-US"/>
        </w:rPr>
      </w:pPr>
      <w:r>
        <w:rPr>
          <w:rFonts w:ascii="Times New Roman" w:hAnsi="Times New Roman"/>
          <w:noProof/>
          <w:sz w:val="24"/>
          <w:szCs w:val="24"/>
          <w:lang w:val="en-US"/>
        </w:rPr>
        <w:t>Meat industry</w:t>
      </w:r>
    </w:p>
    <w:p w:rsidR="00AB50C5" w:rsidRDefault="00724275">
      <w:pPr>
        <w:pStyle w:val="JRCTextbulletedlist1"/>
        <w:rPr>
          <w:rFonts w:ascii="Times New Roman" w:hAnsi="Times New Roman"/>
          <w:noProof/>
          <w:sz w:val="24"/>
          <w:szCs w:val="24"/>
          <w:lang w:val="en-US"/>
        </w:rPr>
      </w:pPr>
      <w:r>
        <w:rPr>
          <w:rFonts w:ascii="Times New Roman" w:hAnsi="Times New Roman"/>
          <w:noProof/>
          <w:sz w:val="24"/>
          <w:szCs w:val="24"/>
          <w:lang w:val="en-US"/>
        </w:rPr>
        <w:t>Breweries</w:t>
      </w:r>
    </w:p>
    <w:p w:rsidR="00AB50C5" w:rsidRDefault="00724275">
      <w:pPr>
        <w:pStyle w:val="JRCTextbulletedlist1"/>
        <w:rPr>
          <w:rFonts w:ascii="Times New Roman" w:hAnsi="Times New Roman"/>
          <w:noProof/>
          <w:sz w:val="24"/>
          <w:szCs w:val="24"/>
          <w:lang w:val="en-US"/>
        </w:rPr>
      </w:pPr>
      <w:r>
        <w:rPr>
          <w:rFonts w:ascii="Times New Roman" w:hAnsi="Times New Roman"/>
          <w:noProof/>
          <w:sz w:val="24"/>
          <w:szCs w:val="24"/>
          <w:lang w:val="en-US"/>
        </w:rPr>
        <w:t>Production of alcohol and alcoholic beverages</w:t>
      </w:r>
    </w:p>
    <w:p w:rsidR="00AB50C5" w:rsidRDefault="00724275">
      <w:pPr>
        <w:pStyle w:val="JRCTextbulletedlist1"/>
        <w:rPr>
          <w:rFonts w:ascii="Times New Roman" w:hAnsi="Times New Roman"/>
          <w:noProof/>
          <w:sz w:val="24"/>
          <w:szCs w:val="24"/>
          <w:lang w:val="en-US"/>
        </w:rPr>
      </w:pPr>
      <w:r>
        <w:rPr>
          <w:rFonts w:ascii="Times New Roman" w:hAnsi="Times New Roman"/>
          <w:noProof/>
          <w:sz w:val="24"/>
          <w:szCs w:val="24"/>
          <w:lang w:val="en-US"/>
        </w:rPr>
        <w:t>Manufacture of animal feed from plant products</w:t>
      </w:r>
    </w:p>
    <w:p w:rsidR="00AB50C5" w:rsidRDefault="00724275">
      <w:pPr>
        <w:pStyle w:val="JRCTextbulletedlist1"/>
        <w:rPr>
          <w:rFonts w:ascii="Times New Roman" w:hAnsi="Times New Roman"/>
          <w:noProof/>
          <w:sz w:val="24"/>
          <w:szCs w:val="24"/>
          <w:lang w:val="en-US"/>
        </w:rPr>
      </w:pPr>
      <w:r>
        <w:rPr>
          <w:rFonts w:ascii="Times New Roman" w:hAnsi="Times New Roman"/>
          <w:noProof/>
          <w:sz w:val="24"/>
          <w:szCs w:val="24"/>
          <w:lang w:val="en-US"/>
        </w:rPr>
        <w:t>Manufacture of gelatin and of glue from hides, skin</w:t>
      </w:r>
      <w:r>
        <w:rPr>
          <w:rFonts w:ascii="Times New Roman" w:hAnsi="Times New Roman"/>
          <w:noProof/>
          <w:sz w:val="24"/>
          <w:szCs w:val="24"/>
          <w:lang w:val="en-US"/>
        </w:rPr>
        <w:t xml:space="preserve"> and bones</w:t>
      </w:r>
    </w:p>
    <w:p w:rsidR="00AB50C5" w:rsidRDefault="00724275">
      <w:pPr>
        <w:pStyle w:val="JRCTextbulletedlist1"/>
        <w:rPr>
          <w:rFonts w:ascii="Times New Roman" w:hAnsi="Times New Roman"/>
          <w:noProof/>
          <w:sz w:val="24"/>
          <w:szCs w:val="24"/>
          <w:lang w:val="en-US"/>
        </w:rPr>
      </w:pPr>
      <w:r>
        <w:rPr>
          <w:rFonts w:ascii="Times New Roman" w:hAnsi="Times New Roman"/>
          <w:noProof/>
          <w:sz w:val="24"/>
          <w:szCs w:val="24"/>
          <w:lang w:val="en-US"/>
        </w:rPr>
        <w:t>Malt-houses</w:t>
      </w:r>
    </w:p>
    <w:p w:rsidR="00AB50C5" w:rsidRDefault="00724275">
      <w:pPr>
        <w:pStyle w:val="JRCTextbulletedlist1"/>
        <w:rPr>
          <w:rFonts w:ascii="Times New Roman" w:hAnsi="Times New Roman"/>
          <w:noProof/>
          <w:sz w:val="24"/>
          <w:szCs w:val="24"/>
          <w:lang w:val="en-US"/>
        </w:rPr>
      </w:pPr>
      <w:r>
        <w:rPr>
          <w:rFonts w:ascii="Times New Roman" w:hAnsi="Times New Roman"/>
          <w:noProof/>
          <w:sz w:val="24"/>
          <w:szCs w:val="24"/>
          <w:lang w:val="en-US"/>
        </w:rPr>
        <w:t>Fish-processing industry</w:t>
      </w:r>
    </w:p>
    <w:p w:rsidR="00AB50C5" w:rsidRDefault="00724275">
      <w:pPr>
        <w:spacing w:line="240" w:lineRule="auto"/>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This document</w:t>
      </w:r>
      <w:r>
        <w:rPr>
          <w:rFonts w:ascii="Times New Roman" w:hAnsi="Times New Roman" w:cs="Times New Roman"/>
          <w:i/>
          <w:noProof/>
          <w:sz w:val="24"/>
          <w:szCs w:val="24"/>
          <w:lang w:val="en-US" w:eastAsia="it-IT"/>
        </w:rPr>
        <w:t xml:space="preserve"> </w:t>
      </w:r>
      <w:r>
        <w:rPr>
          <w:rFonts w:ascii="Times New Roman" w:hAnsi="Times New Roman" w:cs="Times New Roman"/>
          <w:noProof/>
          <w:sz w:val="24"/>
          <w:szCs w:val="24"/>
          <w:lang w:val="en-US" w:eastAsia="it-IT"/>
        </w:rPr>
        <w:t>does not deal with reclaimed water from other industrial sources: industrial wastewaters may have very particular characteristics in relation to quality and they may require specific quality cri</w:t>
      </w:r>
      <w:r>
        <w:rPr>
          <w:rFonts w:ascii="Times New Roman" w:hAnsi="Times New Roman" w:cs="Times New Roman"/>
          <w:noProof/>
          <w:sz w:val="24"/>
          <w:szCs w:val="24"/>
          <w:lang w:val="en-US" w:eastAsia="it-IT"/>
        </w:rPr>
        <w:t xml:space="preserve">teria. </w:t>
      </w:r>
    </w:p>
    <w:p w:rsidR="00AB50C5" w:rsidRDefault="00724275">
      <w:pPr>
        <w:spacing w:line="240" w:lineRule="auto"/>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 xml:space="preserve">A </w:t>
      </w:r>
      <w:r>
        <w:rPr>
          <w:rFonts w:ascii="Times New Roman" w:hAnsi="Times New Roman" w:cs="Times New Roman"/>
          <w:b/>
          <w:noProof/>
          <w:sz w:val="24"/>
          <w:szCs w:val="24"/>
          <w:lang w:val="en-US" w:eastAsia="it-IT"/>
        </w:rPr>
        <w:t>water reuse system</w:t>
      </w:r>
      <w:r>
        <w:rPr>
          <w:rFonts w:ascii="Times New Roman" w:hAnsi="Times New Roman" w:cs="Times New Roman"/>
          <w:noProof/>
          <w:sz w:val="24"/>
          <w:szCs w:val="24"/>
          <w:lang w:val="en-US" w:eastAsia="it-IT"/>
        </w:rPr>
        <w:t>, as defined in this document, includes the following:</w:t>
      </w:r>
    </w:p>
    <w:p w:rsidR="00AB50C5" w:rsidRDefault="00724275">
      <w:pPr>
        <w:pStyle w:val="JRCTextbulletedlist1"/>
        <w:rPr>
          <w:rFonts w:ascii="Times New Roman" w:hAnsi="Times New Roman"/>
          <w:noProof/>
          <w:sz w:val="24"/>
          <w:szCs w:val="24"/>
          <w:lang w:val="en-US"/>
        </w:rPr>
      </w:pPr>
      <w:r>
        <w:rPr>
          <w:rFonts w:ascii="Times New Roman" w:hAnsi="Times New Roman"/>
          <w:noProof/>
          <w:sz w:val="24"/>
          <w:szCs w:val="24"/>
          <w:lang w:val="en-US"/>
        </w:rPr>
        <w:t>Raw wastewater entering the wastewater treatment plant (WWTP)</w:t>
      </w:r>
    </w:p>
    <w:p w:rsidR="00AB50C5" w:rsidRDefault="00724275">
      <w:pPr>
        <w:pStyle w:val="JRCTextbulletedlist1"/>
        <w:rPr>
          <w:rFonts w:ascii="Times New Roman" w:hAnsi="Times New Roman"/>
          <w:noProof/>
          <w:sz w:val="24"/>
          <w:szCs w:val="24"/>
          <w:lang w:val="en-US"/>
        </w:rPr>
      </w:pPr>
      <w:r>
        <w:rPr>
          <w:rFonts w:ascii="Times New Roman" w:hAnsi="Times New Roman"/>
          <w:noProof/>
          <w:sz w:val="24"/>
          <w:szCs w:val="24"/>
          <w:lang w:val="en-US"/>
        </w:rPr>
        <w:t xml:space="preserve">The wastewater treatment technologies included in the WWTP </w:t>
      </w:r>
    </w:p>
    <w:p w:rsidR="00AB50C5" w:rsidRDefault="00724275">
      <w:pPr>
        <w:pStyle w:val="JRCTextbulletedlist1"/>
        <w:rPr>
          <w:rFonts w:ascii="Times New Roman" w:hAnsi="Times New Roman"/>
          <w:noProof/>
          <w:sz w:val="24"/>
          <w:szCs w:val="24"/>
          <w:lang w:val="en-US"/>
        </w:rPr>
      </w:pPr>
      <w:r>
        <w:rPr>
          <w:rFonts w:ascii="Times New Roman" w:hAnsi="Times New Roman"/>
          <w:noProof/>
          <w:sz w:val="24"/>
          <w:szCs w:val="24"/>
          <w:lang w:val="en-US"/>
        </w:rPr>
        <w:t>The additional treatments to produce reclaimed wate</w:t>
      </w:r>
      <w:r>
        <w:rPr>
          <w:rFonts w:ascii="Times New Roman" w:hAnsi="Times New Roman"/>
          <w:noProof/>
          <w:sz w:val="24"/>
          <w:szCs w:val="24"/>
          <w:lang w:val="en-US"/>
        </w:rPr>
        <w:t>r of the required quality for reuse</w:t>
      </w:r>
    </w:p>
    <w:p w:rsidR="00AB50C5" w:rsidRDefault="00724275">
      <w:pPr>
        <w:pStyle w:val="JRCTextbulletedlist1"/>
        <w:rPr>
          <w:rFonts w:ascii="Times New Roman" w:hAnsi="Times New Roman"/>
          <w:noProof/>
          <w:sz w:val="24"/>
          <w:szCs w:val="24"/>
          <w:lang w:val="en-US"/>
        </w:rPr>
      </w:pPr>
      <w:r>
        <w:rPr>
          <w:rFonts w:ascii="Times New Roman" w:hAnsi="Times New Roman"/>
          <w:noProof/>
          <w:sz w:val="24"/>
          <w:szCs w:val="24"/>
          <w:lang w:val="en-US"/>
        </w:rPr>
        <w:t>The storage and distribution systems</w:t>
      </w:r>
    </w:p>
    <w:p w:rsidR="00AB50C5" w:rsidRDefault="00724275">
      <w:pPr>
        <w:pStyle w:val="JRCTextbulletedlist1"/>
        <w:rPr>
          <w:rFonts w:ascii="Times New Roman" w:hAnsi="Times New Roman"/>
          <w:noProof/>
          <w:sz w:val="24"/>
          <w:szCs w:val="24"/>
          <w:lang w:val="en-US"/>
        </w:rPr>
      </w:pPr>
      <w:r>
        <w:rPr>
          <w:rFonts w:ascii="Times New Roman" w:hAnsi="Times New Roman"/>
          <w:noProof/>
          <w:sz w:val="24"/>
          <w:szCs w:val="24"/>
          <w:lang w:val="en-US"/>
        </w:rPr>
        <w:t>The irrigation system (in case of agricultural irrigation), or the recharge method (in case of managed aquifer recharge)</w:t>
      </w:r>
    </w:p>
    <w:p w:rsidR="00AB50C5" w:rsidRDefault="00724275">
      <w:pPr>
        <w:spacing w:line="240" w:lineRule="auto"/>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For the purposes of developing the present work, a review of t</w:t>
      </w:r>
      <w:r>
        <w:rPr>
          <w:rFonts w:ascii="Times New Roman" w:hAnsi="Times New Roman" w:cs="Times New Roman"/>
          <w:noProof/>
          <w:sz w:val="24"/>
          <w:szCs w:val="24"/>
          <w:lang w:val="en-US" w:eastAsia="it-IT"/>
        </w:rPr>
        <w:t xml:space="preserve">he available scientific, technical and legal knowledge on water reuse in agricultural irrigation and aquifer recharge has been carried out. Specifically, the documents that have been the basis to establish the minimum quality requirements for agricultural </w:t>
      </w:r>
      <w:r>
        <w:rPr>
          <w:rFonts w:ascii="Times New Roman" w:hAnsi="Times New Roman" w:cs="Times New Roman"/>
          <w:noProof/>
          <w:sz w:val="24"/>
          <w:szCs w:val="24"/>
          <w:lang w:val="en-US" w:eastAsia="it-IT"/>
        </w:rPr>
        <w:t>irrigation and aquifer recharge are the following:</w:t>
      </w:r>
    </w:p>
    <w:p w:rsidR="00AB50C5" w:rsidRDefault="00724275">
      <w:pPr>
        <w:pStyle w:val="JRCTextbulletedlist1"/>
        <w:rPr>
          <w:rFonts w:ascii="Times New Roman" w:hAnsi="Times New Roman"/>
          <w:noProof/>
          <w:sz w:val="24"/>
          <w:szCs w:val="24"/>
          <w:lang w:val="en-US"/>
        </w:rPr>
      </w:pPr>
      <w:r>
        <w:rPr>
          <w:rFonts w:ascii="Times New Roman" w:hAnsi="Times New Roman"/>
          <w:noProof/>
          <w:sz w:val="24"/>
          <w:szCs w:val="24"/>
          <w:lang w:val="en-US"/>
        </w:rPr>
        <w:t>The regulatory framework at EU level on health and environmental protection</w:t>
      </w:r>
    </w:p>
    <w:p w:rsidR="00AB50C5" w:rsidRDefault="00724275">
      <w:pPr>
        <w:pStyle w:val="JRCTextbulletedlist1"/>
        <w:rPr>
          <w:rFonts w:ascii="Times New Roman" w:hAnsi="Times New Roman"/>
          <w:noProof/>
          <w:sz w:val="24"/>
          <w:szCs w:val="24"/>
          <w:lang w:val="en-US"/>
        </w:rPr>
      </w:pPr>
      <w:r>
        <w:rPr>
          <w:rFonts w:ascii="Times New Roman" w:hAnsi="Times New Roman"/>
          <w:noProof/>
          <w:sz w:val="24"/>
          <w:szCs w:val="24"/>
          <w:lang w:val="en-US"/>
        </w:rPr>
        <w:t>The MS water reuse legislations and guidelines in place, along with their experience in water reuse systems</w:t>
      </w:r>
    </w:p>
    <w:p w:rsidR="00AB50C5" w:rsidRDefault="00724275">
      <w:pPr>
        <w:pStyle w:val="JRCTextbulletedlist1"/>
        <w:rPr>
          <w:rFonts w:ascii="Times New Roman" w:hAnsi="Times New Roman"/>
          <w:noProof/>
          <w:sz w:val="24"/>
          <w:szCs w:val="24"/>
          <w:lang w:val="en-US"/>
        </w:rPr>
      </w:pPr>
      <w:r>
        <w:rPr>
          <w:rFonts w:ascii="Times New Roman" w:hAnsi="Times New Roman"/>
          <w:noProof/>
          <w:sz w:val="24"/>
          <w:szCs w:val="24"/>
          <w:lang w:val="en-US"/>
        </w:rPr>
        <w:t>Worldwide reference g</w:t>
      </w:r>
      <w:r>
        <w:rPr>
          <w:rFonts w:ascii="Times New Roman" w:hAnsi="Times New Roman"/>
          <w:noProof/>
          <w:sz w:val="24"/>
          <w:szCs w:val="24"/>
          <w:lang w:val="en-US"/>
        </w:rPr>
        <w:t xml:space="preserve">uidelines and regulations on water reuse </w:t>
      </w:r>
    </w:p>
    <w:p w:rsidR="00AB50C5" w:rsidRDefault="00724275">
      <w:pPr>
        <w:pStyle w:val="JRCTextbulletedlist1"/>
        <w:rPr>
          <w:rFonts w:ascii="Times New Roman" w:hAnsi="Times New Roman"/>
          <w:noProof/>
          <w:sz w:val="24"/>
          <w:szCs w:val="24"/>
          <w:lang w:val="en-US"/>
        </w:rPr>
      </w:pPr>
      <w:r>
        <w:rPr>
          <w:rFonts w:ascii="Times New Roman" w:hAnsi="Times New Roman"/>
          <w:noProof/>
          <w:sz w:val="24"/>
          <w:szCs w:val="24"/>
          <w:lang w:val="en-US"/>
        </w:rPr>
        <w:t xml:space="preserve">Additional scientific references considered relevant for the topic </w:t>
      </w:r>
    </w:p>
    <w:p w:rsidR="00AB50C5" w:rsidRDefault="00724275">
      <w:pPr>
        <w:spacing w:line="240" w:lineRule="auto"/>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Selected experts in water reuse, whose contributions are gratefully acknowledged, have been consulted to provide comments and input through critic</w:t>
      </w:r>
      <w:r>
        <w:rPr>
          <w:rFonts w:ascii="Times New Roman" w:hAnsi="Times New Roman" w:cs="Times New Roman"/>
          <w:noProof/>
          <w:sz w:val="24"/>
          <w:szCs w:val="24"/>
          <w:lang w:val="en-US" w:eastAsia="it-IT"/>
        </w:rPr>
        <w:t xml:space="preserve">al discussion on the document along the process. However, the content of this document has not been endorsed by these experts and reflects only the scientific opinion of the JRC. </w:t>
      </w:r>
      <w:r>
        <w:rPr>
          <w:rFonts w:ascii="Times New Roman" w:hAnsi="Times New Roman" w:cs="Times New Roman"/>
          <w:noProof/>
          <w:sz w:val="24"/>
          <w:szCs w:val="24"/>
          <w:lang w:val="en-US"/>
        </w:rPr>
        <w:t>It is important to note that no risk assessment specifically for the establis</w:t>
      </w:r>
      <w:r>
        <w:rPr>
          <w:rFonts w:ascii="Times New Roman" w:hAnsi="Times New Roman" w:cs="Times New Roman"/>
          <w:noProof/>
          <w:sz w:val="24"/>
          <w:szCs w:val="24"/>
          <w:lang w:val="en-US"/>
        </w:rPr>
        <w:t>hment of the minimum quality requirements has been performed.</w:t>
      </w:r>
    </w:p>
    <w:p w:rsidR="00AB50C5" w:rsidRDefault="00724275">
      <w:pPr>
        <w:pStyle w:val="JRCLevel-1title"/>
        <w:jc w:val="both"/>
        <w:rPr>
          <w:rFonts w:ascii="Times New Roman" w:hAnsi="Times New Roman"/>
          <w:noProof/>
          <w:sz w:val="24"/>
        </w:rPr>
      </w:pPr>
      <w:bookmarkStart w:id="14" w:name="_Toc498695666"/>
      <w:bookmarkStart w:id="15" w:name="_Toc516234750"/>
      <w:r>
        <w:rPr>
          <w:rFonts w:ascii="Times New Roman" w:hAnsi="Times New Roman"/>
          <w:noProof/>
          <w:sz w:val="24"/>
        </w:rPr>
        <w:t>Framework for water reuse management</w:t>
      </w:r>
      <w:bookmarkEnd w:id="14"/>
      <w:bookmarkEnd w:id="15"/>
    </w:p>
    <w:p w:rsidR="00AB50C5" w:rsidRDefault="00724275">
      <w:pPr>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The approach to develop minimum quality requirements for the safe use of reclaimed water for agricultural irrigation and aquifer recharge is a </w:t>
      </w:r>
      <w:r>
        <w:rPr>
          <w:rFonts w:ascii="Times New Roman" w:hAnsi="Times New Roman" w:cs="Times New Roman"/>
          <w:b/>
          <w:noProof/>
          <w:sz w:val="24"/>
          <w:szCs w:val="24"/>
          <w:lang w:val="en-US"/>
        </w:rPr>
        <w:t xml:space="preserve">risk </w:t>
      </w:r>
      <w:r>
        <w:rPr>
          <w:rFonts w:ascii="Times New Roman" w:hAnsi="Times New Roman" w:cs="Times New Roman"/>
          <w:b/>
          <w:noProof/>
          <w:sz w:val="24"/>
          <w:szCs w:val="24"/>
          <w:lang w:val="en-US"/>
        </w:rPr>
        <w:t>management framework</w:t>
      </w:r>
      <w:r>
        <w:rPr>
          <w:rFonts w:ascii="Times New Roman" w:hAnsi="Times New Roman" w:cs="Times New Roman"/>
          <w:noProof/>
          <w:sz w:val="24"/>
          <w:szCs w:val="24"/>
          <w:lang w:val="en-US"/>
        </w:rPr>
        <w:t xml:space="preserve">, as recommended by the </w:t>
      </w:r>
      <w:r>
        <w:rPr>
          <w:rFonts w:ascii="Times New Roman" w:hAnsi="Times New Roman" w:cs="Times New Roman"/>
          <w:noProof/>
          <w:sz w:val="24"/>
          <w:szCs w:val="24"/>
          <w:lang w:val="en-US" w:eastAsia="it-IT"/>
        </w:rPr>
        <w:t>World Health Organization</w:t>
      </w:r>
      <w:r>
        <w:rPr>
          <w:rFonts w:ascii="Times New Roman" w:hAnsi="Times New Roman" w:cs="Times New Roman"/>
          <w:noProof/>
          <w:sz w:val="24"/>
          <w:szCs w:val="24"/>
          <w:lang w:val="en-US"/>
        </w:rPr>
        <w:t xml:space="preserve"> WHO (WHO, 2006) and included in the Directive 2015/1787 that amends Directive 98/83/EC on the quality of water intended for human consumption.</w:t>
      </w:r>
    </w:p>
    <w:p w:rsidR="00AB50C5" w:rsidRDefault="00724275">
      <w:pPr>
        <w:spacing w:line="240" w:lineRule="auto"/>
        <w:jc w:val="both"/>
        <w:rPr>
          <w:rFonts w:ascii="Times New Roman" w:hAnsi="Times New Roman" w:cs="Times New Roman"/>
          <w:bCs/>
          <w:noProof/>
          <w:sz w:val="24"/>
          <w:szCs w:val="24"/>
          <w:lang w:val="en-US"/>
        </w:rPr>
      </w:pPr>
      <w:r>
        <w:rPr>
          <w:rFonts w:ascii="Times New Roman" w:hAnsi="Times New Roman" w:cs="Times New Roman"/>
          <w:noProof/>
          <w:sz w:val="24"/>
          <w:szCs w:val="24"/>
          <w:lang w:val="en-US" w:eastAsia="it-IT"/>
        </w:rPr>
        <w:t xml:space="preserve">The WHO, in order to tackle the health and </w:t>
      </w:r>
      <w:r>
        <w:rPr>
          <w:rFonts w:ascii="Times New Roman" w:hAnsi="Times New Roman" w:cs="Times New Roman"/>
          <w:noProof/>
          <w:sz w:val="24"/>
          <w:szCs w:val="24"/>
          <w:lang w:val="en-US" w:eastAsia="it-IT"/>
        </w:rPr>
        <w:t>environmental risks caused by microbiological and chemical contaminants potentially present in water, recommends to implement the principles of a risk management framework (WHO, 2001). The WHO suggests that a risk management approach should be applied to d</w:t>
      </w:r>
      <w:r>
        <w:rPr>
          <w:rFonts w:ascii="Times New Roman" w:hAnsi="Times New Roman" w:cs="Times New Roman"/>
          <w:noProof/>
          <w:sz w:val="24"/>
          <w:szCs w:val="24"/>
          <w:lang w:val="en-US" w:eastAsia="it-IT"/>
        </w:rPr>
        <w:t>rinking water, reclaimed water, and recreational water. A risk management approach provides the conceptual framework for the WHO Guidelines for Drinking Water Quality (WHO, 2004 and 2011), and the Guidelines for the Safe use of Wastewater, Excreta and Grey</w:t>
      </w:r>
      <w:r>
        <w:rPr>
          <w:rFonts w:ascii="Times New Roman" w:hAnsi="Times New Roman" w:cs="Times New Roman"/>
          <w:noProof/>
          <w:sz w:val="24"/>
          <w:szCs w:val="24"/>
          <w:lang w:val="en-US" w:eastAsia="it-IT"/>
        </w:rPr>
        <w:t>water (WHO, 2006).</w:t>
      </w:r>
      <w:r>
        <w:rPr>
          <w:rFonts w:ascii="Times New Roman" w:hAnsi="Times New Roman" w:cs="Times New Roman"/>
          <w:noProof/>
          <w:sz w:val="24"/>
          <w:szCs w:val="24"/>
        </w:rPr>
        <w:t xml:space="preserve"> A risk management approach involves identifying and managing risks in a proactive way, rather than simply reacting when problems arise</w:t>
      </w:r>
      <w:r>
        <w:rPr>
          <w:rFonts w:ascii="Times New Roman" w:hAnsi="Times New Roman" w:cs="Times New Roman"/>
          <w:bCs/>
          <w:noProof/>
          <w:sz w:val="24"/>
          <w:szCs w:val="24"/>
          <w:lang w:val="en-US"/>
        </w:rPr>
        <w:t xml:space="preserve"> being a dynamic and practical system that, applied to water reuse, incorporates the concept of produci</w:t>
      </w:r>
      <w:r>
        <w:rPr>
          <w:rFonts w:ascii="Times New Roman" w:hAnsi="Times New Roman" w:cs="Times New Roman"/>
          <w:bCs/>
          <w:noProof/>
          <w:sz w:val="24"/>
          <w:szCs w:val="24"/>
          <w:lang w:val="en-US"/>
        </w:rPr>
        <w:t xml:space="preserve">ng reclaimed water of a quality that is ‘fit-for-purpose’. </w:t>
      </w:r>
    </w:p>
    <w:p w:rsidR="00AB50C5" w:rsidRDefault="00724275">
      <w:pPr>
        <w:spacing w:after="0" w:line="240" w:lineRule="auto"/>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The Guidelines for the Safe Use of Wastewater, Excreta and Greywater (WHO, 2006) are divided into four volumes, devoted to different topics: Volume I, Policy and regulatory aspects; Volume II, Was</w:t>
      </w:r>
      <w:r>
        <w:rPr>
          <w:rFonts w:ascii="Times New Roman" w:hAnsi="Times New Roman" w:cs="Times New Roman"/>
          <w:noProof/>
          <w:sz w:val="24"/>
          <w:szCs w:val="24"/>
          <w:lang w:val="en-US" w:eastAsia="it-IT"/>
        </w:rPr>
        <w:t xml:space="preserve">tewater use in agriculture; Volume III, Wastewater and excreta use in aquaculture; and Volume IV, Excreta and greywater use in agriculture. </w:t>
      </w:r>
    </w:p>
    <w:p w:rsidR="00AB50C5" w:rsidRDefault="00724275">
      <w:pPr>
        <w:spacing w:after="0" w:line="240" w:lineRule="auto"/>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Following the risk management approach, the Australian government developed the Australian Guidelines for Water Rec</w:t>
      </w:r>
      <w:r>
        <w:rPr>
          <w:rFonts w:ascii="Times New Roman" w:hAnsi="Times New Roman" w:cs="Times New Roman"/>
          <w:noProof/>
          <w:sz w:val="24"/>
          <w:szCs w:val="24"/>
          <w:lang w:val="en-US" w:eastAsia="it-IT"/>
        </w:rPr>
        <w:t>ycling and the Australian Drinking Water Guidelines (NHMRC-NRMMC, 2011). The Australian Guidelines for Water Recycling provide a generic framework for management of reclaimed water quality and use that applies to all combinations of reclaimed water and end</w:t>
      </w:r>
      <w:r>
        <w:rPr>
          <w:rFonts w:ascii="Times New Roman" w:hAnsi="Times New Roman" w:cs="Times New Roman"/>
          <w:noProof/>
          <w:sz w:val="24"/>
          <w:szCs w:val="24"/>
          <w:lang w:val="en-US" w:eastAsia="it-IT"/>
        </w:rPr>
        <w:t xml:space="preserve"> uses, including agricultural irrigation and aquifer recharge. These guidelines are structured in two phases. Phase I document (NRMMC-EPHC-AHMC, 2006) provides the scientific basis to assist and manage health and environmental risks. The three Phase II doc</w:t>
      </w:r>
      <w:r>
        <w:rPr>
          <w:rFonts w:ascii="Times New Roman" w:hAnsi="Times New Roman" w:cs="Times New Roman"/>
          <w:noProof/>
          <w:sz w:val="24"/>
          <w:szCs w:val="24"/>
          <w:lang w:val="en-US" w:eastAsia="it-IT"/>
        </w:rPr>
        <w:t xml:space="preserve">uments cover the specialized requirements for augmentation of drinking water supplies (NRMMC-EPHC-NHMRC, 2008), storm water harvesting and reuse, and managed aquifer recharge (NRMMC-EPHC–NHMRC, 2009). It is to note that the Australian Guidelines for Water </w:t>
      </w:r>
      <w:r>
        <w:rPr>
          <w:rFonts w:ascii="Times New Roman" w:hAnsi="Times New Roman" w:cs="Times New Roman"/>
          <w:noProof/>
          <w:sz w:val="24"/>
          <w:szCs w:val="24"/>
          <w:lang w:val="en-US" w:eastAsia="it-IT"/>
        </w:rPr>
        <w:t>Recycling are currently under a review that will draw on the advances and implementation of water recycling schemes.</w:t>
      </w:r>
    </w:p>
    <w:p w:rsidR="00AB50C5" w:rsidRDefault="00724275">
      <w:pPr>
        <w:autoSpaceDE w:val="0"/>
        <w:autoSpaceDN w:val="0"/>
        <w:adjustRightInd w:val="0"/>
        <w:spacing w:after="0" w:line="240" w:lineRule="auto"/>
        <w:jc w:val="both"/>
        <w:rPr>
          <w:rFonts w:ascii="Times New Roman" w:hAnsi="Times New Roman" w:cs="Times New Roman"/>
          <w:noProof/>
          <w:sz w:val="24"/>
          <w:szCs w:val="24"/>
          <w:lang w:val="en-US" w:eastAsia="it-IT"/>
        </w:rPr>
      </w:pPr>
      <w:r>
        <w:rPr>
          <w:rFonts w:ascii="Times New Roman" w:hAnsi="Times New Roman" w:cs="Times New Roman"/>
          <w:iCs/>
          <w:noProof/>
          <w:sz w:val="24"/>
          <w:szCs w:val="24"/>
          <w:lang w:val="en-US"/>
        </w:rPr>
        <w:t>The comprehensive risk management approach in the WHO Guidelines</w:t>
      </w:r>
      <w:r>
        <w:rPr>
          <w:rFonts w:ascii="Times New Roman" w:hAnsi="Times New Roman" w:cs="Times New Roman"/>
          <w:noProof/>
          <w:sz w:val="24"/>
          <w:szCs w:val="24"/>
          <w:lang w:val="en-US" w:eastAsia="it-IT"/>
        </w:rPr>
        <w:t xml:space="preserve"> for Drinking Water Quality</w:t>
      </w:r>
      <w:r>
        <w:rPr>
          <w:rFonts w:ascii="Times New Roman" w:hAnsi="Times New Roman" w:cs="Times New Roman"/>
          <w:iCs/>
          <w:noProof/>
          <w:sz w:val="24"/>
          <w:szCs w:val="24"/>
          <w:lang w:val="en-US"/>
        </w:rPr>
        <w:t xml:space="preserve"> is termed “Water Safety Plan (WSP)” (WHO, 2009)</w:t>
      </w:r>
      <w:r>
        <w:rPr>
          <w:rFonts w:ascii="Times New Roman" w:hAnsi="Times New Roman" w:cs="Times New Roman"/>
          <w:iCs/>
          <w:noProof/>
          <w:sz w:val="24"/>
          <w:szCs w:val="24"/>
          <w:lang w:val="en-US"/>
        </w:rPr>
        <w:t>.</w:t>
      </w:r>
      <w:r>
        <w:rPr>
          <w:rFonts w:ascii="Times New Roman" w:hAnsi="Times New Roman" w:cs="Times New Roman"/>
          <w:noProof/>
          <w:sz w:val="24"/>
          <w:szCs w:val="24"/>
          <w:lang w:val="en-US"/>
        </w:rPr>
        <w:t xml:space="preserve"> The elements of a WSP build on many of the principles and concepts from other systematic risk management approaches, in particular the multiple-barrier approach and the hazard analysis and critical control points (HACCP) system (WHO, 2011).</w:t>
      </w:r>
      <w:r>
        <w:rPr>
          <w:rFonts w:ascii="Times New Roman" w:hAnsi="Times New Roman" w:cs="Times New Roman"/>
          <w:noProof/>
          <w:sz w:val="24"/>
          <w:szCs w:val="24"/>
          <w:lang w:val="en-US" w:eastAsia="it-IT"/>
        </w:rPr>
        <w:t xml:space="preserve"> </w:t>
      </w:r>
      <w:r>
        <w:rPr>
          <w:rFonts w:ascii="Times New Roman" w:eastAsia="Calibri" w:hAnsi="Times New Roman" w:cs="Times New Roman"/>
          <w:noProof/>
          <w:sz w:val="24"/>
          <w:szCs w:val="24"/>
          <w:lang w:val="en-US"/>
        </w:rPr>
        <w:t xml:space="preserve">The WHO, and </w:t>
      </w:r>
      <w:r>
        <w:rPr>
          <w:rFonts w:ascii="Times New Roman" w:eastAsia="Calibri" w:hAnsi="Times New Roman" w:cs="Times New Roman"/>
          <w:noProof/>
          <w:sz w:val="24"/>
          <w:szCs w:val="24"/>
          <w:lang w:val="en-US"/>
        </w:rPr>
        <w:t xml:space="preserve">also the Australian guidelines, recommends the implementation of a risk management plan including a risk assessment for water reuse systems. For this purpose, </w:t>
      </w:r>
      <w:r>
        <w:rPr>
          <w:rFonts w:ascii="Times New Roman" w:hAnsi="Times New Roman" w:cs="Times New Roman"/>
          <w:noProof/>
          <w:sz w:val="24"/>
          <w:szCs w:val="24"/>
          <w:lang w:val="en-US" w:eastAsia="it-IT"/>
        </w:rPr>
        <w:t>the WHO has launched a Sanitation Safety Planning (SSP) manual as guidance on implementation of the WHO guidelines for water reuse (WHO, 2015). A SSP is a step-by-step health risk based approach for managing, monitoring and improving sanitation systems. Th</w:t>
      </w:r>
      <w:r>
        <w:rPr>
          <w:rFonts w:ascii="Times New Roman" w:hAnsi="Times New Roman" w:cs="Times New Roman"/>
          <w:noProof/>
          <w:sz w:val="24"/>
          <w:szCs w:val="24"/>
          <w:lang w:val="en-US" w:eastAsia="it-IT"/>
        </w:rPr>
        <w:t xml:space="preserve">e SSP is in line with the concept of the WSPs manual issued for drinking water supply systems (WHO, 2009). </w:t>
      </w:r>
    </w:p>
    <w:p w:rsidR="00AB50C5" w:rsidRDefault="00724275">
      <w:pPr>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eastAsia="en-AU"/>
        </w:rPr>
        <w:t>The United States Environmental Protection Agency (USEPA) issued, in 2012, the last version of the Guidelines for Water Reuse (USEPA, 2012). These g</w:t>
      </w:r>
      <w:r>
        <w:rPr>
          <w:rFonts w:ascii="Times New Roman" w:hAnsi="Times New Roman" w:cs="Times New Roman"/>
          <w:noProof/>
          <w:sz w:val="24"/>
          <w:szCs w:val="24"/>
          <w:lang w:val="en-US" w:eastAsia="en-AU"/>
        </w:rPr>
        <w:t xml:space="preserve">uidelines include a wide range of reuse applications (e.g. agricultural irrigation and aquifer recharge) and </w:t>
      </w:r>
      <w:r>
        <w:rPr>
          <w:rFonts w:ascii="Times New Roman" w:hAnsi="Times New Roman" w:cs="Times New Roman"/>
          <w:noProof/>
          <w:sz w:val="24"/>
          <w:szCs w:val="24"/>
          <w:lang w:val="en-US"/>
        </w:rPr>
        <w:t xml:space="preserve">apply a similar approach as described in the WHO and the Australian guidelines for controlling health and environmental risks. </w:t>
      </w:r>
    </w:p>
    <w:p w:rsidR="00AB50C5" w:rsidRDefault="00724275">
      <w:pPr>
        <w:spacing w:line="240" w:lineRule="auto"/>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In 2015, the International Organization for Standardization (ISO) published the Guidelines for treated wastewater use for irrigation projects, including agricultural irrigation (ISO 16075, 2015). These ISO guidelines provide guidance for healthy, environme</w:t>
      </w:r>
      <w:r>
        <w:rPr>
          <w:rFonts w:ascii="Times New Roman" w:hAnsi="Times New Roman" w:cs="Times New Roman"/>
          <w:noProof/>
          <w:sz w:val="24"/>
          <w:szCs w:val="24"/>
          <w:lang w:val="en-US" w:eastAsia="it-IT"/>
        </w:rPr>
        <w:t>ntally and hydrologically good operation, monitoring, and maintenance of water reuse projects for unrestricted and restricted irrigation of agricultural crops, gardens, and landscape areas using treated wastewater. The guidelines are divided into four part</w:t>
      </w:r>
      <w:r>
        <w:rPr>
          <w:rFonts w:ascii="Times New Roman" w:hAnsi="Times New Roman" w:cs="Times New Roman"/>
          <w:noProof/>
          <w:sz w:val="24"/>
          <w:szCs w:val="24"/>
          <w:lang w:val="en-US" w:eastAsia="it-IT"/>
        </w:rPr>
        <w:t>s: The basis of a reuse project for irrigation, that considers climate, soils, design, materials, construction, and performance (Part 1); Development of the project (Part 2) that includes water quality requirements like microbiological and chemical paramet</w:t>
      </w:r>
      <w:r>
        <w:rPr>
          <w:rFonts w:ascii="Times New Roman" w:hAnsi="Times New Roman" w:cs="Times New Roman"/>
          <w:noProof/>
          <w:sz w:val="24"/>
          <w:szCs w:val="24"/>
          <w:lang w:val="en-US" w:eastAsia="it-IT"/>
        </w:rPr>
        <w:t xml:space="preserve">ers, potential barriers and potential corresponding water treatments; and Components of a reuse project for irrigation (Part 3) that includes recommendations for irrigation systems, and distribution and storage facilities, and Monitoring (Part 4). The ISO </w:t>
      </w:r>
      <w:r>
        <w:rPr>
          <w:rFonts w:ascii="Times New Roman" w:hAnsi="Times New Roman" w:cs="Times New Roman"/>
          <w:noProof/>
          <w:sz w:val="24"/>
          <w:szCs w:val="24"/>
          <w:lang w:val="en-US" w:eastAsia="it-IT"/>
        </w:rPr>
        <w:t xml:space="preserve">guidelines include recommended parameters and limit values that are elaborated on the basis of international regulations, like the WHO and the USEPA guidelines, to assure health and environmental safety of water reuse projects in irrigation. </w:t>
      </w:r>
    </w:p>
    <w:p w:rsidR="00AB50C5" w:rsidRDefault="00724275">
      <w:pPr>
        <w:spacing w:line="240" w:lineRule="auto"/>
        <w:jc w:val="both"/>
        <w:rPr>
          <w:rFonts w:ascii="Times New Roman" w:hAnsi="Times New Roman" w:cs="Times New Roman"/>
          <w:noProof/>
          <w:sz w:val="24"/>
          <w:szCs w:val="24"/>
          <w:lang w:val="en-US" w:eastAsia="en-AU"/>
        </w:rPr>
      </w:pPr>
      <w:r>
        <w:rPr>
          <w:rFonts w:ascii="Times New Roman" w:hAnsi="Times New Roman" w:cs="Times New Roman"/>
          <w:noProof/>
          <w:sz w:val="24"/>
          <w:szCs w:val="24"/>
          <w:lang w:val="en-US" w:eastAsia="it-IT"/>
        </w:rPr>
        <w:t xml:space="preserve">The State of </w:t>
      </w:r>
      <w:r>
        <w:rPr>
          <w:rFonts w:ascii="Times New Roman" w:hAnsi="Times New Roman" w:cs="Times New Roman"/>
          <w:noProof/>
          <w:sz w:val="24"/>
          <w:szCs w:val="24"/>
          <w:lang w:val="en-US" w:eastAsia="it-IT"/>
        </w:rPr>
        <w:t>California has been a pioneer in issuing water reuse regulations and the water quality requirements that California establishes have become a global benchmark, and they have provided a basis for the development of water reuse regulations worldwide. T</w:t>
      </w:r>
      <w:r>
        <w:rPr>
          <w:rFonts w:ascii="Times New Roman" w:hAnsi="Times New Roman" w:cs="Times New Roman"/>
          <w:noProof/>
          <w:sz w:val="24"/>
          <w:szCs w:val="24"/>
          <w:lang w:val="en-US" w:eastAsia="en-AU"/>
        </w:rPr>
        <w:t>he Sta</w:t>
      </w:r>
      <w:r>
        <w:rPr>
          <w:rFonts w:ascii="Times New Roman" w:hAnsi="Times New Roman" w:cs="Times New Roman"/>
          <w:noProof/>
          <w:sz w:val="24"/>
          <w:szCs w:val="24"/>
          <w:lang w:val="en-US" w:eastAsia="en-AU"/>
        </w:rPr>
        <w:t xml:space="preserve">te of California regulatory approach on water reuse is based </w:t>
      </w:r>
      <w:r>
        <w:rPr>
          <w:rFonts w:ascii="Times New Roman" w:hAnsi="Times New Roman" w:cs="Times New Roman"/>
          <w:noProof/>
          <w:sz w:val="24"/>
          <w:szCs w:val="24"/>
          <w:lang w:val="en-US" w:eastAsia="it-IT"/>
        </w:rPr>
        <w:t>on stringent treatment technology targets with specific performance requirements for several uses, including also agricultural irrigation.</w:t>
      </w:r>
      <w:r>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eastAsia="en-AU"/>
        </w:rPr>
        <w:t>Statutes and regulations related to water reuse in Calif</w:t>
      </w:r>
      <w:r>
        <w:rPr>
          <w:rFonts w:ascii="Times New Roman" w:hAnsi="Times New Roman" w:cs="Times New Roman"/>
          <w:noProof/>
          <w:sz w:val="24"/>
          <w:szCs w:val="24"/>
          <w:lang w:val="en-US" w:eastAsia="en-AU"/>
        </w:rPr>
        <w:t>ornia are based on a risk assessment and the multiple-barrier principle and are included in the California Health and Safety Code, the California Water Code, and the California Code of Regulations. In the last update of the water reuse regulations, the Div</w:t>
      </w:r>
      <w:r>
        <w:rPr>
          <w:rFonts w:ascii="Times New Roman" w:hAnsi="Times New Roman" w:cs="Times New Roman"/>
          <w:noProof/>
          <w:sz w:val="24"/>
          <w:szCs w:val="24"/>
          <w:lang w:val="en-US" w:eastAsia="en-AU"/>
        </w:rPr>
        <w:t xml:space="preserve">ision of Drinking Water (DDW) (formerly known as CDPH) included </w:t>
      </w:r>
      <w:r>
        <w:rPr>
          <w:rFonts w:ascii="Times New Roman" w:hAnsi="Times New Roman" w:cs="Times New Roman"/>
          <w:noProof/>
          <w:sz w:val="24"/>
          <w:szCs w:val="24"/>
          <w:lang w:val="en-US" w:eastAsia="it-IT"/>
        </w:rPr>
        <w:t xml:space="preserve">also indirect potable reuse considering aquifer replenishment by surface and subsurface application </w:t>
      </w:r>
      <w:r>
        <w:rPr>
          <w:rFonts w:ascii="Times New Roman" w:hAnsi="Times New Roman" w:cs="Times New Roman"/>
          <w:noProof/>
          <w:sz w:val="24"/>
          <w:szCs w:val="24"/>
          <w:lang w:val="en-US" w:eastAsia="en-AU"/>
        </w:rPr>
        <w:t xml:space="preserve">(CDPH, 2014). </w:t>
      </w:r>
    </w:p>
    <w:p w:rsidR="00AB50C5" w:rsidRDefault="00724275">
      <w:pPr>
        <w:spacing w:line="240" w:lineRule="auto"/>
        <w:jc w:val="both"/>
        <w:rPr>
          <w:rFonts w:ascii="Times New Roman" w:hAnsi="Times New Roman" w:cs="Times New Roman"/>
          <w:noProof/>
          <w:sz w:val="24"/>
          <w:szCs w:val="24"/>
          <w:lang w:val="en-US" w:eastAsia="en-AU"/>
        </w:rPr>
      </w:pPr>
      <w:r>
        <w:rPr>
          <w:rFonts w:ascii="Times New Roman" w:hAnsi="Times New Roman" w:cs="Times New Roman"/>
          <w:noProof/>
          <w:sz w:val="24"/>
          <w:szCs w:val="24"/>
          <w:lang w:val="en-US" w:eastAsia="en-AU"/>
        </w:rPr>
        <w:t>In EU countries, the most comprehensive water reuse regulations and recommend</w:t>
      </w:r>
      <w:r>
        <w:rPr>
          <w:rFonts w:ascii="Times New Roman" w:hAnsi="Times New Roman" w:cs="Times New Roman"/>
          <w:noProof/>
          <w:sz w:val="24"/>
          <w:szCs w:val="24"/>
          <w:lang w:val="en-US" w:eastAsia="en-AU"/>
        </w:rPr>
        <w:t>ations issued by MS (i.e. Cyprus, France, Greece, Italy, Portugal, Spain) (DM, 2003; NP, 2005; RD, 2007; CMD, 2011; JORF, 2014; KDP, 2015) are based on the referenced guidelines and regulations cited above, all of them including several modifications for s</w:t>
      </w:r>
      <w:r>
        <w:rPr>
          <w:rFonts w:ascii="Times New Roman" w:hAnsi="Times New Roman" w:cs="Times New Roman"/>
          <w:noProof/>
          <w:sz w:val="24"/>
          <w:szCs w:val="24"/>
          <w:lang w:val="en-US" w:eastAsia="en-AU"/>
        </w:rPr>
        <w:t xml:space="preserve">ome uses (Paranychianakis </w:t>
      </w:r>
      <w:r>
        <w:rPr>
          <w:rFonts w:ascii="Times New Roman" w:hAnsi="Times New Roman" w:cs="Times New Roman"/>
          <w:i/>
          <w:noProof/>
          <w:sz w:val="24"/>
          <w:szCs w:val="24"/>
          <w:lang w:val="en-US" w:eastAsia="en-AU"/>
        </w:rPr>
        <w:t>et al.</w:t>
      </w:r>
      <w:r>
        <w:rPr>
          <w:rFonts w:ascii="Times New Roman" w:hAnsi="Times New Roman" w:cs="Times New Roman"/>
          <w:noProof/>
          <w:sz w:val="24"/>
          <w:szCs w:val="24"/>
          <w:lang w:val="en-US" w:eastAsia="en-AU"/>
        </w:rPr>
        <w:t>, 2014).</w:t>
      </w:r>
    </w:p>
    <w:p w:rsidR="00AB50C5" w:rsidRDefault="00724275">
      <w:pPr>
        <w:spacing w:after="0" w:line="240" w:lineRule="auto"/>
        <w:jc w:val="both"/>
        <w:rPr>
          <w:rFonts w:ascii="Times New Roman" w:eastAsia="GillSans-Light" w:hAnsi="Times New Roman" w:cs="Times New Roman"/>
          <w:noProof/>
          <w:sz w:val="24"/>
          <w:szCs w:val="24"/>
        </w:rPr>
      </w:pPr>
      <w:r>
        <w:rPr>
          <w:rFonts w:ascii="Times New Roman" w:hAnsi="Times New Roman" w:cs="Times New Roman"/>
          <w:noProof/>
          <w:sz w:val="24"/>
          <w:szCs w:val="24"/>
        </w:rPr>
        <w:t xml:space="preserve">A </w:t>
      </w:r>
      <w:r>
        <w:rPr>
          <w:rFonts w:ascii="Times New Roman" w:hAnsi="Times New Roman" w:cs="Times New Roman"/>
          <w:b/>
          <w:noProof/>
          <w:sz w:val="24"/>
          <w:szCs w:val="24"/>
        </w:rPr>
        <w:t xml:space="preserve">risk management framework </w:t>
      </w:r>
      <w:r>
        <w:rPr>
          <w:rFonts w:ascii="Times New Roman" w:hAnsi="Times New Roman" w:cs="Times New Roman"/>
          <w:noProof/>
          <w:sz w:val="24"/>
          <w:szCs w:val="24"/>
        </w:rPr>
        <w:t xml:space="preserve">is a systematic management tool that consistently ensures the safety and acceptability of water reuse practices. </w:t>
      </w:r>
      <w:r>
        <w:rPr>
          <w:rFonts w:ascii="Times New Roman" w:eastAsia="GillSans-Light" w:hAnsi="Times New Roman" w:cs="Times New Roman"/>
          <w:noProof/>
          <w:sz w:val="24"/>
          <w:szCs w:val="24"/>
        </w:rPr>
        <w:t>A central feature is that it is sufficiently flexible to be applied to all</w:t>
      </w:r>
      <w:r>
        <w:rPr>
          <w:rFonts w:ascii="Times New Roman" w:eastAsia="GillSans-Light" w:hAnsi="Times New Roman" w:cs="Times New Roman"/>
          <w:noProof/>
          <w:sz w:val="24"/>
          <w:szCs w:val="24"/>
        </w:rPr>
        <w:t xml:space="preserve"> types of water reuse systems, irrespective of size and complexity. </w:t>
      </w:r>
    </w:p>
    <w:p w:rsidR="00AB50C5" w:rsidRDefault="0072427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risk management framework incorporates several interrelated elements, each of which supports the effectiveness of the others. Because most problems associated with reclaimed water </w:t>
      </w:r>
      <w:r>
        <w:rPr>
          <w:rFonts w:ascii="Times New Roman" w:hAnsi="Times New Roman" w:cs="Times New Roman"/>
          <w:noProof/>
          <w:sz w:val="24"/>
          <w:szCs w:val="24"/>
        </w:rPr>
        <w:t xml:space="preserve">schemes are attributable to a combination of factors, these factors need to be addressed together to ensure a safe and sustainable supply of reclaimed water. The elements, based on the recommendations of international guidelines (WHO, 2004, 2009 and 2011; </w:t>
      </w:r>
      <w:r>
        <w:rPr>
          <w:rFonts w:ascii="Times New Roman" w:hAnsi="Times New Roman" w:cs="Times New Roman"/>
          <w:noProof/>
          <w:sz w:val="24"/>
          <w:szCs w:val="24"/>
        </w:rPr>
        <w:t>NRMMC-EPHC-AHMC, 2006) are the following:</w:t>
      </w:r>
    </w:p>
    <w:p w:rsidR="00AB50C5" w:rsidRDefault="00724275">
      <w:pPr>
        <w:pStyle w:val="JRCTextbulletedlist1"/>
        <w:rPr>
          <w:rFonts w:ascii="Times New Roman" w:hAnsi="Times New Roman"/>
          <w:noProof/>
          <w:sz w:val="24"/>
          <w:szCs w:val="24"/>
        </w:rPr>
      </w:pPr>
      <w:r>
        <w:rPr>
          <w:rFonts w:ascii="Times New Roman" w:hAnsi="Times New Roman"/>
          <w:noProof/>
          <w:sz w:val="24"/>
          <w:szCs w:val="24"/>
        </w:rPr>
        <w:t xml:space="preserve">Assembly of a risk management team. </w:t>
      </w:r>
    </w:p>
    <w:p w:rsidR="00AB50C5" w:rsidRDefault="00724275">
      <w:pPr>
        <w:pStyle w:val="JRCTextbulletedlist1"/>
        <w:rPr>
          <w:rFonts w:ascii="Times New Roman" w:hAnsi="Times New Roman"/>
          <w:noProof/>
          <w:sz w:val="24"/>
          <w:szCs w:val="24"/>
        </w:rPr>
      </w:pPr>
      <w:r>
        <w:rPr>
          <w:rFonts w:ascii="Times New Roman" w:hAnsi="Times New Roman"/>
          <w:noProof/>
          <w:sz w:val="24"/>
          <w:szCs w:val="24"/>
        </w:rPr>
        <w:t>Description of the water reuse system.</w:t>
      </w:r>
    </w:p>
    <w:p w:rsidR="00AB50C5" w:rsidRDefault="00724275">
      <w:pPr>
        <w:pStyle w:val="JRCTextbulletedlist1"/>
        <w:rPr>
          <w:rFonts w:ascii="Times New Roman" w:hAnsi="Times New Roman"/>
          <w:noProof/>
          <w:sz w:val="24"/>
          <w:szCs w:val="24"/>
        </w:rPr>
      </w:pPr>
      <w:r>
        <w:rPr>
          <w:rFonts w:ascii="Times New Roman" w:hAnsi="Times New Roman"/>
          <w:noProof/>
          <w:sz w:val="24"/>
          <w:szCs w:val="24"/>
        </w:rPr>
        <w:t>Identification of hazards and hazardous events, and risk assessment.</w:t>
      </w:r>
    </w:p>
    <w:p w:rsidR="00AB50C5" w:rsidRDefault="00724275">
      <w:pPr>
        <w:pStyle w:val="JRCTextbulletedlist1"/>
        <w:rPr>
          <w:rFonts w:ascii="Times New Roman" w:hAnsi="Times New Roman"/>
          <w:noProof/>
          <w:sz w:val="24"/>
          <w:szCs w:val="24"/>
        </w:rPr>
      </w:pPr>
      <w:r>
        <w:rPr>
          <w:rFonts w:ascii="Times New Roman" w:hAnsi="Times New Roman"/>
          <w:noProof/>
          <w:sz w:val="24"/>
          <w:szCs w:val="24"/>
        </w:rPr>
        <w:t>Determination of preventive measures to limit risks.</w:t>
      </w:r>
    </w:p>
    <w:p w:rsidR="00AB50C5" w:rsidRDefault="00724275">
      <w:pPr>
        <w:pStyle w:val="JRCTextbulletedlist1"/>
        <w:rPr>
          <w:rFonts w:ascii="Times New Roman" w:hAnsi="Times New Roman"/>
          <w:noProof/>
          <w:sz w:val="24"/>
          <w:szCs w:val="24"/>
        </w:rPr>
      </w:pPr>
      <w:r>
        <w:rPr>
          <w:rFonts w:ascii="Times New Roman" w:hAnsi="Times New Roman"/>
          <w:noProof/>
          <w:sz w:val="24"/>
          <w:szCs w:val="24"/>
        </w:rPr>
        <w:t>Development of o</w:t>
      </w:r>
      <w:r>
        <w:rPr>
          <w:rFonts w:ascii="Times New Roman" w:hAnsi="Times New Roman"/>
          <w:noProof/>
          <w:sz w:val="24"/>
          <w:szCs w:val="24"/>
        </w:rPr>
        <w:t xml:space="preserve">perational procedures. </w:t>
      </w:r>
    </w:p>
    <w:p w:rsidR="00AB50C5" w:rsidRDefault="00724275">
      <w:pPr>
        <w:pStyle w:val="JRCTextbulletedlist1"/>
        <w:rPr>
          <w:rFonts w:ascii="Times New Roman" w:hAnsi="Times New Roman"/>
          <w:noProof/>
          <w:sz w:val="24"/>
          <w:szCs w:val="24"/>
        </w:rPr>
      </w:pPr>
      <w:r>
        <w:rPr>
          <w:rFonts w:ascii="Times New Roman" w:hAnsi="Times New Roman"/>
          <w:noProof/>
          <w:sz w:val="24"/>
          <w:szCs w:val="24"/>
        </w:rPr>
        <w:t>Verification of the water quality and the receiving environment.</w:t>
      </w:r>
    </w:p>
    <w:p w:rsidR="00AB50C5" w:rsidRDefault="00724275">
      <w:pPr>
        <w:pStyle w:val="JRCTextbulletedlist1"/>
        <w:rPr>
          <w:rFonts w:ascii="Times New Roman" w:hAnsi="Times New Roman"/>
          <w:noProof/>
          <w:sz w:val="24"/>
          <w:szCs w:val="24"/>
        </w:rPr>
      </w:pPr>
      <w:r>
        <w:rPr>
          <w:rFonts w:ascii="Times New Roman" w:hAnsi="Times New Roman"/>
          <w:noProof/>
          <w:sz w:val="24"/>
          <w:szCs w:val="24"/>
        </w:rPr>
        <w:t>Validation of processes and procedures.</w:t>
      </w:r>
    </w:p>
    <w:p w:rsidR="00AB50C5" w:rsidRDefault="00724275">
      <w:pPr>
        <w:pStyle w:val="JRCTextbulletedlist1"/>
        <w:rPr>
          <w:rFonts w:ascii="Times New Roman" w:hAnsi="Times New Roman"/>
          <w:noProof/>
          <w:sz w:val="24"/>
          <w:szCs w:val="24"/>
        </w:rPr>
      </w:pPr>
      <w:r>
        <w:rPr>
          <w:rFonts w:ascii="Times New Roman" w:hAnsi="Times New Roman"/>
          <w:noProof/>
          <w:sz w:val="24"/>
          <w:szCs w:val="24"/>
        </w:rPr>
        <w:t>Management of incidents and emergencies.</w:t>
      </w:r>
    </w:p>
    <w:p w:rsidR="00AB50C5" w:rsidRDefault="00724275">
      <w:pPr>
        <w:spacing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In this context, it is of paramount importance that MS apply the principles of a risk </w:t>
      </w:r>
      <w:r>
        <w:rPr>
          <w:rFonts w:ascii="Times New Roman" w:hAnsi="Times New Roman" w:cs="Times New Roman"/>
          <w:noProof/>
          <w:sz w:val="24"/>
          <w:szCs w:val="24"/>
          <w:lang w:val="en-US"/>
        </w:rPr>
        <w:t xml:space="preserve">management framework for the safe use of reclaimed water for agricultural irrigation and aquifer recharge. </w:t>
      </w:r>
    </w:p>
    <w:p w:rsidR="00AB50C5" w:rsidRDefault="00724275">
      <w:pPr>
        <w:pStyle w:val="JRCLevel-1title"/>
        <w:jc w:val="both"/>
        <w:rPr>
          <w:rFonts w:ascii="Times New Roman" w:hAnsi="Times New Roman"/>
          <w:noProof/>
          <w:sz w:val="24"/>
          <w:lang w:val="en-US"/>
        </w:rPr>
      </w:pPr>
      <w:bookmarkStart w:id="16" w:name="_Toc498695667"/>
      <w:bookmarkStart w:id="17" w:name="_Toc516234751"/>
      <w:r>
        <w:rPr>
          <w:rFonts w:ascii="Times New Roman" w:hAnsi="Times New Roman"/>
          <w:noProof/>
          <w:sz w:val="24"/>
          <w:lang w:val="en-US"/>
        </w:rPr>
        <w:t>Management of health and environmental risks for water reuse in agricultural irrigation</w:t>
      </w:r>
      <w:bookmarkEnd w:id="16"/>
      <w:bookmarkEnd w:id="17"/>
    </w:p>
    <w:p w:rsidR="00AB50C5" w:rsidRDefault="00724275">
      <w:pPr>
        <w:spacing w:line="240" w:lineRule="auto"/>
        <w:jc w:val="both"/>
        <w:rPr>
          <w:rFonts w:ascii="Times New Roman" w:hAnsi="Times New Roman" w:cs="Times New Roman"/>
          <w:noProof/>
          <w:sz w:val="24"/>
          <w:szCs w:val="24"/>
          <w:lang w:val="en-US" w:eastAsia="it-IT"/>
        </w:rPr>
      </w:pPr>
      <w:bookmarkStart w:id="18" w:name="_Toc454541562"/>
      <w:bookmarkStart w:id="19" w:name="_Toc456619479"/>
      <w:r>
        <w:rPr>
          <w:rFonts w:ascii="Times New Roman" w:hAnsi="Times New Roman" w:cs="Times New Roman"/>
          <w:noProof/>
          <w:sz w:val="24"/>
          <w:szCs w:val="24"/>
          <w:lang w:val="en-US" w:eastAsia="it-IT"/>
        </w:rPr>
        <w:t xml:space="preserve">This section includes the definition of the key elements of </w:t>
      </w:r>
      <w:r>
        <w:rPr>
          <w:rFonts w:ascii="Times New Roman" w:hAnsi="Times New Roman" w:cs="Times New Roman"/>
          <w:noProof/>
          <w:sz w:val="24"/>
          <w:szCs w:val="24"/>
          <w:lang w:val="en-US" w:eastAsia="it-IT"/>
        </w:rPr>
        <w:t>a risk management framework that MS have to apply to manage health and environmental risks when reclaimed water is used in agricultural irrigation. It also includes the definition of common (not site specific) minimum quality requirements and preventive me</w:t>
      </w:r>
      <w:r>
        <w:rPr>
          <w:rFonts w:ascii="Times New Roman" w:hAnsi="Times New Roman" w:cs="Times New Roman"/>
          <w:noProof/>
          <w:sz w:val="24"/>
          <w:szCs w:val="24"/>
          <w:lang w:val="en-US" w:eastAsia="it-IT"/>
        </w:rPr>
        <w:t>asures to be applied to all EU water reuse projects for agricultural irrigation, with the associated justification.</w:t>
      </w:r>
    </w:p>
    <w:p w:rsidR="00AB50C5" w:rsidRDefault="00724275">
      <w:pPr>
        <w:spacing w:after="0" w:line="240" w:lineRule="auto"/>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Regarding the source of wastewater to be reclaimed, as a minimum requirement, it has to be stressed that the Directive 91/271/EEC (UWWTD) th</w:t>
      </w:r>
      <w:r>
        <w:rPr>
          <w:rFonts w:ascii="Times New Roman" w:hAnsi="Times New Roman" w:cs="Times New Roman"/>
          <w:noProof/>
          <w:sz w:val="24"/>
          <w:szCs w:val="24"/>
          <w:lang w:val="en-US" w:eastAsia="it-IT"/>
        </w:rPr>
        <w:t>at concerns the collection, treatment and discharge of urban wastewater, establishes quality requirements that have to be satisfied by discharges from urban wastewater treatment plants (UWWTP) including also specific requirements for discharges in sensitiv</w:t>
      </w:r>
      <w:r>
        <w:rPr>
          <w:rFonts w:ascii="Times New Roman" w:hAnsi="Times New Roman" w:cs="Times New Roman"/>
          <w:noProof/>
          <w:sz w:val="24"/>
          <w:szCs w:val="24"/>
          <w:lang w:val="en-US" w:eastAsia="it-IT"/>
        </w:rPr>
        <w:t>e areas (Annex I of UWWTD). Water from wastewater treatment plants destined for reuse is considered a discharge under the UWWTD at the point where it leaves the water treatment plant (after treatment) (EC, 2016). Therefore, as t</w:t>
      </w:r>
      <w:r>
        <w:rPr>
          <w:rFonts w:ascii="Times New Roman" w:hAnsi="Times New Roman" w:cs="Times New Roman"/>
          <w:noProof/>
          <w:sz w:val="24"/>
          <w:szCs w:val="24"/>
          <w:lang w:val="en-US"/>
        </w:rPr>
        <w:t>he only source of wastewater</w:t>
      </w:r>
      <w:r>
        <w:rPr>
          <w:rFonts w:ascii="Times New Roman" w:hAnsi="Times New Roman" w:cs="Times New Roman"/>
          <w:noProof/>
          <w:sz w:val="24"/>
          <w:szCs w:val="24"/>
          <w:lang w:val="en-US"/>
        </w:rPr>
        <w:t xml:space="preserve"> considered in this document is the wastewater covered by the UWWTD, </w:t>
      </w:r>
      <w:r>
        <w:rPr>
          <w:rFonts w:ascii="Times New Roman" w:hAnsi="Times New Roman" w:cs="Times New Roman"/>
          <w:noProof/>
          <w:sz w:val="24"/>
          <w:szCs w:val="24"/>
          <w:lang w:val="en-US" w:eastAsia="it-IT"/>
        </w:rPr>
        <w:t xml:space="preserve">all treated wastewater potentially considered for reclamation and reuse (i.e. wastewater coming from an UWWTP) has to comply, </w:t>
      </w:r>
      <w:r>
        <w:rPr>
          <w:rFonts w:ascii="Times New Roman" w:hAnsi="Times New Roman" w:cs="Times New Roman"/>
          <w:b/>
          <w:noProof/>
          <w:sz w:val="24"/>
          <w:szCs w:val="24"/>
          <w:lang w:val="en-US" w:eastAsia="it-IT"/>
        </w:rPr>
        <w:t>at least</w:t>
      </w:r>
      <w:r>
        <w:rPr>
          <w:rFonts w:ascii="Times New Roman" w:hAnsi="Times New Roman" w:cs="Times New Roman"/>
          <w:noProof/>
          <w:sz w:val="24"/>
          <w:szCs w:val="24"/>
          <w:lang w:val="en-US" w:eastAsia="it-IT"/>
        </w:rPr>
        <w:t xml:space="preserve">, with the quality requirements specified in the </w:t>
      </w:r>
      <w:r>
        <w:rPr>
          <w:rFonts w:ascii="Times New Roman" w:hAnsi="Times New Roman" w:cs="Times New Roman"/>
          <w:noProof/>
          <w:sz w:val="24"/>
          <w:szCs w:val="24"/>
          <w:lang w:val="en-US" w:eastAsia="it-IT"/>
        </w:rPr>
        <w:t>UWWTD Annex I, table 1 and, when applicable, with the requirements from Annex I, table 2 for sensitive areas.</w:t>
      </w:r>
    </w:p>
    <w:p w:rsidR="00AB50C5" w:rsidRDefault="00724275">
      <w:pPr>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In order to assure that wastewater that enter a UWWTP is included in the Annex III of the Directive 91/271/EEC, thus, it is necessary to establish</w:t>
      </w:r>
      <w:r>
        <w:rPr>
          <w:rFonts w:ascii="Times New Roman" w:hAnsi="Times New Roman" w:cs="Times New Roman"/>
          <w:noProof/>
          <w:sz w:val="24"/>
          <w:szCs w:val="24"/>
          <w:lang w:val="en-US"/>
        </w:rPr>
        <w:t xml:space="preserve"> source control programs and oversight of industrial and commercial discharges to the sewer systems connected to a wastewater treatment plant. </w:t>
      </w:r>
      <w:bookmarkStart w:id="20" w:name="_Toc448942666"/>
      <w:bookmarkStart w:id="21" w:name="_Toc454548484"/>
      <w:bookmarkStart w:id="22" w:name="_Toc456357530"/>
      <w:bookmarkEnd w:id="18"/>
      <w:bookmarkEnd w:id="19"/>
    </w:p>
    <w:p w:rsidR="00AB50C5" w:rsidRDefault="00724275">
      <w:pPr>
        <w:pStyle w:val="JRCLevel-2title"/>
        <w:rPr>
          <w:rFonts w:ascii="Times New Roman" w:hAnsi="Times New Roman"/>
          <w:noProof/>
          <w:szCs w:val="24"/>
          <w:lang w:val="en-US"/>
        </w:rPr>
      </w:pPr>
      <w:bookmarkStart w:id="23" w:name="_Toc498695668"/>
      <w:bookmarkStart w:id="24" w:name="_Toc516234752"/>
      <w:r>
        <w:rPr>
          <w:rFonts w:ascii="Times New Roman" w:hAnsi="Times New Roman"/>
          <w:noProof/>
          <w:szCs w:val="24"/>
          <w:lang w:val="en-US"/>
        </w:rPr>
        <w:t>Agricultural irrigation uses</w:t>
      </w:r>
      <w:bookmarkEnd w:id="23"/>
      <w:bookmarkEnd w:id="24"/>
    </w:p>
    <w:bookmarkEnd w:id="20"/>
    <w:bookmarkEnd w:id="21"/>
    <w:bookmarkEnd w:id="22"/>
    <w:p w:rsidR="00AB50C5" w:rsidRDefault="00724275">
      <w:pPr>
        <w:spacing w:after="0" w:line="240" w:lineRule="auto"/>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 xml:space="preserve">Agricultural irrigation is defined in this document as irrigation of the following </w:t>
      </w:r>
      <w:r>
        <w:rPr>
          <w:rFonts w:ascii="Times New Roman" w:hAnsi="Times New Roman" w:cs="Times New Roman"/>
          <w:noProof/>
          <w:sz w:val="24"/>
          <w:szCs w:val="24"/>
          <w:lang w:val="en-US" w:eastAsia="it-IT"/>
        </w:rPr>
        <w:t>types of crops:</w:t>
      </w:r>
    </w:p>
    <w:p w:rsidR="00AB50C5" w:rsidRDefault="00724275">
      <w:pPr>
        <w:pStyle w:val="JRCTextbulletedlist1"/>
        <w:rPr>
          <w:rFonts w:ascii="Times New Roman" w:hAnsi="Times New Roman"/>
          <w:noProof/>
          <w:sz w:val="24"/>
          <w:szCs w:val="24"/>
          <w:lang w:val="en-US" w:eastAsia="it-IT"/>
        </w:rPr>
      </w:pPr>
      <w:r>
        <w:rPr>
          <w:rFonts w:ascii="Times New Roman" w:hAnsi="Times New Roman"/>
          <w:noProof/>
          <w:sz w:val="24"/>
          <w:szCs w:val="24"/>
          <w:lang w:val="en-US" w:eastAsia="it-IT"/>
        </w:rPr>
        <w:t>Food crops consumed raw: crops which are intended for human consumption to be eaten raw or unprocessed.</w:t>
      </w:r>
    </w:p>
    <w:p w:rsidR="00AB50C5" w:rsidRDefault="00724275">
      <w:pPr>
        <w:pStyle w:val="JRCTextbulletedlist1"/>
        <w:rPr>
          <w:rFonts w:ascii="Times New Roman" w:hAnsi="Times New Roman"/>
          <w:noProof/>
          <w:sz w:val="24"/>
          <w:szCs w:val="24"/>
          <w:lang w:val="en-US" w:eastAsia="it-IT"/>
        </w:rPr>
      </w:pPr>
      <w:r>
        <w:rPr>
          <w:rFonts w:ascii="Times New Roman" w:hAnsi="Times New Roman"/>
          <w:noProof/>
          <w:sz w:val="24"/>
          <w:szCs w:val="24"/>
          <w:lang w:val="en-US" w:eastAsia="it-IT"/>
        </w:rPr>
        <w:t>Processed food crops: crops which are intended for human consumption not to be eaten raw but after a treatment process (i.e. cooked, ind</w:t>
      </w:r>
      <w:r>
        <w:rPr>
          <w:rFonts w:ascii="Times New Roman" w:hAnsi="Times New Roman"/>
          <w:noProof/>
          <w:sz w:val="24"/>
          <w:szCs w:val="24"/>
          <w:lang w:val="en-US" w:eastAsia="it-IT"/>
        </w:rPr>
        <w:t>ustrially processed).</w:t>
      </w:r>
    </w:p>
    <w:p w:rsidR="00AB50C5" w:rsidRDefault="00724275">
      <w:pPr>
        <w:pStyle w:val="JRCTextbulletedlist1"/>
        <w:rPr>
          <w:rFonts w:ascii="Times New Roman" w:hAnsi="Times New Roman"/>
          <w:noProof/>
          <w:sz w:val="24"/>
          <w:szCs w:val="24"/>
          <w:lang w:val="en-US" w:eastAsia="it-IT"/>
        </w:rPr>
      </w:pPr>
      <w:r>
        <w:rPr>
          <w:rFonts w:ascii="Times New Roman" w:hAnsi="Times New Roman"/>
          <w:noProof/>
          <w:sz w:val="24"/>
          <w:szCs w:val="24"/>
          <w:lang w:val="en-US" w:eastAsia="it-IT"/>
        </w:rPr>
        <w:t>Non-food crops: crops which are not intended for human consumption (e.g. pastures, forage, fiber, ornamental, seed, energy and turf crops).</w:t>
      </w:r>
    </w:p>
    <w:p w:rsidR="00AB50C5" w:rsidRDefault="00724275">
      <w:pPr>
        <w:spacing w:after="0" w:line="240" w:lineRule="auto"/>
        <w:jc w:val="both"/>
        <w:rPr>
          <w:rFonts w:ascii="Times New Roman" w:hAnsi="Times New Roman" w:cs="Times New Roman"/>
          <w:bCs/>
          <w:noProof/>
          <w:sz w:val="24"/>
          <w:szCs w:val="24"/>
          <w:lang w:val="en-US" w:eastAsia="it-IT"/>
        </w:rPr>
      </w:pPr>
      <w:r>
        <w:rPr>
          <w:rFonts w:ascii="Times New Roman" w:hAnsi="Times New Roman" w:cs="Times New Roman"/>
          <w:noProof/>
          <w:sz w:val="24"/>
          <w:szCs w:val="24"/>
          <w:lang w:val="en-US" w:eastAsia="it-IT"/>
        </w:rPr>
        <w:t>These definitions are based on the categories of use described in water reuse guidelines and s</w:t>
      </w:r>
      <w:r>
        <w:rPr>
          <w:rFonts w:ascii="Times New Roman" w:hAnsi="Times New Roman" w:cs="Times New Roman"/>
          <w:noProof/>
          <w:sz w:val="24"/>
          <w:szCs w:val="24"/>
          <w:lang w:val="en-US" w:eastAsia="it-IT"/>
        </w:rPr>
        <w:t xml:space="preserve">ome MS legislations (NRMMC-EPHC-AMHC, 2006; WHO, 2006; USEPA, 2012; JRC, 2014). Definitions included in EC food safety regulations </w:t>
      </w:r>
      <w:r>
        <w:rPr>
          <w:rFonts w:ascii="Times New Roman" w:hAnsi="Times New Roman" w:cs="Times New Roman"/>
          <w:bCs/>
          <w:noProof/>
          <w:sz w:val="24"/>
          <w:szCs w:val="24"/>
          <w:lang w:val="en-US" w:eastAsia="it-IT"/>
        </w:rPr>
        <w:t>178/2002 and 852/2004 also apply to these classification.</w:t>
      </w:r>
    </w:p>
    <w:p w:rsidR="00AB50C5" w:rsidRDefault="00724275">
      <w:pPr>
        <w:pStyle w:val="JRCLevel-2title"/>
        <w:rPr>
          <w:rFonts w:ascii="Times New Roman" w:hAnsi="Times New Roman"/>
          <w:noProof/>
          <w:szCs w:val="24"/>
          <w:lang w:val="en-US"/>
        </w:rPr>
      </w:pPr>
      <w:bookmarkStart w:id="25" w:name="_Toc498695669"/>
      <w:bookmarkStart w:id="26" w:name="_Toc516234753"/>
      <w:r>
        <w:rPr>
          <w:rFonts w:ascii="Times New Roman" w:hAnsi="Times New Roman"/>
          <w:noProof/>
          <w:szCs w:val="24"/>
          <w:lang w:val="en-US"/>
        </w:rPr>
        <w:t>Risk management framework for agricultural irrigation</w:t>
      </w:r>
      <w:bookmarkEnd w:id="25"/>
      <w:bookmarkEnd w:id="26"/>
    </w:p>
    <w:p w:rsidR="00AB50C5" w:rsidRDefault="00724275">
      <w:pPr>
        <w:pStyle w:val="JRCText"/>
        <w:rPr>
          <w:rFonts w:ascii="Times New Roman" w:hAnsi="Times New Roman"/>
          <w:noProof/>
          <w:sz w:val="24"/>
          <w:szCs w:val="24"/>
          <w:lang w:val="en-US"/>
        </w:rPr>
      </w:pPr>
      <w:r>
        <w:rPr>
          <w:rFonts w:ascii="Times New Roman" w:hAnsi="Times New Roman"/>
          <w:noProof/>
          <w:sz w:val="24"/>
          <w:szCs w:val="24"/>
          <w:lang w:val="en-US"/>
        </w:rPr>
        <w:t xml:space="preserve">It is </w:t>
      </w:r>
      <w:r>
        <w:rPr>
          <w:rFonts w:ascii="Times New Roman" w:hAnsi="Times New Roman"/>
          <w:noProof/>
          <w:sz w:val="24"/>
          <w:szCs w:val="24"/>
          <w:lang w:val="en-US"/>
        </w:rPr>
        <w:t>recommended that MS have to apply the following elements of a risk management framework to manage health and environmental risks derived from the use of reclaimed water for agricultural irrigation.</w:t>
      </w:r>
    </w:p>
    <w:p w:rsidR="00AB50C5" w:rsidRDefault="00724275">
      <w:pPr>
        <w:pStyle w:val="JRCLevel-3title"/>
        <w:rPr>
          <w:rFonts w:ascii="Times New Roman" w:hAnsi="Times New Roman"/>
          <w:noProof/>
          <w:sz w:val="24"/>
          <w:lang w:val="en-US"/>
        </w:rPr>
      </w:pPr>
      <w:bookmarkStart w:id="27" w:name="_Toc498695670"/>
      <w:bookmarkStart w:id="28" w:name="_Toc516234754"/>
      <w:r>
        <w:rPr>
          <w:rFonts w:ascii="Times New Roman" w:hAnsi="Times New Roman"/>
          <w:noProof/>
          <w:sz w:val="24"/>
          <w:lang w:val="en-US"/>
        </w:rPr>
        <w:t>Assembly of a risk management team</w:t>
      </w:r>
      <w:bookmarkEnd w:id="27"/>
      <w:bookmarkEnd w:id="28"/>
    </w:p>
    <w:p w:rsidR="00AB50C5" w:rsidRDefault="00724275">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This step involves </w:t>
      </w:r>
      <w:r>
        <w:rPr>
          <w:rFonts w:ascii="Times New Roman" w:hAnsi="Times New Roman" w:cs="Times New Roman"/>
          <w:noProof/>
          <w:sz w:val="24"/>
          <w:szCs w:val="24"/>
        </w:rPr>
        <w:t>assembling a multidisciplinary team of individuals with adequate experience and expertise in protecting public and environmental health that understands the components of the water reuse system and is well placed to assess the associated risks.</w:t>
      </w:r>
    </w:p>
    <w:p w:rsidR="00AB50C5" w:rsidRDefault="00724275">
      <w:pPr>
        <w:pStyle w:val="JRCLevel-3title"/>
        <w:rPr>
          <w:rFonts w:ascii="Times New Roman" w:hAnsi="Times New Roman"/>
          <w:noProof/>
          <w:sz w:val="24"/>
          <w:lang w:val="en-US"/>
        </w:rPr>
      </w:pPr>
      <w:bookmarkStart w:id="29" w:name="_Toc498695671"/>
      <w:bookmarkStart w:id="30" w:name="_Toc516234755"/>
      <w:r>
        <w:rPr>
          <w:rFonts w:ascii="Times New Roman" w:hAnsi="Times New Roman"/>
          <w:noProof/>
          <w:sz w:val="24"/>
          <w:lang w:val="en-US"/>
        </w:rPr>
        <w:t>Description</w:t>
      </w:r>
      <w:r>
        <w:rPr>
          <w:rFonts w:ascii="Times New Roman" w:hAnsi="Times New Roman"/>
          <w:noProof/>
          <w:sz w:val="24"/>
          <w:lang w:val="en-US"/>
        </w:rPr>
        <w:t xml:space="preserve"> of the water reuse system</w:t>
      </w:r>
      <w:bookmarkEnd w:id="29"/>
      <w:bookmarkEnd w:id="30"/>
    </w:p>
    <w:p w:rsidR="00AB50C5" w:rsidRDefault="00724275">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The aim of this element is to provide a detailed understanding of the entire water reuse system from source to end use. A definition of a water reuse system is provided in Section 2. It is necessary to assess the historical water</w:t>
      </w:r>
      <w:r>
        <w:rPr>
          <w:rFonts w:ascii="Times New Roman" w:hAnsi="Times New Roman" w:cs="Times New Roman"/>
          <w:noProof/>
          <w:sz w:val="24"/>
          <w:szCs w:val="24"/>
        </w:rPr>
        <w:t xml:space="preserve"> quality data, taking into account the variability, and to construct a flow diagram of the water reuse system from the source to the application or receiving environments.</w:t>
      </w:r>
    </w:p>
    <w:p w:rsidR="00AB50C5" w:rsidRDefault="00724275">
      <w:pPr>
        <w:pStyle w:val="JRCLevel-3title"/>
        <w:rPr>
          <w:rFonts w:ascii="Times New Roman" w:hAnsi="Times New Roman"/>
          <w:noProof/>
          <w:sz w:val="24"/>
        </w:rPr>
      </w:pPr>
      <w:bookmarkStart w:id="31" w:name="_Toc498695672"/>
      <w:bookmarkStart w:id="32" w:name="_Toc516234756"/>
      <w:r>
        <w:rPr>
          <w:rFonts w:ascii="Times New Roman" w:hAnsi="Times New Roman"/>
          <w:noProof/>
          <w:sz w:val="24"/>
        </w:rPr>
        <w:t>Identification of hazards and hazardous events, and risk assessment</w:t>
      </w:r>
      <w:bookmarkEnd w:id="31"/>
      <w:bookmarkEnd w:id="32"/>
    </w:p>
    <w:p w:rsidR="00AB50C5" w:rsidRDefault="00724275">
      <w:pPr>
        <w:spacing w:after="0" w:line="240" w:lineRule="auto"/>
        <w:jc w:val="both"/>
        <w:rPr>
          <w:rFonts w:ascii="Times New Roman" w:hAnsi="Times New Roman" w:cs="Times New Roman"/>
          <w:noProof/>
          <w:sz w:val="24"/>
          <w:szCs w:val="24"/>
        </w:rPr>
      </w:pPr>
      <w:r>
        <w:rPr>
          <w:rFonts w:ascii="Times New Roman" w:hAnsi="Times New Roman" w:cs="Times New Roman"/>
          <w:noProof/>
          <w:sz w:val="24"/>
          <w:szCs w:val="24"/>
        </w:rPr>
        <w:t>This element inv</w:t>
      </w:r>
      <w:r>
        <w:rPr>
          <w:rFonts w:ascii="Times New Roman" w:hAnsi="Times New Roman" w:cs="Times New Roman"/>
          <w:noProof/>
          <w:sz w:val="24"/>
          <w:szCs w:val="24"/>
        </w:rPr>
        <w:t xml:space="preserve">olves identifying all hazards and hazardous events of the water reuse scheme, and assessing the level of risk they pose to health and the environment. </w:t>
      </w:r>
    </w:p>
    <w:p w:rsidR="00AB50C5" w:rsidRDefault="00724275">
      <w:pPr>
        <w:spacing w:after="0" w:line="240" w:lineRule="auto"/>
        <w:ind w:hanging="1"/>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Risk assessment can be defined as a characterization and estimation of potential adverse effects on heal</w:t>
      </w:r>
      <w:r>
        <w:rPr>
          <w:rFonts w:ascii="Times New Roman" w:hAnsi="Times New Roman" w:cs="Times New Roman"/>
          <w:noProof/>
          <w:sz w:val="24"/>
          <w:szCs w:val="24"/>
          <w:lang w:val="en-US" w:eastAsia="it-IT"/>
        </w:rPr>
        <w:t>th and environmental matrices associated with the intended use of reclaimed water. Different approaches to risk assessment are proposed in water reuse guidelines with varying degrees of complexity and data requirements. The risk assessment process can invo</w:t>
      </w:r>
      <w:r>
        <w:rPr>
          <w:rFonts w:ascii="Times New Roman" w:hAnsi="Times New Roman" w:cs="Times New Roman"/>
          <w:noProof/>
          <w:sz w:val="24"/>
          <w:szCs w:val="24"/>
          <w:lang w:val="en-US" w:eastAsia="it-IT"/>
        </w:rPr>
        <w:t>lve a quantitative or semi-quantitative approach, comprising estimation of likelihood/frequency and severity/consequence, or a qualitative approach (NRMMC–EPHC–AHMC, 2006; WHO, 2009 and 2015).</w:t>
      </w:r>
    </w:p>
    <w:p w:rsidR="00AB50C5" w:rsidRDefault="00724275">
      <w:pPr>
        <w:pStyle w:val="JRCLevel-4title"/>
        <w:jc w:val="both"/>
        <w:rPr>
          <w:rFonts w:ascii="Times New Roman" w:hAnsi="Times New Roman"/>
          <w:noProof/>
          <w:sz w:val="24"/>
          <w:szCs w:val="24"/>
          <w:lang w:val="en-US" w:eastAsia="it-IT"/>
        </w:rPr>
      </w:pPr>
      <w:bookmarkStart w:id="33" w:name="_Toc498695673"/>
      <w:r>
        <w:rPr>
          <w:rFonts w:ascii="Times New Roman" w:hAnsi="Times New Roman"/>
          <w:noProof/>
          <w:sz w:val="24"/>
          <w:szCs w:val="24"/>
          <w:lang w:val="en-US" w:eastAsia="it-IT"/>
        </w:rPr>
        <w:t>Health risks</w:t>
      </w:r>
      <w:bookmarkEnd w:id="33"/>
    </w:p>
    <w:p w:rsidR="00AB50C5" w:rsidRDefault="00724275">
      <w:pPr>
        <w:spacing w:after="0" w:line="240" w:lineRule="auto"/>
        <w:jc w:val="both"/>
        <w:rPr>
          <w:rFonts w:ascii="Times New Roman" w:hAnsi="Times New Roman" w:cs="Times New Roman"/>
          <w:noProof/>
          <w:sz w:val="24"/>
          <w:szCs w:val="24"/>
          <w:lang w:val="en-US" w:eastAsia="it-IT"/>
        </w:rPr>
      </w:pPr>
      <w:r>
        <w:rPr>
          <w:rFonts w:ascii="Times New Roman" w:hAnsi="Times New Roman" w:cs="Times New Roman"/>
          <w:noProof/>
          <w:sz w:val="24"/>
          <w:szCs w:val="24"/>
          <w:shd w:val="clear" w:color="auto" w:fill="FFFFFF"/>
          <w:lang w:val="en-US"/>
        </w:rPr>
        <w:t>Minimum quality requirements for the safety of hum</w:t>
      </w:r>
      <w:r>
        <w:rPr>
          <w:rFonts w:ascii="Times New Roman" w:hAnsi="Times New Roman" w:cs="Times New Roman"/>
          <w:noProof/>
          <w:sz w:val="24"/>
          <w:szCs w:val="24"/>
          <w:shd w:val="clear" w:color="auto" w:fill="FFFFFF"/>
          <w:lang w:val="en-US"/>
        </w:rPr>
        <w:t xml:space="preserve">an and animal health when crops are irrigated with reclaimed water, derived following a human health risk assessment, and considering animal health protection, are defined in Section 4.3 </w:t>
      </w:r>
      <w:r>
        <w:rPr>
          <w:rFonts w:ascii="Times New Roman" w:hAnsi="Times New Roman" w:cs="Times New Roman"/>
          <w:noProof/>
          <w:sz w:val="24"/>
          <w:szCs w:val="24"/>
          <w:lang w:val="en-US" w:eastAsia="it-IT"/>
        </w:rPr>
        <w:t xml:space="preserve">to be applied to all EU water reuse projects for agricultural </w:t>
      </w:r>
      <w:r>
        <w:rPr>
          <w:rFonts w:ascii="Times New Roman" w:hAnsi="Times New Roman" w:cs="Times New Roman"/>
          <w:noProof/>
          <w:sz w:val="24"/>
          <w:szCs w:val="24"/>
          <w:lang w:val="en-US" w:eastAsia="it-IT"/>
        </w:rPr>
        <w:t>irrigation independently of the site specific conditions.</w:t>
      </w:r>
    </w:p>
    <w:p w:rsidR="00AB50C5" w:rsidRDefault="00724275">
      <w:pPr>
        <w:spacing w:after="0" w:line="240" w:lineRule="auto"/>
        <w:jc w:val="both"/>
        <w:rPr>
          <w:rFonts w:ascii="Times New Roman" w:hAnsi="Times New Roman" w:cs="Times New Roman"/>
          <w:noProof/>
          <w:sz w:val="24"/>
          <w:szCs w:val="24"/>
          <w:lang w:val="en-US" w:eastAsia="it-IT"/>
        </w:rPr>
      </w:pPr>
      <w:r>
        <w:rPr>
          <w:rFonts w:ascii="Times New Roman" w:hAnsi="Times New Roman" w:cs="Times New Roman"/>
          <w:bCs/>
          <w:iCs/>
          <w:noProof/>
          <w:sz w:val="24"/>
          <w:szCs w:val="24"/>
          <w:lang w:val="en-US" w:eastAsia="it-IT"/>
        </w:rPr>
        <w:t xml:space="preserve">Additional microbiological or physico-chemical parameters may be included as quality requirements by MS after a health risk assessment has been performed to justify this modification. </w:t>
      </w:r>
      <w:r>
        <w:rPr>
          <w:rFonts w:ascii="Times New Roman" w:hAnsi="Times New Roman" w:cs="Times New Roman"/>
          <w:noProof/>
          <w:sz w:val="24"/>
          <w:szCs w:val="24"/>
          <w:lang w:val="en-US" w:eastAsia="it-IT"/>
        </w:rPr>
        <w:t>Guidance on he</w:t>
      </w:r>
      <w:r>
        <w:rPr>
          <w:rFonts w:ascii="Times New Roman" w:hAnsi="Times New Roman" w:cs="Times New Roman"/>
          <w:noProof/>
          <w:sz w:val="24"/>
          <w:szCs w:val="24"/>
          <w:lang w:val="en-US" w:eastAsia="it-IT"/>
        </w:rPr>
        <w:t>alth risk assessment to be performed by MS is given below.</w:t>
      </w:r>
    </w:p>
    <w:p w:rsidR="00AB50C5" w:rsidRDefault="00724275">
      <w:pPr>
        <w:spacing w:after="0" w:line="240" w:lineRule="auto"/>
        <w:ind w:hanging="1"/>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Health risk assessment includes the following steps:</w:t>
      </w:r>
    </w:p>
    <w:p w:rsidR="00AB50C5" w:rsidRDefault="00724275">
      <w:pPr>
        <w:pStyle w:val="JRCTextbulletedlist1"/>
        <w:rPr>
          <w:rFonts w:ascii="Times New Roman" w:hAnsi="Times New Roman"/>
          <w:noProof/>
          <w:sz w:val="24"/>
          <w:szCs w:val="24"/>
          <w:lang w:val="en-US" w:eastAsia="it-IT"/>
        </w:rPr>
      </w:pPr>
      <w:r>
        <w:rPr>
          <w:rFonts w:ascii="Times New Roman" w:hAnsi="Times New Roman"/>
          <w:b/>
          <w:noProof/>
          <w:sz w:val="24"/>
          <w:szCs w:val="24"/>
          <w:lang w:val="en-US"/>
        </w:rPr>
        <w:t>Hazard identification:</w:t>
      </w:r>
      <w:r>
        <w:rPr>
          <w:rFonts w:ascii="Times New Roman" w:hAnsi="Times New Roman"/>
          <w:noProof/>
          <w:sz w:val="24"/>
          <w:szCs w:val="24"/>
          <w:lang w:val="en-US"/>
        </w:rPr>
        <w:t xml:space="preserve"> identification of hazards that might be present in wastewater and the associated adverse effects to health.</w:t>
      </w:r>
      <w:r>
        <w:rPr>
          <w:rFonts w:ascii="Times New Roman" w:hAnsi="Times New Roman"/>
          <w:noProof/>
          <w:sz w:val="24"/>
          <w:szCs w:val="24"/>
          <w:lang w:val="en-US" w:eastAsia="it-IT"/>
        </w:rPr>
        <w:t xml:space="preserve"> </w:t>
      </w:r>
    </w:p>
    <w:p w:rsidR="00AB50C5" w:rsidRDefault="00724275">
      <w:pPr>
        <w:pStyle w:val="JRCTextbulletedlist1"/>
        <w:numPr>
          <w:ilvl w:val="0"/>
          <w:numId w:val="0"/>
        </w:numPr>
        <w:ind w:left="357"/>
        <w:rPr>
          <w:rFonts w:ascii="Times New Roman" w:hAnsi="Times New Roman"/>
          <w:noProof/>
          <w:sz w:val="24"/>
          <w:szCs w:val="24"/>
          <w:lang w:val="en-US"/>
        </w:rPr>
      </w:pPr>
      <w:r>
        <w:rPr>
          <w:rFonts w:ascii="Times New Roman" w:hAnsi="Times New Roman"/>
          <w:noProof/>
          <w:sz w:val="24"/>
          <w:szCs w:val="24"/>
          <w:lang w:val="en-US"/>
        </w:rPr>
        <w:t>Health hazar</w:t>
      </w:r>
      <w:r>
        <w:rPr>
          <w:rFonts w:ascii="Times New Roman" w:hAnsi="Times New Roman"/>
          <w:noProof/>
          <w:sz w:val="24"/>
          <w:szCs w:val="24"/>
          <w:lang w:val="en-US"/>
        </w:rPr>
        <w:t xml:space="preserve">ds to be considered are associated with the agricultural uses, thus including human and animal health. </w:t>
      </w:r>
    </w:p>
    <w:p w:rsidR="00AB50C5" w:rsidRDefault="00724275">
      <w:pPr>
        <w:pStyle w:val="JRCTextbulletedlist1"/>
        <w:numPr>
          <w:ilvl w:val="0"/>
          <w:numId w:val="0"/>
        </w:numPr>
        <w:ind w:left="357"/>
        <w:rPr>
          <w:rFonts w:ascii="Times New Roman" w:hAnsi="Times New Roman"/>
          <w:noProof/>
          <w:sz w:val="24"/>
          <w:szCs w:val="24"/>
          <w:lang w:val="en-US" w:eastAsia="it-IT"/>
        </w:rPr>
      </w:pPr>
      <w:r>
        <w:rPr>
          <w:rFonts w:ascii="Times New Roman" w:hAnsi="Times New Roman"/>
          <w:noProof/>
          <w:sz w:val="24"/>
          <w:szCs w:val="24"/>
          <w:lang w:val="en-US"/>
        </w:rPr>
        <w:t>Biological (pathogens) and chemical hazards are to be assessed. Therefore, a characterization of the reclaimed water to be used for irrigation has to be</w:t>
      </w:r>
      <w:r>
        <w:rPr>
          <w:rFonts w:ascii="Times New Roman" w:hAnsi="Times New Roman"/>
          <w:noProof/>
          <w:sz w:val="24"/>
          <w:szCs w:val="24"/>
          <w:lang w:val="en-US"/>
        </w:rPr>
        <w:t xml:space="preserve"> performed to identify the concentrations of the health hazards present. Variations in hazards concentration are to be considered. Historical data may be of additional use to establish the concentration variation of a specific hazard.</w:t>
      </w:r>
    </w:p>
    <w:p w:rsidR="00AB50C5" w:rsidRDefault="00724275">
      <w:pPr>
        <w:pStyle w:val="JRCTextbulletedlist1"/>
        <w:rPr>
          <w:rFonts w:ascii="Times New Roman" w:hAnsi="Times New Roman"/>
          <w:noProof/>
          <w:sz w:val="24"/>
          <w:szCs w:val="24"/>
          <w:lang w:val="en-US" w:eastAsia="it-IT"/>
        </w:rPr>
      </w:pPr>
      <w:r>
        <w:rPr>
          <w:rFonts w:ascii="Times New Roman" w:hAnsi="Times New Roman"/>
          <w:b/>
          <w:noProof/>
          <w:sz w:val="24"/>
          <w:szCs w:val="24"/>
          <w:lang w:val="en-US"/>
        </w:rPr>
        <w:t>Dose-response</w:t>
      </w:r>
      <w:r>
        <w:rPr>
          <w:rFonts w:ascii="Times New Roman" w:hAnsi="Times New Roman"/>
          <w:noProof/>
          <w:sz w:val="24"/>
          <w:szCs w:val="24"/>
          <w:lang w:val="en-US"/>
        </w:rPr>
        <w:t>: establ</w:t>
      </w:r>
      <w:r>
        <w:rPr>
          <w:rFonts w:ascii="Times New Roman" w:hAnsi="Times New Roman"/>
          <w:noProof/>
          <w:sz w:val="24"/>
          <w:szCs w:val="24"/>
          <w:lang w:val="en-US"/>
        </w:rPr>
        <w:t xml:space="preserve">ishment of the relationship between the dose of the hazard and the incidence or likelihood of illness. </w:t>
      </w:r>
    </w:p>
    <w:p w:rsidR="00AB50C5" w:rsidRDefault="00724275">
      <w:pPr>
        <w:pStyle w:val="JRCTextbulletedlist1"/>
        <w:numPr>
          <w:ilvl w:val="0"/>
          <w:numId w:val="0"/>
        </w:numPr>
        <w:ind w:left="357"/>
        <w:rPr>
          <w:rFonts w:ascii="Times New Roman" w:hAnsi="Times New Roman"/>
          <w:noProof/>
          <w:sz w:val="24"/>
          <w:szCs w:val="24"/>
          <w:lang w:val="en-US"/>
        </w:rPr>
      </w:pPr>
      <w:r>
        <w:rPr>
          <w:rFonts w:ascii="Times New Roman" w:hAnsi="Times New Roman"/>
          <w:noProof/>
          <w:sz w:val="24"/>
          <w:szCs w:val="24"/>
          <w:lang w:val="en-US"/>
        </w:rPr>
        <w:t xml:space="preserve">A dose-response model specific for each of the pathogens selected as a risk has to be used, based on the scientific knowledge (e.g. Haas </w:t>
      </w:r>
      <w:r>
        <w:rPr>
          <w:rFonts w:ascii="Times New Roman" w:hAnsi="Times New Roman"/>
          <w:i/>
          <w:noProof/>
          <w:sz w:val="24"/>
          <w:szCs w:val="24"/>
          <w:lang w:val="en-US"/>
        </w:rPr>
        <w:t>et al.</w:t>
      </w:r>
      <w:r>
        <w:rPr>
          <w:rFonts w:ascii="Times New Roman" w:hAnsi="Times New Roman"/>
          <w:noProof/>
          <w:sz w:val="24"/>
          <w:szCs w:val="24"/>
          <w:lang w:val="en-US"/>
        </w:rPr>
        <w:t>, 1999; M</w:t>
      </w:r>
      <w:r>
        <w:rPr>
          <w:rFonts w:ascii="Times New Roman" w:hAnsi="Times New Roman"/>
          <w:noProof/>
          <w:sz w:val="24"/>
          <w:szCs w:val="24"/>
          <w:lang w:val="en-US"/>
        </w:rPr>
        <w:t xml:space="preserve">essner </w:t>
      </w:r>
      <w:r>
        <w:rPr>
          <w:rFonts w:ascii="Times New Roman" w:hAnsi="Times New Roman"/>
          <w:i/>
          <w:noProof/>
          <w:sz w:val="24"/>
          <w:szCs w:val="24"/>
          <w:lang w:val="en-US"/>
        </w:rPr>
        <w:t>et al.</w:t>
      </w:r>
      <w:r>
        <w:rPr>
          <w:rFonts w:ascii="Times New Roman" w:hAnsi="Times New Roman"/>
          <w:noProof/>
          <w:sz w:val="24"/>
          <w:szCs w:val="24"/>
          <w:lang w:val="en-US"/>
        </w:rPr>
        <w:t xml:space="preserve">, 2001; Teunis </w:t>
      </w:r>
      <w:r>
        <w:rPr>
          <w:rFonts w:ascii="Times New Roman" w:hAnsi="Times New Roman"/>
          <w:i/>
          <w:noProof/>
          <w:sz w:val="24"/>
          <w:szCs w:val="24"/>
          <w:lang w:val="en-US"/>
        </w:rPr>
        <w:t>et al.</w:t>
      </w:r>
      <w:r>
        <w:rPr>
          <w:rFonts w:ascii="Times New Roman" w:hAnsi="Times New Roman"/>
          <w:noProof/>
          <w:sz w:val="24"/>
          <w:szCs w:val="24"/>
          <w:lang w:val="en-US"/>
        </w:rPr>
        <w:t xml:space="preserve">, 2008). </w:t>
      </w:r>
    </w:p>
    <w:p w:rsidR="00AB50C5" w:rsidRDefault="00724275">
      <w:pPr>
        <w:pStyle w:val="JRCTextbulletedlist1"/>
        <w:numPr>
          <w:ilvl w:val="0"/>
          <w:numId w:val="0"/>
        </w:numPr>
        <w:ind w:left="357"/>
        <w:rPr>
          <w:rFonts w:ascii="Times New Roman" w:hAnsi="Times New Roman"/>
          <w:noProof/>
          <w:sz w:val="24"/>
          <w:szCs w:val="24"/>
          <w:lang w:val="en-US"/>
        </w:rPr>
      </w:pPr>
      <w:r>
        <w:rPr>
          <w:rFonts w:ascii="Times New Roman" w:hAnsi="Times New Roman"/>
          <w:noProof/>
          <w:sz w:val="24"/>
          <w:szCs w:val="24"/>
          <w:lang w:val="en-US"/>
        </w:rPr>
        <w:t>Chemical compounds are evaluated by defining the NOAEL (</w:t>
      </w:r>
      <w:r>
        <w:rPr>
          <w:rFonts w:ascii="Times New Roman" w:hAnsi="Times New Roman"/>
          <w:i/>
          <w:noProof/>
          <w:sz w:val="24"/>
          <w:szCs w:val="24"/>
          <w:lang w:val="en-US"/>
        </w:rPr>
        <w:t>No Observed Adverse Effect Level</w:t>
      </w:r>
      <w:r>
        <w:rPr>
          <w:rFonts w:ascii="Times New Roman" w:hAnsi="Times New Roman"/>
          <w:noProof/>
          <w:sz w:val="24"/>
          <w:szCs w:val="24"/>
          <w:lang w:val="en-US"/>
        </w:rPr>
        <w:t>), the LOAEL (</w:t>
      </w:r>
      <w:r>
        <w:rPr>
          <w:rFonts w:ascii="Times New Roman" w:hAnsi="Times New Roman"/>
          <w:i/>
          <w:noProof/>
          <w:sz w:val="24"/>
          <w:szCs w:val="24"/>
          <w:lang w:val="en-US"/>
        </w:rPr>
        <w:t>Lowest Observed Adverse Effect Level</w:t>
      </w:r>
      <w:r>
        <w:rPr>
          <w:rFonts w:ascii="Times New Roman" w:hAnsi="Times New Roman"/>
          <w:noProof/>
          <w:sz w:val="24"/>
          <w:szCs w:val="24"/>
          <w:lang w:val="en-US"/>
        </w:rPr>
        <w:t>), and the RfD (</w:t>
      </w:r>
      <w:r>
        <w:rPr>
          <w:rFonts w:ascii="Times New Roman" w:hAnsi="Times New Roman"/>
          <w:i/>
          <w:noProof/>
          <w:sz w:val="24"/>
          <w:szCs w:val="24"/>
          <w:lang w:val="en-US"/>
        </w:rPr>
        <w:t>Reference Dose</w:t>
      </w:r>
      <w:r>
        <w:rPr>
          <w:rFonts w:ascii="Times New Roman" w:hAnsi="Times New Roman"/>
          <w:noProof/>
          <w:sz w:val="24"/>
          <w:szCs w:val="24"/>
          <w:lang w:val="en-US"/>
        </w:rPr>
        <w:t xml:space="preserve">) according to scientific knowledge. </w:t>
      </w:r>
    </w:p>
    <w:p w:rsidR="00AB50C5" w:rsidRDefault="00724275">
      <w:pPr>
        <w:pStyle w:val="JRCTextbulletedlist1"/>
        <w:rPr>
          <w:rFonts w:ascii="Times New Roman" w:hAnsi="Times New Roman"/>
          <w:noProof/>
          <w:sz w:val="24"/>
          <w:szCs w:val="24"/>
          <w:lang w:val="en-US" w:eastAsia="it-IT"/>
        </w:rPr>
      </w:pPr>
      <w:r>
        <w:rPr>
          <w:rFonts w:ascii="Times New Roman" w:hAnsi="Times New Roman"/>
          <w:b/>
          <w:noProof/>
          <w:sz w:val="24"/>
          <w:szCs w:val="24"/>
          <w:lang w:val="en-US"/>
        </w:rPr>
        <w:t xml:space="preserve">Exposure assessment: </w:t>
      </w:r>
      <w:r>
        <w:rPr>
          <w:rFonts w:ascii="Times New Roman" w:hAnsi="Times New Roman"/>
          <w:noProof/>
          <w:sz w:val="24"/>
          <w:szCs w:val="24"/>
          <w:lang w:val="en-US"/>
        </w:rPr>
        <w:t>determination of the size and nature of the population exposed to the hazard, and the route, amount and duration of exposure.</w:t>
      </w:r>
    </w:p>
    <w:p w:rsidR="00AB50C5" w:rsidRDefault="00724275">
      <w:pPr>
        <w:pStyle w:val="JRCTextbulletedlist1"/>
        <w:numPr>
          <w:ilvl w:val="0"/>
          <w:numId w:val="0"/>
        </w:numPr>
        <w:ind w:left="357"/>
        <w:rPr>
          <w:rFonts w:ascii="Times New Roman" w:hAnsi="Times New Roman"/>
          <w:noProof/>
          <w:sz w:val="24"/>
          <w:szCs w:val="24"/>
          <w:lang w:val="en-US"/>
        </w:rPr>
      </w:pPr>
      <w:r>
        <w:rPr>
          <w:rFonts w:ascii="Times New Roman" w:hAnsi="Times New Roman"/>
          <w:noProof/>
          <w:sz w:val="24"/>
          <w:szCs w:val="24"/>
          <w:lang w:val="en-US"/>
        </w:rPr>
        <w:t>The route of exposure, exposure volumes and frequency of exposure of the hazards has to be defined considerin</w:t>
      </w:r>
      <w:r>
        <w:rPr>
          <w:rFonts w:ascii="Times New Roman" w:hAnsi="Times New Roman"/>
          <w:noProof/>
          <w:sz w:val="24"/>
          <w:szCs w:val="24"/>
          <w:lang w:val="en-US"/>
        </w:rPr>
        <w:t xml:space="preserve">g local conditions. Scientific knowledge is limited, thus some conservative values are sometimes use, if no other data is available in the literature (NRMMC-EPHC-AHMC, 2006; </w:t>
      </w:r>
      <w:r>
        <w:rPr>
          <w:rFonts w:ascii="Times New Roman" w:hAnsi="Times New Roman"/>
          <w:bCs/>
          <w:iCs/>
          <w:noProof/>
          <w:sz w:val="24"/>
          <w:szCs w:val="24"/>
          <w:lang w:val="en-US"/>
        </w:rPr>
        <w:t>WHO, 2006).</w:t>
      </w:r>
    </w:p>
    <w:p w:rsidR="00AB50C5" w:rsidRDefault="00724275">
      <w:pPr>
        <w:pStyle w:val="JRCTextbulletedlist1"/>
        <w:rPr>
          <w:rFonts w:ascii="Times New Roman" w:hAnsi="Times New Roman"/>
          <w:noProof/>
          <w:sz w:val="24"/>
          <w:szCs w:val="24"/>
          <w:lang w:val="en-US"/>
        </w:rPr>
      </w:pPr>
      <w:r>
        <w:rPr>
          <w:rFonts w:ascii="Times New Roman" w:hAnsi="Times New Roman"/>
          <w:b/>
          <w:noProof/>
          <w:sz w:val="24"/>
          <w:szCs w:val="24"/>
          <w:lang w:val="en-US"/>
        </w:rPr>
        <w:t>Risk characterisation:</w:t>
      </w:r>
      <w:r>
        <w:rPr>
          <w:rFonts w:ascii="Times New Roman" w:hAnsi="Times New Roman"/>
          <w:noProof/>
          <w:sz w:val="24"/>
          <w:szCs w:val="24"/>
          <w:lang w:val="en-US"/>
        </w:rPr>
        <w:t xml:space="preserve"> integration of data on hazard presence, dose-re</w:t>
      </w:r>
      <w:r>
        <w:rPr>
          <w:rFonts w:ascii="Times New Roman" w:hAnsi="Times New Roman"/>
          <w:noProof/>
          <w:sz w:val="24"/>
          <w:szCs w:val="24"/>
          <w:lang w:val="en-US"/>
        </w:rPr>
        <w:t>sponse and exposure obtained in the first three steps.</w:t>
      </w:r>
    </w:p>
    <w:p w:rsidR="00AB50C5" w:rsidRDefault="00724275">
      <w:pPr>
        <w:pStyle w:val="JRCTextbulletedlist1"/>
        <w:numPr>
          <w:ilvl w:val="0"/>
          <w:numId w:val="0"/>
        </w:numPr>
        <w:ind w:left="357"/>
        <w:rPr>
          <w:rFonts w:ascii="Times New Roman" w:hAnsi="Times New Roman"/>
          <w:noProof/>
          <w:sz w:val="24"/>
          <w:szCs w:val="24"/>
          <w:lang w:val="en-US"/>
        </w:rPr>
      </w:pPr>
      <w:r>
        <w:rPr>
          <w:rFonts w:ascii="Times New Roman" w:hAnsi="Times New Roman"/>
          <w:noProof/>
          <w:sz w:val="24"/>
          <w:szCs w:val="24"/>
          <w:lang w:val="en-US"/>
        </w:rPr>
        <w:t>The tolerable health risk defined in this document is 10</w:t>
      </w:r>
      <w:r>
        <w:rPr>
          <w:rFonts w:ascii="Times New Roman" w:hAnsi="Times New Roman"/>
          <w:noProof/>
          <w:sz w:val="24"/>
          <w:szCs w:val="24"/>
          <w:vertAlign w:val="superscript"/>
          <w:lang w:val="en-US"/>
        </w:rPr>
        <w:t>–6</w:t>
      </w:r>
      <w:r>
        <w:rPr>
          <w:rFonts w:ascii="Times New Roman" w:hAnsi="Times New Roman"/>
          <w:noProof/>
          <w:sz w:val="24"/>
          <w:szCs w:val="24"/>
          <w:lang w:val="en-US"/>
        </w:rPr>
        <w:t xml:space="preserve"> DALYs per person per year. For microbiological hazards, performance targets for the reference pathogens selected and water quality targets for</w:t>
      </w:r>
      <w:r>
        <w:rPr>
          <w:rFonts w:ascii="Times New Roman" w:hAnsi="Times New Roman"/>
          <w:noProof/>
          <w:sz w:val="24"/>
          <w:szCs w:val="24"/>
          <w:lang w:val="en-US"/>
        </w:rPr>
        <w:t xml:space="preserve"> indicator organisms are to be determined as health-based targets. For chemical hazards, most frequently, health-based targets are water quality targets, taking the form of chemical guideline values. A chemical guideline value is the concentration of a che</w:t>
      </w:r>
      <w:r>
        <w:rPr>
          <w:rFonts w:ascii="Times New Roman" w:hAnsi="Times New Roman"/>
          <w:noProof/>
          <w:sz w:val="24"/>
          <w:szCs w:val="24"/>
          <w:lang w:val="en-US"/>
        </w:rPr>
        <w:t>mical component that, over a lifetime of consumption, will not lead to more than 10</w:t>
      </w:r>
      <w:r>
        <w:rPr>
          <w:rFonts w:ascii="Times New Roman" w:hAnsi="Times New Roman"/>
          <w:noProof/>
          <w:sz w:val="24"/>
          <w:szCs w:val="24"/>
          <w:vertAlign w:val="superscript"/>
          <w:lang w:val="en-US"/>
        </w:rPr>
        <w:t>–6</w:t>
      </w:r>
      <w:r>
        <w:rPr>
          <w:rFonts w:ascii="Times New Roman" w:hAnsi="Times New Roman"/>
          <w:noProof/>
          <w:sz w:val="24"/>
          <w:szCs w:val="24"/>
          <w:lang w:val="en-US"/>
        </w:rPr>
        <w:t xml:space="preserve"> DALYs per person per year. </w:t>
      </w:r>
    </w:p>
    <w:p w:rsidR="00AB50C5" w:rsidRDefault="00724275">
      <w:pPr>
        <w:pStyle w:val="JRCTextbulletedlist1"/>
        <w:numPr>
          <w:ilvl w:val="0"/>
          <w:numId w:val="0"/>
        </w:numPr>
        <w:ind w:left="357"/>
        <w:rPr>
          <w:rFonts w:ascii="Times New Roman" w:hAnsi="Times New Roman"/>
          <w:noProof/>
          <w:sz w:val="24"/>
          <w:szCs w:val="24"/>
          <w:lang w:val="en-US" w:eastAsia="it-IT"/>
        </w:rPr>
      </w:pPr>
      <w:r>
        <w:rPr>
          <w:rFonts w:ascii="Times New Roman" w:hAnsi="Times New Roman"/>
          <w:noProof/>
          <w:sz w:val="24"/>
          <w:szCs w:val="24"/>
          <w:shd w:val="clear" w:color="auto" w:fill="FFFFFF"/>
          <w:lang w:val="en-US"/>
        </w:rPr>
        <w:t>The WHO performed a health risk assessment to derive maximum concentrations in soils for a set of organic and inorganic chemicals based on hum</w:t>
      </w:r>
      <w:r>
        <w:rPr>
          <w:rFonts w:ascii="Times New Roman" w:hAnsi="Times New Roman"/>
          <w:noProof/>
          <w:sz w:val="24"/>
          <w:szCs w:val="24"/>
          <w:shd w:val="clear" w:color="auto" w:fill="FFFFFF"/>
          <w:lang w:val="en-US"/>
        </w:rPr>
        <w:t>an health risks (WHO, 2006) and this data may be taken as a guidance if no updated scientific data is available.</w:t>
      </w:r>
    </w:p>
    <w:p w:rsidR="00AB50C5" w:rsidRDefault="00724275">
      <w:pPr>
        <w:pStyle w:val="JRCLevel-4title"/>
        <w:rPr>
          <w:rFonts w:ascii="Times New Roman" w:hAnsi="Times New Roman"/>
          <w:noProof/>
          <w:sz w:val="24"/>
          <w:szCs w:val="24"/>
          <w:lang w:val="en-US"/>
        </w:rPr>
      </w:pPr>
      <w:bookmarkStart w:id="34" w:name="_Toc498695674"/>
      <w:r>
        <w:rPr>
          <w:rFonts w:ascii="Times New Roman" w:hAnsi="Times New Roman"/>
          <w:noProof/>
          <w:sz w:val="24"/>
          <w:szCs w:val="24"/>
          <w:lang w:val="en-US"/>
        </w:rPr>
        <w:t>Environmental risks</w:t>
      </w:r>
      <w:bookmarkEnd w:id="34"/>
    </w:p>
    <w:p w:rsidR="00AB50C5" w:rsidRDefault="00724275">
      <w:pPr>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It is recommended that MS have to assure that the use of reclaimed water for agricultural irrigation has no adverse effects</w:t>
      </w:r>
      <w:r>
        <w:rPr>
          <w:rFonts w:ascii="Times New Roman" w:hAnsi="Times New Roman" w:cs="Times New Roman"/>
          <w:noProof/>
          <w:sz w:val="24"/>
          <w:szCs w:val="24"/>
          <w:lang w:val="en-US"/>
        </w:rPr>
        <w:t xml:space="preserve"> on environmental matrices (soil, groundwater, surface water, and dependent ecosystems, including crops to be irrigated) and that reclaimed water use is in compliance with </w:t>
      </w:r>
      <w:r>
        <w:rPr>
          <w:rFonts w:ascii="Times New Roman" w:eastAsia="MS Mincho" w:hAnsi="Times New Roman" w:cs="Times New Roman"/>
          <w:noProof/>
          <w:sz w:val="24"/>
          <w:szCs w:val="24"/>
          <w:lang w:val="en-US"/>
        </w:rPr>
        <w:t>the related EU directives for environmental protection.</w:t>
      </w:r>
    </w:p>
    <w:p w:rsidR="00AB50C5" w:rsidRDefault="00724275">
      <w:pPr>
        <w:autoSpaceDE w:val="0"/>
        <w:autoSpaceDN w:val="0"/>
        <w:adjustRightInd w:val="0"/>
        <w:spacing w:after="0" w:line="240" w:lineRule="auto"/>
        <w:jc w:val="both"/>
        <w:rPr>
          <w:rFonts w:ascii="Times New Roman" w:hAnsi="Times New Roman" w:cs="Times New Roman"/>
          <w:bCs/>
          <w:iCs/>
          <w:noProof/>
          <w:sz w:val="24"/>
          <w:szCs w:val="24"/>
          <w:lang w:val="en-US"/>
        </w:rPr>
      </w:pPr>
      <w:r>
        <w:rPr>
          <w:rFonts w:ascii="Times New Roman" w:hAnsi="Times New Roman" w:cs="Times New Roman"/>
          <w:noProof/>
          <w:sz w:val="24"/>
          <w:szCs w:val="24"/>
          <w:lang w:val="en-US"/>
        </w:rPr>
        <w:t xml:space="preserve">Regulatory requirements of </w:t>
      </w:r>
      <w:r>
        <w:rPr>
          <w:rFonts w:ascii="Times New Roman" w:hAnsi="Times New Roman" w:cs="Times New Roman"/>
          <w:noProof/>
          <w:sz w:val="24"/>
          <w:szCs w:val="24"/>
          <w:lang w:val="en-US"/>
        </w:rPr>
        <w:t>related EU Directives for environmental protection have to be always fulfilled.</w:t>
      </w:r>
      <w:r>
        <w:rPr>
          <w:rFonts w:ascii="Times New Roman" w:hAnsi="Times New Roman" w:cs="Times New Roman"/>
          <w:bCs/>
          <w:iCs/>
          <w:noProof/>
          <w:sz w:val="24"/>
          <w:szCs w:val="24"/>
          <w:lang w:val="en-US"/>
        </w:rPr>
        <w:t xml:space="preserve"> MS have to ensure that water reuse system does not compromise the objectives for surface water, groundwater, and dependent ecosystems established by the following EU directives</w:t>
      </w:r>
      <w:r>
        <w:rPr>
          <w:rFonts w:ascii="Times New Roman" w:hAnsi="Times New Roman" w:cs="Times New Roman"/>
          <w:bCs/>
          <w:iCs/>
          <w:noProof/>
          <w:sz w:val="24"/>
          <w:szCs w:val="24"/>
          <w:lang w:val="en-US"/>
        </w:rPr>
        <w:t>:</w:t>
      </w:r>
    </w:p>
    <w:p w:rsidR="00AB50C5" w:rsidRDefault="00724275">
      <w:pPr>
        <w:pStyle w:val="JRCTextbulletedlist1"/>
        <w:rPr>
          <w:rFonts w:ascii="Times New Roman" w:hAnsi="Times New Roman"/>
          <w:noProof/>
          <w:sz w:val="24"/>
          <w:szCs w:val="24"/>
          <w:lang w:val="en-US"/>
        </w:rPr>
      </w:pPr>
      <w:r>
        <w:rPr>
          <w:rFonts w:ascii="Times New Roman" w:hAnsi="Times New Roman"/>
          <w:noProof/>
          <w:sz w:val="24"/>
          <w:szCs w:val="24"/>
          <w:lang w:val="en-US"/>
        </w:rPr>
        <w:t>Directive 2000/60/EC (Water Framework Directive (WFD)).</w:t>
      </w:r>
    </w:p>
    <w:p w:rsidR="00AB50C5" w:rsidRDefault="00724275">
      <w:pPr>
        <w:pStyle w:val="JRCTextbulletedlist1"/>
        <w:rPr>
          <w:rFonts w:ascii="Times New Roman" w:hAnsi="Times New Roman"/>
          <w:noProof/>
          <w:sz w:val="24"/>
          <w:szCs w:val="24"/>
          <w:lang w:val="en-US"/>
        </w:rPr>
      </w:pPr>
      <w:r>
        <w:rPr>
          <w:rFonts w:ascii="Times New Roman" w:hAnsi="Times New Roman"/>
          <w:noProof/>
          <w:sz w:val="24"/>
          <w:szCs w:val="24"/>
          <w:lang w:val="en-US"/>
        </w:rPr>
        <w:t>Directive 2008/105/EC (Environmental Quality Standards Directive (EQSD)) amended by Directive 2013/39/EU.</w:t>
      </w:r>
    </w:p>
    <w:p w:rsidR="00AB50C5" w:rsidRDefault="00724275">
      <w:pPr>
        <w:pStyle w:val="JRCTextbulletedlist1"/>
        <w:rPr>
          <w:rFonts w:ascii="Times New Roman" w:hAnsi="Times New Roman"/>
          <w:noProof/>
          <w:sz w:val="24"/>
          <w:szCs w:val="24"/>
          <w:lang w:val="en-US"/>
        </w:rPr>
      </w:pPr>
      <w:r>
        <w:rPr>
          <w:rFonts w:ascii="Times New Roman" w:hAnsi="Times New Roman"/>
          <w:noProof/>
          <w:sz w:val="24"/>
          <w:szCs w:val="24"/>
          <w:lang w:val="en-US"/>
        </w:rPr>
        <w:t>Directive 2006/118/EC amended by Directive 2014/80/EE (Groundwater Directive (GWD)).</w:t>
      </w:r>
    </w:p>
    <w:p w:rsidR="00AB50C5" w:rsidRDefault="00724275">
      <w:pPr>
        <w:pStyle w:val="JRCTextbulletedlist1"/>
        <w:rPr>
          <w:rFonts w:ascii="Times New Roman" w:hAnsi="Times New Roman"/>
          <w:noProof/>
          <w:sz w:val="24"/>
          <w:szCs w:val="24"/>
          <w:lang w:val="en-US"/>
        </w:rPr>
      </w:pPr>
      <w:r>
        <w:rPr>
          <w:rFonts w:ascii="Times New Roman" w:hAnsi="Times New Roman"/>
          <w:noProof/>
          <w:sz w:val="24"/>
          <w:szCs w:val="24"/>
          <w:lang w:val="en-US"/>
        </w:rPr>
        <w:t>Directi</w:t>
      </w:r>
      <w:r>
        <w:rPr>
          <w:rFonts w:ascii="Times New Roman" w:hAnsi="Times New Roman"/>
          <w:noProof/>
          <w:sz w:val="24"/>
          <w:szCs w:val="24"/>
          <w:lang w:val="en-US"/>
        </w:rPr>
        <w:t>ve 91/271/EEC (Urban Wastewater Treatment Directive (UWWTD)).</w:t>
      </w:r>
    </w:p>
    <w:p w:rsidR="00AB50C5" w:rsidRDefault="00724275">
      <w:pPr>
        <w:pStyle w:val="JRCTextbulletedlist1"/>
        <w:rPr>
          <w:rFonts w:ascii="Times New Roman" w:hAnsi="Times New Roman"/>
          <w:noProof/>
          <w:sz w:val="24"/>
          <w:szCs w:val="24"/>
          <w:lang w:val="en-US"/>
        </w:rPr>
      </w:pPr>
      <w:r>
        <w:rPr>
          <w:rFonts w:ascii="Times New Roman" w:hAnsi="Times New Roman"/>
          <w:bCs/>
          <w:noProof/>
          <w:sz w:val="24"/>
          <w:szCs w:val="24"/>
          <w:lang w:val="en-US"/>
        </w:rPr>
        <w:t>Directive 91/676/EEC</w:t>
      </w:r>
      <w:r>
        <w:rPr>
          <w:rFonts w:ascii="Times New Roman" w:hAnsi="Times New Roman"/>
          <w:noProof/>
          <w:sz w:val="24"/>
          <w:szCs w:val="24"/>
          <w:lang w:val="en-US"/>
        </w:rPr>
        <w:t xml:space="preserve"> (Nitrates Directive).</w:t>
      </w:r>
    </w:p>
    <w:p w:rsidR="00AB50C5" w:rsidRDefault="00724275">
      <w:pPr>
        <w:pStyle w:val="JRCTextbulletedlist1"/>
        <w:rPr>
          <w:rFonts w:ascii="Times New Roman" w:hAnsi="Times New Roman"/>
          <w:noProof/>
          <w:sz w:val="24"/>
          <w:szCs w:val="24"/>
          <w:lang w:val="en-US"/>
        </w:rPr>
      </w:pPr>
      <w:r>
        <w:rPr>
          <w:rFonts w:ascii="Times New Roman" w:hAnsi="Times New Roman"/>
          <w:noProof/>
          <w:sz w:val="24"/>
          <w:szCs w:val="24"/>
          <w:lang w:val="en-US"/>
        </w:rPr>
        <w:t>Other related EU Directives that may apply.</w:t>
      </w:r>
    </w:p>
    <w:p w:rsidR="00AB50C5" w:rsidRDefault="00724275">
      <w:pPr>
        <w:autoSpaceDE w:val="0"/>
        <w:autoSpaceDN w:val="0"/>
        <w:adjustRightInd w:val="0"/>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In order to comply with these EU directives, MS have to establish, on a case-by-case basis, minimum quality</w:t>
      </w:r>
      <w:r>
        <w:rPr>
          <w:rFonts w:ascii="Times New Roman" w:hAnsi="Times New Roman" w:cs="Times New Roman"/>
          <w:noProof/>
          <w:sz w:val="24"/>
          <w:szCs w:val="24"/>
          <w:lang w:val="en-US"/>
        </w:rPr>
        <w:t xml:space="preserve"> requirements for parameters included in the related EU directives to be complied with by the reclaimed water effluent and to be included for verification monitoring.</w:t>
      </w:r>
      <w:r>
        <w:rPr>
          <w:rFonts w:ascii="Times New Roman" w:hAnsi="Times New Roman" w:cs="Times New Roman"/>
          <w:noProof/>
          <w:sz w:val="24"/>
          <w:szCs w:val="24"/>
          <w:lang w:val="en-US" w:eastAsia="it-IT"/>
        </w:rPr>
        <w:t xml:space="preserve"> The guidance documents produced by the </w:t>
      </w:r>
      <w:r>
        <w:rPr>
          <w:rFonts w:ascii="Times New Roman" w:hAnsi="Times New Roman" w:cs="Times New Roman"/>
          <w:noProof/>
          <w:sz w:val="24"/>
          <w:szCs w:val="24"/>
          <w:lang w:val="en"/>
        </w:rPr>
        <w:t>Common Implementation Strategy (CIS) of the WFD to</w:t>
      </w:r>
      <w:r>
        <w:rPr>
          <w:rFonts w:ascii="Times New Roman" w:hAnsi="Times New Roman" w:cs="Times New Roman"/>
          <w:noProof/>
          <w:sz w:val="24"/>
          <w:szCs w:val="24"/>
          <w:lang w:val="en"/>
        </w:rPr>
        <w:t xml:space="preserve"> assist MS to implement the WFD are to be use as tools to characterize the existent</w:t>
      </w:r>
      <w:r>
        <w:rPr>
          <w:rFonts w:ascii="Times New Roman" w:hAnsi="Times New Roman" w:cs="Times New Roman"/>
          <w:noProof/>
          <w:sz w:val="24"/>
          <w:szCs w:val="24"/>
          <w:lang w:val="en-US"/>
        </w:rPr>
        <w:t xml:space="preserve"> quality status of the surface water, groundwater, and related ecosystems that may be affected by reclaimed water used for irrigation. </w:t>
      </w:r>
      <w:r>
        <w:rPr>
          <w:rFonts w:ascii="Times New Roman" w:hAnsi="Times New Roman" w:cs="Times New Roman"/>
          <w:noProof/>
          <w:sz w:val="24"/>
          <w:szCs w:val="24"/>
          <w:lang w:val="en"/>
        </w:rPr>
        <w:t>Guidance documents are intended to pro</w:t>
      </w:r>
      <w:r>
        <w:rPr>
          <w:rFonts w:ascii="Times New Roman" w:hAnsi="Times New Roman" w:cs="Times New Roman"/>
          <w:noProof/>
          <w:sz w:val="24"/>
          <w:szCs w:val="24"/>
          <w:lang w:val="en"/>
        </w:rPr>
        <w:t>vide an overall methodological approach, but these will need to be tailored to specific circumstances of each MS.</w:t>
      </w:r>
    </w:p>
    <w:p w:rsidR="00AB50C5" w:rsidRDefault="00724275">
      <w:pPr>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Environmental risks related to nutrients from agricultural irrigation with reclaimed water are in great part to be controlled and reduced by M</w:t>
      </w:r>
      <w:r>
        <w:rPr>
          <w:rFonts w:ascii="Times New Roman" w:hAnsi="Times New Roman" w:cs="Times New Roman"/>
          <w:noProof/>
          <w:sz w:val="24"/>
          <w:szCs w:val="24"/>
          <w:lang w:val="en-US"/>
        </w:rPr>
        <w:t xml:space="preserve">S through codes of good agricultural practices and Action Programmes established under the Nitrates Directive (91/676/EEC). These must contain, at least, provisions covering the items mentioned in Annex II and Annex III of the Directive including measures </w:t>
      </w:r>
      <w:r>
        <w:rPr>
          <w:rFonts w:ascii="Times New Roman" w:hAnsi="Times New Roman" w:cs="Times New Roman"/>
          <w:noProof/>
          <w:sz w:val="24"/>
          <w:szCs w:val="24"/>
          <w:lang w:val="en-US"/>
        </w:rPr>
        <w:t>concerning balanced fertilization. The prevention of nitrate pollution via run-off from agricultural irrigation needs to be ensured especially in the designated Nitrate Vulnerable Zones.</w:t>
      </w:r>
    </w:p>
    <w:p w:rsidR="00AB50C5" w:rsidRDefault="00724275">
      <w:pPr>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In addition to the parameters of the related EU directives, other mic</w:t>
      </w:r>
      <w:r>
        <w:rPr>
          <w:rFonts w:ascii="Times New Roman" w:hAnsi="Times New Roman" w:cs="Times New Roman"/>
          <w:noProof/>
          <w:sz w:val="24"/>
          <w:szCs w:val="24"/>
          <w:lang w:val="en-US"/>
        </w:rPr>
        <w:t>robiological and physico-chemical hazards may also affect surface water, groundwater and dependent ecosystems according to the wastewater effluent to be treated for reuse, and the site specific conditions. Therefore, MS have to establish, according</w:t>
      </w:r>
      <w:r>
        <w:rPr>
          <w:rFonts w:ascii="Times New Roman" w:hAnsi="Times New Roman" w:cs="Times New Roman"/>
          <w:bCs/>
          <w:iCs/>
          <w:noProof/>
          <w:sz w:val="24"/>
          <w:szCs w:val="24"/>
          <w:lang w:val="en-US"/>
        </w:rPr>
        <w:t xml:space="preserve"> to the </w:t>
      </w:r>
      <w:r>
        <w:rPr>
          <w:rFonts w:ascii="Times New Roman" w:hAnsi="Times New Roman" w:cs="Times New Roman"/>
          <w:bCs/>
          <w:iCs/>
          <w:noProof/>
          <w:sz w:val="24"/>
          <w:szCs w:val="24"/>
          <w:lang w:val="en-US"/>
        </w:rPr>
        <w:t>outcome of an environmental risk assessment,</w:t>
      </w:r>
      <w:r>
        <w:rPr>
          <w:rFonts w:ascii="Times New Roman" w:hAnsi="Times New Roman" w:cs="Times New Roman"/>
          <w:noProof/>
          <w:sz w:val="24"/>
          <w:szCs w:val="24"/>
          <w:lang w:val="en-US"/>
        </w:rPr>
        <w:t xml:space="preserve"> minimum quality requirements for additional parameters not included in the related EU Directives to be complied with by the reclaimed water effluent </w:t>
      </w:r>
      <w:r>
        <w:rPr>
          <w:rFonts w:ascii="Times New Roman" w:hAnsi="Times New Roman" w:cs="Times New Roman"/>
          <w:noProof/>
          <w:sz w:val="24"/>
          <w:szCs w:val="24"/>
          <w:lang w:val="en-US" w:eastAsia="it-IT"/>
        </w:rPr>
        <w:t xml:space="preserve">and </w:t>
      </w:r>
      <w:r>
        <w:rPr>
          <w:rFonts w:ascii="Times New Roman" w:hAnsi="Times New Roman" w:cs="Times New Roman"/>
          <w:noProof/>
          <w:sz w:val="24"/>
          <w:szCs w:val="24"/>
          <w:lang w:val="en-US"/>
        </w:rPr>
        <w:t xml:space="preserve">to be included </w:t>
      </w:r>
      <w:r>
        <w:rPr>
          <w:rFonts w:ascii="Times New Roman" w:hAnsi="Times New Roman" w:cs="Times New Roman"/>
          <w:noProof/>
          <w:sz w:val="24"/>
          <w:szCs w:val="24"/>
          <w:lang w:val="en-US" w:eastAsia="it-IT"/>
        </w:rPr>
        <w:t>in the reclaimed water quality criteria</w:t>
      </w:r>
      <w:r>
        <w:rPr>
          <w:rFonts w:ascii="Times New Roman" w:hAnsi="Times New Roman" w:cs="Times New Roman"/>
          <w:noProof/>
          <w:sz w:val="24"/>
          <w:szCs w:val="24"/>
          <w:lang w:val="en-US"/>
        </w:rPr>
        <w:t>.</w:t>
      </w:r>
    </w:p>
    <w:p w:rsidR="00AB50C5" w:rsidRDefault="00724275">
      <w:pPr>
        <w:spacing w:after="0" w:line="240" w:lineRule="auto"/>
        <w:jc w:val="both"/>
        <w:rPr>
          <w:rFonts w:ascii="Times New Roman" w:hAnsi="Times New Roman" w:cs="Times New Roman"/>
          <w:noProof/>
          <w:sz w:val="24"/>
          <w:szCs w:val="24"/>
          <w:lang w:val="en-US"/>
        </w:rPr>
      </w:pPr>
      <w:r>
        <w:rPr>
          <w:rFonts w:ascii="Times New Roman" w:hAnsi="Times New Roman" w:cs="Times New Roman"/>
          <w:bCs/>
          <w:iCs/>
          <w:noProof/>
          <w:sz w:val="24"/>
          <w:szCs w:val="24"/>
          <w:lang w:val="en-US"/>
        </w:rPr>
        <w:t>Fu</w:t>
      </w:r>
      <w:r>
        <w:rPr>
          <w:rFonts w:ascii="Times New Roman" w:hAnsi="Times New Roman" w:cs="Times New Roman"/>
          <w:bCs/>
          <w:iCs/>
          <w:noProof/>
          <w:sz w:val="24"/>
          <w:szCs w:val="24"/>
          <w:lang w:val="en-US"/>
        </w:rPr>
        <w:t>rthermore, MS have to perform an environmental risk assessment to protect soils, and dependent ecosystems, including crops to be irrigated, on a case-by-case basis</w:t>
      </w:r>
      <w:r>
        <w:rPr>
          <w:rFonts w:ascii="Times New Roman" w:eastAsia="MS Mincho" w:hAnsi="Times New Roman" w:cs="Times New Roman"/>
          <w:noProof/>
          <w:sz w:val="24"/>
          <w:szCs w:val="24"/>
          <w:lang w:val="en-US"/>
        </w:rPr>
        <w:t xml:space="preserve"> according to site specific conditions</w:t>
      </w:r>
      <w:r>
        <w:rPr>
          <w:rFonts w:ascii="Times New Roman" w:hAnsi="Times New Roman" w:cs="Times New Roman"/>
          <w:bCs/>
          <w:iCs/>
          <w:noProof/>
          <w:sz w:val="24"/>
          <w:szCs w:val="24"/>
          <w:lang w:val="en-US"/>
        </w:rPr>
        <w:t xml:space="preserve">, </w:t>
      </w:r>
      <w:r>
        <w:rPr>
          <w:rFonts w:ascii="Times New Roman" w:hAnsi="Times New Roman" w:cs="Times New Roman"/>
          <w:noProof/>
          <w:sz w:val="24"/>
          <w:szCs w:val="24"/>
          <w:lang w:val="en-US" w:eastAsia="it-IT"/>
        </w:rPr>
        <w:t xml:space="preserve">and establish, according to the outcome of the risk assessment, minimum quality requirements to be complied with by the final reclaimed water effluent and </w:t>
      </w:r>
      <w:r>
        <w:rPr>
          <w:rFonts w:ascii="Times New Roman" w:hAnsi="Times New Roman" w:cs="Times New Roman"/>
          <w:noProof/>
          <w:sz w:val="24"/>
          <w:szCs w:val="24"/>
          <w:lang w:val="en-US"/>
        </w:rPr>
        <w:t xml:space="preserve">to be included </w:t>
      </w:r>
      <w:r>
        <w:rPr>
          <w:rFonts w:ascii="Times New Roman" w:hAnsi="Times New Roman" w:cs="Times New Roman"/>
          <w:noProof/>
          <w:sz w:val="24"/>
          <w:szCs w:val="24"/>
          <w:lang w:val="en-US" w:eastAsia="it-IT"/>
        </w:rPr>
        <w:t>in the reclaimed water quality criteria</w:t>
      </w:r>
      <w:r>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eastAsia="it-IT"/>
        </w:rPr>
        <w:t xml:space="preserve">Guidance on environmental risk assessment to </w:t>
      </w:r>
      <w:r>
        <w:rPr>
          <w:rFonts w:ascii="Times New Roman" w:hAnsi="Times New Roman" w:cs="Times New Roman"/>
          <w:noProof/>
          <w:sz w:val="24"/>
          <w:szCs w:val="24"/>
          <w:lang w:val="en-US" w:eastAsia="it-IT"/>
        </w:rPr>
        <w:t>be performed by MS is given below.</w:t>
      </w:r>
    </w:p>
    <w:p w:rsidR="00AB50C5" w:rsidRDefault="00AB50C5">
      <w:pPr>
        <w:spacing w:after="0" w:line="240" w:lineRule="auto"/>
        <w:ind w:hanging="1"/>
        <w:jc w:val="both"/>
        <w:rPr>
          <w:rFonts w:ascii="Times New Roman" w:hAnsi="Times New Roman" w:cs="Times New Roman"/>
          <w:noProof/>
          <w:sz w:val="24"/>
          <w:szCs w:val="24"/>
          <w:lang w:val="en-US" w:eastAsia="it-IT"/>
        </w:rPr>
      </w:pPr>
    </w:p>
    <w:p w:rsidR="00AB50C5" w:rsidRDefault="00724275">
      <w:pPr>
        <w:spacing w:after="0" w:line="240" w:lineRule="auto"/>
        <w:ind w:hanging="1"/>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Environmental risk assessment includes the following steps:</w:t>
      </w:r>
    </w:p>
    <w:p w:rsidR="00AB50C5" w:rsidRDefault="00724275">
      <w:pPr>
        <w:pStyle w:val="JRCTextbulletedlist1"/>
        <w:rPr>
          <w:rFonts w:ascii="Times New Roman" w:hAnsi="Times New Roman"/>
          <w:noProof/>
          <w:sz w:val="24"/>
          <w:szCs w:val="24"/>
          <w:lang w:val="en-US" w:eastAsia="it-IT"/>
        </w:rPr>
      </w:pPr>
      <w:r>
        <w:rPr>
          <w:rFonts w:ascii="Times New Roman" w:hAnsi="Times New Roman"/>
          <w:b/>
          <w:noProof/>
          <w:sz w:val="24"/>
          <w:szCs w:val="24"/>
          <w:lang w:val="en-US"/>
        </w:rPr>
        <w:t>Hazard identification:</w:t>
      </w:r>
      <w:r>
        <w:rPr>
          <w:rFonts w:ascii="Times New Roman" w:hAnsi="Times New Roman"/>
          <w:noProof/>
          <w:sz w:val="24"/>
          <w:szCs w:val="24"/>
          <w:lang w:val="en-US"/>
        </w:rPr>
        <w:t xml:space="preserve"> identification of hazards that might be present in wastewater and the associated adverse effects to the environment.</w:t>
      </w:r>
      <w:r>
        <w:rPr>
          <w:rFonts w:ascii="Times New Roman" w:hAnsi="Times New Roman"/>
          <w:noProof/>
          <w:sz w:val="24"/>
          <w:szCs w:val="24"/>
          <w:lang w:val="en-US" w:eastAsia="it-IT"/>
        </w:rPr>
        <w:t xml:space="preserve"> </w:t>
      </w:r>
    </w:p>
    <w:p w:rsidR="00AB50C5" w:rsidRDefault="00724275">
      <w:pPr>
        <w:pStyle w:val="JRCTextbulletedlist1"/>
        <w:numPr>
          <w:ilvl w:val="0"/>
          <w:numId w:val="0"/>
        </w:numPr>
        <w:ind w:left="357"/>
        <w:rPr>
          <w:rFonts w:ascii="Times New Roman" w:hAnsi="Times New Roman"/>
          <w:noProof/>
          <w:sz w:val="24"/>
          <w:szCs w:val="24"/>
          <w:lang w:val="en-US" w:eastAsia="it-IT"/>
        </w:rPr>
      </w:pPr>
      <w:r>
        <w:rPr>
          <w:rFonts w:ascii="Times New Roman" w:hAnsi="Times New Roman"/>
          <w:noProof/>
          <w:sz w:val="24"/>
          <w:szCs w:val="24"/>
          <w:lang w:val="en-US" w:eastAsia="it-IT"/>
        </w:rPr>
        <w:t>Environmental hazar</w:t>
      </w:r>
      <w:r>
        <w:rPr>
          <w:rFonts w:ascii="Times New Roman" w:hAnsi="Times New Roman"/>
          <w:noProof/>
          <w:sz w:val="24"/>
          <w:szCs w:val="24"/>
          <w:lang w:val="en-US" w:eastAsia="it-IT"/>
        </w:rPr>
        <w:t xml:space="preserve">ds are to be considered according to the environmental matrices that may be exposed to reclaimed water, which are soil, groundwater, surface water, and related biota (e.g. plants). </w:t>
      </w:r>
    </w:p>
    <w:p w:rsidR="00AB50C5" w:rsidRDefault="00724275">
      <w:pPr>
        <w:pStyle w:val="JRCTextbulletedlist1"/>
        <w:numPr>
          <w:ilvl w:val="0"/>
          <w:numId w:val="0"/>
        </w:numPr>
        <w:ind w:left="357"/>
        <w:rPr>
          <w:rFonts w:ascii="Times New Roman" w:hAnsi="Times New Roman"/>
          <w:noProof/>
          <w:sz w:val="24"/>
          <w:szCs w:val="24"/>
          <w:lang w:val="en-US"/>
        </w:rPr>
      </w:pPr>
      <w:r>
        <w:rPr>
          <w:rFonts w:ascii="Times New Roman" w:hAnsi="Times New Roman"/>
          <w:noProof/>
          <w:sz w:val="24"/>
          <w:szCs w:val="24"/>
          <w:lang w:val="en-US"/>
        </w:rPr>
        <w:t>The physico-chemical hazards to be evaluated for preventing adverse effect</w:t>
      </w:r>
      <w:r>
        <w:rPr>
          <w:rFonts w:ascii="Times New Roman" w:hAnsi="Times New Roman"/>
          <w:noProof/>
          <w:sz w:val="24"/>
          <w:szCs w:val="24"/>
          <w:lang w:val="en-US"/>
        </w:rPr>
        <w:t xml:space="preserve">s on </w:t>
      </w:r>
      <w:r>
        <w:rPr>
          <w:rFonts w:ascii="Times New Roman" w:hAnsi="Times New Roman"/>
          <w:b/>
          <w:noProof/>
          <w:sz w:val="24"/>
          <w:szCs w:val="24"/>
          <w:lang w:val="en-US"/>
        </w:rPr>
        <w:t>surface water, groundwater, and related ecosystems</w:t>
      </w:r>
      <w:r>
        <w:rPr>
          <w:rFonts w:ascii="Times New Roman" w:hAnsi="Times New Roman"/>
          <w:noProof/>
          <w:sz w:val="24"/>
          <w:szCs w:val="24"/>
          <w:lang w:val="en-US"/>
        </w:rPr>
        <w:t xml:space="preserve"> are additional to the parameters defined in the related EU Directives mentioned above. The physico-chemical hazards also to be evaluated are hazards for preventing adverse effects on </w:t>
      </w:r>
      <w:r>
        <w:rPr>
          <w:rFonts w:ascii="Times New Roman" w:hAnsi="Times New Roman"/>
          <w:b/>
          <w:noProof/>
          <w:sz w:val="24"/>
          <w:szCs w:val="24"/>
          <w:lang w:val="en-US"/>
        </w:rPr>
        <w:t>soils, and relate</w:t>
      </w:r>
      <w:r>
        <w:rPr>
          <w:rFonts w:ascii="Times New Roman" w:hAnsi="Times New Roman"/>
          <w:b/>
          <w:noProof/>
          <w:sz w:val="24"/>
          <w:szCs w:val="24"/>
          <w:lang w:val="en-US"/>
        </w:rPr>
        <w:t>d ecosystems</w:t>
      </w:r>
      <w:r>
        <w:rPr>
          <w:rFonts w:ascii="Times New Roman" w:hAnsi="Times New Roman"/>
          <w:noProof/>
          <w:sz w:val="24"/>
          <w:szCs w:val="24"/>
          <w:lang w:val="en-US"/>
        </w:rPr>
        <w:t xml:space="preserve"> including </w:t>
      </w:r>
      <w:r>
        <w:rPr>
          <w:rFonts w:ascii="Times New Roman" w:hAnsi="Times New Roman"/>
          <w:b/>
          <w:noProof/>
          <w:sz w:val="24"/>
          <w:szCs w:val="24"/>
          <w:lang w:val="en-US"/>
        </w:rPr>
        <w:t>crops</w:t>
      </w:r>
      <w:r>
        <w:rPr>
          <w:rFonts w:ascii="Times New Roman" w:hAnsi="Times New Roman"/>
          <w:noProof/>
          <w:sz w:val="24"/>
          <w:szCs w:val="24"/>
          <w:lang w:val="en-US"/>
        </w:rPr>
        <w:t xml:space="preserve"> (agronomic parameters) that include salinity related parameters, metals, nutrients, and trace elements. </w:t>
      </w:r>
      <w:r>
        <w:rPr>
          <w:rFonts w:ascii="Times New Roman" w:hAnsi="Times New Roman"/>
          <w:noProof/>
          <w:sz w:val="24"/>
          <w:szCs w:val="24"/>
          <w:lang w:val="en-US" w:eastAsia="it-IT"/>
        </w:rPr>
        <w:t xml:space="preserve">Indicative agronomic parameters are included in different guidelines (FAO, 1985; WHO, 2006; USEPA, 2012; ISO 16075, 2015). </w:t>
      </w:r>
    </w:p>
    <w:p w:rsidR="00AB50C5" w:rsidRDefault="00724275">
      <w:pPr>
        <w:pStyle w:val="JRCTextbulletedlist1"/>
        <w:rPr>
          <w:rFonts w:ascii="Times New Roman" w:hAnsi="Times New Roman"/>
          <w:noProof/>
          <w:sz w:val="24"/>
          <w:szCs w:val="24"/>
          <w:lang w:val="en-US"/>
        </w:rPr>
      </w:pPr>
      <w:r>
        <w:rPr>
          <w:rFonts w:ascii="Times New Roman" w:hAnsi="Times New Roman"/>
          <w:b/>
          <w:noProof/>
          <w:sz w:val="24"/>
          <w:szCs w:val="24"/>
          <w:lang w:val="en-US"/>
        </w:rPr>
        <w:t>Estimate the likelihood of a hazardous event:</w:t>
      </w:r>
      <w:r>
        <w:rPr>
          <w:rFonts w:ascii="Times New Roman" w:hAnsi="Times New Roman"/>
          <w:noProof/>
          <w:sz w:val="24"/>
          <w:szCs w:val="24"/>
          <w:lang w:val="en-US"/>
        </w:rPr>
        <w:t xml:space="preserve"> estimate the likelihood that an environmental endpoint will be exposed to the hazard in sufficient concentrations to cause a detrimental effect.</w:t>
      </w:r>
    </w:p>
    <w:p w:rsidR="00AB50C5" w:rsidRDefault="00724275">
      <w:pPr>
        <w:pStyle w:val="JRCTextbulletedlist1"/>
        <w:numPr>
          <w:ilvl w:val="0"/>
          <w:numId w:val="0"/>
        </w:numPr>
        <w:ind w:left="357"/>
        <w:rPr>
          <w:rFonts w:ascii="Times New Roman" w:hAnsi="Times New Roman"/>
          <w:bCs/>
          <w:iCs/>
          <w:noProof/>
          <w:sz w:val="24"/>
          <w:szCs w:val="24"/>
          <w:lang w:val="en-US"/>
        </w:rPr>
      </w:pPr>
      <w:r>
        <w:rPr>
          <w:rFonts w:ascii="Times New Roman" w:hAnsi="Times New Roman"/>
          <w:bCs/>
          <w:iCs/>
          <w:noProof/>
          <w:sz w:val="24"/>
          <w:szCs w:val="24"/>
          <w:lang w:val="en-US"/>
        </w:rPr>
        <w:t xml:space="preserve">Once the physico-chemical hazards concentrations are determined, it has to be established the likelihood that these concentrations will pose an adverse effect on the environmental matrices. </w:t>
      </w:r>
    </w:p>
    <w:p w:rsidR="00AB50C5" w:rsidRDefault="00724275">
      <w:pPr>
        <w:pStyle w:val="JRCTextbulletedlist1"/>
        <w:numPr>
          <w:ilvl w:val="0"/>
          <w:numId w:val="0"/>
        </w:numPr>
        <w:ind w:left="357"/>
        <w:rPr>
          <w:rFonts w:ascii="Times New Roman" w:hAnsi="Times New Roman"/>
          <w:b/>
          <w:noProof/>
          <w:sz w:val="24"/>
          <w:szCs w:val="24"/>
          <w:lang w:val="en-US"/>
        </w:rPr>
      </w:pPr>
      <w:r>
        <w:rPr>
          <w:rFonts w:ascii="Times New Roman" w:hAnsi="Times New Roman"/>
          <w:noProof/>
          <w:sz w:val="24"/>
          <w:szCs w:val="24"/>
          <w:lang w:val="en-US"/>
        </w:rPr>
        <w:t xml:space="preserve">The concentrations of the agronomic parameters evaluated have to </w:t>
      </w:r>
      <w:r>
        <w:rPr>
          <w:rFonts w:ascii="Times New Roman" w:hAnsi="Times New Roman"/>
          <w:noProof/>
          <w:sz w:val="24"/>
          <w:szCs w:val="24"/>
          <w:lang w:val="en-US"/>
        </w:rPr>
        <w:t xml:space="preserve">be assess to establish if they can have adverse effects on </w:t>
      </w:r>
      <w:r>
        <w:rPr>
          <w:rFonts w:ascii="Times New Roman" w:hAnsi="Times New Roman"/>
          <w:bCs/>
          <w:iCs/>
          <w:noProof/>
          <w:sz w:val="24"/>
          <w:szCs w:val="24"/>
          <w:lang w:val="en-US"/>
        </w:rPr>
        <w:t>soils, crops and dependent ecosystems. For this purpose, soils and crops have to be characterized. Soil characterization includes the determination of the agronomic parameters, including texture, h</w:t>
      </w:r>
      <w:r>
        <w:rPr>
          <w:rFonts w:ascii="Times New Roman" w:hAnsi="Times New Roman"/>
          <w:bCs/>
          <w:iCs/>
          <w:noProof/>
          <w:sz w:val="24"/>
          <w:szCs w:val="24"/>
          <w:lang w:val="en-US"/>
        </w:rPr>
        <w:t>ydraulic conductivity, water retention capacity, and organic matter content. The specific crop requirements and toxicity to the physico-chemical hazards found in reclaimed water has to be evaluated in order to avoid phytotoxicity. Data related to crops and</w:t>
      </w:r>
      <w:r>
        <w:rPr>
          <w:rFonts w:ascii="Times New Roman" w:hAnsi="Times New Roman"/>
          <w:bCs/>
          <w:iCs/>
          <w:noProof/>
          <w:sz w:val="24"/>
          <w:szCs w:val="24"/>
          <w:lang w:val="en-US"/>
        </w:rPr>
        <w:t xml:space="preserve"> soils tolerance according to site specific conditions has to be used. Examples of limit values for agronomic parameters to protect soils and crops are also included in international guidelines (FAO, 1985; </w:t>
      </w:r>
      <w:r>
        <w:rPr>
          <w:rFonts w:ascii="Times New Roman" w:hAnsi="Times New Roman"/>
          <w:noProof/>
          <w:sz w:val="24"/>
          <w:szCs w:val="24"/>
          <w:lang w:val="en-US"/>
        </w:rPr>
        <w:t xml:space="preserve">NRMMC-EPHC-AHMC, 2006; </w:t>
      </w:r>
      <w:r>
        <w:rPr>
          <w:rFonts w:ascii="Times New Roman" w:hAnsi="Times New Roman"/>
          <w:bCs/>
          <w:iCs/>
          <w:noProof/>
          <w:sz w:val="24"/>
          <w:szCs w:val="24"/>
          <w:lang w:val="en-US"/>
        </w:rPr>
        <w:t xml:space="preserve">WHO, 2006; </w:t>
      </w:r>
      <w:r>
        <w:rPr>
          <w:rFonts w:ascii="Times New Roman" w:hAnsi="Times New Roman"/>
          <w:noProof/>
          <w:sz w:val="24"/>
          <w:szCs w:val="24"/>
          <w:lang w:val="en-US"/>
        </w:rPr>
        <w:t>ISO 16075, 2015)</w:t>
      </w:r>
      <w:r>
        <w:rPr>
          <w:rFonts w:ascii="Times New Roman" w:hAnsi="Times New Roman"/>
          <w:noProof/>
          <w:sz w:val="24"/>
          <w:szCs w:val="24"/>
          <w:lang w:val="en-US"/>
        </w:rPr>
        <w:t>.</w:t>
      </w:r>
      <w:r>
        <w:rPr>
          <w:rFonts w:ascii="Times New Roman" w:hAnsi="Times New Roman"/>
          <w:noProof/>
          <w:sz w:val="24"/>
          <w:szCs w:val="24"/>
        </w:rPr>
        <w:t xml:space="preserve"> </w:t>
      </w:r>
      <w:r>
        <w:rPr>
          <w:rFonts w:ascii="Times New Roman" w:hAnsi="Times New Roman"/>
          <w:noProof/>
          <w:sz w:val="24"/>
          <w:szCs w:val="24"/>
          <w:lang w:val="en-US"/>
        </w:rPr>
        <w:t>The Directive 86/78/EEC (Sludge Directive) on the protection of the environment, and in particular of the soil, when sewage sludge is used in agriculture establishes limit values for heavy metals in soils, and the maximum limit values of heavy metals amo</w:t>
      </w:r>
      <w:r>
        <w:rPr>
          <w:rFonts w:ascii="Times New Roman" w:hAnsi="Times New Roman"/>
          <w:noProof/>
          <w:sz w:val="24"/>
          <w:szCs w:val="24"/>
          <w:lang w:val="en-US"/>
        </w:rPr>
        <w:t xml:space="preserve">unts which may be added annually to agricultural land based on a 10 year average (Annex I A and C of Directive 86/78/EEC). These values may be taken into account as a reference in order to do not damage the soil quality. However, since the adoption of the </w:t>
      </w:r>
      <w:r>
        <w:rPr>
          <w:rFonts w:ascii="Times New Roman" w:hAnsi="Times New Roman"/>
          <w:noProof/>
          <w:sz w:val="24"/>
          <w:szCs w:val="24"/>
          <w:lang w:val="en-US"/>
        </w:rPr>
        <w:t>Directive 86/78/EEC, several MS have enacted and implemented stricter limit values for heavy metals and set requirements for other contaminants. The Sludge Directive is now under a revision process and any update should be considered accordingly.</w:t>
      </w:r>
    </w:p>
    <w:p w:rsidR="00AB50C5" w:rsidRDefault="00724275">
      <w:pPr>
        <w:pStyle w:val="JRCTextbulletedlist1"/>
        <w:rPr>
          <w:rFonts w:ascii="Times New Roman" w:hAnsi="Times New Roman"/>
          <w:noProof/>
          <w:sz w:val="24"/>
          <w:szCs w:val="24"/>
          <w:lang w:val="en-US"/>
        </w:rPr>
      </w:pPr>
      <w:r>
        <w:rPr>
          <w:rFonts w:ascii="Times New Roman" w:hAnsi="Times New Roman"/>
          <w:b/>
          <w:noProof/>
          <w:sz w:val="24"/>
          <w:szCs w:val="24"/>
          <w:lang w:val="en-US"/>
        </w:rPr>
        <w:t xml:space="preserve">Estimate </w:t>
      </w:r>
      <w:r>
        <w:rPr>
          <w:rFonts w:ascii="Times New Roman" w:hAnsi="Times New Roman"/>
          <w:b/>
          <w:noProof/>
          <w:sz w:val="24"/>
          <w:szCs w:val="24"/>
          <w:lang w:val="en-US"/>
        </w:rPr>
        <w:t>the consequences of the hazardous event:</w:t>
      </w:r>
      <w:r>
        <w:rPr>
          <w:rFonts w:ascii="Times New Roman" w:hAnsi="Times New Roman"/>
          <w:noProof/>
          <w:sz w:val="24"/>
          <w:szCs w:val="24"/>
          <w:lang w:val="en-US"/>
        </w:rPr>
        <w:t xml:space="preserve"> determine the consequences (or impacts) of exposure to a hazard by considering the specific conditions of the environmental endpoint.</w:t>
      </w:r>
    </w:p>
    <w:p w:rsidR="00AB50C5" w:rsidRDefault="00724275">
      <w:pPr>
        <w:pStyle w:val="JRCTextbulletedlist1"/>
        <w:numPr>
          <w:ilvl w:val="0"/>
          <w:numId w:val="0"/>
        </w:numPr>
        <w:ind w:left="357"/>
        <w:rPr>
          <w:rFonts w:ascii="Times New Roman" w:hAnsi="Times New Roman"/>
          <w:noProof/>
          <w:sz w:val="24"/>
          <w:szCs w:val="24"/>
          <w:lang w:val="en-US"/>
        </w:rPr>
      </w:pPr>
      <w:r>
        <w:rPr>
          <w:rFonts w:ascii="Times New Roman" w:hAnsi="Times New Roman"/>
          <w:noProof/>
          <w:sz w:val="24"/>
          <w:szCs w:val="24"/>
          <w:lang w:val="en-US"/>
        </w:rPr>
        <w:t>If additional hazards to the ones considered in the EU related Directives to prev</w:t>
      </w:r>
      <w:r>
        <w:rPr>
          <w:rFonts w:ascii="Times New Roman" w:hAnsi="Times New Roman"/>
          <w:noProof/>
          <w:sz w:val="24"/>
          <w:szCs w:val="24"/>
          <w:lang w:val="en-US"/>
        </w:rPr>
        <w:t>ent adverse effects on surface water, groundwater, and dependent ecosystems are defined, it is necessary to estimate the adverse impact that these hazards may pose. This has to be established based on scientific knowledge.</w:t>
      </w:r>
    </w:p>
    <w:p w:rsidR="00AB50C5" w:rsidRDefault="00724275">
      <w:pPr>
        <w:pStyle w:val="JRCTextbulletedlist1"/>
        <w:numPr>
          <w:ilvl w:val="0"/>
          <w:numId w:val="0"/>
        </w:numPr>
        <w:ind w:left="357"/>
        <w:rPr>
          <w:rFonts w:ascii="Times New Roman" w:hAnsi="Times New Roman"/>
          <w:noProof/>
          <w:sz w:val="24"/>
          <w:szCs w:val="24"/>
          <w:lang w:val="en-US"/>
        </w:rPr>
      </w:pPr>
      <w:r>
        <w:rPr>
          <w:rFonts w:ascii="Times New Roman" w:hAnsi="Times New Roman"/>
          <w:noProof/>
          <w:sz w:val="24"/>
          <w:szCs w:val="24"/>
          <w:lang w:val="en-US"/>
        </w:rPr>
        <w:t>The consequences of the adverse e</w:t>
      </w:r>
      <w:r>
        <w:rPr>
          <w:rFonts w:ascii="Times New Roman" w:hAnsi="Times New Roman"/>
          <w:noProof/>
          <w:sz w:val="24"/>
          <w:szCs w:val="24"/>
          <w:lang w:val="en-US"/>
        </w:rPr>
        <w:t>ffects to be posed to crops and soils by the agronomic parameters evaluated has to be determined based on scientific knowledge.</w:t>
      </w:r>
    </w:p>
    <w:p w:rsidR="00AB50C5" w:rsidRDefault="00724275">
      <w:pPr>
        <w:pStyle w:val="JRCTextbulletedlist1"/>
        <w:rPr>
          <w:rFonts w:ascii="Times New Roman" w:hAnsi="Times New Roman"/>
          <w:noProof/>
          <w:sz w:val="24"/>
          <w:szCs w:val="24"/>
          <w:lang w:val="en-US"/>
        </w:rPr>
      </w:pPr>
      <w:r>
        <w:rPr>
          <w:rFonts w:ascii="Times New Roman" w:hAnsi="Times New Roman"/>
          <w:b/>
          <w:noProof/>
          <w:sz w:val="24"/>
          <w:szCs w:val="24"/>
          <w:lang w:val="en-US"/>
        </w:rPr>
        <w:t>Characterize the overall risk:</w:t>
      </w:r>
      <w:r>
        <w:rPr>
          <w:rFonts w:ascii="Times New Roman" w:hAnsi="Times New Roman"/>
          <w:noProof/>
          <w:sz w:val="24"/>
          <w:szCs w:val="24"/>
          <w:lang w:val="en-US"/>
        </w:rPr>
        <w:t xml:space="preserve"> characterize the risk by integrating the data on hazards, hazardous events, likelihood and conseq</w:t>
      </w:r>
      <w:r>
        <w:rPr>
          <w:rFonts w:ascii="Times New Roman" w:hAnsi="Times New Roman"/>
          <w:noProof/>
          <w:sz w:val="24"/>
          <w:szCs w:val="24"/>
          <w:lang w:val="en-US"/>
        </w:rPr>
        <w:t xml:space="preserve">uences, obtained through the steps described above. </w:t>
      </w:r>
    </w:p>
    <w:p w:rsidR="00AB50C5" w:rsidRDefault="00724275">
      <w:pPr>
        <w:pStyle w:val="JRCTextbulletedlist1"/>
        <w:numPr>
          <w:ilvl w:val="0"/>
          <w:numId w:val="0"/>
        </w:numPr>
        <w:ind w:left="357"/>
        <w:rPr>
          <w:rFonts w:ascii="Times New Roman" w:hAnsi="Times New Roman"/>
          <w:noProof/>
          <w:sz w:val="24"/>
          <w:szCs w:val="24"/>
          <w:lang w:val="en-US"/>
        </w:rPr>
      </w:pPr>
      <w:r>
        <w:rPr>
          <w:rFonts w:ascii="Times New Roman" w:hAnsi="Times New Roman"/>
          <w:noProof/>
          <w:sz w:val="24"/>
          <w:szCs w:val="24"/>
          <w:lang w:val="en-US" w:eastAsia="it-IT"/>
        </w:rPr>
        <w:t xml:space="preserve">The characterization of the overall risk has to be determined by combining the hazards and hazardous events with their likelihood and consequences. </w:t>
      </w:r>
      <w:r>
        <w:rPr>
          <w:rFonts w:ascii="Times New Roman" w:hAnsi="Times New Roman"/>
          <w:noProof/>
          <w:sz w:val="24"/>
          <w:szCs w:val="24"/>
          <w:lang w:val="en-US"/>
        </w:rPr>
        <w:t>This can be done using a risk assessment matrix that ra</w:t>
      </w:r>
      <w:r>
        <w:rPr>
          <w:rFonts w:ascii="Times New Roman" w:hAnsi="Times New Roman"/>
          <w:noProof/>
          <w:sz w:val="24"/>
          <w:szCs w:val="24"/>
          <w:lang w:val="en-US"/>
        </w:rPr>
        <w:t xml:space="preserve">tes risks from “low” to “very high”. </w:t>
      </w:r>
      <w:r>
        <w:rPr>
          <w:rFonts w:ascii="Times New Roman" w:hAnsi="Times New Roman"/>
          <w:noProof/>
          <w:sz w:val="24"/>
          <w:szCs w:val="24"/>
          <w:lang w:val="en-US" w:eastAsia="it-IT"/>
        </w:rPr>
        <w:t>An example of this procedure is found in the Australian guidelines (</w:t>
      </w:r>
      <w:r>
        <w:rPr>
          <w:rFonts w:ascii="Times New Roman" w:hAnsi="Times New Roman"/>
          <w:noProof/>
          <w:sz w:val="24"/>
          <w:szCs w:val="24"/>
          <w:lang w:val="en-US"/>
        </w:rPr>
        <w:t>NRMMC-EPHC-AHMC, 2006).</w:t>
      </w:r>
    </w:p>
    <w:p w:rsidR="00AB50C5" w:rsidRDefault="00724275">
      <w:pPr>
        <w:pStyle w:val="JRCTextbulletedlist1"/>
        <w:numPr>
          <w:ilvl w:val="0"/>
          <w:numId w:val="0"/>
        </w:numPr>
        <w:ind w:left="357"/>
        <w:rPr>
          <w:rFonts w:ascii="Times New Roman" w:hAnsi="Times New Roman"/>
          <w:noProof/>
          <w:sz w:val="24"/>
          <w:szCs w:val="24"/>
          <w:lang w:val="en-US"/>
        </w:rPr>
      </w:pPr>
      <w:r>
        <w:rPr>
          <w:rFonts w:ascii="Times New Roman" w:hAnsi="Times New Roman"/>
          <w:noProof/>
          <w:sz w:val="24"/>
          <w:szCs w:val="24"/>
          <w:lang w:val="en-US"/>
        </w:rPr>
        <w:t xml:space="preserve">Based on the results obtained, MS have to establish water quality requirements to be included in the reclaimed water quality </w:t>
      </w:r>
      <w:r>
        <w:rPr>
          <w:rFonts w:ascii="Times New Roman" w:hAnsi="Times New Roman"/>
          <w:noProof/>
          <w:sz w:val="24"/>
          <w:szCs w:val="24"/>
          <w:lang w:val="en-US"/>
        </w:rPr>
        <w:t>criteria, defining also possible preventive measures to be applied, as good agricultural practices.</w:t>
      </w:r>
    </w:p>
    <w:p w:rsidR="00AB50C5" w:rsidRDefault="00724275">
      <w:pPr>
        <w:pStyle w:val="JRCLevel-3title"/>
        <w:rPr>
          <w:rFonts w:ascii="Times New Roman" w:hAnsi="Times New Roman"/>
          <w:noProof/>
          <w:sz w:val="24"/>
          <w:lang w:val="en-US"/>
        </w:rPr>
      </w:pPr>
      <w:bookmarkStart w:id="35" w:name="_Toc498695675"/>
      <w:bookmarkStart w:id="36" w:name="_Toc516234757"/>
      <w:r>
        <w:rPr>
          <w:rFonts w:ascii="Times New Roman" w:hAnsi="Times New Roman"/>
          <w:noProof/>
          <w:sz w:val="24"/>
          <w:lang w:val="en-US"/>
        </w:rPr>
        <w:t>Determination of preventive measures to limit risks</w:t>
      </w:r>
      <w:bookmarkEnd w:id="35"/>
      <w:bookmarkEnd w:id="36"/>
    </w:p>
    <w:p w:rsidR="00AB50C5" w:rsidRDefault="00724275">
      <w:pPr>
        <w:spacing w:after="0" w:line="240" w:lineRule="auto"/>
        <w:ind w:hanging="1"/>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Safe use of reclaimed water requires the implementation of preventive measures (barriers) to reduce haza</w:t>
      </w:r>
      <w:r>
        <w:rPr>
          <w:rFonts w:ascii="Times New Roman" w:hAnsi="Times New Roman" w:cs="Times New Roman"/>
          <w:noProof/>
          <w:sz w:val="24"/>
          <w:szCs w:val="24"/>
          <w:lang w:val="en-US" w:eastAsia="it-IT"/>
        </w:rPr>
        <w:t>rds and exposure to hazards by the following actions:</w:t>
      </w:r>
    </w:p>
    <w:p w:rsidR="00AB50C5" w:rsidRDefault="00724275">
      <w:pPr>
        <w:pStyle w:val="JRCTextbulletedlist1"/>
        <w:rPr>
          <w:rFonts w:ascii="Times New Roman" w:hAnsi="Times New Roman"/>
          <w:noProof/>
          <w:sz w:val="24"/>
          <w:szCs w:val="24"/>
          <w:lang w:val="en-US" w:eastAsia="it-IT"/>
        </w:rPr>
      </w:pPr>
      <w:r>
        <w:rPr>
          <w:rFonts w:ascii="Times New Roman" w:hAnsi="Times New Roman"/>
          <w:noProof/>
          <w:sz w:val="24"/>
          <w:szCs w:val="24"/>
          <w:lang w:val="en-US" w:eastAsia="it-IT"/>
        </w:rPr>
        <w:t xml:space="preserve">Preventing hazards from entering reclaimed water. </w:t>
      </w:r>
    </w:p>
    <w:p w:rsidR="00AB50C5" w:rsidRDefault="00724275">
      <w:pPr>
        <w:pStyle w:val="JRCTextbulletedlist1"/>
        <w:rPr>
          <w:rFonts w:ascii="Times New Roman" w:hAnsi="Times New Roman"/>
          <w:noProof/>
          <w:sz w:val="24"/>
          <w:szCs w:val="24"/>
          <w:lang w:val="en-US" w:eastAsia="it-IT"/>
        </w:rPr>
      </w:pPr>
      <w:r>
        <w:rPr>
          <w:rFonts w:ascii="Times New Roman" w:hAnsi="Times New Roman"/>
          <w:noProof/>
          <w:sz w:val="24"/>
          <w:szCs w:val="24"/>
          <w:lang w:val="en-US" w:eastAsia="it-IT"/>
        </w:rPr>
        <w:t xml:space="preserve">Removing them using treatment processes.  </w:t>
      </w:r>
    </w:p>
    <w:p w:rsidR="00AB50C5" w:rsidRDefault="00724275">
      <w:pPr>
        <w:pStyle w:val="JRCTextbulletedlist1"/>
        <w:rPr>
          <w:rFonts w:ascii="Times New Roman" w:hAnsi="Times New Roman"/>
          <w:noProof/>
          <w:sz w:val="24"/>
          <w:szCs w:val="24"/>
          <w:lang w:val="en-US" w:eastAsia="it-IT"/>
        </w:rPr>
      </w:pPr>
      <w:r>
        <w:rPr>
          <w:rFonts w:ascii="Times New Roman" w:hAnsi="Times New Roman"/>
          <w:noProof/>
          <w:sz w:val="24"/>
          <w:szCs w:val="24"/>
          <w:lang w:val="en-US" w:eastAsia="it-IT"/>
        </w:rPr>
        <w:t>Reducing exposure, either by using preventive measures at the site of use or by restricting uses.</w:t>
      </w:r>
    </w:p>
    <w:p w:rsidR="00AB50C5" w:rsidRDefault="00724275">
      <w:pPr>
        <w:spacing w:after="0" w:line="240" w:lineRule="auto"/>
        <w:ind w:hanging="1"/>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Identification and implementation of preventive measures should be based on the multiple barrier principle. According to this principle, multiple preventive measures or barriers are used to control the risks posed by different hazards, thus making the proc</w:t>
      </w:r>
      <w:r>
        <w:rPr>
          <w:rFonts w:ascii="Times New Roman" w:hAnsi="Times New Roman" w:cs="Times New Roman"/>
          <w:noProof/>
          <w:sz w:val="24"/>
          <w:szCs w:val="24"/>
          <w:lang w:val="en-US" w:eastAsia="it-IT"/>
        </w:rPr>
        <w:t>ess more reliable.</w:t>
      </w:r>
    </w:p>
    <w:p w:rsidR="00AB50C5" w:rsidRDefault="00AB50C5">
      <w:pPr>
        <w:spacing w:after="0" w:line="240" w:lineRule="auto"/>
        <w:ind w:hanging="1"/>
        <w:jc w:val="both"/>
        <w:rPr>
          <w:rFonts w:ascii="Times New Roman" w:hAnsi="Times New Roman" w:cs="Times New Roman"/>
          <w:noProof/>
          <w:sz w:val="24"/>
          <w:szCs w:val="24"/>
          <w:lang w:val="en-US" w:eastAsia="it-IT"/>
        </w:rPr>
      </w:pPr>
    </w:p>
    <w:p w:rsidR="00AB50C5" w:rsidRDefault="00724275">
      <w:pPr>
        <w:spacing w:after="0" w:line="240" w:lineRule="auto"/>
        <w:ind w:hanging="1"/>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The strength of this principle is that a failure of one barrier may be compensated by effective operation of the remaining barriers, thus minimizing the likelihood of contaminants passing through the entire system and being present in s</w:t>
      </w:r>
      <w:r>
        <w:rPr>
          <w:rFonts w:ascii="Times New Roman" w:hAnsi="Times New Roman" w:cs="Times New Roman"/>
          <w:noProof/>
          <w:sz w:val="24"/>
          <w:szCs w:val="24"/>
          <w:lang w:val="en-US" w:eastAsia="it-IT"/>
        </w:rPr>
        <w:t>ufficient amounts to cause any harm to human health or environmental matrices. Many control measures may contribute to control more than one hazard, whereas some hazards may require more than one control measure (WHO, 2011).</w:t>
      </w:r>
    </w:p>
    <w:p w:rsidR="00AB50C5" w:rsidRDefault="00AB50C5">
      <w:pPr>
        <w:spacing w:after="0" w:line="240" w:lineRule="auto"/>
        <w:ind w:hanging="1"/>
        <w:jc w:val="both"/>
        <w:rPr>
          <w:rFonts w:ascii="Times New Roman" w:hAnsi="Times New Roman" w:cs="Times New Roman"/>
          <w:noProof/>
          <w:sz w:val="24"/>
          <w:szCs w:val="24"/>
          <w:lang w:val="en-US" w:eastAsia="it-IT"/>
        </w:rPr>
      </w:pPr>
    </w:p>
    <w:p w:rsidR="00AB50C5" w:rsidRDefault="00724275">
      <w:pPr>
        <w:spacing w:after="0" w:line="240" w:lineRule="auto"/>
        <w:ind w:left="-1"/>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Water treatment processes prev</w:t>
      </w:r>
      <w:r>
        <w:rPr>
          <w:rFonts w:ascii="Times New Roman" w:hAnsi="Times New Roman" w:cs="Times New Roman"/>
          <w:noProof/>
          <w:sz w:val="24"/>
          <w:szCs w:val="24"/>
          <w:lang w:val="en-US" w:eastAsia="it-IT"/>
        </w:rPr>
        <w:t>ent or reduce the concentration of hazards in the reclaimed water effluent and are the most important barrier to eliminate or minimize health and environmental risks of water reuse practices.</w:t>
      </w:r>
    </w:p>
    <w:p w:rsidR="00AB50C5" w:rsidRDefault="00AB50C5">
      <w:pPr>
        <w:spacing w:after="0" w:line="240" w:lineRule="auto"/>
        <w:ind w:left="-1"/>
        <w:jc w:val="both"/>
        <w:rPr>
          <w:rFonts w:ascii="Times New Roman" w:hAnsi="Times New Roman" w:cs="Times New Roman"/>
          <w:noProof/>
          <w:sz w:val="24"/>
          <w:szCs w:val="24"/>
          <w:lang w:val="en-US" w:eastAsia="it-IT"/>
        </w:rPr>
      </w:pPr>
    </w:p>
    <w:p w:rsidR="00AB50C5" w:rsidRDefault="00724275">
      <w:pPr>
        <w:spacing w:after="0" w:line="240" w:lineRule="auto"/>
        <w:ind w:hanging="1"/>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On-site controls are additional preventive measures that can pr</w:t>
      </w:r>
      <w:r>
        <w:rPr>
          <w:rFonts w:ascii="Times New Roman" w:hAnsi="Times New Roman" w:cs="Times New Roman"/>
          <w:noProof/>
          <w:sz w:val="24"/>
          <w:szCs w:val="24"/>
          <w:lang w:val="en-US" w:eastAsia="it-IT"/>
        </w:rPr>
        <w:t xml:space="preserve">event or minimise public exposure to hazards and can also minimise the impact on receiving environments. </w:t>
      </w:r>
    </w:p>
    <w:p w:rsidR="00AB50C5" w:rsidRDefault="00AB50C5">
      <w:pPr>
        <w:spacing w:after="0" w:line="240" w:lineRule="auto"/>
        <w:ind w:hanging="1"/>
        <w:jc w:val="both"/>
        <w:rPr>
          <w:rFonts w:ascii="Times New Roman" w:hAnsi="Times New Roman" w:cs="Times New Roman"/>
          <w:noProof/>
          <w:sz w:val="24"/>
          <w:szCs w:val="24"/>
          <w:lang w:val="en-US" w:eastAsia="it-IT"/>
        </w:rPr>
      </w:pPr>
    </w:p>
    <w:p w:rsidR="00AB50C5" w:rsidRDefault="00724275">
      <w:pPr>
        <w:spacing w:after="0" w:line="240" w:lineRule="auto"/>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rPr>
        <w:t>The preventive measures that MS have to consider in order to reduce potential adverse effects on health and the environment, according to site specif</w:t>
      </w:r>
      <w:r>
        <w:rPr>
          <w:rFonts w:ascii="Times New Roman" w:hAnsi="Times New Roman" w:cs="Times New Roman"/>
          <w:noProof/>
          <w:sz w:val="24"/>
          <w:szCs w:val="24"/>
          <w:lang w:val="en-US"/>
        </w:rPr>
        <w:t>ic conditions, are the following:</w:t>
      </w:r>
      <w:r>
        <w:rPr>
          <w:rFonts w:ascii="Times New Roman" w:hAnsi="Times New Roman" w:cs="Times New Roman"/>
          <w:noProof/>
          <w:sz w:val="24"/>
          <w:szCs w:val="24"/>
          <w:lang w:val="en-US" w:eastAsia="it-IT"/>
        </w:rPr>
        <w:t xml:space="preserve"> </w:t>
      </w:r>
    </w:p>
    <w:p w:rsidR="00AB50C5" w:rsidRDefault="00724275">
      <w:pPr>
        <w:pStyle w:val="JRCTextbulletedlist1"/>
        <w:rPr>
          <w:rFonts w:ascii="Times New Roman" w:hAnsi="Times New Roman"/>
          <w:b/>
          <w:noProof/>
          <w:sz w:val="24"/>
          <w:szCs w:val="24"/>
          <w:lang w:val="en-US"/>
        </w:rPr>
      </w:pPr>
      <w:r>
        <w:rPr>
          <w:rFonts w:ascii="Times New Roman" w:hAnsi="Times New Roman"/>
          <w:b/>
          <w:noProof/>
          <w:sz w:val="24"/>
          <w:szCs w:val="24"/>
          <w:lang w:val="en-US"/>
        </w:rPr>
        <w:t>Wastewater treatment technologies</w:t>
      </w:r>
      <w:r>
        <w:rPr>
          <w:rFonts w:ascii="Times New Roman" w:hAnsi="Times New Roman"/>
          <w:noProof/>
          <w:sz w:val="24"/>
          <w:szCs w:val="24"/>
          <w:lang w:val="en-US"/>
        </w:rPr>
        <w:t xml:space="preserve">: treatment technologies are an essential barrier to prevent health and environmental risks. Untreated raw wastewater and secondary treated wastewater effluents (complying with UWWTD) are </w:t>
      </w:r>
      <w:r>
        <w:rPr>
          <w:rFonts w:ascii="Times New Roman" w:hAnsi="Times New Roman"/>
          <w:noProof/>
          <w:sz w:val="24"/>
          <w:szCs w:val="24"/>
          <w:lang w:val="en-US"/>
        </w:rPr>
        <w:t>forbidden to be used directly for irrigation purposes. Therefore, an additional treatment is always needed in order to use urban wastewater for agricultural irrigation.</w:t>
      </w:r>
    </w:p>
    <w:p w:rsidR="00AB50C5" w:rsidRDefault="00724275">
      <w:pPr>
        <w:pStyle w:val="JRCTextbulletedlist1"/>
        <w:rPr>
          <w:rFonts w:ascii="Times New Roman" w:hAnsi="Times New Roman"/>
          <w:b/>
          <w:noProof/>
          <w:sz w:val="24"/>
          <w:szCs w:val="24"/>
          <w:lang w:val="en-US"/>
        </w:rPr>
      </w:pPr>
      <w:r>
        <w:rPr>
          <w:rFonts w:ascii="Times New Roman" w:hAnsi="Times New Roman"/>
          <w:b/>
          <w:noProof/>
          <w:sz w:val="24"/>
          <w:szCs w:val="24"/>
          <w:lang w:val="en-US"/>
        </w:rPr>
        <w:t>Crops characteristics</w:t>
      </w:r>
      <w:r>
        <w:rPr>
          <w:rFonts w:ascii="Times New Roman" w:hAnsi="Times New Roman"/>
          <w:noProof/>
          <w:sz w:val="24"/>
          <w:szCs w:val="24"/>
          <w:lang w:val="en-US"/>
        </w:rPr>
        <w:t>: the characteristics of crops (i.e. crops eaten raw, processed, w</w:t>
      </w:r>
      <w:r>
        <w:rPr>
          <w:rFonts w:ascii="Times New Roman" w:hAnsi="Times New Roman"/>
          <w:noProof/>
          <w:sz w:val="24"/>
          <w:szCs w:val="24"/>
          <w:lang w:val="en-US"/>
        </w:rPr>
        <w:t>ith inedible skin)</w:t>
      </w:r>
      <w:r>
        <w:rPr>
          <w:rFonts w:ascii="Times New Roman" w:hAnsi="Times New Roman"/>
          <w:b/>
          <w:noProof/>
          <w:sz w:val="24"/>
          <w:szCs w:val="24"/>
          <w:lang w:val="en-US"/>
        </w:rPr>
        <w:t xml:space="preserve"> </w:t>
      </w:r>
      <w:r>
        <w:rPr>
          <w:rFonts w:ascii="Times New Roman" w:hAnsi="Times New Roman"/>
          <w:noProof/>
          <w:sz w:val="24"/>
          <w:szCs w:val="24"/>
          <w:lang w:val="en-US"/>
        </w:rPr>
        <w:t>are taken into account as a barrier</w:t>
      </w:r>
      <w:r>
        <w:rPr>
          <w:rFonts w:ascii="Times New Roman" w:hAnsi="Times New Roman"/>
          <w:b/>
          <w:noProof/>
          <w:sz w:val="24"/>
          <w:szCs w:val="24"/>
          <w:lang w:val="en-US"/>
        </w:rPr>
        <w:t xml:space="preserve"> </w:t>
      </w:r>
      <w:r>
        <w:rPr>
          <w:rFonts w:ascii="Times New Roman" w:hAnsi="Times New Roman"/>
          <w:noProof/>
          <w:sz w:val="24"/>
          <w:szCs w:val="24"/>
          <w:lang w:val="en-US"/>
        </w:rPr>
        <w:t>to reduce health risks to consumers. Selection of crops has to be made according to crop tolerance (e.g. salt and specific ion tolerance), reclaimed water quality and soil properties to produce satisfa</w:t>
      </w:r>
      <w:r>
        <w:rPr>
          <w:rFonts w:ascii="Times New Roman" w:hAnsi="Times New Roman"/>
          <w:noProof/>
          <w:sz w:val="24"/>
          <w:szCs w:val="24"/>
          <w:lang w:val="en-US"/>
        </w:rPr>
        <w:t>ctory yields.</w:t>
      </w:r>
    </w:p>
    <w:p w:rsidR="00AB50C5" w:rsidRDefault="00724275">
      <w:pPr>
        <w:pStyle w:val="JRCTextbulletedlist1"/>
        <w:rPr>
          <w:rFonts w:ascii="Times New Roman" w:hAnsi="Times New Roman"/>
          <w:b/>
          <w:noProof/>
          <w:sz w:val="24"/>
          <w:szCs w:val="24"/>
          <w:lang w:val="en-US"/>
        </w:rPr>
      </w:pPr>
      <w:r>
        <w:rPr>
          <w:rFonts w:ascii="Times New Roman" w:hAnsi="Times New Roman"/>
          <w:b/>
          <w:noProof/>
          <w:sz w:val="24"/>
          <w:szCs w:val="24"/>
          <w:lang w:val="en-US"/>
        </w:rPr>
        <w:t>Irrigation method</w:t>
      </w:r>
      <w:r>
        <w:rPr>
          <w:rFonts w:ascii="Times New Roman" w:hAnsi="Times New Roman"/>
          <w:noProof/>
          <w:sz w:val="24"/>
          <w:szCs w:val="24"/>
          <w:lang w:val="en-US"/>
        </w:rPr>
        <w:t>: the different irrigation methods considered reflect the reduction in exposure to health hazards that specific irrigation methods present (i.e. drip irrigation) and the greater risks that other irrigation methods pose due to</w:t>
      </w:r>
      <w:r>
        <w:rPr>
          <w:rFonts w:ascii="Times New Roman" w:hAnsi="Times New Roman"/>
          <w:noProof/>
          <w:sz w:val="24"/>
          <w:szCs w:val="24"/>
          <w:lang w:val="en-US"/>
        </w:rPr>
        <w:t xml:space="preserve"> aerosols formation (i.e. sprinkler irrigation).</w:t>
      </w:r>
    </w:p>
    <w:p w:rsidR="00AB50C5" w:rsidRDefault="00724275">
      <w:pPr>
        <w:pStyle w:val="JRCTextbulletedlist1"/>
        <w:rPr>
          <w:rFonts w:ascii="Times New Roman" w:hAnsi="Times New Roman"/>
          <w:noProof/>
          <w:sz w:val="24"/>
          <w:szCs w:val="24"/>
          <w:lang w:val="en-US"/>
        </w:rPr>
      </w:pPr>
      <w:r>
        <w:rPr>
          <w:rFonts w:ascii="Times New Roman" w:hAnsi="Times New Roman"/>
          <w:b/>
          <w:noProof/>
          <w:sz w:val="24"/>
          <w:szCs w:val="24"/>
          <w:lang w:val="en-US"/>
        </w:rPr>
        <w:t>Drinking water sources protection</w:t>
      </w:r>
      <w:r>
        <w:rPr>
          <w:rFonts w:ascii="Times New Roman" w:hAnsi="Times New Roman"/>
          <w:noProof/>
          <w:sz w:val="24"/>
          <w:szCs w:val="24"/>
          <w:lang w:val="en-US"/>
        </w:rPr>
        <w:t>: the vulnerability of existing drinking water sources to the use of reclaimed water for irrigation has to be assessed. Article 7 of the WFD requires that MS shall ensure the</w:t>
      </w:r>
      <w:r>
        <w:rPr>
          <w:rFonts w:ascii="Times New Roman" w:hAnsi="Times New Roman"/>
          <w:noProof/>
          <w:sz w:val="24"/>
          <w:szCs w:val="24"/>
          <w:lang w:val="en-US"/>
        </w:rPr>
        <w:t xml:space="preserve"> necessary protection for waters used for the abstraction of drinking water, or intended for such use, with the aim of avoiding deterioration in their quality, establishing safeguard zones for those bodies of water, if necessary.</w:t>
      </w:r>
    </w:p>
    <w:p w:rsidR="00AB50C5" w:rsidRDefault="00724275">
      <w:pPr>
        <w:pStyle w:val="JRCTextbulletedlist1"/>
        <w:rPr>
          <w:rFonts w:ascii="Times New Roman" w:hAnsi="Times New Roman"/>
          <w:noProof/>
          <w:sz w:val="24"/>
          <w:szCs w:val="24"/>
          <w:lang w:val="en-US"/>
        </w:rPr>
      </w:pPr>
      <w:r>
        <w:rPr>
          <w:rFonts w:ascii="Times New Roman" w:hAnsi="Times New Roman"/>
          <w:b/>
          <w:noProof/>
          <w:sz w:val="24"/>
          <w:szCs w:val="24"/>
          <w:lang w:val="en-US"/>
        </w:rPr>
        <w:t>Control of the storage and</w:t>
      </w:r>
      <w:r>
        <w:rPr>
          <w:rFonts w:ascii="Times New Roman" w:hAnsi="Times New Roman"/>
          <w:b/>
          <w:noProof/>
          <w:sz w:val="24"/>
          <w:szCs w:val="24"/>
          <w:lang w:val="en-US"/>
        </w:rPr>
        <w:t xml:space="preserve"> distribution system</w:t>
      </w:r>
      <w:r>
        <w:rPr>
          <w:rFonts w:ascii="Times New Roman" w:hAnsi="Times New Roman"/>
          <w:noProof/>
          <w:sz w:val="24"/>
          <w:szCs w:val="24"/>
          <w:lang w:val="en-US"/>
        </w:rPr>
        <w:t>: within the distribution system, that may include storage (open and closed reservoirs), reclaimed water for irrigation may suffer changes that affect its chemical and biological quality (e.g. microbial regrowth, nitrification, algae gr</w:t>
      </w:r>
      <w:r>
        <w:rPr>
          <w:rFonts w:ascii="Times New Roman" w:hAnsi="Times New Roman"/>
          <w:noProof/>
          <w:sz w:val="24"/>
          <w:szCs w:val="24"/>
          <w:lang w:val="en-US"/>
        </w:rPr>
        <w:t xml:space="preserve">owth, natural decay of microorganisms). Thus, management strategies, including monitoring, have to be undertaken in order to prevent the deterioration of reclaimed water quality. Maintaining good water quality in the distribution system will depend on the </w:t>
      </w:r>
      <w:r>
        <w:rPr>
          <w:rFonts w:ascii="Times New Roman" w:hAnsi="Times New Roman"/>
          <w:noProof/>
          <w:sz w:val="24"/>
          <w:szCs w:val="24"/>
          <w:lang w:val="en-US"/>
        </w:rPr>
        <w:t>design and operation of the system and on maintenance and survey procedures to prevent contamination. Control of short-circuiting and prevention of stagnation in both storage and distribution, including use of backflow prevention devices, maintaining posit</w:t>
      </w:r>
      <w:r>
        <w:rPr>
          <w:rFonts w:ascii="Times New Roman" w:hAnsi="Times New Roman"/>
          <w:noProof/>
          <w:sz w:val="24"/>
          <w:szCs w:val="24"/>
          <w:lang w:val="en-US"/>
        </w:rPr>
        <w:t xml:space="preserve">ive pressure throughout the system and implementation of efficient maintenance procedures are strategies to maintain the quality of reclaimed water within the storage and distribution system. Reclaimed water can be mixed with water from natural sources to </w:t>
      </w:r>
      <w:r>
        <w:rPr>
          <w:rFonts w:ascii="Times New Roman" w:hAnsi="Times New Roman"/>
          <w:noProof/>
          <w:sz w:val="24"/>
          <w:szCs w:val="24"/>
          <w:lang w:val="en-US"/>
        </w:rPr>
        <w:t xml:space="preserve">correct for certain parameters.  </w:t>
      </w:r>
    </w:p>
    <w:p w:rsidR="00AB50C5" w:rsidRDefault="00724275">
      <w:pPr>
        <w:pStyle w:val="JRCTextbulletedlist1"/>
        <w:rPr>
          <w:rFonts w:ascii="Times New Roman" w:hAnsi="Times New Roman"/>
          <w:noProof/>
          <w:sz w:val="24"/>
          <w:szCs w:val="24"/>
          <w:lang w:val="en-US"/>
        </w:rPr>
      </w:pPr>
      <w:r>
        <w:rPr>
          <w:rFonts w:ascii="Times New Roman" w:hAnsi="Times New Roman"/>
          <w:b/>
          <w:noProof/>
          <w:sz w:val="24"/>
          <w:szCs w:val="24"/>
          <w:lang w:val="en-US"/>
        </w:rPr>
        <w:t>Irrigation schedule</w:t>
      </w:r>
      <w:r>
        <w:rPr>
          <w:rFonts w:ascii="Times New Roman" w:hAnsi="Times New Roman"/>
          <w:noProof/>
          <w:sz w:val="24"/>
          <w:szCs w:val="24"/>
          <w:lang w:val="en-US"/>
        </w:rPr>
        <w:t>: reclaimed water application rates need to be controlled so that irrigation is consistent in providing maximum benefit, while minimising impacts on receiving environments (including soils, groundwater a</w:t>
      </w:r>
      <w:r>
        <w:rPr>
          <w:rFonts w:ascii="Times New Roman" w:hAnsi="Times New Roman"/>
          <w:noProof/>
          <w:sz w:val="24"/>
          <w:szCs w:val="24"/>
          <w:lang w:val="en-US"/>
        </w:rPr>
        <w:t>nd surface water). Irrigation systems should be installed and operated to minimise surface ponding and to control surface run-off.</w:t>
      </w:r>
    </w:p>
    <w:p w:rsidR="00AB50C5" w:rsidRDefault="00724275">
      <w:pPr>
        <w:pStyle w:val="JRCTextbulletedlist1"/>
        <w:rPr>
          <w:rFonts w:ascii="Times New Roman" w:hAnsi="Times New Roman"/>
          <w:noProof/>
          <w:sz w:val="24"/>
          <w:szCs w:val="24"/>
          <w:lang w:val="en-US"/>
        </w:rPr>
      </w:pPr>
      <w:r>
        <w:rPr>
          <w:rFonts w:ascii="Times New Roman" w:hAnsi="Times New Roman"/>
          <w:b/>
          <w:noProof/>
          <w:sz w:val="24"/>
          <w:szCs w:val="24"/>
          <w:lang w:val="en-US"/>
        </w:rPr>
        <w:t>Access control, buffer zones (security distances) and withholding periods</w:t>
      </w:r>
      <w:r>
        <w:rPr>
          <w:rFonts w:ascii="Times New Roman" w:hAnsi="Times New Roman"/>
          <w:noProof/>
          <w:sz w:val="24"/>
          <w:szCs w:val="24"/>
          <w:lang w:val="en-US"/>
        </w:rPr>
        <w:t xml:space="preserve">: </w:t>
      </w:r>
      <w:r>
        <w:rPr>
          <w:rFonts w:ascii="Times New Roman" w:hAnsi="Times New Roman"/>
          <w:noProof/>
          <w:sz w:val="24"/>
          <w:szCs w:val="24"/>
        </w:rPr>
        <w:t xml:space="preserve">these measures should be established as necessary to minimize exposure </w:t>
      </w:r>
      <w:r>
        <w:rPr>
          <w:rFonts w:ascii="Times New Roman" w:hAnsi="Times New Roman"/>
          <w:noProof/>
          <w:sz w:val="24"/>
          <w:szCs w:val="24"/>
          <w:lang w:val="en-US"/>
        </w:rPr>
        <w:t xml:space="preserve">to health hazards to humans and animals. It is needed to consider access control for on-site workers, general public, and animals, and define specific withholding periods for livestock </w:t>
      </w:r>
      <w:r>
        <w:rPr>
          <w:rFonts w:ascii="Times New Roman" w:hAnsi="Times New Roman"/>
          <w:noProof/>
          <w:sz w:val="24"/>
          <w:szCs w:val="24"/>
          <w:lang w:val="en-US"/>
        </w:rPr>
        <w:t xml:space="preserve">to be fed with irrigated pastures or fodder. </w:t>
      </w:r>
    </w:p>
    <w:p w:rsidR="00AB50C5" w:rsidRDefault="00724275">
      <w:pPr>
        <w:pStyle w:val="JRCTextbulletedlist1"/>
        <w:numPr>
          <w:ilvl w:val="0"/>
          <w:numId w:val="0"/>
        </w:numPr>
        <w:ind w:left="357"/>
        <w:rPr>
          <w:rFonts w:ascii="Times New Roman" w:hAnsi="Times New Roman"/>
          <w:noProof/>
          <w:sz w:val="24"/>
          <w:szCs w:val="24"/>
          <w:lang w:val="en-US"/>
        </w:rPr>
      </w:pPr>
      <w:r>
        <w:rPr>
          <w:rFonts w:ascii="Times New Roman" w:hAnsi="Times New Roman"/>
          <w:noProof/>
          <w:sz w:val="24"/>
          <w:szCs w:val="24"/>
          <w:lang w:val="en-US"/>
        </w:rPr>
        <w:t>The establishment of access control, buffer zones (security distances) and withholding periods has to be evaluated considering the reclaimed water quality used, the irrigation method, and the site specific cond</w:t>
      </w:r>
      <w:r>
        <w:rPr>
          <w:rFonts w:ascii="Times New Roman" w:hAnsi="Times New Roman"/>
          <w:noProof/>
          <w:sz w:val="24"/>
          <w:szCs w:val="24"/>
          <w:lang w:val="en-US"/>
        </w:rPr>
        <w:t>itions (e.g. windy situations). On-site workers access should ensure compliance with related occupational health and safety regulations in place.</w:t>
      </w:r>
    </w:p>
    <w:p w:rsidR="00AB50C5" w:rsidRDefault="00724275">
      <w:pPr>
        <w:pStyle w:val="JRCTextbulletedlist1"/>
        <w:rPr>
          <w:rFonts w:ascii="Times New Roman" w:hAnsi="Times New Roman"/>
          <w:noProof/>
          <w:sz w:val="24"/>
          <w:szCs w:val="24"/>
          <w:lang w:val="en-US"/>
        </w:rPr>
      </w:pPr>
      <w:r>
        <w:rPr>
          <w:rFonts w:ascii="Times New Roman" w:hAnsi="Times New Roman"/>
          <w:b/>
          <w:noProof/>
          <w:sz w:val="24"/>
          <w:szCs w:val="24"/>
          <w:lang w:val="en-US"/>
        </w:rPr>
        <w:t>Education and training</w:t>
      </w:r>
      <w:r>
        <w:rPr>
          <w:rFonts w:ascii="Times New Roman" w:hAnsi="Times New Roman"/>
          <w:noProof/>
          <w:sz w:val="24"/>
          <w:szCs w:val="24"/>
          <w:lang w:val="en-US"/>
        </w:rPr>
        <w:t xml:space="preserve">: education and training of on-site workers and managers involved in agricultural </w:t>
      </w:r>
      <w:r>
        <w:rPr>
          <w:rFonts w:ascii="Times New Roman" w:hAnsi="Times New Roman"/>
          <w:noProof/>
          <w:sz w:val="24"/>
          <w:szCs w:val="24"/>
          <w:lang w:val="en-US"/>
        </w:rPr>
        <w:t>irrigation are of principal importance as components of implementing and maintaining preventive measures. Personnel should be kept fully informed on the use of reclaimed water. Agricultural workers are especially vulnerable, and a range of human exposure m</w:t>
      </w:r>
      <w:r>
        <w:rPr>
          <w:rFonts w:ascii="Times New Roman" w:hAnsi="Times New Roman"/>
          <w:noProof/>
          <w:sz w:val="24"/>
          <w:szCs w:val="24"/>
          <w:lang w:val="en-US"/>
        </w:rPr>
        <w:t>easures (e.g. personal protective equipment, handwashing and personal hygiene) are also to be implemented. Occupational health related EU Directives and national regulations from MS should apply.</w:t>
      </w:r>
    </w:p>
    <w:p w:rsidR="00AB50C5" w:rsidRDefault="00724275">
      <w:pPr>
        <w:pStyle w:val="JRCTextbulletedlist1"/>
        <w:rPr>
          <w:rFonts w:ascii="Times New Roman" w:hAnsi="Times New Roman"/>
          <w:noProof/>
          <w:sz w:val="24"/>
          <w:szCs w:val="24"/>
          <w:lang w:val="en-US"/>
        </w:rPr>
      </w:pPr>
      <w:r>
        <w:rPr>
          <w:rFonts w:ascii="Times New Roman" w:hAnsi="Times New Roman"/>
          <w:b/>
          <w:bCs/>
          <w:iCs/>
          <w:noProof/>
          <w:sz w:val="24"/>
          <w:szCs w:val="24"/>
          <w:lang w:val="en-US"/>
        </w:rPr>
        <w:t>Signage</w:t>
      </w:r>
      <w:r>
        <w:rPr>
          <w:rFonts w:ascii="Times New Roman" w:hAnsi="Times New Roman"/>
          <w:bCs/>
          <w:iCs/>
          <w:noProof/>
          <w:sz w:val="24"/>
          <w:szCs w:val="24"/>
          <w:lang w:val="en-US"/>
        </w:rPr>
        <w:t>:  a</w:t>
      </w:r>
      <w:r>
        <w:rPr>
          <w:rFonts w:ascii="Times New Roman" w:hAnsi="Times New Roman"/>
          <w:noProof/>
          <w:sz w:val="24"/>
          <w:szCs w:val="24"/>
          <w:lang w:val="en-US"/>
        </w:rPr>
        <w:t>ccidental exposure to reclaimed water can be redu</w:t>
      </w:r>
      <w:r>
        <w:rPr>
          <w:rFonts w:ascii="Times New Roman" w:hAnsi="Times New Roman"/>
          <w:noProof/>
          <w:sz w:val="24"/>
          <w:szCs w:val="24"/>
          <w:lang w:val="en-US"/>
        </w:rPr>
        <w:t>ced through the use of measures such as signage at irrigation sites, indicating that reclaimed water is being used and is not suitable for drinking.</w:t>
      </w:r>
    </w:p>
    <w:p w:rsidR="00AB50C5" w:rsidRDefault="00724275">
      <w:pPr>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Recommendations for the assessment and implementation of these preventive measures in water reuse schemes f</w:t>
      </w:r>
      <w:r>
        <w:rPr>
          <w:rFonts w:ascii="Times New Roman" w:hAnsi="Times New Roman" w:cs="Times New Roman"/>
          <w:noProof/>
          <w:sz w:val="24"/>
          <w:szCs w:val="24"/>
          <w:lang w:val="en-US"/>
        </w:rPr>
        <w:t xml:space="preserve">or agricultural irrigation are included in the ISO guidelines (ISO 16075, 2015) and other water reuse guidelines (NRMMC-EPHC-AHMC, 2006; WHO, 2006; USEPA, 2012). However, MS must always consider site specific conditions for selection and implementation of </w:t>
      </w:r>
      <w:r>
        <w:rPr>
          <w:rFonts w:ascii="Times New Roman" w:hAnsi="Times New Roman" w:cs="Times New Roman"/>
          <w:noProof/>
          <w:sz w:val="24"/>
          <w:szCs w:val="24"/>
          <w:lang w:val="en-US"/>
        </w:rPr>
        <w:t>preventive measures.</w:t>
      </w:r>
    </w:p>
    <w:p w:rsidR="00AB50C5" w:rsidRDefault="00AB50C5">
      <w:pPr>
        <w:spacing w:after="0" w:line="240" w:lineRule="auto"/>
        <w:jc w:val="both"/>
        <w:rPr>
          <w:rFonts w:ascii="Times New Roman" w:hAnsi="Times New Roman" w:cs="Times New Roman"/>
          <w:noProof/>
          <w:sz w:val="24"/>
          <w:szCs w:val="24"/>
          <w:lang w:val="en-US"/>
        </w:rPr>
      </w:pPr>
    </w:p>
    <w:p w:rsidR="00AB50C5" w:rsidRDefault="00724275">
      <w:pPr>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The selection of common preventive measures (barriers) already considered by this document to develop the common minimum quality requirements in Section 4.3 have been the wastewater treatment technology, the crops characteristics, the</w:t>
      </w:r>
      <w:r>
        <w:rPr>
          <w:rFonts w:ascii="Times New Roman" w:hAnsi="Times New Roman" w:cs="Times New Roman"/>
          <w:noProof/>
          <w:sz w:val="24"/>
          <w:szCs w:val="24"/>
          <w:lang w:val="en-US"/>
        </w:rPr>
        <w:t xml:space="preserve"> irrigation method and the withholding periods and access control for livestock.</w:t>
      </w:r>
    </w:p>
    <w:p w:rsidR="00AB50C5" w:rsidRDefault="00724275">
      <w:pPr>
        <w:pStyle w:val="JRCLevel-3title"/>
        <w:rPr>
          <w:rFonts w:ascii="Times New Roman" w:hAnsi="Times New Roman"/>
          <w:noProof/>
          <w:sz w:val="24"/>
          <w:lang w:val="en-US"/>
        </w:rPr>
      </w:pPr>
      <w:bookmarkStart w:id="37" w:name="_Toc498695676"/>
      <w:bookmarkStart w:id="38" w:name="_Toc516234758"/>
      <w:r>
        <w:rPr>
          <w:rFonts w:ascii="Times New Roman" w:hAnsi="Times New Roman"/>
          <w:noProof/>
          <w:sz w:val="24"/>
          <w:lang w:val="en-US"/>
        </w:rPr>
        <w:t>Development of operational procedures</w:t>
      </w:r>
      <w:bookmarkEnd w:id="37"/>
      <w:bookmarkEnd w:id="38"/>
    </w:p>
    <w:p w:rsidR="00AB50C5" w:rsidRDefault="00724275">
      <w:pPr>
        <w:spacing w:after="0" w:line="240" w:lineRule="auto"/>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rPr>
        <w:t xml:space="preserve">MS have to assure the appropriate performance of the water reuse system to deliver the requested level of reclaimed water quality. It is </w:t>
      </w:r>
      <w:r>
        <w:rPr>
          <w:rFonts w:ascii="Times New Roman" w:hAnsi="Times New Roman" w:cs="Times New Roman"/>
          <w:noProof/>
          <w:sz w:val="24"/>
          <w:szCs w:val="24"/>
          <w:lang w:val="en-US"/>
        </w:rPr>
        <w:t xml:space="preserve">necessary to develop an </w:t>
      </w:r>
      <w:r>
        <w:rPr>
          <w:rFonts w:ascii="Times New Roman" w:hAnsi="Times New Roman" w:cs="Times New Roman"/>
          <w:noProof/>
          <w:sz w:val="24"/>
          <w:szCs w:val="24"/>
          <w:lang w:val="en-US" w:eastAsia="it-IT"/>
        </w:rPr>
        <w:t xml:space="preserve">operational monitoring protocol to define </w:t>
      </w:r>
      <w:r>
        <w:rPr>
          <w:rFonts w:ascii="Times New Roman" w:hAnsi="Times New Roman" w:cs="Times New Roman"/>
          <w:noProof/>
          <w:sz w:val="24"/>
          <w:szCs w:val="24"/>
          <w:lang w:val="en-US"/>
        </w:rPr>
        <w:t xml:space="preserve">operational procedures for all activities and process applied within the </w:t>
      </w:r>
      <w:r>
        <w:rPr>
          <w:rFonts w:ascii="Times New Roman" w:hAnsi="Times New Roman" w:cs="Times New Roman"/>
          <w:b/>
          <w:noProof/>
          <w:sz w:val="24"/>
          <w:szCs w:val="24"/>
          <w:lang w:val="en-US"/>
        </w:rPr>
        <w:t>whole water reuse system</w:t>
      </w:r>
      <w:r>
        <w:rPr>
          <w:rFonts w:ascii="Times New Roman" w:hAnsi="Times New Roman" w:cs="Times New Roman"/>
          <w:noProof/>
          <w:sz w:val="24"/>
          <w:szCs w:val="24"/>
          <w:lang w:val="en-US"/>
        </w:rPr>
        <w:t xml:space="preserve"> to ensure that all preventive measures implemented to control hazards are functioning effectively.</w:t>
      </w:r>
      <w:r>
        <w:rPr>
          <w:rFonts w:ascii="Times New Roman" w:hAnsi="Times New Roman" w:cs="Times New Roman"/>
          <w:noProof/>
          <w:sz w:val="24"/>
          <w:szCs w:val="24"/>
          <w:lang w:val="en-US" w:eastAsia="it-IT"/>
        </w:rPr>
        <w:t xml:space="preserve"> </w:t>
      </w:r>
    </w:p>
    <w:p w:rsidR="00AB50C5" w:rsidRDefault="00724275">
      <w:pPr>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MS have to develop an operational monitoring protocol to </w:t>
      </w:r>
      <w:r>
        <w:rPr>
          <w:rFonts w:ascii="Times New Roman" w:hAnsi="Times New Roman" w:cs="Times New Roman"/>
          <w:noProof/>
          <w:sz w:val="24"/>
          <w:szCs w:val="24"/>
          <w:lang w:val="en-US" w:eastAsia="it-IT"/>
        </w:rPr>
        <w:t>assess and confirm that the performance of preventive measures of the water reuse system ensures r</w:t>
      </w:r>
      <w:r>
        <w:rPr>
          <w:rFonts w:ascii="Times New Roman" w:hAnsi="Times New Roman" w:cs="Times New Roman"/>
          <w:noProof/>
          <w:sz w:val="24"/>
          <w:szCs w:val="24"/>
          <w:lang w:val="en-US" w:eastAsia="it-IT"/>
        </w:rPr>
        <w:t>eclaimed water of an appropriate quality to be consistently provided</w:t>
      </w:r>
      <w:r>
        <w:rPr>
          <w:rFonts w:ascii="Times New Roman" w:hAnsi="Times New Roman" w:cs="Times New Roman"/>
          <w:noProof/>
          <w:sz w:val="24"/>
          <w:szCs w:val="24"/>
          <w:lang w:val="en-US"/>
        </w:rPr>
        <w:t>. A water reuse system in Section 2 of this document is defined as follow:</w:t>
      </w:r>
    </w:p>
    <w:p w:rsidR="00AB50C5" w:rsidRDefault="00724275">
      <w:pPr>
        <w:pStyle w:val="JRCTextbulletedlist1"/>
        <w:rPr>
          <w:rFonts w:ascii="Times New Roman" w:hAnsi="Times New Roman"/>
          <w:noProof/>
          <w:sz w:val="24"/>
          <w:szCs w:val="24"/>
          <w:lang w:val="en-US"/>
        </w:rPr>
      </w:pPr>
      <w:r>
        <w:rPr>
          <w:rFonts w:ascii="Times New Roman" w:hAnsi="Times New Roman"/>
          <w:noProof/>
          <w:sz w:val="24"/>
          <w:szCs w:val="24"/>
          <w:lang w:val="en-US"/>
        </w:rPr>
        <w:t>Raw wastewater entering the wastewater treatment plant (WWTP).</w:t>
      </w:r>
    </w:p>
    <w:p w:rsidR="00AB50C5" w:rsidRDefault="00724275">
      <w:pPr>
        <w:pStyle w:val="JRCTextbulletedlist1"/>
        <w:rPr>
          <w:rFonts w:ascii="Times New Roman" w:hAnsi="Times New Roman"/>
          <w:noProof/>
          <w:sz w:val="24"/>
          <w:szCs w:val="24"/>
          <w:lang w:val="en-US"/>
        </w:rPr>
      </w:pPr>
      <w:r>
        <w:rPr>
          <w:rFonts w:ascii="Times New Roman" w:hAnsi="Times New Roman"/>
          <w:noProof/>
          <w:sz w:val="24"/>
          <w:szCs w:val="24"/>
          <w:lang w:val="en-US"/>
        </w:rPr>
        <w:t xml:space="preserve">The wastewater treatments included in the WWTP. </w:t>
      </w:r>
    </w:p>
    <w:p w:rsidR="00AB50C5" w:rsidRDefault="00724275">
      <w:pPr>
        <w:pStyle w:val="JRCTextbulletedlist1"/>
        <w:rPr>
          <w:rFonts w:ascii="Times New Roman" w:hAnsi="Times New Roman"/>
          <w:noProof/>
          <w:sz w:val="24"/>
          <w:szCs w:val="24"/>
          <w:lang w:val="en-US"/>
        </w:rPr>
      </w:pPr>
      <w:r>
        <w:rPr>
          <w:rFonts w:ascii="Times New Roman" w:hAnsi="Times New Roman"/>
          <w:noProof/>
          <w:sz w:val="24"/>
          <w:szCs w:val="24"/>
          <w:lang w:val="en-US"/>
        </w:rPr>
        <w:t>T</w:t>
      </w:r>
      <w:r>
        <w:rPr>
          <w:rFonts w:ascii="Times New Roman" w:hAnsi="Times New Roman"/>
          <w:noProof/>
          <w:sz w:val="24"/>
          <w:szCs w:val="24"/>
          <w:lang w:val="en-US"/>
        </w:rPr>
        <w:t>he additional treatments to produce reclaimed water of the required quality for reuse.</w:t>
      </w:r>
    </w:p>
    <w:p w:rsidR="00AB50C5" w:rsidRDefault="00724275">
      <w:pPr>
        <w:pStyle w:val="JRCTextbulletedlist1"/>
        <w:rPr>
          <w:rFonts w:ascii="Times New Roman" w:hAnsi="Times New Roman"/>
          <w:noProof/>
          <w:sz w:val="24"/>
          <w:szCs w:val="24"/>
          <w:lang w:val="en-US"/>
        </w:rPr>
      </w:pPr>
      <w:r>
        <w:rPr>
          <w:rFonts w:ascii="Times New Roman" w:hAnsi="Times New Roman"/>
          <w:noProof/>
          <w:sz w:val="24"/>
          <w:szCs w:val="24"/>
          <w:lang w:val="en-US"/>
        </w:rPr>
        <w:t>The storage and distribution systems.</w:t>
      </w:r>
    </w:p>
    <w:p w:rsidR="00AB50C5" w:rsidRDefault="00724275">
      <w:pPr>
        <w:pStyle w:val="JRCTextbulletedlist1"/>
        <w:rPr>
          <w:rFonts w:ascii="Times New Roman" w:hAnsi="Times New Roman"/>
          <w:noProof/>
          <w:sz w:val="24"/>
          <w:szCs w:val="24"/>
          <w:lang w:val="en-US"/>
        </w:rPr>
      </w:pPr>
      <w:r>
        <w:rPr>
          <w:rFonts w:ascii="Times New Roman" w:hAnsi="Times New Roman"/>
          <w:noProof/>
          <w:sz w:val="24"/>
          <w:szCs w:val="24"/>
          <w:lang w:val="en-US"/>
        </w:rPr>
        <w:t xml:space="preserve">The irrigation system. </w:t>
      </w:r>
    </w:p>
    <w:p w:rsidR="00AB50C5" w:rsidRDefault="00724275">
      <w:pPr>
        <w:pStyle w:val="JRCFigurecaption"/>
        <w:rPr>
          <w:noProof/>
        </w:rPr>
      </w:pPr>
      <w:bookmarkStart w:id="39" w:name="_Ref494112902"/>
      <w:bookmarkStart w:id="40" w:name="_Toc498672460"/>
      <w:r>
        <w:rPr>
          <w:noProof/>
          <w:lang w:eastAsia="en-GB"/>
        </w:rPr>
        <w:drawing>
          <wp:anchor distT="0" distB="0" distL="114300" distR="114300" simplePos="0" relativeHeight="251717632" behindDoc="0" locked="0" layoutInCell="1" allowOverlap="1" wp14:anchorId="762F054A" wp14:editId="04EAD5F5">
            <wp:simplePos x="0" y="0"/>
            <wp:positionH relativeFrom="column">
              <wp:posOffset>0</wp:posOffset>
            </wp:positionH>
            <wp:positionV relativeFrom="paragraph">
              <wp:posOffset>618738</wp:posOffset>
            </wp:positionV>
            <wp:extent cx="5847715" cy="3126740"/>
            <wp:effectExtent l="114300" t="152400" r="324485" b="187960"/>
            <wp:wrapSquare wrapText="bothSides"/>
            <wp:docPr id="358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a:extLst>
                        <a:ext uri="{28A0092B-C50C-407E-A947-70E740481C1C}">
                          <a14:useLocalDpi xmlns:a14="http://schemas.microsoft.com/office/drawing/2010/main" val="0"/>
                        </a:ext>
                      </a:extLst>
                    </a:blip>
                    <a:srcRect l="1194" t="12156" r="15512" b="7165"/>
                    <a:stretch/>
                  </pic:blipFill>
                  <pic:spPr bwMode="auto">
                    <a:xfrm>
                      <a:off x="0" y="0"/>
                      <a:ext cx="5847715" cy="312674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rPr>
        <w:t xml:space="preserve">Figure </w:t>
      </w:r>
      <w:r>
        <w:rPr>
          <w:b/>
          <w:noProof/>
        </w:rPr>
        <w:fldChar w:fldCharType="begin"/>
      </w:r>
      <w:r>
        <w:rPr>
          <w:b/>
          <w:noProof/>
        </w:rPr>
        <w:instrText xml:space="preserve"> SEQ Figure \* ARABIC </w:instrText>
      </w:r>
      <w:r>
        <w:rPr>
          <w:b/>
          <w:noProof/>
        </w:rPr>
        <w:fldChar w:fldCharType="separate"/>
      </w:r>
      <w:r>
        <w:rPr>
          <w:b/>
          <w:noProof/>
        </w:rPr>
        <w:t>1</w:t>
      </w:r>
      <w:r>
        <w:rPr>
          <w:b/>
          <w:noProof/>
        </w:rPr>
        <w:fldChar w:fldCharType="end"/>
      </w:r>
      <w:bookmarkEnd w:id="39"/>
      <w:r>
        <w:rPr>
          <w:b/>
          <w:noProof/>
        </w:rPr>
        <w:t>.</w:t>
      </w:r>
      <w:r>
        <w:rPr>
          <w:noProof/>
        </w:rPr>
        <w:t xml:space="preserve"> Decision support tree to identify critical control points in a water re</w:t>
      </w:r>
      <w:r>
        <w:rPr>
          <w:noProof/>
        </w:rPr>
        <w:t>use system.</w:t>
      </w:r>
      <w:bookmarkEnd w:id="40"/>
    </w:p>
    <w:p w:rsidR="00AB50C5" w:rsidRDefault="00724275">
      <w:pPr>
        <w:spacing w:before="360"/>
        <w:jc w:val="center"/>
        <w:rPr>
          <w:rFonts w:eastAsia="Calibri"/>
          <w:noProof/>
          <w:sz w:val="16"/>
          <w:szCs w:val="16"/>
        </w:rPr>
      </w:pPr>
      <w:r>
        <w:rPr>
          <w:i/>
          <w:noProof/>
          <w:sz w:val="16"/>
          <w:szCs w:val="16"/>
        </w:rPr>
        <w:t>Source:</w:t>
      </w:r>
      <w:r>
        <w:rPr>
          <w:noProof/>
          <w:sz w:val="16"/>
          <w:szCs w:val="16"/>
        </w:rPr>
        <w:t xml:space="preserve"> JRC, 2014.</w:t>
      </w:r>
    </w:p>
    <w:p w:rsidR="00AB50C5" w:rsidRDefault="00724275">
      <w:pPr>
        <w:pStyle w:val="JRCText"/>
        <w:rPr>
          <w:rFonts w:ascii="Times New Roman" w:hAnsi="Times New Roman"/>
          <w:noProof/>
          <w:sz w:val="24"/>
          <w:szCs w:val="24"/>
          <w:lang w:val="en-US"/>
        </w:rPr>
      </w:pPr>
      <w:r>
        <w:rPr>
          <w:rFonts w:ascii="Times New Roman" w:hAnsi="Times New Roman"/>
          <w:noProof/>
          <w:sz w:val="24"/>
          <w:szCs w:val="24"/>
          <w:lang w:val="en-US"/>
        </w:rPr>
        <w:t>Critical control points of the water reuse system have to be determined as they are the focus of the operational monitoring. The identification of critical control points is system specific and it can be done by applying a de</w:t>
      </w:r>
      <w:r>
        <w:rPr>
          <w:rFonts w:ascii="Times New Roman" w:hAnsi="Times New Roman"/>
          <w:noProof/>
          <w:sz w:val="24"/>
          <w:szCs w:val="24"/>
          <w:lang w:val="en-US"/>
        </w:rPr>
        <w:t xml:space="preserve">cision tree shown in </w:t>
      </w:r>
      <w:r>
        <w:rPr>
          <w:rFonts w:ascii="Times New Roman" w:hAnsi="Times New Roman"/>
          <w:noProof/>
          <w:sz w:val="24"/>
          <w:szCs w:val="24"/>
          <w:lang w:val="en-US"/>
        </w:rPr>
        <w:fldChar w:fldCharType="begin"/>
      </w:r>
      <w:r>
        <w:rPr>
          <w:rFonts w:ascii="Times New Roman" w:hAnsi="Times New Roman"/>
          <w:noProof/>
          <w:sz w:val="24"/>
          <w:szCs w:val="24"/>
          <w:lang w:val="en-US"/>
        </w:rPr>
        <w:instrText xml:space="preserve"> REF _Ref494112902 \h  \* MERGEFORMAT </w:instrText>
      </w:r>
      <w:r>
        <w:rPr>
          <w:rFonts w:ascii="Times New Roman" w:hAnsi="Times New Roman"/>
          <w:noProof/>
          <w:sz w:val="24"/>
          <w:szCs w:val="24"/>
          <w:lang w:val="en-US"/>
        </w:rPr>
      </w:r>
      <w:r>
        <w:rPr>
          <w:rFonts w:ascii="Times New Roman" w:hAnsi="Times New Roman"/>
          <w:noProof/>
          <w:sz w:val="24"/>
          <w:szCs w:val="24"/>
          <w:lang w:val="en-US"/>
        </w:rPr>
        <w:fldChar w:fldCharType="separate"/>
      </w:r>
      <w:r>
        <w:rPr>
          <w:rFonts w:ascii="Times New Roman" w:hAnsi="Times New Roman"/>
          <w:noProof/>
          <w:sz w:val="24"/>
          <w:szCs w:val="24"/>
        </w:rPr>
        <w:t>Figure 1</w:t>
      </w:r>
      <w:r>
        <w:rPr>
          <w:rFonts w:ascii="Times New Roman" w:hAnsi="Times New Roman"/>
          <w:noProof/>
          <w:sz w:val="24"/>
          <w:szCs w:val="24"/>
          <w:lang w:val="en-US"/>
        </w:rPr>
        <w:fldChar w:fldCharType="end"/>
      </w:r>
      <w:r>
        <w:rPr>
          <w:rFonts w:ascii="Times New Roman" w:hAnsi="Times New Roman"/>
          <w:noProof/>
          <w:sz w:val="24"/>
          <w:szCs w:val="24"/>
          <w:lang w:val="en-US"/>
        </w:rPr>
        <w:t>.</w:t>
      </w:r>
    </w:p>
    <w:p w:rsidR="00AB50C5" w:rsidRDefault="00724275">
      <w:pPr>
        <w:pStyle w:val="CommentText"/>
        <w:rPr>
          <w:noProof/>
          <w:sz w:val="24"/>
          <w:szCs w:val="24"/>
          <w:lang w:val="en-US"/>
        </w:rPr>
      </w:pPr>
      <w:r>
        <w:rPr>
          <w:noProof/>
          <w:sz w:val="24"/>
          <w:szCs w:val="24"/>
          <w:lang w:val="en-US"/>
        </w:rPr>
        <w:t xml:space="preserve">The operational monitoring protocol has to include parameters that can be readily measured and provide an immediate indication of performance of the preventive measures to enable a rapid response (e.g. disinfectant residuals and other disinfection-related </w:t>
      </w:r>
      <w:r>
        <w:rPr>
          <w:noProof/>
          <w:sz w:val="24"/>
          <w:szCs w:val="24"/>
          <w:lang w:val="en-US"/>
        </w:rPr>
        <w:t>parameters). On-line monitoring with real-time data reporting is strongly recommended when technologically feasible (see informative Annex). Operational parameters have to be associated with target limits and critical limits to define effectiveness and det</w:t>
      </w:r>
      <w:r>
        <w:rPr>
          <w:noProof/>
          <w:sz w:val="24"/>
          <w:szCs w:val="24"/>
          <w:lang w:val="en-US"/>
        </w:rPr>
        <w:t xml:space="preserve">ect variations in performance. Observational manual checking of preventive measures is also part of the operational monitoring. </w:t>
      </w:r>
    </w:p>
    <w:p w:rsidR="00AB50C5" w:rsidRDefault="00724275">
      <w:pPr>
        <w:spacing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Operational monitoring protocol has also to include procedures for corrective actions to be implemented when operational parame</w:t>
      </w:r>
      <w:r>
        <w:rPr>
          <w:rFonts w:ascii="Times New Roman" w:hAnsi="Times New Roman" w:cs="Times New Roman"/>
          <w:noProof/>
          <w:sz w:val="24"/>
          <w:szCs w:val="24"/>
          <w:lang w:val="en-US"/>
        </w:rPr>
        <w:t>ters are deviated from the critical limit. Operational monitoring protocols are described in several guidelines (NRMMC-EPHC-AHMC, 2006; WHO, 2006).</w:t>
      </w:r>
    </w:p>
    <w:p w:rsidR="00AB50C5" w:rsidRDefault="00724275">
      <w:pPr>
        <w:pStyle w:val="CommentText"/>
        <w:rPr>
          <w:noProof/>
          <w:sz w:val="24"/>
          <w:szCs w:val="24"/>
          <w:lang w:val="en-US"/>
        </w:rPr>
      </w:pPr>
      <w:r>
        <w:rPr>
          <w:noProof/>
          <w:sz w:val="24"/>
          <w:szCs w:val="24"/>
          <w:lang w:val="en-US" w:eastAsia="en-GB"/>
        </w:rPr>
        <w:t>Examples of operational monitoring requirements for the preventive measure of wastewater treatment processes</w:t>
      </w:r>
      <w:r>
        <w:rPr>
          <w:noProof/>
          <w:sz w:val="24"/>
          <w:szCs w:val="24"/>
          <w:lang w:val="en-US" w:eastAsia="en-GB"/>
        </w:rPr>
        <w:t xml:space="preserve"> are shown in </w:t>
      </w:r>
      <w:r>
        <w:rPr>
          <w:noProof/>
          <w:sz w:val="24"/>
          <w:szCs w:val="24"/>
          <w:lang w:val="en-US" w:eastAsia="en-GB"/>
        </w:rPr>
        <w:fldChar w:fldCharType="begin"/>
      </w:r>
      <w:r>
        <w:rPr>
          <w:noProof/>
          <w:sz w:val="24"/>
          <w:szCs w:val="24"/>
          <w:lang w:val="en-US" w:eastAsia="en-GB"/>
        </w:rPr>
        <w:instrText xml:space="preserve"> REF _Ref494113220 \h  \* MERGEFORMAT </w:instrText>
      </w:r>
      <w:r>
        <w:rPr>
          <w:noProof/>
          <w:sz w:val="24"/>
          <w:szCs w:val="24"/>
          <w:lang w:val="en-US" w:eastAsia="en-GB"/>
        </w:rPr>
      </w:r>
      <w:r>
        <w:rPr>
          <w:noProof/>
          <w:sz w:val="24"/>
          <w:szCs w:val="24"/>
          <w:lang w:val="en-US" w:eastAsia="en-GB"/>
        </w:rPr>
        <w:fldChar w:fldCharType="separate"/>
      </w:r>
      <w:r>
        <w:rPr>
          <w:noProof/>
          <w:sz w:val="24"/>
          <w:szCs w:val="24"/>
        </w:rPr>
        <w:t>Table 1</w:t>
      </w:r>
      <w:r>
        <w:rPr>
          <w:noProof/>
          <w:sz w:val="24"/>
          <w:szCs w:val="24"/>
          <w:lang w:val="en-US" w:eastAsia="en-GB"/>
        </w:rPr>
        <w:fldChar w:fldCharType="end"/>
      </w:r>
      <w:r>
        <w:rPr>
          <w:noProof/>
          <w:sz w:val="24"/>
          <w:szCs w:val="24"/>
          <w:lang w:val="en-US" w:eastAsia="en-GB"/>
        </w:rPr>
        <w:t xml:space="preserve">. </w:t>
      </w:r>
    </w:p>
    <w:p w:rsidR="00AB50C5" w:rsidRDefault="00724275">
      <w:pPr>
        <w:pStyle w:val="JRCTabletitle"/>
        <w:rPr>
          <w:noProof/>
        </w:rPr>
      </w:pPr>
      <w:bookmarkStart w:id="41" w:name="_Ref494113220"/>
      <w:bookmarkStart w:id="42" w:name="_Toc498672381"/>
      <w:r>
        <w:rPr>
          <w:b/>
          <w:noProof/>
        </w:rPr>
        <w:t xml:space="preserve">Table </w:t>
      </w:r>
      <w:r>
        <w:rPr>
          <w:b/>
          <w:noProof/>
        </w:rPr>
        <w:fldChar w:fldCharType="begin"/>
      </w:r>
      <w:r>
        <w:rPr>
          <w:b/>
          <w:noProof/>
        </w:rPr>
        <w:instrText xml:space="preserve"> SEQ Table \* ARABIC </w:instrText>
      </w:r>
      <w:r>
        <w:rPr>
          <w:b/>
          <w:noProof/>
        </w:rPr>
        <w:fldChar w:fldCharType="separate"/>
      </w:r>
      <w:r>
        <w:rPr>
          <w:b/>
          <w:noProof/>
        </w:rPr>
        <w:t>1</w:t>
      </w:r>
      <w:r>
        <w:rPr>
          <w:b/>
          <w:noProof/>
        </w:rPr>
        <w:fldChar w:fldCharType="end"/>
      </w:r>
      <w:bookmarkEnd w:id="41"/>
      <w:r>
        <w:rPr>
          <w:noProof/>
        </w:rPr>
        <w:t>. Examples of operational monitoring for several treatment processes.</w:t>
      </w:r>
      <w:bookmarkEnd w:id="42"/>
    </w:p>
    <w:tbl>
      <w:tblPr>
        <w:tblStyle w:val="LightList-Accent11"/>
        <w:tblW w:w="9620" w:type="dxa"/>
        <w:jc w:val="center"/>
        <w:tblLayout w:type="fixed"/>
        <w:tblLook w:val="04A0" w:firstRow="1" w:lastRow="0" w:firstColumn="1" w:lastColumn="0" w:noHBand="0" w:noVBand="1"/>
      </w:tblPr>
      <w:tblGrid>
        <w:gridCol w:w="3050"/>
        <w:gridCol w:w="3330"/>
        <w:gridCol w:w="3240"/>
      </w:tblGrid>
      <w:tr w:rsidR="00AB50C5" w:rsidTr="00AB50C5">
        <w:trPr>
          <w:cnfStyle w:val="100000000000" w:firstRow="1" w:lastRow="0" w:firstColumn="0" w:lastColumn="0" w:oddVBand="0" w:evenVBand="0" w:oddHBand="0" w:evenHBand="0" w:firstRowFirstColumn="0" w:firstRowLastColumn="0" w:lastRowFirstColumn="0" w:lastRowLastColumn="0"/>
          <w:trHeight w:val="423"/>
          <w:tblHeader/>
          <w:jc w:val="center"/>
        </w:trPr>
        <w:tc>
          <w:tcPr>
            <w:cnfStyle w:val="001000000000" w:firstRow="0" w:lastRow="0" w:firstColumn="1" w:lastColumn="0" w:oddVBand="0" w:evenVBand="0" w:oddHBand="0" w:evenHBand="0" w:firstRowFirstColumn="0" w:firstRowLastColumn="0" w:lastRowFirstColumn="0" w:lastRowLastColumn="0"/>
            <w:tcW w:w="3050" w:type="dxa"/>
          </w:tcPr>
          <w:p w:rsidR="00AB50C5" w:rsidRDefault="00724275">
            <w:pPr>
              <w:spacing w:line="210" w:lineRule="exact"/>
              <w:jc w:val="left"/>
              <w:rPr>
                <w:noProof/>
                <w:sz w:val="16"/>
                <w:szCs w:val="16"/>
                <w:lang w:val="en-US" w:eastAsia="it-IT"/>
              </w:rPr>
            </w:pPr>
            <w:r>
              <w:rPr>
                <w:noProof/>
                <w:sz w:val="16"/>
                <w:szCs w:val="16"/>
                <w:lang w:val="en-US" w:eastAsia="it-IT"/>
              </w:rPr>
              <w:t>Treatment process</w:t>
            </w:r>
          </w:p>
        </w:tc>
        <w:tc>
          <w:tcPr>
            <w:tcW w:w="3330" w:type="dxa"/>
          </w:tcPr>
          <w:p w:rsidR="00AB50C5" w:rsidRDefault="00724275">
            <w:pPr>
              <w:spacing w:line="210" w:lineRule="exact"/>
              <w:ind w:right="113"/>
              <w:cnfStyle w:val="100000000000" w:firstRow="1" w:lastRow="0" w:firstColumn="0" w:lastColumn="0" w:oddVBand="0" w:evenVBand="0" w:oddHBand="0" w:evenHBand="0" w:firstRowFirstColumn="0" w:firstRowLastColumn="0" w:lastRowFirstColumn="0" w:lastRowLastColumn="0"/>
              <w:rPr>
                <w:noProof/>
                <w:sz w:val="16"/>
                <w:szCs w:val="16"/>
                <w:lang w:val="en-US" w:eastAsia="it-IT"/>
              </w:rPr>
            </w:pPr>
            <w:r>
              <w:rPr>
                <w:noProof/>
                <w:sz w:val="16"/>
                <w:szCs w:val="16"/>
                <w:lang w:val="en-US" w:eastAsia="it-IT"/>
              </w:rPr>
              <w:t>Operational monitoring</w:t>
            </w:r>
          </w:p>
        </w:tc>
        <w:tc>
          <w:tcPr>
            <w:tcW w:w="3240" w:type="dxa"/>
          </w:tcPr>
          <w:p w:rsidR="00AB50C5" w:rsidRDefault="00724275">
            <w:pPr>
              <w:spacing w:line="210" w:lineRule="exact"/>
              <w:cnfStyle w:val="100000000000" w:firstRow="1" w:lastRow="0" w:firstColumn="0" w:lastColumn="0" w:oddVBand="0" w:evenVBand="0" w:oddHBand="0" w:evenHBand="0" w:firstRowFirstColumn="0" w:firstRowLastColumn="0" w:lastRowFirstColumn="0" w:lastRowLastColumn="0"/>
              <w:rPr>
                <w:noProof/>
                <w:sz w:val="16"/>
                <w:szCs w:val="16"/>
                <w:lang w:val="en-US" w:eastAsia="it-IT"/>
              </w:rPr>
            </w:pPr>
            <w:r>
              <w:rPr>
                <w:noProof/>
                <w:sz w:val="16"/>
                <w:szCs w:val="16"/>
                <w:lang w:val="en-US" w:eastAsia="it-IT"/>
              </w:rPr>
              <w:t>Indicative frequency</w:t>
            </w:r>
          </w:p>
        </w:tc>
      </w:tr>
      <w:tr w:rsidR="00AB50C5" w:rsidTr="00AB50C5">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050" w:type="dxa"/>
          </w:tcPr>
          <w:p w:rsidR="00AB50C5" w:rsidRDefault="00724275">
            <w:pPr>
              <w:spacing w:line="210" w:lineRule="exact"/>
              <w:jc w:val="left"/>
              <w:rPr>
                <w:noProof/>
                <w:sz w:val="16"/>
                <w:szCs w:val="16"/>
                <w:lang w:val="en-US" w:eastAsia="it-IT"/>
              </w:rPr>
            </w:pPr>
            <w:r>
              <w:rPr>
                <w:noProof/>
                <w:sz w:val="16"/>
                <w:szCs w:val="16"/>
                <w:lang w:val="en-US" w:eastAsia="it-IT"/>
              </w:rPr>
              <w:t>Secondary treatment (activated sludge)</w:t>
            </w:r>
          </w:p>
          <w:p w:rsidR="00AB50C5" w:rsidRDefault="00AB50C5">
            <w:pPr>
              <w:spacing w:line="210" w:lineRule="exact"/>
              <w:jc w:val="left"/>
              <w:rPr>
                <w:noProof/>
                <w:sz w:val="16"/>
                <w:szCs w:val="16"/>
                <w:lang w:val="en-US" w:eastAsia="it-IT"/>
              </w:rPr>
            </w:pPr>
          </w:p>
        </w:tc>
        <w:tc>
          <w:tcPr>
            <w:tcW w:w="3330" w:type="dxa"/>
          </w:tcPr>
          <w:p w:rsidR="00AB50C5" w:rsidRDefault="00724275">
            <w:pPr>
              <w:spacing w:line="210" w:lineRule="exact"/>
              <w:jc w:val="left"/>
              <w:cnfStyle w:val="000000100000" w:firstRow="0" w:lastRow="0" w:firstColumn="0" w:lastColumn="0" w:oddVBand="0" w:evenVBand="0" w:oddHBand="1" w:evenHBand="0" w:firstRowFirstColumn="0" w:firstRowLastColumn="0" w:lastRowFirstColumn="0" w:lastRowLastColumn="0"/>
              <w:rPr>
                <w:noProof/>
                <w:sz w:val="16"/>
                <w:szCs w:val="16"/>
                <w:lang w:val="en-US" w:eastAsia="it-IT"/>
              </w:rPr>
            </w:pPr>
            <w:r>
              <w:rPr>
                <w:noProof/>
                <w:sz w:val="16"/>
                <w:szCs w:val="16"/>
                <w:lang w:val="en-US" w:eastAsia="it-IT"/>
              </w:rPr>
              <w:t>Flow rate</w:t>
            </w:r>
          </w:p>
          <w:p w:rsidR="00AB50C5" w:rsidRDefault="00724275">
            <w:pPr>
              <w:spacing w:line="210" w:lineRule="exact"/>
              <w:jc w:val="left"/>
              <w:cnfStyle w:val="000000100000" w:firstRow="0" w:lastRow="0" w:firstColumn="0" w:lastColumn="0" w:oddVBand="0" w:evenVBand="0" w:oddHBand="1" w:evenHBand="0" w:firstRowFirstColumn="0" w:firstRowLastColumn="0" w:lastRowFirstColumn="0" w:lastRowLastColumn="0"/>
              <w:rPr>
                <w:noProof/>
                <w:sz w:val="16"/>
                <w:szCs w:val="16"/>
                <w:lang w:val="en-US" w:eastAsia="it-IT"/>
              </w:rPr>
            </w:pPr>
            <w:r>
              <w:rPr>
                <w:noProof/>
                <w:sz w:val="16"/>
                <w:szCs w:val="16"/>
                <w:lang w:val="en-US" w:eastAsia="it-IT"/>
              </w:rPr>
              <w:t>Nitrate, nitrites</w:t>
            </w:r>
          </w:p>
          <w:p w:rsidR="00AB50C5" w:rsidRDefault="00724275">
            <w:pPr>
              <w:spacing w:line="210" w:lineRule="exact"/>
              <w:jc w:val="left"/>
              <w:cnfStyle w:val="000000100000" w:firstRow="0" w:lastRow="0" w:firstColumn="0" w:lastColumn="0" w:oddVBand="0" w:evenVBand="0" w:oddHBand="1" w:evenHBand="0" w:firstRowFirstColumn="0" w:firstRowLastColumn="0" w:lastRowFirstColumn="0" w:lastRowLastColumn="0"/>
              <w:rPr>
                <w:noProof/>
                <w:sz w:val="16"/>
                <w:szCs w:val="16"/>
                <w:lang w:val="en-US" w:eastAsia="it-IT"/>
              </w:rPr>
            </w:pPr>
            <w:r>
              <w:rPr>
                <w:noProof/>
                <w:sz w:val="16"/>
                <w:szCs w:val="16"/>
                <w:lang w:val="en-US" w:eastAsia="it-IT"/>
              </w:rPr>
              <w:t>BOD</w:t>
            </w:r>
            <w:r>
              <w:rPr>
                <w:noProof/>
                <w:sz w:val="16"/>
                <w:szCs w:val="16"/>
                <w:vertAlign w:val="subscript"/>
                <w:lang w:val="en-US" w:eastAsia="it-IT"/>
              </w:rPr>
              <w:t>5</w:t>
            </w:r>
          </w:p>
          <w:p w:rsidR="00AB50C5" w:rsidRDefault="00724275">
            <w:pPr>
              <w:spacing w:line="210" w:lineRule="exact"/>
              <w:jc w:val="left"/>
              <w:cnfStyle w:val="000000100000" w:firstRow="0" w:lastRow="0" w:firstColumn="0" w:lastColumn="0" w:oddVBand="0" w:evenVBand="0" w:oddHBand="1" w:evenHBand="0" w:firstRowFirstColumn="0" w:firstRowLastColumn="0" w:lastRowFirstColumn="0" w:lastRowLastColumn="0"/>
              <w:rPr>
                <w:noProof/>
                <w:sz w:val="16"/>
                <w:szCs w:val="16"/>
                <w:lang w:val="en-US" w:eastAsia="it-IT"/>
              </w:rPr>
            </w:pPr>
            <w:r>
              <w:rPr>
                <w:noProof/>
                <w:sz w:val="16"/>
                <w:szCs w:val="16"/>
                <w:lang w:val="en-US" w:eastAsia="it-IT"/>
              </w:rPr>
              <w:t>Suspended solids, solids retention time</w:t>
            </w:r>
          </w:p>
          <w:p w:rsidR="00AB50C5" w:rsidRDefault="00724275">
            <w:pPr>
              <w:spacing w:line="210" w:lineRule="exact"/>
              <w:jc w:val="left"/>
              <w:cnfStyle w:val="000000100000" w:firstRow="0" w:lastRow="0" w:firstColumn="0" w:lastColumn="0" w:oddVBand="0" w:evenVBand="0" w:oddHBand="1" w:evenHBand="0" w:firstRowFirstColumn="0" w:firstRowLastColumn="0" w:lastRowFirstColumn="0" w:lastRowLastColumn="0"/>
              <w:rPr>
                <w:noProof/>
                <w:sz w:val="16"/>
                <w:szCs w:val="16"/>
                <w:lang w:val="en-US" w:eastAsia="it-IT"/>
              </w:rPr>
            </w:pPr>
            <w:r>
              <w:rPr>
                <w:noProof/>
                <w:sz w:val="16"/>
                <w:szCs w:val="16"/>
                <w:lang w:val="en-US" w:eastAsia="it-IT"/>
              </w:rPr>
              <w:t>Dissolved oxygen</w:t>
            </w:r>
          </w:p>
          <w:p w:rsidR="00AB50C5" w:rsidRDefault="00724275">
            <w:pPr>
              <w:spacing w:line="210" w:lineRule="exact"/>
              <w:jc w:val="left"/>
              <w:cnfStyle w:val="000000100000" w:firstRow="0" w:lastRow="0" w:firstColumn="0" w:lastColumn="0" w:oddVBand="0" w:evenVBand="0" w:oddHBand="1" w:evenHBand="0" w:firstRowFirstColumn="0" w:firstRowLastColumn="0" w:lastRowFirstColumn="0" w:lastRowLastColumn="0"/>
              <w:rPr>
                <w:noProof/>
                <w:sz w:val="16"/>
                <w:szCs w:val="16"/>
                <w:lang w:val="en-US" w:eastAsia="it-IT"/>
              </w:rPr>
            </w:pPr>
            <w:r>
              <w:rPr>
                <w:noProof/>
                <w:sz w:val="16"/>
                <w:szCs w:val="16"/>
                <w:lang w:val="en-US" w:eastAsia="it-IT"/>
              </w:rPr>
              <w:t>Hydraulic retention time</w:t>
            </w:r>
          </w:p>
        </w:tc>
        <w:tc>
          <w:tcPr>
            <w:tcW w:w="3240" w:type="dxa"/>
          </w:tcPr>
          <w:p w:rsidR="00AB50C5" w:rsidRDefault="00724275">
            <w:pPr>
              <w:spacing w:line="210" w:lineRule="exact"/>
              <w:cnfStyle w:val="000000100000" w:firstRow="0" w:lastRow="0" w:firstColumn="0" w:lastColumn="0" w:oddVBand="0" w:evenVBand="0" w:oddHBand="1" w:evenHBand="0" w:firstRowFirstColumn="0" w:firstRowLastColumn="0" w:lastRowFirstColumn="0" w:lastRowLastColumn="0"/>
              <w:rPr>
                <w:noProof/>
                <w:sz w:val="16"/>
                <w:szCs w:val="16"/>
                <w:lang w:val="en-US"/>
              </w:rPr>
            </w:pPr>
            <w:r>
              <w:rPr>
                <w:noProof/>
                <w:sz w:val="16"/>
                <w:szCs w:val="16"/>
                <w:lang w:val="en-US"/>
              </w:rPr>
              <w:t>Continuous (on-line) for flow rate, dissolved oxygen</w:t>
            </w:r>
          </w:p>
          <w:p w:rsidR="00AB50C5" w:rsidRDefault="00724275">
            <w:pPr>
              <w:spacing w:line="210" w:lineRule="exact"/>
              <w:cnfStyle w:val="000000100000" w:firstRow="0" w:lastRow="0" w:firstColumn="0" w:lastColumn="0" w:oddVBand="0" w:evenVBand="0" w:oddHBand="1" w:evenHBand="0" w:firstRowFirstColumn="0" w:firstRowLastColumn="0" w:lastRowFirstColumn="0" w:lastRowLastColumn="0"/>
              <w:rPr>
                <w:noProof/>
                <w:sz w:val="16"/>
                <w:szCs w:val="16"/>
                <w:lang w:val="en-US" w:eastAsia="it-IT"/>
              </w:rPr>
            </w:pPr>
            <w:r>
              <w:rPr>
                <w:noProof/>
                <w:sz w:val="16"/>
                <w:szCs w:val="16"/>
              </w:rPr>
              <w:t>Wee</w:t>
            </w:r>
            <w:r>
              <w:rPr>
                <w:noProof/>
                <w:sz w:val="16"/>
                <w:szCs w:val="16"/>
              </w:rPr>
              <w:t>kly for other parameters</w:t>
            </w:r>
          </w:p>
        </w:tc>
      </w:tr>
      <w:tr w:rsidR="00AB50C5" w:rsidTr="00AB50C5">
        <w:trPr>
          <w:trHeight w:val="397"/>
          <w:jc w:val="center"/>
        </w:trPr>
        <w:tc>
          <w:tcPr>
            <w:cnfStyle w:val="001000000000" w:firstRow="0" w:lastRow="0" w:firstColumn="1" w:lastColumn="0" w:oddVBand="0" w:evenVBand="0" w:oddHBand="0" w:evenHBand="0" w:firstRowFirstColumn="0" w:firstRowLastColumn="0" w:lastRowFirstColumn="0" w:lastRowLastColumn="0"/>
            <w:tcW w:w="3050" w:type="dxa"/>
          </w:tcPr>
          <w:p w:rsidR="00AB50C5" w:rsidRDefault="00724275">
            <w:pPr>
              <w:spacing w:line="210" w:lineRule="exact"/>
              <w:jc w:val="left"/>
              <w:rPr>
                <w:noProof/>
                <w:sz w:val="16"/>
                <w:szCs w:val="16"/>
                <w:lang w:val="en-US" w:eastAsia="it-IT"/>
              </w:rPr>
            </w:pPr>
            <w:r>
              <w:rPr>
                <w:noProof/>
                <w:sz w:val="16"/>
                <w:szCs w:val="16"/>
                <w:lang w:val="en-US" w:eastAsia="it-IT"/>
              </w:rPr>
              <w:t>Low-rate biological systems (stabilization ponds)</w:t>
            </w:r>
          </w:p>
        </w:tc>
        <w:tc>
          <w:tcPr>
            <w:tcW w:w="3330" w:type="dxa"/>
          </w:tcPr>
          <w:p w:rsidR="00AB50C5" w:rsidRDefault="00724275">
            <w:pPr>
              <w:spacing w:line="210" w:lineRule="exact"/>
              <w:jc w:val="left"/>
              <w:cnfStyle w:val="000000000000" w:firstRow="0" w:lastRow="0" w:firstColumn="0" w:lastColumn="0" w:oddVBand="0" w:evenVBand="0" w:oddHBand="0" w:evenHBand="0" w:firstRowFirstColumn="0" w:firstRowLastColumn="0" w:lastRowFirstColumn="0" w:lastRowLastColumn="0"/>
              <w:rPr>
                <w:noProof/>
                <w:sz w:val="16"/>
                <w:szCs w:val="16"/>
                <w:lang w:val="en-US" w:eastAsia="it-IT"/>
              </w:rPr>
            </w:pPr>
            <w:r>
              <w:rPr>
                <w:noProof/>
                <w:sz w:val="16"/>
                <w:szCs w:val="16"/>
                <w:lang w:val="en-US" w:eastAsia="it-IT"/>
              </w:rPr>
              <w:t>Flow rate</w:t>
            </w:r>
          </w:p>
          <w:p w:rsidR="00AB50C5" w:rsidRDefault="00724275">
            <w:pPr>
              <w:spacing w:line="210" w:lineRule="exact"/>
              <w:jc w:val="left"/>
              <w:cnfStyle w:val="000000000000" w:firstRow="0" w:lastRow="0" w:firstColumn="0" w:lastColumn="0" w:oddVBand="0" w:evenVBand="0" w:oddHBand="0" w:evenHBand="0" w:firstRowFirstColumn="0" w:firstRowLastColumn="0" w:lastRowFirstColumn="0" w:lastRowLastColumn="0"/>
              <w:rPr>
                <w:noProof/>
                <w:sz w:val="16"/>
                <w:szCs w:val="16"/>
                <w:lang w:val="en-US" w:eastAsia="it-IT"/>
              </w:rPr>
            </w:pPr>
            <w:r>
              <w:rPr>
                <w:noProof/>
                <w:sz w:val="16"/>
                <w:szCs w:val="16"/>
                <w:lang w:val="en-US" w:eastAsia="it-IT"/>
              </w:rPr>
              <w:t>BOD</w:t>
            </w:r>
            <w:r>
              <w:rPr>
                <w:noProof/>
                <w:sz w:val="16"/>
                <w:szCs w:val="16"/>
                <w:vertAlign w:val="subscript"/>
                <w:lang w:val="en-US" w:eastAsia="it-IT"/>
              </w:rPr>
              <w:t>5</w:t>
            </w:r>
            <w:r>
              <w:rPr>
                <w:noProof/>
                <w:sz w:val="16"/>
                <w:szCs w:val="16"/>
                <w:lang w:val="en-US" w:eastAsia="it-IT"/>
              </w:rPr>
              <w:t>, (facultative and maturation ponds)</w:t>
            </w:r>
          </w:p>
          <w:p w:rsidR="00AB50C5" w:rsidRDefault="00724275">
            <w:pPr>
              <w:spacing w:line="210" w:lineRule="exact"/>
              <w:jc w:val="left"/>
              <w:cnfStyle w:val="000000000000" w:firstRow="0" w:lastRow="0" w:firstColumn="0" w:lastColumn="0" w:oddVBand="0" w:evenVBand="0" w:oddHBand="0" w:evenHBand="0" w:firstRowFirstColumn="0" w:firstRowLastColumn="0" w:lastRowFirstColumn="0" w:lastRowLastColumn="0"/>
              <w:rPr>
                <w:noProof/>
                <w:sz w:val="16"/>
                <w:szCs w:val="16"/>
                <w:lang w:val="en-US" w:eastAsia="it-IT"/>
              </w:rPr>
            </w:pPr>
            <w:r>
              <w:rPr>
                <w:noProof/>
                <w:sz w:val="16"/>
                <w:szCs w:val="16"/>
                <w:lang w:val="en-US" w:eastAsia="it-IT"/>
              </w:rPr>
              <w:t>Algal levels</w:t>
            </w:r>
          </w:p>
        </w:tc>
        <w:tc>
          <w:tcPr>
            <w:tcW w:w="3240" w:type="dxa"/>
          </w:tcPr>
          <w:p w:rsidR="00AB50C5" w:rsidRDefault="00724275">
            <w:pPr>
              <w:spacing w:line="210" w:lineRule="exact"/>
              <w:cnfStyle w:val="000000000000" w:firstRow="0" w:lastRow="0" w:firstColumn="0" w:lastColumn="0" w:oddVBand="0" w:evenVBand="0" w:oddHBand="0" w:evenHBand="0" w:firstRowFirstColumn="0" w:firstRowLastColumn="0" w:lastRowFirstColumn="0" w:lastRowLastColumn="0"/>
              <w:rPr>
                <w:noProof/>
                <w:sz w:val="16"/>
                <w:szCs w:val="16"/>
                <w:lang w:val="en-US"/>
              </w:rPr>
            </w:pPr>
            <w:r>
              <w:rPr>
                <w:noProof/>
                <w:sz w:val="16"/>
                <w:szCs w:val="16"/>
                <w:lang w:val="en-US"/>
              </w:rPr>
              <w:t xml:space="preserve">Continuous (on-line) for flow rate </w:t>
            </w:r>
          </w:p>
          <w:p w:rsidR="00AB50C5" w:rsidRDefault="00724275">
            <w:pPr>
              <w:spacing w:line="210" w:lineRule="exact"/>
              <w:cnfStyle w:val="000000000000" w:firstRow="0" w:lastRow="0" w:firstColumn="0" w:lastColumn="0" w:oddVBand="0" w:evenVBand="0" w:oddHBand="0" w:evenHBand="0" w:firstRowFirstColumn="0" w:firstRowLastColumn="0" w:lastRowFirstColumn="0" w:lastRowLastColumn="0"/>
              <w:rPr>
                <w:noProof/>
                <w:sz w:val="16"/>
                <w:szCs w:val="16"/>
                <w:lang w:val="en-US"/>
              </w:rPr>
            </w:pPr>
            <w:r>
              <w:rPr>
                <w:noProof/>
                <w:sz w:val="16"/>
                <w:szCs w:val="16"/>
              </w:rPr>
              <w:t>Weekly for other parameters</w:t>
            </w:r>
          </w:p>
        </w:tc>
      </w:tr>
      <w:tr w:rsidR="00AB50C5" w:rsidTr="00AB50C5">
        <w:trPr>
          <w:cnfStyle w:val="000000100000" w:firstRow="0" w:lastRow="0" w:firstColumn="0" w:lastColumn="0" w:oddVBand="0" w:evenVBand="0" w:oddHBand="1" w:evenHBand="0" w:firstRowFirstColumn="0" w:firstRowLastColumn="0" w:lastRowFirstColumn="0" w:lastRowLastColumn="0"/>
          <w:trHeight w:val="693"/>
          <w:jc w:val="center"/>
        </w:trPr>
        <w:tc>
          <w:tcPr>
            <w:cnfStyle w:val="001000000000" w:firstRow="0" w:lastRow="0" w:firstColumn="1" w:lastColumn="0" w:oddVBand="0" w:evenVBand="0" w:oddHBand="0" w:evenHBand="0" w:firstRowFirstColumn="0" w:firstRowLastColumn="0" w:lastRowFirstColumn="0" w:lastRowLastColumn="0"/>
            <w:tcW w:w="3050" w:type="dxa"/>
          </w:tcPr>
          <w:p w:rsidR="00AB50C5" w:rsidRDefault="00724275">
            <w:pPr>
              <w:spacing w:line="210" w:lineRule="exact"/>
              <w:jc w:val="left"/>
              <w:rPr>
                <w:noProof/>
                <w:sz w:val="16"/>
                <w:szCs w:val="16"/>
                <w:lang w:val="en-US" w:eastAsia="it-IT"/>
              </w:rPr>
            </w:pPr>
            <w:r>
              <w:rPr>
                <w:noProof/>
                <w:sz w:val="16"/>
                <w:szCs w:val="16"/>
                <w:lang w:val="en-US" w:eastAsia="it-IT"/>
              </w:rPr>
              <w:t>Soil-aquifer treatment</w:t>
            </w:r>
          </w:p>
        </w:tc>
        <w:tc>
          <w:tcPr>
            <w:tcW w:w="3330" w:type="dxa"/>
          </w:tcPr>
          <w:p w:rsidR="00AB50C5" w:rsidRDefault="00724275">
            <w:pPr>
              <w:spacing w:line="210" w:lineRule="exact"/>
              <w:jc w:val="left"/>
              <w:cnfStyle w:val="000000100000" w:firstRow="0" w:lastRow="0" w:firstColumn="0" w:lastColumn="0" w:oddVBand="0" w:evenVBand="0" w:oddHBand="1" w:evenHBand="0" w:firstRowFirstColumn="0" w:firstRowLastColumn="0" w:lastRowFirstColumn="0" w:lastRowLastColumn="0"/>
              <w:rPr>
                <w:noProof/>
                <w:sz w:val="16"/>
                <w:szCs w:val="16"/>
                <w:lang w:val="en-US"/>
              </w:rPr>
            </w:pPr>
            <w:r>
              <w:rPr>
                <w:noProof/>
                <w:sz w:val="16"/>
                <w:szCs w:val="16"/>
                <w:lang w:val="en-US"/>
              </w:rPr>
              <w:t>Flow rate</w:t>
            </w:r>
          </w:p>
          <w:p w:rsidR="00AB50C5" w:rsidRDefault="00724275">
            <w:pPr>
              <w:spacing w:line="210" w:lineRule="exact"/>
              <w:jc w:val="left"/>
              <w:cnfStyle w:val="000000100000" w:firstRow="0" w:lastRow="0" w:firstColumn="0" w:lastColumn="0" w:oddVBand="0" w:evenVBand="0" w:oddHBand="1" w:evenHBand="0" w:firstRowFirstColumn="0" w:firstRowLastColumn="0" w:lastRowFirstColumn="0" w:lastRowLastColumn="0"/>
              <w:rPr>
                <w:noProof/>
                <w:sz w:val="16"/>
                <w:szCs w:val="16"/>
                <w:lang w:val="en-US"/>
              </w:rPr>
            </w:pPr>
            <w:r>
              <w:rPr>
                <w:noProof/>
                <w:sz w:val="16"/>
                <w:szCs w:val="16"/>
                <w:lang w:val="en-US"/>
              </w:rPr>
              <w:t xml:space="preserve">Total Organic </w:t>
            </w:r>
            <w:r>
              <w:rPr>
                <w:noProof/>
                <w:sz w:val="16"/>
                <w:szCs w:val="16"/>
                <w:lang w:val="en-US"/>
              </w:rPr>
              <w:t>Carbon (TOC)</w:t>
            </w:r>
          </w:p>
          <w:p w:rsidR="00AB50C5" w:rsidRDefault="00724275">
            <w:pPr>
              <w:spacing w:line="210" w:lineRule="exact"/>
              <w:jc w:val="left"/>
              <w:cnfStyle w:val="000000100000" w:firstRow="0" w:lastRow="0" w:firstColumn="0" w:lastColumn="0" w:oddVBand="0" w:evenVBand="0" w:oddHBand="1" w:evenHBand="0" w:firstRowFirstColumn="0" w:firstRowLastColumn="0" w:lastRowFirstColumn="0" w:lastRowLastColumn="0"/>
              <w:rPr>
                <w:noProof/>
                <w:sz w:val="16"/>
                <w:szCs w:val="16"/>
                <w:lang w:val="en-US" w:eastAsia="it-IT"/>
              </w:rPr>
            </w:pPr>
            <w:r>
              <w:rPr>
                <w:noProof/>
                <w:sz w:val="16"/>
                <w:szCs w:val="16"/>
                <w:lang w:val="en-US"/>
              </w:rPr>
              <w:t>Total Nitrogen, nitrates, nitrites</w:t>
            </w:r>
          </w:p>
        </w:tc>
        <w:tc>
          <w:tcPr>
            <w:tcW w:w="3240" w:type="dxa"/>
          </w:tcPr>
          <w:p w:rsidR="00AB50C5" w:rsidRDefault="00724275">
            <w:pPr>
              <w:spacing w:line="210" w:lineRule="exact"/>
              <w:cnfStyle w:val="000000100000" w:firstRow="0" w:lastRow="0" w:firstColumn="0" w:lastColumn="0" w:oddVBand="0" w:evenVBand="0" w:oddHBand="1" w:evenHBand="0" w:firstRowFirstColumn="0" w:firstRowLastColumn="0" w:lastRowFirstColumn="0" w:lastRowLastColumn="0"/>
              <w:rPr>
                <w:noProof/>
                <w:sz w:val="16"/>
                <w:szCs w:val="16"/>
                <w:lang w:val="en-US"/>
              </w:rPr>
            </w:pPr>
            <w:r>
              <w:rPr>
                <w:noProof/>
                <w:sz w:val="16"/>
                <w:szCs w:val="16"/>
                <w:lang w:val="en-US"/>
              </w:rPr>
              <w:t>Continuous (on-line)</w:t>
            </w:r>
          </w:p>
          <w:p w:rsidR="00AB50C5" w:rsidRDefault="00724275">
            <w:pPr>
              <w:spacing w:line="210" w:lineRule="exact"/>
              <w:cnfStyle w:val="000000100000" w:firstRow="0" w:lastRow="0" w:firstColumn="0" w:lastColumn="0" w:oddVBand="0" w:evenVBand="0" w:oddHBand="1" w:evenHBand="0" w:firstRowFirstColumn="0" w:firstRowLastColumn="0" w:lastRowFirstColumn="0" w:lastRowLastColumn="0"/>
              <w:rPr>
                <w:noProof/>
                <w:sz w:val="16"/>
                <w:szCs w:val="16"/>
                <w:lang w:val="en-US"/>
              </w:rPr>
            </w:pPr>
            <w:r>
              <w:rPr>
                <w:noProof/>
                <w:sz w:val="16"/>
                <w:szCs w:val="16"/>
                <w:lang w:val="en-US"/>
              </w:rPr>
              <w:t>Weekly for other parameters</w:t>
            </w:r>
          </w:p>
          <w:p w:rsidR="00AB50C5" w:rsidRDefault="00AB50C5">
            <w:pPr>
              <w:spacing w:line="210" w:lineRule="exact"/>
              <w:cnfStyle w:val="000000100000" w:firstRow="0" w:lastRow="0" w:firstColumn="0" w:lastColumn="0" w:oddVBand="0" w:evenVBand="0" w:oddHBand="1" w:evenHBand="0" w:firstRowFirstColumn="0" w:firstRowLastColumn="0" w:lastRowFirstColumn="0" w:lastRowLastColumn="0"/>
              <w:rPr>
                <w:noProof/>
                <w:sz w:val="16"/>
                <w:szCs w:val="16"/>
                <w:lang w:val="en-US"/>
              </w:rPr>
            </w:pPr>
          </w:p>
        </w:tc>
      </w:tr>
      <w:tr w:rsidR="00AB50C5" w:rsidTr="00AB50C5">
        <w:trPr>
          <w:trHeight w:val="540"/>
          <w:jc w:val="center"/>
        </w:trPr>
        <w:tc>
          <w:tcPr>
            <w:cnfStyle w:val="001000000000" w:firstRow="0" w:lastRow="0" w:firstColumn="1" w:lastColumn="0" w:oddVBand="0" w:evenVBand="0" w:oddHBand="0" w:evenHBand="0" w:firstRowFirstColumn="0" w:firstRowLastColumn="0" w:lastRowFirstColumn="0" w:lastRowLastColumn="0"/>
            <w:tcW w:w="3050" w:type="dxa"/>
          </w:tcPr>
          <w:p w:rsidR="00AB50C5" w:rsidRDefault="00724275">
            <w:pPr>
              <w:spacing w:line="210" w:lineRule="exact"/>
              <w:jc w:val="left"/>
              <w:rPr>
                <w:noProof/>
                <w:sz w:val="16"/>
                <w:szCs w:val="16"/>
                <w:lang w:val="en-US" w:eastAsia="it-IT"/>
              </w:rPr>
            </w:pPr>
            <w:r>
              <w:rPr>
                <w:noProof/>
                <w:sz w:val="16"/>
                <w:szCs w:val="16"/>
                <w:lang w:val="en-US" w:eastAsia="it-IT"/>
              </w:rPr>
              <w:t>Media filtration system</w:t>
            </w:r>
          </w:p>
        </w:tc>
        <w:tc>
          <w:tcPr>
            <w:tcW w:w="3330" w:type="dxa"/>
          </w:tcPr>
          <w:p w:rsidR="00AB50C5" w:rsidRDefault="00724275">
            <w:pPr>
              <w:spacing w:line="210" w:lineRule="exact"/>
              <w:jc w:val="left"/>
              <w:cnfStyle w:val="000000000000" w:firstRow="0" w:lastRow="0" w:firstColumn="0" w:lastColumn="0" w:oddVBand="0" w:evenVBand="0" w:oddHBand="0" w:evenHBand="0" w:firstRowFirstColumn="0" w:firstRowLastColumn="0" w:lastRowFirstColumn="0" w:lastRowLastColumn="0"/>
              <w:rPr>
                <w:noProof/>
                <w:sz w:val="16"/>
                <w:szCs w:val="16"/>
                <w:lang w:val="en-US" w:eastAsia="it-IT"/>
              </w:rPr>
            </w:pPr>
            <w:r>
              <w:rPr>
                <w:noProof/>
                <w:sz w:val="16"/>
                <w:szCs w:val="16"/>
                <w:lang w:val="en-US" w:eastAsia="it-IT"/>
              </w:rPr>
              <w:t>Flow rate</w:t>
            </w:r>
          </w:p>
          <w:p w:rsidR="00AB50C5" w:rsidRDefault="00724275">
            <w:pPr>
              <w:spacing w:line="210" w:lineRule="exact"/>
              <w:jc w:val="left"/>
              <w:cnfStyle w:val="000000000000" w:firstRow="0" w:lastRow="0" w:firstColumn="0" w:lastColumn="0" w:oddVBand="0" w:evenVBand="0" w:oddHBand="0" w:evenHBand="0" w:firstRowFirstColumn="0" w:firstRowLastColumn="0" w:lastRowFirstColumn="0" w:lastRowLastColumn="0"/>
              <w:rPr>
                <w:noProof/>
                <w:sz w:val="16"/>
                <w:szCs w:val="16"/>
                <w:lang w:val="en-US" w:eastAsia="it-IT"/>
              </w:rPr>
            </w:pPr>
            <w:r>
              <w:rPr>
                <w:noProof/>
                <w:sz w:val="16"/>
                <w:szCs w:val="16"/>
                <w:lang w:val="en-US" w:eastAsia="it-IT"/>
              </w:rPr>
              <w:t xml:space="preserve">Turbidity </w:t>
            </w:r>
          </w:p>
        </w:tc>
        <w:tc>
          <w:tcPr>
            <w:tcW w:w="3240" w:type="dxa"/>
          </w:tcPr>
          <w:p w:rsidR="00AB50C5" w:rsidRDefault="00724275">
            <w:pPr>
              <w:spacing w:line="210" w:lineRule="exact"/>
              <w:cnfStyle w:val="000000000000" w:firstRow="0" w:lastRow="0" w:firstColumn="0" w:lastColumn="0" w:oddVBand="0" w:evenVBand="0" w:oddHBand="0" w:evenHBand="0" w:firstRowFirstColumn="0" w:firstRowLastColumn="0" w:lastRowFirstColumn="0" w:lastRowLastColumn="0"/>
              <w:rPr>
                <w:noProof/>
                <w:sz w:val="16"/>
                <w:szCs w:val="16"/>
                <w:lang w:val="en-US" w:eastAsia="it-IT"/>
              </w:rPr>
            </w:pPr>
            <w:r>
              <w:rPr>
                <w:noProof/>
                <w:sz w:val="16"/>
                <w:szCs w:val="16"/>
                <w:lang w:val="en-US"/>
              </w:rPr>
              <w:t>Continuous (on-line)</w:t>
            </w:r>
          </w:p>
        </w:tc>
      </w:tr>
      <w:tr w:rsidR="00AB50C5" w:rsidTr="00AB50C5">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050" w:type="dxa"/>
          </w:tcPr>
          <w:p w:rsidR="00AB50C5" w:rsidRDefault="00724275">
            <w:pPr>
              <w:spacing w:line="210" w:lineRule="exact"/>
              <w:jc w:val="left"/>
              <w:rPr>
                <w:noProof/>
                <w:sz w:val="16"/>
                <w:szCs w:val="16"/>
                <w:lang w:val="en-US" w:eastAsia="it-IT"/>
              </w:rPr>
            </w:pPr>
            <w:r>
              <w:rPr>
                <w:noProof/>
                <w:sz w:val="16"/>
                <w:szCs w:val="16"/>
                <w:lang w:val="en-US" w:eastAsia="it-IT"/>
              </w:rPr>
              <w:t>Membrane bioreactor (MBR)</w:t>
            </w:r>
          </w:p>
        </w:tc>
        <w:tc>
          <w:tcPr>
            <w:tcW w:w="3330" w:type="dxa"/>
          </w:tcPr>
          <w:p w:rsidR="00AB50C5" w:rsidRDefault="00724275">
            <w:pPr>
              <w:spacing w:line="210" w:lineRule="exact"/>
              <w:jc w:val="left"/>
              <w:cnfStyle w:val="000000100000" w:firstRow="0" w:lastRow="0" w:firstColumn="0" w:lastColumn="0" w:oddVBand="0" w:evenVBand="0" w:oddHBand="1" w:evenHBand="0" w:firstRowFirstColumn="0" w:firstRowLastColumn="0" w:lastRowFirstColumn="0" w:lastRowLastColumn="0"/>
              <w:rPr>
                <w:noProof/>
                <w:sz w:val="16"/>
                <w:szCs w:val="16"/>
                <w:lang w:val="en-US" w:eastAsia="it-IT"/>
              </w:rPr>
            </w:pPr>
            <w:r>
              <w:rPr>
                <w:noProof/>
                <w:sz w:val="16"/>
                <w:szCs w:val="16"/>
                <w:lang w:val="en-US" w:eastAsia="it-IT"/>
              </w:rPr>
              <w:t>pH</w:t>
            </w:r>
          </w:p>
          <w:p w:rsidR="00AB50C5" w:rsidRDefault="00724275">
            <w:pPr>
              <w:spacing w:line="210" w:lineRule="exact"/>
              <w:jc w:val="left"/>
              <w:cnfStyle w:val="000000100000" w:firstRow="0" w:lastRow="0" w:firstColumn="0" w:lastColumn="0" w:oddVBand="0" w:evenVBand="0" w:oddHBand="1" w:evenHBand="0" w:firstRowFirstColumn="0" w:firstRowLastColumn="0" w:lastRowFirstColumn="0" w:lastRowLastColumn="0"/>
              <w:rPr>
                <w:noProof/>
                <w:sz w:val="16"/>
                <w:szCs w:val="16"/>
                <w:lang w:val="en-US" w:eastAsia="it-IT"/>
              </w:rPr>
            </w:pPr>
            <w:r>
              <w:rPr>
                <w:noProof/>
                <w:sz w:val="16"/>
                <w:szCs w:val="16"/>
                <w:lang w:val="en-US" w:eastAsia="it-IT"/>
              </w:rPr>
              <w:t>Turbidity</w:t>
            </w:r>
          </w:p>
          <w:p w:rsidR="00AB50C5" w:rsidRDefault="00724275">
            <w:pPr>
              <w:spacing w:line="210" w:lineRule="exact"/>
              <w:jc w:val="left"/>
              <w:cnfStyle w:val="000000100000" w:firstRow="0" w:lastRow="0" w:firstColumn="0" w:lastColumn="0" w:oddVBand="0" w:evenVBand="0" w:oddHBand="1" w:evenHBand="0" w:firstRowFirstColumn="0" w:firstRowLastColumn="0" w:lastRowFirstColumn="0" w:lastRowLastColumn="0"/>
              <w:rPr>
                <w:noProof/>
                <w:sz w:val="16"/>
                <w:szCs w:val="16"/>
                <w:lang w:val="en-US" w:eastAsia="it-IT"/>
              </w:rPr>
            </w:pPr>
            <w:r>
              <w:rPr>
                <w:noProof/>
                <w:sz w:val="16"/>
                <w:szCs w:val="16"/>
                <w:lang w:val="en-US" w:eastAsia="it-IT"/>
              </w:rPr>
              <w:t>Suspended solids, solids retention time</w:t>
            </w:r>
          </w:p>
          <w:p w:rsidR="00AB50C5" w:rsidRDefault="00724275">
            <w:pPr>
              <w:spacing w:line="210" w:lineRule="exact"/>
              <w:jc w:val="left"/>
              <w:cnfStyle w:val="000000100000" w:firstRow="0" w:lastRow="0" w:firstColumn="0" w:lastColumn="0" w:oddVBand="0" w:evenVBand="0" w:oddHBand="1" w:evenHBand="0" w:firstRowFirstColumn="0" w:firstRowLastColumn="0" w:lastRowFirstColumn="0" w:lastRowLastColumn="0"/>
              <w:rPr>
                <w:noProof/>
                <w:sz w:val="16"/>
                <w:szCs w:val="16"/>
                <w:lang w:val="en-US" w:eastAsia="it-IT"/>
              </w:rPr>
            </w:pPr>
            <w:r>
              <w:rPr>
                <w:noProof/>
                <w:sz w:val="16"/>
                <w:szCs w:val="16"/>
                <w:lang w:val="en-US" w:eastAsia="it-IT"/>
              </w:rPr>
              <w:t xml:space="preserve">Dissolved </w:t>
            </w:r>
            <w:r>
              <w:rPr>
                <w:noProof/>
                <w:sz w:val="16"/>
                <w:szCs w:val="16"/>
                <w:lang w:val="en-US" w:eastAsia="it-IT"/>
              </w:rPr>
              <w:t>oxygen</w:t>
            </w:r>
          </w:p>
          <w:p w:rsidR="00AB50C5" w:rsidRDefault="00724275">
            <w:pPr>
              <w:spacing w:line="210" w:lineRule="exact"/>
              <w:jc w:val="left"/>
              <w:cnfStyle w:val="000000100000" w:firstRow="0" w:lastRow="0" w:firstColumn="0" w:lastColumn="0" w:oddVBand="0" w:evenVBand="0" w:oddHBand="1" w:evenHBand="0" w:firstRowFirstColumn="0" w:firstRowLastColumn="0" w:lastRowFirstColumn="0" w:lastRowLastColumn="0"/>
              <w:rPr>
                <w:noProof/>
                <w:sz w:val="16"/>
                <w:szCs w:val="16"/>
                <w:lang w:val="en-US" w:eastAsia="it-IT"/>
              </w:rPr>
            </w:pPr>
            <w:r>
              <w:rPr>
                <w:noProof/>
                <w:sz w:val="16"/>
                <w:szCs w:val="16"/>
                <w:lang w:val="en-US" w:eastAsia="it-IT"/>
              </w:rPr>
              <w:t xml:space="preserve">Hydraulic retention time </w:t>
            </w:r>
          </w:p>
          <w:p w:rsidR="00AB50C5" w:rsidRDefault="00724275">
            <w:pPr>
              <w:spacing w:line="210" w:lineRule="exact"/>
              <w:jc w:val="left"/>
              <w:cnfStyle w:val="000000100000" w:firstRow="0" w:lastRow="0" w:firstColumn="0" w:lastColumn="0" w:oddVBand="0" w:evenVBand="0" w:oddHBand="1" w:evenHBand="0" w:firstRowFirstColumn="0" w:firstRowLastColumn="0" w:lastRowFirstColumn="0" w:lastRowLastColumn="0"/>
              <w:rPr>
                <w:noProof/>
                <w:sz w:val="16"/>
                <w:szCs w:val="16"/>
                <w:lang w:val="en-US" w:eastAsia="it-IT"/>
              </w:rPr>
            </w:pPr>
            <w:r>
              <w:rPr>
                <w:noProof/>
                <w:sz w:val="16"/>
                <w:szCs w:val="16"/>
                <w:lang w:val="en-US" w:eastAsia="it-IT"/>
              </w:rPr>
              <w:t>Transmembrane pressure</w:t>
            </w:r>
          </w:p>
        </w:tc>
        <w:tc>
          <w:tcPr>
            <w:tcW w:w="3240" w:type="dxa"/>
          </w:tcPr>
          <w:p w:rsidR="00AB50C5" w:rsidRDefault="00724275">
            <w:pPr>
              <w:spacing w:line="210" w:lineRule="exact"/>
              <w:cnfStyle w:val="000000100000" w:firstRow="0" w:lastRow="0" w:firstColumn="0" w:lastColumn="0" w:oddVBand="0" w:evenVBand="0" w:oddHBand="1" w:evenHBand="0" w:firstRowFirstColumn="0" w:firstRowLastColumn="0" w:lastRowFirstColumn="0" w:lastRowLastColumn="0"/>
              <w:rPr>
                <w:noProof/>
                <w:sz w:val="16"/>
                <w:szCs w:val="16"/>
                <w:lang w:val="en-US" w:eastAsia="it-IT"/>
              </w:rPr>
            </w:pPr>
            <w:r>
              <w:rPr>
                <w:noProof/>
                <w:sz w:val="16"/>
                <w:szCs w:val="16"/>
                <w:lang w:val="en-US"/>
              </w:rPr>
              <w:t xml:space="preserve">Continuous (on-line) </w:t>
            </w:r>
            <w:r>
              <w:rPr>
                <w:noProof/>
                <w:sz w:val="16"/>
                <w:szCs w:val="16"/>
                <w:lang w:val="en-US" w:eastAsia="it-IT"/>
              </w:rPr>
              <w:t>for parameters such as pH, turbidity, dissolved oxygen, transmembrane pressure</w:t>
            </w:r>
          </w:p>
          <w:p w:rsidR="00AB50C5" w:rsidRDefault="00724275">
            <w:pPr>
              <w:spacing w:line="210" w:lineRule="exact"/>
              <w:cnfStyle w:val="000000100000" w:firstRow="0" w:lastRow="0" w:firstColumn="0" w:lastColumn="0" w:oddVBand="0" w:evenVBand="0" w:oddHBand="1" w:evenHBand="0" w:firstRowFirstColumn="0" w:firstRowLastColumn="0" w:lastRowFirstColumn="0" w:lastRowLastColumn="0"/>
              <w:rPr>
                <w:noProof/>
                <w:sz w:val="16"/>
                <w:szCs w:val="16"/>
                <w:lang w:val="en-US" w:eastAsia="it-IT"/>
              </w:rPr>
            </w:pPr>
            <w:r>
              <w:rPr>
                <w:noProof/>
                <w:sz w:val="16"/>
                <w:szCs w:val="16"/>
                <w:lang w:val="en-US" w:eastAsia="it-IT"/>
              </w:rPr>
              <w:t>Weekly for other parameters</w:t>
            </w:r>
          </w:p>
        </w:tc>
      </w:tr>
      <w:tr w:rsidR="00AB50C5" w:rsidTr="00AB50C5">
        <w:trPr>
          <w:trHeight w:val="855"/>
          <w:jc w:val="center"/>
        </w:trPr>
        <w:tc>
          <w:tcPr>
            <w:cnfStyle w:val="001000000000" w:firstRow="0" w:lastRow="0" w:firstColumn="1" w:lastColumn="0" w:oddVBand="0" w:evenVBand="0" w:oddHBand="0" w:evenHBand="0" w:firstRowFirstColumn="0" w:firstRowLastColumn="0" w:lastRowFirstColumn="0" w:lastRowLastColumn="0"/>
            <w:tcW w:w="3050" w:type="dxa"/>
          </w:tcPr>
          <w:p w:rsidR="00AB50C5" w:rsidRDefault="00724275">
            <w:pPr>
              <w:spacing w:line="210" w:lineRule="exact"/>
              <w:jc w:val="left"/>
              <w:rPr>
                <w:noProof/>
                <w:sz w:val="16"/>
                <w:szCs w:val="16"/>
                <w:lang w:eastAsia="it-IT"/>
              </w:rPr>
            </w:pPr>
            <w:r>
              <w:rPr>
                <w:noProof/>
                <w:sz w:val="16"/>
                <w:szCs w:val="16"/>
                <w:lang w:eastAsia="it-IT"/>
              </w:rPr>
              <w:t xml:space="preserve">Membrane filtration technology </w:t>
            </w:r>
          </w:p>
        </w:tc>
        <w:tc>
          <w:tcPr>
            <w:tcW w:w="3330" w:type="dxa"/>
          </w:tcPr>
          <w:p w:rsidR="00AB50C5" w:rsidRDefault="00724275">
            <w:pPr>
              <w:spacing w:line="210" w:lineRule="exact"/>
              <w:jc w:val="left"/>
              <w:cnfStyle w:val="000000000000" w:firstRow="0" w:lastRow="0" w:firstColumn="0" w:lastColumn="0" w:oddVBand="0" w:evenVBand="0" w:oddHBand="0" w:evenHBand="0" w:firstRowFirstColumn="0" w:firstRowLastColumn="0" w:lastRowFirstColumn="0" w:lastRowLastColumn="0"/>
              <w:rPr>
                <w:noProof/>
                <w:sz w:val="16"/>
                <w:szCs w:val="16"/>
                <w:lang w:val="en-US" w:eastAsia="it-IT"/>
              </w:rPr>
            </w:pPr>
            <w:r>
              <w:rPr>
                <w:noProof/>
                <w:sz w:val="16"/>
                <w:szCs w:val="16"/>
                <w:lang w:val="en-US" w:eastAsia="it-IT"/>
              </w:rPr>
              <w:t>Transmembrane pressure</w:t>
            </w:r>
          </w:p>
          <w:p w:rsidR="00AB50C5" w:rsidRDefault="00724275">
            <w:pPr>
              <w:spacing w:line="210" w:lineRule="exact"/>
              <w:jc w:val="left"/>
              <w:cnfStyle w:val="000000000000" w:firstRow="0" w:lastRow="0" w:firstColumn="0" w:lastColumn="0" w:oddVBand="0" w:evenVBand="0" w:oddHBand="0" w:evenHBand="0" w:firstRowFirstColumn="0" w:firstRowLastColumn="0" w:lastRowFirstColumn="0" w:lastRowLastColumn="0"/>
              <w:rPr>
                <w:noProof/>
                <w:sz w:val="16"/>
                <w:szCs w:val="16"/>
                <w:lang w:val="en-US" w:eastAsia="it-IT"/>
              </w:rPr>
            </w:pPr>
            <w:r>
              <w:rPr>
                <w:noProof/>
                <w:sz w:val="16"/>
                <w:szCs w:val="16"/>
                <w:lang w:val="en-US" w:eastAsia="it-IT"/>
              </w:rPr>
              <w:t>Turbidity</w:t>
            </w:r>
          </w:p>
          <w:p w:rsidR="00AB50C5" w:rsidRDefault="00724275">
            <w:pPr>
              <w:spacing w:line="210" w:lineRule="exact"/>
              <w:jc w:val="left"/>
              <w:cnfStyle w:val="000000000000" w:firstRow="0" w:lastRow="0" w:firstColumn="0" w:lastColumn="0" w:oddVBand="0" w:evenVBand="0" w:oddHBand="0" w:evenHBand="0" w:firstRowFirstColumn="0" w:firstRowLastColumn="0" w:lastRowFirstColumn="0" w:lastRowLastColumn="0"/>
              <w:rPr>
                <w:noProof/>
                <w:sz w:val="16"/>
                <w:szCs w:val="16"/>
                <w:lang w:val="en-US" w:eastAsia="it-IT"/>
              </w:rPr>
            </w:pPr>
            <w:r>
              <w:rPr>
                <w:noProof/>
                <w:sz w:val="16"/>
                <w:szCs w:val="16"/>
                <w:lang w:val="en-US" w:eastAsia="it-IT"/>
              </w:rPr>
              <w:t>Electr</w:t>
            </w:r>
            <w:r>
              <w:rPr>
                <w:noProof/>
                <w:sz w:val="16"/>
                <w:szCs w:val="16"/>
                <w:lang w:val="en-US" w:eastAsia="it-IT"/>
              </w:rPr>
              <w:t xml:space="preserve">ical conductivity </w:t>
            </w:r>
          </w:p>
        </w:tc>
        <w:tc>
          <w:tcPr>
            <w:tcW w:w="3240" w:type="dxa"/>
          </w:tcPr>
          <w:p w:rsidR="00AB50C5" w:rsidRDefault="00724275">
            <w:pPr>
              <w:spacing w:line="210" w:lineRule="exact"/>
              <w:cnfStyle w:val="000000000000" w:firstRow="0" w:lastRow="0" w:firstColumn="0" w:lastColumn="0" w:oddVBand="0" w:evenVBand="0" w:oddHBand="0" w:evenHBand="0" w:firstRowFirstColumn="0" w:firstRowLastColumn="0" w:lastRowFirstColumn="0" w:lastRowLastColumn="0"/>
              <w:rPr>
                <w:noProof/>
                <w:sz w:val="16"/>
                <w:szCs w:val="16"/>
                <w:lang w:val="en-US"/>
              </w:rPr>
            </w:pPr>
            <w:r>
              <w:rPr>
                <w:noProof/>
                <w:sz w:val="16"/>
                <w:szCs w:val="16"/>
                <w:lang w:val="en-US"/>
              </w:rPr>
              <w:t>Continuous (on-line)</w:t>
            </w:r>
          </w:p>
          <w:p w:rsidR="00AB50C5" w:rsidRDefault="00AB50C5">
            <w:pPr>
              <w:spacing w:line="210" w:lineRule="exact"/>
              <w:cnfStyle w:val="000000000000" w:firstRow="0" w:lastRow="0" w:firstColumn="0" w:lastColumn="0" w:oddVBand="0" w:evenVBand="0" w:oddHBand="0" w:evenHBand="0" w:firstRowFirstColumn="0" w:firstRowLastColumn="0" w:lastRowFirstColumn="0" w:lastRowLastColumn="0"/>
              <w:rPr>
                <w:noProof/>
                <w:sz w:val="16"/>
                <w:szCs w:val="16"/>
                <w:lang w:val="en-US" w:eastAsia="it-IT"/>
              </w:rPr>
            </w:pPr>
          </w:p>
        </w:tc>
      </w:tr>
      <w:tr w:rsidR="00AB50C5" w:rsidTr="00AB50C5">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050" w:type="dxa"/>
          </w:tcPr>
          <w:p w:rsidR="00AB50C5" w:rsidRDefault="00724275">
            <w:pPr>
              <w:spacing w:line="210" w:lineRule="exact"/>
              <w:jc w:val="left"/>
              <w:rPr>
                <w:noProof/>
                <w:sz w:val="16"/>
                <w:szCs w:val="16"/>
                <w:lang w:val="en-US" w:eastAsia="it-IT"/>
              </w:rPr>
            </w:pPr>
            <w:r>
              <w:rPr>
                <w:noProof/>
                <w:sz w:val="16"/>
                <w:szCs w:val="16"/>
                <w:lang w:val="en-US" w:eastAsia="it-IT"/>
              </w:rPr>
              <w:t>Ultraviolet light disinfection (UV)</w:t>
            </w:r>
          </w:p>
        </w:tc>
        <w:tc>
          <w:tcPr>
            <w:tcW w:w="3330" w:type="dxa"/>
          </w:tcPr>
          <w:p w:rsidR="00AB50C5" w:rsidRDefault="00724275">
            <w:pPr>
              <w:spacing w:line="210" w:lineRule="exact"/>
              <w:jc w:val="left"/>
              <w:cnfStyle w:val="000000100000" w:firstRow="0" w:lastRow="0" w:firstColumn="0" w:lastColumn="0" w:oddVBand="0" w:evenVBand="0" w:oddHBand="1" w:evenHBand="0" w:firstRowFirstColumn="0" w:firstRowLastColumn="0" w:lastRowFirstColumn="0" w:lastRowLastColumn="0"/>
              <w:rPr>
                <w:noProof/>
                <w:sz w:val="16"/>
                <w:szCs w:val="16"/>
                <w:lang w:val="en-US" w:eastAsia="it-IT"/>
              </w:rPr>
            </w:pPr>
            <w:r>
              <w:rPr>
                <w:noProof/>
                <w:sz w:val="16"/>
                <w:szCs w:val="16"/>
                <w:lang w:val="en-US" w:eastAsia="it-IT"/>
              </w:rPr>
              <w:t>Flow rate</w:t>
            </w:r>
          </w:p>
          <w:p w:rsidR="00AB50C5" w:rsidRDefault="00724275">
            <w:pPr>
              <w:spacing w:line="210" w:lineRule="exact"/>
              <w:jc w:val="left"/>
              <w:cnfStyle w:val="000000100000" w:firstRow="0" w:lastRow="0" w:firstColumn="0" w:lastColumn="0" w:oddVBand="0" w:evenVBand="0" w:oddHBand="1" w:evenHBand="0" w:firstRowFirstColumn="0" w:firstRowLastColumn="0" w:lastRowFirstColumn="0" w:lastRowLastColumn="0"/>
              <w:rPr>
                <w:noProof/>
                <w:sz w:val="16"/>
                <w:szCs w:val="16"/>
                <w:lang w:val="en-US" w:eastAsia="it-IT"/>
              </w:rPr>
            </w:pPr>
            <w:r>
              <w:rPr>
                <w:noProof/>
                <w:sz w:val="16"/>
                <w:szCs w:val="16"/>
                <w:lang w:val="en-US" w:eastAsia="it-IT"/>
              </w:rPr>
              <w:t>Turbidity upstream</w:t>
            </w:r>
          </w:p>
          <w:p w:rsidR="00AB50C5" w:rsidRDefault="00724275">
            <w:pPr>
              <w:spacing w:line="210" w:lineRule="exact"/>
              <w:jc w:val="left"/>
              <w:cnfStyle w:val="000000100000" w:firstRow="0" w:lastRow="0" w:firstColumn="0" w:lastColumn="0" w:oddVBand="0" w:evenVBand="0" w:oddHBand="1" w:evenHBand="0" w:firstRowFirstColumn="0" w:firstRowLastColumn="0" w:lastRowFirstColumn="0" w:lastRowLastColumn="0"/>
              <w:rPr>
                <w:noProof/>
                <w:sz w:val="16"/>
                <w:szCs w:val="16"/>
                <w:lang w:val="en-US" w:eastAsia="it-IT"/>
              </w:rPr>
            </w:pPr>
            <w:r>
              <w:rPr>
                <w:noProof/>
                <w:sz w:val="16"/>
                <w:szCs w:val="16"/>
                <w:lang w:val="en-US" w:eastAsia="it-IT"/>
              </w:rPr>
              <w:t>UV intensity and/or calculated dose</w:t>
            </w:r>
          </w:p>
          <w:p w:rsidR="00AB50C5" w:rsidRDefault="00724275">
            <w:pPr>
              <w:spacing w:line="210" w:lineRule="exact"/>
              <w:jc w:val="left"/>
              <w:cnfStyle w:val="000000100000" w:firstRow="0" w:lastRow="0" w:firstColumn="0" w:lastColumn="0" w:oddVBand="0" w:evenVBand="0" w:oddHBand="1" w:evenHBand="0" w:firstRowFirstColumn="0" w:firstRowLastColumn="0" w:lastRowFirstColumn="0" w:lastRowLastColumn="0"/>
              <w:rPr>
                <w:noProof/>
                <w:sz w:val="16"/>
                <w:szCs w:val="16"/>
                <w:lang w:val="en-US" w:eastAsia="it-IT"/>
              </w:rPr>
            </w:pPr>
            <w:r>
              <w:rPr>
                <w:noProof/>
                <w:sz w:val="16"/>
                <w:szCs w:val="16"/>
                <w:lang w:val="en-US" w:eastAsia="it-IT"/>
              </w:rPr>
              <w:t>UV transmissivity</w:t>
            </w:r>
          </w:p>
        </w:tc>
        <w:tc>
          <w:tcPr>
            <w:tcW w:w="3240" w:type="dxa"/>
          </w:tcPr>
          <w:p w:rsidR="00AB50C5" w:rsidRDefault="00724275">
            <w:pPr>
              <w:spacing w:line="210" w:lineRule="exact"/>
              <w:cnfStyle w:val="000000100000" w:firstRow="0" w:lastRow="0" w:firstColumn="0" w:lastColumn="0" w:oddVBand="0" w:evenVBand="0" w:oddHBand="1" w:evenHBand="0" w:firstRowFirstColumn="0" w:firstRowLastColumn="0" w:lastRowFirstColumn="0" w:lastRowLastColumn="0"/>
              <w:rPr>
                <w:noProof/>
                <w:sz w:val="16"/>
                <w:szCs w:val="16"/>
                <w:lang w:val="en-US" w:eastAsia="it-IT"/>
              </w:rPr>
            </w:pPr>
            <w:r>
              <w:rPr>
                <w:noProof/>
                <w:sz w:val="16"/>
                <w:szCs w:val="16"/>
                <w:lang w:val="en-US"/>
              </w:rPr>
              <w:t>Continuous (on-line)</w:t>
            </w:r>
          </w:p>
          <w:p w:rsidR="00AB50C5" w:rsidRDefault="00AB50C5">
            <w:pPr>
              <w:spacing w:line="210" w:lineRule="exact"/>
              <w:cnfStyle w:val="000000100000" w:firstRow="0" w:lastRow="0" w:firstColumn="0" w:lastColumn="0" w:oddVBand="0" w:evenVBand="0" w:oddHBand="1" w:evenHBand="0" w:firstRowFirstColumn="0" w:firstRowLastColumn="0" w:lastRowFirstColumn="0" w:lastRowLastColumn="0"/>
              <w:rPr>
                <w:noProof/>
                <w:sz w:val="16"/>
                <w:szCs w:val="16"/>
                <w:lang w:val="en-US" w:eastAsia="it-IT"/>
              </w:rPr>
            </w:pPr>
          </w:p>
        </w:tc>
      </w:tr>
      <w:tr w:rsidR="00AB50C5" w:rsidTr="00AB50C5">
        <w:trPr>
          <w:trHeight w:val="397"/>
          <w:jc w:val="center"/>
        </w:trPr>
        <w:tc>
          <w:tcPr>
            <w:cnfStyle w:val="001000000000" w:firstRow="0" w:lastRow="0" w:firstColumn="1" w:lastColumn="0" w:oddVBand="0" w:evenVBand="0" w:oddHBand="0" w:evenHBand="0" w:firstRowFirstColumn="0" w:firstRowLastColumn="0" w:lastRowFirstColumn="0" w:lastRowLastColumn="0"/>
            <w:tcW w:w="3050" w:type="dxa"/>
          </w:tcPr>
          <w:p w:rsidR="00AB50C5" w:rsidRDefault="00724275">
            <w:pPr>
              <w:spacing w:line="210" w:lineRule="exact"/>
              <w:jc w:val="left"/>
              <w:rPr>
                <w:noProof/>
                <w:sz w:val="16"/>
                <w:szCs w:val="16"/>
                <w:lang w:val="en-US" w:eastAsia="it-IT"/>
              </w:rPr>
            </w:pPr>
            <w:r>
              <w:rPr>
                <w:noProof/>
                <w:sz w:val="16"/>
                <w:szCs w:val="16"/>
                <w:lang w:val="en-US" w:eastAsia="it-IT"/>
              </w:rPr>
              <w:t xml:space="preserve">Ozone/Biological Activated Carbon </w:t>
            </w:r>
          </w:p>
        </w:tc>
        <w:tc>
          <w:tcPr>
            <w:tcW w:w="3330" w:type="dxa"/>
          </w:tcPr>
          <w:p w:rsidR="00AB50C5" w:rsidRDefault="00724275">
            <w:pPr>
              <w:spacing w:line="210" w:lineRule="exact"/>
              <w:jc w:val="left"/>
              <w:cnfStyle w:val="000000000000" w:firstRow="0" w:lastRow="0" w:firstColumn="0" w:lastColumn="0" w:oddVBand="0" w:evenVBand="0" w:oddHBand="0" w:evenHBand="0" w:firstRowFirstColumn="0" w:firstRowLastColumn="0" w:lastRowFirstColumn="0" w:lastRowLastColumn="0"/>
              <w:rPr>
                <w:noProof/>
                <w:sz w:val="16"/>
                <w:szCs w:val="16"/>
                <w:lang w:val="en-US" w:eastAsia="it-IT"/>
              </w:rPr>
            </w:pPr>
            <w:r>
              <w:rPr>
                <w:noProof/>
                <w:sz w:val="16"/>
                <w:szCs w:val="16"/>
                <w:lang w:val="en-US" w:eastAsia="it-IT"/>
              </w:rPr>
              <w:t>Ozone dose</w:t>
            </w:r>
          </w:p>
          <w:p w:rsidR="00AB50C5" w:rsidRDefault="00724275">
            <w:pPr>
              <w:spacing w:line="210" w:lineRule="exact"/>
              <w:jc w:val="left"/>
              <w:cnfStyle w:val="000000000000" w:firstRow="0" w:lastRow="0" w:firstColumn="0" w:lastColumn="0" w:oddVBand="0" w:evenVBand="0" w:oddHBand="0" w:evenHBand="0" w:firstRowFirstColumn="0" w:firstRowLastColumn="0" w:lastRowFirstColumn="0" w:lastRowLastColumn="0"/>
              <w:rPr>
                <w:noProof/>
                <w:sz w:val="16"/>
                <w:szCs w:val="16"/>
                <w:lang w:val="en-US" w:eastAsia="it-IT"/>
              </w:rPr>
            </w:pPr>
            <w:r>
              <w:rPr>
                <w:noProof/>
                <w:sz w:val="16"/>
                <w:szCs w:val="16"/>
                <w:lang w:val="en-US" w:eastAsia="it-IT"/>
              </w:rPr>
              <w:t>Temperature</w:t>
            </w:r>
          </w:p>
        </w:tc>
        <w:tc>
          <w:tcPr>
            <w:tcW w:w="3240" w:type="dxa"/>
          </w:tcPr>
          <w:p w:rsidR="00AB50C5" w:rsidRDefault="00724275">
            <w:pPr>
              <w:spacing w:line="210" w:lineRule="exact"/>
              <w:cnfStyle w:val="000000000000" w:firstRow="0" w:lastRow="0" w:firstColumn="0" w:lastColumn="0" w:oddVBand="0" w:evenVBand="0" w:oddHBand="0" w:evenHBand="0" w:firstRowFirstColumn="0" w:firstRowLastColumn="0" w:lastRowFirstColumn="0" w:lastRowLastColumn="0"/>
              <w:rPr>
                <w:noProof/>
                <w:sz w:val="16"/>
                <w:szCs w:val="16"/>
                <w:lang w:val="en-US" w:eastAsia="it-IT"/>
              </w:rPr>
            </w:pPr>
            <w:r>
              <w:rPr>
                <w:noProof/>
                <w:sz w:val="16"/>
                <w:szCs w:val="16"/>
                <w:lang w:val="en-US"/>
              </w:rPr>
              <w:t xml:space="preserve">Continuous </w:t>
            </w:r>
            <w:r>
              <w:rPr>
                <w:noProof/>
                <w:sz w:val="16"/>
                <w:szCs w:val="16"/>
                <w:lang w:val="en-US"/>
              </w:rPr>
              <w:t>(on-line)</w:t>
            </w:r>
          </w:p>
          <w:p w:rsidR="00AB50C5" w:rsidRDefault="00AB50C5">
            <w:pPr>
              <w:spacing w:line="210" w:lineRule="exact"/>
              <w:cnfStyle w:val="000000000000" w:firstRow="0" w:lastRow="0" w:firstColumn="0" w:lastColumn="0" w:oddVBand="0" w:evenVBand="0" w:oddHBand="0" w:evenHBand="0" w:firstRowFirstColumn="0" w:firstRowLastColumn="0" w:lastRowFirstColumn="0" w:lastRowLastColumn="0"/>
              <w:rPr>
                <w:noProof/>
                <w:sz w:val="16"/>
                <w:szCs w:val="16"/>
                <w:lang w:val="en-US" w:eastAsia="it-IT"/>
              </w:rPr>
            </w:pPr>
          </w:p>
        </w:tc>
      </w:tr>
      <w:tr w:rsidR="00AB50C5" w:rsidTr="00AB50C5">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3050" w:type="dxa"/>
          </w:tcPr>
          <w:p w:rsidR="00AB50C5" w:rsidRDefault="00724275">
            <w:pPr>
              <w:spacing w:line="210" w:lineRule="exact"/>
              <w:jc w:val="left"/>
              <w:rPr>
                <w:noProof/>
                <w:sz w:val="16"/>
                <w:szCs w:val="16"/>
                <w:lang w:val="en-US" w:eastAsia="it-IT"/>
              </w:rPr>
            </w:pPr>
            <w:r>
              <w:rPr>
                <w:noProof/>
                <w:sz w:val="16"/>
                <w:szCs w:val="16"/>
                <w:lang w:val="en-US" w:eastAsia="it-IT"/>
              </w:rPr>
              <w:t xml:space="preserve">Chlorination </w:t>
            </w:r>
          </w:p>
        </w:tc>
        <w:tc>
          <w:tcPr>
            <w:tcW w:w="3330" w:type="dxa"/>
          </w:tcPr>
          <w:p w:rsidR="00AB50C5" w:rsidRDefault="00724275">
            <w:pPr>
              <w:spacing w:line="210" w:lineRule="exact"/>
              <w:jc w:val="left"/>
              <w:cnfStyle w:val="000000100000" w:firstRow="0" w:lastRow="0" w:firstColumn="0" w:lastColumn="0" w:oddVBand="0" w:evenVBand="0" w:oddHBand="1" w:evenHBand="0" w:firstRowFirstColumn="0" w:firstRowLastColumn="0" w:lastRowFirstColumn="0" w:lastRowLastColumn="0"/>
              <w:rPr>
                <w:noProof/>
                <w:sz w:val="16"/>
                <w:szCs w:val="16"/>
                <w:lang w:val="en-US" w:eastAsia="it-IT"/>
              </w:rPr>
            </w:pPr>
            <w:r>
              <w:rPr>
                <w:noProof/>
                <w:sz w:val="16"/>
                <w:szCs w:val="16"/>
                <w:lang w:val="en-US" w:eastAsia="it-IT"/>
              </w:rPr>
              <w:t>Free chlorine residual, Ct*</w:t>
            </w:r>
          </w:p>
          <w:p w:rsidR="00AB50C5" w:rsidRDefault="00724275">
            <w:pPr>
              <w:spacing w:line="210" w:lineRule="exact"/>
              <w:jc w:val="left"/>
              <w:cnfStyle w:val="000000100000" w:firstRow="0" w:lastRow="0" w:firstColumn="0" w:lastColumn="0" w:oddVBand="0" w:evenVBand="0" w:oddHBand="1" w:evenHBand="0" w:firstRowFirstColumn="0" w:firstRowLastColumn="0" w:lastRowFirstColumn="0" w:lastRowLastColumn="0"/>
              <w:rPr>
                <w:noProof/>
                <w:sz w:val="16"/>
                <w:szCs w:val="16"/>
                <w:lang w:val="en-US" w:eastAsia="it-IT"/>
              </w:rPr>
            </w:pPr>
            <w:r>
              <w:rPr>
                <w:noProof/>
                <w:sz w:val="16"/>
                <w:szCs w:val="16"/>
                <w:lang w:val="en-US" w:eastAsia="it-IT"/>
              </w:rPr>
              <w:t>pH</w:t>
            </w:r>
          </w:p>
          <w:p w:rsidR="00AB50C5" w:rsidRDefault="00724275">
            <w:pPr>
              <w:spacing w:line="210" w:lineRule="exact"/>
              <w:jc w:val="left"/>
              <w:cnfStyle w:val="000000100000" w:firstRow="0" w:lastRow="0" w:firstColumn="0" w:lastColumn="0" w:oddVBand="0" w:evenVBand="0" w:oddHBand="1" w:evenHBand="0" w:firstRowFirstColumn="0" w:firstRowLastColumn="0" w:lastRowFirstColumn="0" w:lastRowLastColumn="0"/>
              <w:rPr>
                <w:noProof/>
                <w:sz w:val="16"/>
                <w:szCs w:val="16"/>
                <w:lang w:val="en-US" w:eastAsia="it-IT"/>
              </w:rPr>
            </w:pPr>
            <w:r>
              <w:rPr>
                <w:noProof/>
                <w:sz w:val="16"/>
                <w:szCs w:val="16"/>
                <w:lang w:val="en-US" w:eastAsia="it-IT"/>
              </w:rPr>
              <w:t>Temperature</w:t>
            </w:r>
          </w:p>
        </w:tc>
        <w:tc>
          <w:tcPr>
            <w:tcW w:w="3240" w:type="dxa"/>
          </w:tcPr>
          <w:p w:rsidR="00AB50C5" w:rsidRDefault="00724275">
            <w:pPr>
              <w:spacing w:line="210" w:lineRule="exact"/>
              <w:cnfStyle w:val="000000100000" w:firstRow="0" w:lastRow="0" w:firstColumn="0" w:lastColumn="0" w:oddVBand="0" w:evenVBand="0" w:oddHBand="1" w:evenHBand="0" w:firstRowFirstColumn="0" w:firstRowLastColumn="0" w:lastRowFirstColumn="0" w:lastRowLastColumn="0"/>
              <w:rPr>
                <w:noProof/>
                <w:sz w:val="16"/>
                <w:szCs w:val="16"/>
                <w:lang w:val="en-US" w:eastAsia="it-IT"/>
              </w:rPr>
            </w:pPr>
            <w:r>
              <w:rPr>
                <w:noProof/>
                <w:sz w:val="16"/>
                <w:szCs w:val="16"/>
                <w:lang w:val="en-US"/>
              </w:rPr>
              <w:t xml:space="preserve">Continuous (on-line) </w:t>
            </w:r>
          </w:p>
          <w:p w:rsidR="00AB50C5" w:rsidRDefault="00AB50C5">
            <w:pPr>
              <w:spacing w:line="210" w:lineRule="exact"/>
              <w:cnfStyle w:val="000000100000" w:firstRow="0" w:lastRow="0" w:firstColumn="0" w:lastColumn="0" w:oddVBand="0" w:evenVBand="0" w:oddHBand="1" w:evenHBand="0" w:firstRowFirstColumn="0" w:firstRowLastColumn="0" w:lastRowFirstColumn="0" w:lastRowLastColumn="0"/>
              <w:rPr>
                <w:noProof/>
                <w:sz w:val="16"/>
                <w:szCs w:val="16"/>
                <w:lang w:val="en-US" w:eastAsia="it-IT"/>
              </w:rPr>
            </w:pPr>
          </w:p>
        </w:tc>
      </w:tr>
    </w:tbl>
    <w:p w:rsidR="00AB50C5" w:rsidRDefault="00724275">
      <w:pPr>
        <w:autoSpaceDE w:val="0"/>
        <w:autoSpaceDN w:val="0"/>
        <w:adjustRightInd w:val="0"/>
        <w:spacing w:after="0"/>
        <w:rPr>
          <w:noProof/>
          <w:sz w:val="14"/>
          <w:szCs w:val="14"/>
          <w:lang w:val="en-US"/>
        </w:rPr>
      </w:pPr>
      <w:r>
        <w:rPr>
          <w:noProof/>
          <w:sz w:val="16"/>
          <w:szCs w:val="16"/>
        </w:rPr>
        <w:t xml:space="preserve">(*) </w:t>
      </w:r>
      <w:r>
        <w:rPr>
          <w:noProof/>
          <w:sz w:val="14"/>
          <w:szCs w:val="14"/>
          <w:lang w:val="en-US"/>
        </w:rPr>
        <w:t>Ct means the product of residual disinfectant content (mg/l) and disinfectant contact time (min).</w:t>
      </w:r>
    </w:p>
    <w:p w:rsidR="00AB50C5" w:rsidRDefault="00724275">
      <w:pPr>
        <w:pStyle w:val="JRCText"/>
        <w:jc w:val="left"/>
        <w:rPr>
          <w:noProof/>
          <w:sz w:val="16"/>
          <w:szCs w:val="16"/>
        </w:rPr>
      </w:pPr>
      <w:r>
        <w:rPr>
          <w:i/>
          <w:noProof/>
          <w:sz w:val="16"/>
          <w:szCs w:val="16"/>
        </w:rPr>
        <w:t xml:space="preserve">Source: </w:t>
      </w:r>
      <w:r>
        <w:rPr>
          <w:noProof/>
          <w:sz w:val="16"/>
          <w:szCs w:val="16"/>
        </w:rPr>
        <w:t>WHO, 2006; NRMMC-EPHC-AHMC, 2006; USEPA, 2012.</w:t>
      </w:r>
    </w:p>
    <w:p w:rsidR="00AB50C5" w:rsidRDefault="00AB50C5">
      <w:pPr>
        <w:pStyle w:val="JRCText"/>
        <w:jc w:val="left"/>
        <w:rPr>
          <w:noProof/>
          <w:sz w:val="16"/>
          <w:szCs w:val="16"/>
        </w:rPr>
      </w:pPr>
    </w:p>
    <w:p w:rsidR="00AB50C5" w:rsidRDefault="00724275">
      <w:pPr>
        <w:pStyle w:val="JRCLevel-3title"/>
        <w:rPr>
          <w:rFonts w:ascii="Times New Roman" w:hAnsi="Times New Roman"/>
          <w:noProof/>
          <w:sz w:val="24"/>
        </w:rPr>
      </w:pPr>
      <w:bookmarkStart w:id="43" w:name="_Toc498695677"/>
      <w:bookmarkStart w:id="44" w:name="_Toc516234759"/>
      <w:r>
        <w:rPr>
          <w:rFonts w:ascii="Times New Roman" w:hAnsi="Times New Roman"/>
          <w:noProof/>
          <w:sz w:val="24"/>
        </w:rPr>
        <w:t>Verification of water quality and receiving environments</w:t>
      </w:r>
      <w:bookmarkEnd w:id="43"/>
      <w:bookmarkEnd w:id="44"/>
    </w:p>
    <w:p w:rsidR="00AB50C5" w:rsidRDefault="00724275">
      <w:pPr>
        <w:spacing w:line="240" w:lineRule="auto"/>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rPr>
        <w:t>This element comprises verification of the overall performance of the water reuse treatment system, the ultimate quality of reclaimed water being supplied, and the quality of the receiving environmen</w:t>
      </w:r>
      <w:r>
        <w:rPr>
          <w:rFonts w:ascii="Times New Roman" w:hAnsi="Times New Roman" w:cs="Times New Roman"/>
          <w:noProof/>
          <w:sz w:val="24"/>
          <w:szCs w:val="24"/>
          <w:lang w:val="en-US"/>
        </w:rPr>
        <w:t>t. Verification monitoring</w:t>
      </w:r>
      <w:r>
        <w:rPr>
          <w:rFonts w:ascii="Times New Roman" w:hAnsi="Times New Roman" w:cs="Times New Roman"/>
          <w:noProof/>
          <w:sz w:val="24"/>
          <w:szCs w:val="24"/>
          <w:lang w:val="en-US" w:eastAsia="it-IT"/>
        </w:rPr>
        <w:t xml:space="preserve"> is the use of methods, procedures or tests, in addition to those used in operational monitoring, to assess the overall performance of the treatment system, the compliance with regulatory requirements of the ultimate quality of th</w:t>
      </w:r>
      <w:r>
        <w:rPr>
          <w:rFonts w:ascii="Times New Roman" w:hAnsi="Times New Roman" w:cs="Times New Roman"/>
          <w:noProof/>
          <w:sz w:val="24"/>
          <w:szCs w:val="24"/>
          <w:lang w:val="en-US" w:eastAsia="it-IT"/>
        </w:rPr>
        <w:t xml:space="preserve">e reclaimed water being supplied, and the quality of the receiving environment. </w:t>
      </w:r>
    </w:p>
    <w:p w:rsidR="00AB50C5" w:rsidRDefault="00724275">
      <w:pPr>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MS have to perform a routine monitoring to verify that the reclaimed water effluent is complying with the requested quality criteria included in Section 4.3 and the additional</w:t>
      </w:r>
      <w:r>
        <w:rPr>
          <w:rFonts w:ascii="Times New Roman" w:hAnsi="Times New Roman" w:cs="Times New Roman"/>
          <w:noProof/>
          <w:sz w:val="24"/>
          <w:szCs w:val="24"/>
          <w:lang w:val="en-US"/>
        </w:rPr>
        <w:t xml:space="preserve"> quality requirements that MS decide to include as quality criteria derived from EU related Directives and risk assessment outcomes according to site specific conditions.</w:t>
      </w:r>
    </w:p>
    <w:p w:rsidR="00AB50C5" w:rsidRDefault="00AB50C5">
      <w:pPr>
        <w:spacing w:after="0" w:line="240" w:lineRule="auto"/>
        <w:jc w:val="both"/>
        <w:rPr>
          <w:rFonts w:ascii="Times New Roman" w:hAnsi="Times New Roman" w:cs="Times New Roman"/>
          <w:noProof/>
          <w:sz w:val="24"/>
          <w:szCs w:val="24"/>
          <w:lang w:val="en-US"/>
        </w:rPr>
      </w:pPr>
    </w:p>
    <w:p w:rsidR="00AB50C5" w:rsidRDefault="00724275">
      <w:pPr>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MS have to implement monitoring programs of the environmental matrices at risk to co</w:t>
      </w:r>
      <w:r>
        <w:rPr>
          <w:rFonts w:ascii="Times New Roman" w:hAnsi="Times New Roman" w:cs="Times New Roman"/>
          <w:noProof/>
          <w:sz w:val="24"/>
          <w:szCs w:val="24"/>
          <w:lang w:val="en-US"/>
        </w:rPr>
        <w:t>ntrol the effect of reclaimed water irrigation as part of the verification monitoring. A monitoring program for soils, crops, groundwater and surface water, and dependent ecosystems has to be established, on a case-by-case basis, according to the identifie</w:t>
      </w:r>
      <w:r>
        <w:rPr>
          <w:rFonts w:ascii="Times New Roman" w:hAnsi="Times New Roman" w:cs="Times New Roman"/>
          <w:noProof/>
          <w:sz w:val="24"/>
          <w:szCs w:val="24"/>
          <w:lang w:val="en-US"/>
        </w:rPr>
        <w:t>d risks. Recommendations for monitoring programs of environmental matrices when reclaimed water is used for agricultural irrigation are described in the ISO guidelines (ISO 16075, 2015).</w:t>
      </w:r>
    </w:p>
    <w:p w:rsidR="00AB50C5" w:rsidRDefault="00AB50C5">
      <w:pPr>
        <w:spacing w:after="0" w:line="240" w:lineRule="auto"/>
        <w:jc w:val="both"/>
        <w:rPr>
          <w:rFonts w:ascii="Times New Roman" w:hAnsi="Times New Roman" w:cs="Times New Roman"/>
          <w:noProof/>
          <w:sz w:val="24"/>
          <w:szCs w:val="24"/>
          <w:lang w:val="en-US"/>
        </w:rPr>
      </w:pPr>
    </w:p>
    <w:p w:rsidR="00AB50C5" w:rsidRDefault="00724275">
      <w:pPr>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Analytical methods used for monitoring shall comply with the require</w:t>
      </w:r>
      <w:r>
        <w:rPr>
          <w:rFonts w:ascii="Times New Roman" w:hAnsi="Times New Roman" w:cs="Times New Roman"/>
          <w:noProof/>
          <w:sz w:val="24"/>
          <w:szCs w:val="24"/>
          <w:lang w:val="en-US"/>
        </w:rPr>
        <w:t>ments included in the related Directives (i.e. WFD (2000/60/EC), DWD (98/83/EC), GWD (2006/118/EC) to conform to the quality control principles, including, if relevant, ISO/CEN or national standardized methods, to ensure the provision of data of an equival</w:t>
      </w:r>
      <w:r>
        <w:rPr>
          <w:rFonts w:ascii="Times New Roman" w:hAnsi="Times New Roman" w:cs="Times New Roman"/>
          <w:noProof/>
          <w:sz w:val="24"/>
          <w:szCs w:val="24"/>
          <w:lang w:val="en-US"/>
        </w:rPr>
        <w:t>ent scientific quality and comparability.</w:t>
      </w:r>
    </w:p>
    <w:p w:rsidR="00AB50C5" w:rsidRDefault="00724275">
      <w:pPr>
        <w:pStyle w:val="JRCLevel-3title"/>
        <w:rPr>
          <w:rFonts w:ascii="Times New Roman" w:hAnsi="Times New Roman"/>
          <w:noProof/>
          <w:sz w:val="24"/>
          <w:lang w:val="en-US"/>
        </w:rPr>
      </w:pPr>
      <w:bookmarkStart w:id="45" w:name="_Toc498695678"/>
      <w:bookmarkStart w:id="46" w:name="_Toc516234760"/>
      <w:r>
        <w:rPr>
          <w:rFonts w:ascii="Times New Roman" w:hAnsi="Times New Roman"/>
          <w:noProof/>
          <w:sz w:val="24"/>
          <w:lang w:val="en-US"/>
        </w:rPr>
        <w:t>Validation of processes and procedures</w:t>
      </w:r>
      <w:bookmarkEnd w:id="45"/>
      <w:bookmarkEnd w:id="46"/>
    </w:p>
    <w:p w:rsidR="00AB50C5" w:rsidRDefault="00724275">
      <w:pPr>
        <w:spacing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Validation aims to ensure that processes and procedures control hazards effectively</w:t>
      </w:r>
      <w:r>
        <w:rPr>
          <w:rFonts w:ascii="Times New Roman" w:hAnsi="Times New Roman" w:cs="Times New Roman"/>
          <w:noProof/>
          <w:sz w:val="24"/>
          <w:szCs w:val="24"/>
          <w:lang w:val="en-US" w:eastAsia="it-IT"/>
        </w:rPr>
        <w:t xml:space="preserve"> and that the water reuse system is capable of meeting its design requirements.</w:t>
      </w:r>
      <w:r>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eastAsia="it-IT"/>
        </w:rPr>
        <w:t>One of the o</w:t>
      </w:r>
      <w:r>
        <w:rPr>
          <w:rFonts w:ascii="Times New Roman" w:hAnsi="Times New Roman" w:cs="Times New Roman"/>
          <w:noProof/>
          <w:sz w:val="24"/>
          <w:szCs w:val="24"/>
          <w:lang w:val="en-US" w:eastAsia="it-IT"/>
        </w:rPr>
        <w:t>bjectives of validation monitoring is to prove that the water reuse system can deliver the expected water quality specified for the intended use. Therefore, validation monitoring includes also operational and verification monitoring parameters, discussed a</w:t>
      </w:r>
      <w:r>
        <w:rPr>
          <w:rFonts w:ascii="Times New Roman" w:hAnsi="Times New Roman" w:cs="Times New Roman"/>
          <w:noProof/>
          <w:sz w:val="24"/>
          <w:szCs w:val="24"/>
          <w:lang w:val="en-US" w:eastAsia="it-IT"/>
        </w:rPr>
        <w:t>bove.</w:t>
      </w:r>
    </w:p>
    <w:p w:rsidR="00AB50C5" w:rsidRDefault="00724275">
      <w:pPr>
        <w:spacing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eastAsia="it-IT"/>
        </w:rPr>
        <w:t>Validation monitoring has to be conducted when a reclamation system is established (commissioned) and put in operation, when equipment is upgraded or new equipment or processes are added. Once the setup of the whole water reuse system has been valida</w:t>
      </w:r>
      <w:r>
        <w:rPr>
          <w:rFonts w:ascii="Times New Roman" w:hAnsi="Times New Roman" w:cs="Times New Roman"/>
          <w:noProof/>
          <w:sz w:val="24"/>
          <w:szCs w:val="24"/>
          <w:lang w:val="en-US" w:eastAsia="it-IT"/>
        </w:rPr>
        <w:t xml:space="preserve">ted, it is generally sufficient with the operational and verification monitoring. </w:t>
      </w:r>
    </w:p>
    <w:p w:rsidR="00AB50C5" w:rsidRDefault="00724275">
      <w:pPr>
        <w:spacing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MS have to perform, as part of the validation monitoring, the requested performance targets defined in </w:t>
      </w:r>
      <w:r>
        <w:rPr>
          <w:rFonts w:ascii="Times New Roman" w:hAnsi="Times New Roman" w:cs="Times New Roman"/>
          <w:noProof/>
          <w:sz w:val="24"/>
          <w:szCs w:val="24"/>
          <w:lang w:val="en-US"/>
        </w:rPr>
        <w:fldChar w:fldCharType="begin"/>
      </w:r>
      <w:r>
        <w:rPr>
          <w:rFonts w:ascii="Times New Roman" w:hAnsi="Times New Roman" w:cs="Times New Roman"/>
          <w:noProof/>
          <w:sz w:val="24"/>
          <w:szCs w:val="24"/>
          <w:lang w:val="en-US"/>
        </w:rPr>
        <w:instrText xml:space="preserve"> REF _Ref494113706 \h  \* MERGEFORMAT </w:instrText>
      </w:r>
      <w:r>
        <w:rPr>
          <w:rFonts w:ascii="Times New Roman" w:hAnsi="Times New Roman" w:cs="Times New Roman"/>
          <w:noProof/>
          <w:sz w:val="24"/>
          <w:szCs w:val="24"/>
          <w:lang w:val="en-US"/>
        </w:rPr>
      </w:r>
      <w:r>
        <w:rPr>
          <w:rFonts w:ascii="Times New Roman" w:hAnsi="Times New Roman" w:cs="Times New Roman"/>
          <w:noProof/>
          <w:sz w:val="24"/>
          <w:szCs w:val="24"/>
          <w:lang w:val="en-US"/>
        </w:rPr>
        <w:fldChar w:fldCharType="separate"/>
      </w:r>
      <w:r>
        <w:rPr>
          <w:rFonts w:ascii="Times New Roman" w:hAnsi="Times New Roman" w:cs="Times New Roman"/>
          <w:noProof/>
          <w:sz w:val="24"/>
          <w:szCs w:val="24"/>
        </w:rPr>
        <w:t>Table 5</w:t>
      </w:r>
      <w:r>
        <w:rPr>
          <w:rFonts w:ascii="Times New Roman" w:hAnsi="Times New Roman" w:cs="Times New Roman"/>
          <w:noProof/>
          <w:sz w:val="24"/>
          <w:szCs w:val="24"/>
          <w:lang w:val="en-US"/>
        </w:rPr>
        <w:fldChar w:fldCharType="end"/>
      </w:r>
      <w:r>
        <w:rPr>
          <w:rFonts w:ascii="Times New Roman" w:hAnsi="Times New Roman" w:cs="Times New Roman"/>
          <w:noProof/>
          <w:sz w:val="24"/>
          <w:szCs w:val="24"/>
          <w:lang w:val="en-US"/>
        </w:rPr>
        <w:t xml:space="preserve">. </w:t>
      </w:r>
    </w:p>
    <w:p w:rsidR="00AB50C5" w:rsidRDefault="00724275">
      <w:pPr>
        <w:pStyle w:val="JRCLevel-3title"/>
        <w:rPr>
          <w:rFonts w:ascii="Times New Roman" w:hAnsi="Times New Roman"/>
          <w:noProof/>
          <w:sz w:val="24"/>
          <w:lang w:val="en-US"/>
        </w:rPr>
      </w:pPr>
      <w:bookmarkStart w:id="47" w:name="_Toc498695679"/>
      <w:bookmarkStart w:id="48" w:name="_Toc516234761"/>
      <w:r>
        <w:rPr>
          <w:rFonts w:ascii="Times New Roman" w:hAnsi="Times New Roman"/>
          <w:noProof/>
          <w:sz w:val="24"/>
          <w:lang w:val="en-US"/>
        </w:rPr>
        <w:t>Management of incidents and emergencies</w:t>
      </w:r>
      <w:bookmarkEnd w:id="47"/>
      <w:bookmarkEnd w:id="48"/>
    </w:p>
    <w:p w:rsidR="00AB50C5" w:rsidRDefault="00724275">
      <w:pPr>
        <w:pStyle w:val="JRCText"/>
        <w:rPr>
          <w:rFonts w:ascii="Times New Roman" w:eastAsia="Times New Roman" w:hAnsi="Times New Roman"/>
          <w:noProof/>
          <w:sz w:val="24"/>
          <w:szCs w:val="24"/>
          <w:lang w:val="en-US"/>
        </w:rPr>
      </w:pPr>
      <w:r>
        <w:rPr>
          <w:rFonts w:ascii="Times New Roman" w:eastAsia="Times New Roman" w:hAnsi="Times New Roman"/>
          <w:noProof/>
          <w:sz w:val="24"/>
          <w:szCs w:val="24"/>
          <w:lang w:val="en-US"/>
        </w:rPr>
        <w:t>This element deals with responses to incidents or emergencies that can compromise the quality of reclaimed water. MS have to establish incident and emergency protocols,</w:t>
      </w:r>
      <w:r>
        <w:rPr>
          <w:rFonts w:ascii="Times New Roman" w:eastAsia="Times New Roman" w:hAnsi="Times New Roman"/>
          <w:noProof/>
          <w:sz w:val="24"/>
          <w:szCs w:val="24"/>
        </w:rPr>
        <w:t xml:space="preserve"> and to </w:t>
      </w:r>
      <w:r>
        <w:rPr>
          <w:rFonts w:ascii="Times New Roman" w:eastAsia="Times New Roman" w:hAnsi="Times New Roman"/>
          <w:noProof/>
          <w:sz w:val="24"/>
          <w:szCs w:val="24"/>
          <w:lang w:val="en-US"/>
        </w:rPr>
        <w:t>develop and document response plans. Such responses protect public and environmental health, and help to maintain user confidence in reclaimed water.</w:t>
      </w:r>
    </w:p>
    <w:p w:rsidR="00AB50C5" w:rsidRDefault="00724275">
      <w:pPr>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Following the aforementioned key principles for a risk management framework, minimum reclaimed wat</w:t>
      </w:r>
      <w:r>
        <w:rPr>
          <w:rFonts w:ascii="Times New Roman" w:hAnsi="Times New Roman" w:cs="Times New Roman"/>
          <w:noProof/>
          <w:sz w:val="24"/>
          <w:szCs w:val="24"/>
          <w:lang w:val="en-US"/>
        </w:rPr>
        <w:t>er quality criteria and preventive measures to manage human and animal health risks from consuming crops irrigated with reclaimed water have been derived to be implemented to all water reuse projects at EU level. The justification for this selected require</w:t>
      </w:r>
      <w:r>
        <w:rPr>
          <w:rFonts w:ascii="Times New Roman" w:hAnsi="Times New Roman" w:cs="Times New Roman"/>
          <w:noProof/>
          <w:sz w:val="24"/>
          <w:szCs w:val="24"/>
          <w:lang w:val="en-US"/>
        </w:rPr>
        <w:t>ments is presented in Section 4.4.</w:t>
      </w:r>
    </w:p>
    <w:p w:rsidR="00AB50C5" w:rsidRDefault="00724275">
      <w:pPr>
        <w:pStyle w:val="JRCLevel-2title"/>
        <w:rPr>
          <w:rFonts w:ascii="Times New Roman" w:hAnsi="Times New Roman"/>
          <w:noProof/>
          <w:szCs w:val="24"/>
          <w:lang w:val="en-US"/>
        </w:rPr>
      </w:pPr>
      <w:bookmarkStart w:id="49" w:name="_Toc498695680"/>
      <w:bookmarkStart w:id="50" w:name="_Toc516234762"/>
      <w:r>
        <w:rPr>
          <w:rFonts w:ascii="Times New Roman" w:hAnsi="Times New Roman"/>
          <w:noProof/>
          <w:szCs w:val="24"/>
          <w:lang w:val="en-US"/>
        </w:rPr>
        <w:t>Minimum reclaimed water quality criteria and preventive measures</w:t>
      </w:r>
      <w:bookmarkEnd w:id="49"/>
      <w:bookmarkEnd w:id="50"/>
    </w:p>
    <w:p w:rsidR="00AB50C5" w:rsidRDefault="00724275">
      <w:pPr>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Following the aforementioned key principles for a risk management framework, minimum reclaimed water quality criteria and preventive measures to manage </w:t>
      </w:r>
      <w:r>
        <w:rPr>
          <w:rFonts w:ascii="Times New Roman" w:hAnsi="Times New Roman" w:cs="Times New Roman"/>
          <w:noProof/>
          <w:sz w:val="24"/>
          <w:szCs w:val="24"/>
          <w:lang w:val="en-US"/>
        </w:rPr>
        <w:t>human and animal health risks from consuming crops irrigated with reclaimed water have been derived to be implemented to all water reuse projects at EU level. The justification for this selected requirements is presented in Section 4.4.</w:t>
      </w:r>
    </w:p>
    <w:p w:rsidR="00AB50C5" w:rsidRDefault="00AB50C5">
      <w:pPr>
        <w:spacing w:after="0" w:line="240" w:lineRule="auto"/>
        <w:jc w:val="both"/>
        <w:rPr>
          <w:rFonts w:ascii="Times New Roman" w:hAnsi="Times New Roman" w:cs="Times New Roman"/>
          <w:noProof/>
          <w:sz w:val="24"/>
          <w:szCs w:val="24"/>
          <w:lang w:val="en-US"/>
        </w:rPr>
      </w:pPr>
    </w:p>
    <w:p w:rsidR="00AB50C5" w:rsidRDefault="00724275">
      <w:pPr>
        <w:spacing w:after="0" w:line="240" w:lineRule="auto"/>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The reclaimed wate</w:t>
      </w:r>
      <w:r>
        <w:rPr>
          <w:rFonts w:ascii="Times New Roman" w:hAnsi="Times New Roman" w:cs="Times New Roman"/>
          <w:noProof/>
          <w:sz w:val="24"/>
          <w:szCs w:val="24"/>
          <w:lang w:val="en-US" w:eastAsia="it-IT"/>
        </w:rPr>
        <w:t xml:space="preserve">r quality criteria are defined in </w:t>
      </w:r>
      <w:r>
        <w:rPr>
          <w:rFonts w:ascii="Times New Roman" w:hAnsi="Times New Roman" w:cs="Times New Roman"/>
          <w:noProof/>
          <w:sz w:val="24"/>
          <w:szCs w:val="24"/>
          <w:lang w:val="en-US" w:eastAsia="it-IT"/>
        </w:rPr>
        <w:fldChar w:fldCharType="begin"/>
      </w:r>
      <w:r>
        <w:rPr>
          <w:rFonts w:ascii="Times New Roman" w:hAnsi="Times New Roman" w:cs="Times New Roman"/>
          <w:noProof/>
          <w:sz w:val="24"/>
          <w:szCs w:val="24"/>
          <w:lang w:val="en-US" w:eastAsia="it-IT"/>
        </w:rPr>
        <w:instrText xml:space="preserve"> REF _Ref494113432 \h  \* MERGEFORMAT </w:instrText>
      </w:r>
      <w:r>
        <w:rPr>
          <w:rFonts w:ascii="Times New Roman" w:hAnsi="Times New Roman" w:cs="Times New Roman"/>
          <w:noProof/>
          <w:sz w:val="24"/>
          <w:szCs w:val="24"/>
          <w:lang w:val="en-US" w:eastAsia="it-IT"/>
        </w:rPr>
      </w:r>
      <w:r>
        <w:rPr>
          <w:rFonts w:ascii="Times New Roman" w:hAnsi="Times New Roman" w:cs="Times New Roman"/>
          <w:noProof/>
          <w:sz w:val="24"/>
          <w:szCs w:val="24"/>
          <w:lang w:val="en-US" w:eastAsia="it-IT"/>
        </w:rPr>
        <w:fldChar w:fldCharType="separate"/>
      </w:r>
      <w:r>
        <w:rPr>
          <w:rFonts w:ascii="Times New Roman" w:hAnsi="Times New Roman" w:cs="Times New Roman"/>
          <w:noProof/>
          <w:sz w:val="24"/>
          <w:szCs w:val="24"/>
        </w:rPr>
        <w:t>Table 2</w:t>
      </w:r>
      <w:r>
        <w:rPr>
          <w:rFonts w:ascii="Times New Roman" w:hAnsi="Times New Roman" w:cs="Times New Roman"/>
          <w:noProof/>
          <w:sz w:val="24"/>
          <w:szCs w:val="24"/>
          <w:lang w:val="en-US" w:eastAsia="it-IT"/>
        </w:rPr>
        <w:fldChar w:fldCharType="end"/>
      </w:r>
      <w:r>
        <w:rPr>
          <w:rFonts w:ascii="Times New Roman" w:hAnsi="Times New Roman" w:cs="Times New Roman"/>
          <w:noProof/>
          <w:sz w:val="24"/>
          <w:szCs w:val="24"/>
          <w:lang w:val="en-US" w:eastAsia="it-IT"/>
        </w:rPr>
        <w:t xml:space="preserve">. The </w:t>
      </w:r>
      <w:r>
        <w:rPr>
          <w:rFonts w:ascii="Times New Roman" w:hAnsi="Times New Roman" w:cs="Times New Roman"/>
          <w:noProof/>
          <w:sz w:val="24"/>
          <w:szCs w:val="24"/>
          <w:lang w:val="en-US"/>
        </w:rPr>
        <w:t xml:space="preserve">classes of reclaimed water quality, and the associated use according to the barriers considered is shown in </w:t>
      </w:r>
      <w:r>
        <w:rPr>
          <w:rFonts w:ascii="Times New Roman" w:hAnsi="Times New Roman" w:cs="Times New Roman"/>
          <w:noProof/>
          <w:sz w:val="24"/>
          <w:szCs w:val="24"/>
          <w:lang w:val="en-US"/>
        </w:rPr>
        <w:fldChar w:fldCharType="begin"/>
      </w:r>
      <w:r>
        <w:rPr>
          <w:rFonts w:ascii="Times New Roman" w:hAnsi="Times New Roman" w:cs="Times New Roman"/>
          <w:noProof/>
          <w:sz w:val="24"/>
          <w:szCs w:val="24"/>
          <w:lang w:val="en-US"/>
        </w:rPr>
        <w:instrText xml:space="preserve"> REF _Ref494113519 \h  \* MERGEFORMAT </w:instrText>
      </w:r>
      <w:r>
        <w:rPr>
          <w:rFonts w:ascii="Times New Roman" w:hAnsi="Times New Roman" w:cs="Times New Roman"/>
          <w:noProof/>
          <w:sz w:val="24"/>
          <w:szCs w:val="24"/>
          <w:lang w:val="en-US"/>
        </w:rPr>
      </w:r>
      <w:r>
        <w:rPr>
          <w:rFonts w:ascii="Times New Roman" w:hAnsi="Times New Roman" w:cs="Times New Roman"/>
          <w:noProof/>
          <w:sz w:val="24"/>
          <w:szCs w:val="24"/>
          <w:lang w:val="en-US"/>
        </w:rPr>
        <w:fldChar w:fldCharType="separate"/>
      </w:r>
      <w:r>
        <w:rPr>
          <w:rFonts w:ascii="Times New Roman" w:hAnsi="Times New Roman" w:cs="Times New Roman"/>
          <w:noProof/>
          <w:sz w:val="24"/>
          <w:szCs w:val="24"/>
        </w:rPr>
        <w:t>Table 3</w:t>
      </w:r>
      <w:r>
        <w:rPr>
          <w:rFonts w:ascii="Times New Roman" w:hAnsi="Times New Roman" w:cs="Times New Roman"/>
          <w:noProof/>
          <w:sz w:val="24"/>
          <w:szCs w:val="24"/>
          <w:lang w:val="en-US"/>
        </w:rPr>
        <w:fldChar w:fldCharType="end"/>
      </w:r>
      <w:r>
        <w:rPr>
          <w:rFonts w:ascii="Times New Roman" w:hAnsi="Times New Roman" w:cs="Times New Roman"/>
          <w:noProof/>
          <w:sz w:val="24"/>
          <w:szCs w:val="24"/>
          <w:lang w:val="en-US" w:eastAsia="it-IT"/>
        </w:rPr>
        <w:t xml:space="preserve">. </w:t>
      </w:r>
      <w:r>
        <w:rPr>
          <w:rFonts w:ascii="Times New Roman" w:hAnsi="Times New Roman" w:cs="Times New Roman"/>
          <w:noProof/>
          <w:sz w:val="24"/>
          <w:szCs w:val="24"/>
        </w:rPr>
        <w:t xml:space="preserve">The frequencies for monitoring the final reclaimed water effluent are defined in </w:t>
      </w:r>
      <w:r>
        <w:rPr>
          <w:rFonts w:ascii="Times New Roman" w:hAnsi="Times New Roman" w:cs="Times New Roman"/>
          <w:noProof/>
          <w:sz w:val="24"/>
          <w:szCs w:val="24"/>
        </w:rPr>
        <w:fldChar w:fldCharType="begin"/>
      </w:r>
      <w:r>
        <w:rPr>
          <w:rFonts w:ascii="Times New Roman" w:hAnsi="Times New Roman" w:cs="Times New Roman"/>
          <w:noProof/>
          <w:sz w:val="24"/>
          <w:szCs w:val="24"/>
        </w:rPr>
        <w:instrText xml:space="preserve"> REF _Ref494113591 \h  \* MERGEFORMAT </w:instrText>
      </w:r>
      <w:r>
        <w:rPr>
          <w:rFonts w:ascii="Times New Roman" w:hAnsi="Times New Roman" w:cs="Times New Roman"/>
          <w:noProof/>
          <w:sz w:val="24"/>
          <w:szCs w:val="24"/>
        </w:rPr>
      </w:r>
      <w:r>
        <w:rPr>
          <w:rFonts w:ascii="Times New Roman" w:hAnsi="Times New Roman" w:cs="Times New Roman"/>
          <w:noProof/>
          <w:sz w:val="24"/>
          <w:szCs w:val="24"/>
        </w:rPr>
        <w:fldChar w:fldCharType="separate"/>
      </w:r>
      <w:r>
        <w:rPr>
          <w:rFonts w:ascii="Times New Roman" w:hAnsi="Times New Roman" w:cs="Times New Roman"/>
          <w:noProof/>
          <w:sz w:val="24"/>
          <w:szCs w:val="24"/>
        </w:rPr>
        <w:t>Table 4</w:t>
      </w:r>
      <w:r>
        <w:rPr>
          <w:rFonts w:ascii="Times New Roman" w:hAnsi="Times New Roman" w:cs="Times New Roman"/>
          <w:noProof/>
          <w:sz w:val="24"/>
          <w:szCs w:val="24"/>
        </w:rPr>
        <w:fldChar w:fldCharType="end"/>
      </w:r>
      <w:r>
        <w:rPr>
          <w:rFonts w:ascii="Times New Roman" w:hAnsi="Times New Roman" w:cs="Times New Roman"/>
          <w:noProof/>
          <w:sz w:val="24"/>
          <w:szCs w:val="24"/>
        </w:rPr>
        <w:t>.</w:t>
      </w:r>
    </w:p>
    <w:p w:rsidR="00AB50C5" w:rsidRDefault="00724275">
      <w:pPr>
        <w:pStyle w:val="JRCTabletitle"/>
        <w:jc w:val="both"/>
        <w:rPr>
          <w:noProof/>
        </w:rPr>
      </w:pPr>
      <w:bookmarkStart w:id="51" w:name="_Ref494113432"/>
      <w:bookmarkStart w:id="52" w:name="_Toc498672382"/>
      <w:r>
        <w:rPr>
          <w:b/>
          <w:noProof/>
        </w:rPr>
        <w:t xml:space="preserve">Table </w:t>
      </w:r>
      <w:r>
        <w:rPr>
          <w:b/>
          <w:noProof/>
        </w:rPr>
        <w:fldChar w:fldCharType="begin"/>
      </w:r>
      <w:r>
        <w:rPr>
          <w:b/>
          <w:noProof/>
        </w:rPr>
        <w:instrText xml:space="preserve"> SEQ Table \* ARAB</w:instrText>
      </w:r>
      <w:r>
        <w:rPr>
          <w:b/>
          <w:noProof/>
        </w:rPr>
        <w:instrText xml:space="preserve">IC </w:instrText>
      </w:r>
      <w:r>
        <w:rPr>
          <w:b/>
          <w:noProof/>
        </w:rPr>
        <w:fldChar w:fldCharType="separate"/>
      </w:r>
      <w:r>
        <w:rPr>
          <w:b/>
          <w:noProof/>
        </w:rPr>
        <w:t>2</w:t>
      </w:r>
      <w:r>
        <w:rPr>
          <w:b/>
          <w:noProof/>
        </w:rPr>
        <w:fldChar w:fldCharType="end"/>
      </w:r>
      <w:bookmarkEnd w:id="51"/>
      <w:r>
        <w:rPr>
          <w:b/>
          <w:noProof/>
        </w:rPr>
        <w:t>.</w:t>
      </w:r>
      <w:r>
        <w:rPr>
          <w:noProof/>
        </w:rPr>
        <w:t xml:space="preserve"> Reclaimed water quality criteria for agricultural irrigation.</w:t>
      </w:r>
      <w:bookmarkEnd w:id="52"/>
    </w:p>
    <w:tbl>
      <w:tblPr>
        <w:tblStyle w:val="GridTable4-Accent13"/>
        <w:tblW w:w="9470" w:type="dxa"/>
        <w:tblLayout w:type="fixed"/>
        <w:tblLook w:val="04A0" w:firstRow="1" w:lastRow="0" w:firstColumn="1" w:lastColumn="0" w:noHBand="0" w:noVBand="1"/>
      </w:tblPr>
      <w:tblGrid>
        <w:gridCol w:w="1165"/>
        <w:gridCol w:w="1350"/>
        <w:gridCol w:w="1080"/>
        <w:gridCol w:w="1260"/>
        <w:gridCol w:w="1260"/>
        <w:gridCol w:w="1080"/>
        <w:gridCol w:w="2275"/>
      </w:tblGrid>
      <w:tr w:rsidR="00AB50C5" w:rsidTr="00AB50C5">
        <w:trPr>
          <w:cnfStyle w:val="100000000000" w:firstRow="1" w:lastRow="0" w:firstColumn="0" w:lastColumn="0" w:oddVBand="0" w:evenVBand="0" w:oddHBand="0" w:evenHBand="0" w:firstRowFirstColumn="0" w:firstRowLastColumn="0" w:lastRowFirstColumn="0" w:lastRowLastColumn="0"/>
          <w:trHeight w:val="262"/>
          <w:tblHeader/>
        </w:trPr>
        <w:tc>
          <w:tcPr>
            <w:cnfStyle w:val="001000000000" w:firstRow="0" w:lastRow="0" w:firstColumn="1" w:lastColumn="0" w:oddVBand="0" w:evenVBand="0" w:oddHBand="0" w:evenHBand="0" w:firstRowFirstColumn="0" w:firstRowLastColumn="0" w:lastRowFirstColumn="0" w:lastRowLastColumn="0"/>
            <w:tcW w:w="1165" w:type="dxa"/>
            <w:vMerge w:val="restart"/>
          </w:tcPr>
          <w:p w:rsidR="00AB50C5" w:rsidRDefault="00724275">
            <w:pPr>
              <w:jc w:val="center"/>
              <w:rPr>
                <w:noProof/>
                <w:sz w:val="16"/>
                <w:szCs w:val="16"/>
              </w:rPr>
            </w:pPr>
            <w:r>
              <w:rPr>
                <w:noProof/>
                <w:sz w:val="16"/>
                <w:szCs w:val="16"/>
              </w:rPr>
              <w:t>Reclaimed water quality class</w:t>
            </w:r>
          </w:p>
        </w:tc>
        <w:tc>
          <w:tcPr>
            <w:tcW w:w="1350" w:type="dxa"/>
            <w:vMerge w:val="restart"/>
          </w:tcPr>
          <w:p w:rsidR="00AB50C5" w:rsidRDefault="00724275">
            <w:pPr>
              <w:jc w:val="center"/>
              <w:cnfStyle w:val="100000000000" w:firstRow="1" w:lastRow="0" w:firstColumn="0" w:lastColumn="0" w:oddVBand="0" w:evenVBand="0" w:oddHBand="0" w:evenHBand="0" w:firstRowFirstColumn="0" w:firstRowLastColumn="0" w:lastRowFirstColumn="0" w:lastRowLastColumn="0"/>
              <w:rPr>
                <w:noProof/>
                <w:sz w:val="16"/>
                <w:szCs w:val="16"/>
              </w:rPr>
            </w:pPr>
            <w:r>
              <w:rPr>
                <w:noProof/>
                <w:sz w:val="16"/>
                <w:szCs w:val="16"/>
              </w:rPr>
              <w:t>Indicative technology target</w:t>
            </w:r>
          </w:p>
        </w:tc>
        <w:tc>
          <w:tcPr>
            <w:tcW w:w="6955" w:type="dxa"/>
            <w:gridSpan w:val="5"/>
          </w:tcPr>
          <w:p w:rsidR="00AB50C5" w:rsidRDefault="00724275">
            <w:pPr>
              <w:jc w:val="center"/>
              <w:cnfStyle w:val="100000000000" w:firstRow="1" w:lastRow="0" w:firstColumn="0" w:lastColumn="0" w:oddVBand="0" w:evenVBand="0" w:oddHBand="0" w:evenHBand="0" w:firstRowFirstColumn="0" w:firstRowLastColumn="0" w:lastRowFirstColumn="0" w:lastRowLastColumn="0"/>
              <w:rPr>
                <w:noProof/>
                <w:sz w:val="16"/>
                <w:szCs w:val="16"/>
              </w:rPr>
            </w:pPr>
            <w:r>
              <w:rPr>
                <w:noProof/>
                <w:sz w:val="16"/>
                <w:szCs w:val="16"/>
              </w:rPr>
              <w:t>Quality criteria</w:t>
            </w:r>
          </w:p>
        </w:tc>
      </w:tr>
      <w:tr w:rsidR="00AB50C5" w:rsidTr="00AB50C5">
        <w:trPr>
          <w:cnfStyle w:val="100000000000" w:firstRow="1" w:lastRow="0" w:firstColumn="0" w:lastColumn="0" w:oddVBand="0" w:evenVBand="0" w:oddHBand="0" w:evenHBand="0" w:firstRowFirstColumn="0" w:firstRowLastColumn="0" w:lastRowFirstColumn="0" w:lastRowLastColumn="0"/>
          <w:trHeight w:val="904"/>
          <w:tblHeader/>
        </w:trPr>
        <w:tc>
          <w:tcPr>
            <w:cnfStyle w:val="001000000000" w:firstRow="0" w:lastRow="0" w:firstColumn="1" w:lastColumn="0" w:oddVBand="0" w:evenVBand="0" w:oddHBand="0" w:evenHBand="0" w:firstRowFirstColumn="0" w:firstRowLastColumn="0" w:lastRowFirstColumn="0" w:lastRowLastColumn="0"/>
            <w:tcW w:w="1165" w:type="dxa"/>
            <w:vMerge/>
          </w:tcPr>
          <w:p w:rsidR="00AB50C5" w:rsidRDefault="00AB50C5">
            <w:pPr>
              <w:jc w:val="center"/>
              <w:rPr>
                <w:i/>
                <w:noProof/>
                <w:sz w:val="16"/>
                <w:szCs w:val="16"/>
              </w:rPr>
            </w:pPr>
          </w:p>
        </w:tc>
        <w:tc>
          <w:tcPr>
            <w:tcW w:w="1350" w:type="dxa"/>
            <w:vMerge/>
          </w:tcPr>
          <w:p w:rsidR="00AB50C5" w:rsidRDefault="00AB50C5">
            <w:pPr>
              <w:jc w:val="center"/>
              <w:cnfStyle w:val="100000000000" w:firstRow="1" w:lastRow="0" w:firstColumn="0" w:lastColumn="0" w:oddVBand="0" w:evenVBand="0" w:oddHBand="0" w:evenHBand="0" w:firstRowFirstColumn="0" w:firstRowLastColumn="0" w:lastRowFirstColumn="0" w:lastRowLastColumn="0"/>
              <w:rPr>
                <w:i/>
                <w:noProof/>
                <w:sz w:val="16"/>
                <w:szCs w:val="16"/>
                <w:lang w:val="en-GB"/>
              </w:rPr>
            </w:pPr>
          </w:p>
        </w:tc>
        <w:tc>
          <w:tcPr>
            <w:tcW w:w="1080" w:type="dxa"/>
          </w:tcPr>
          <w:p w:rsidR="00AB50C5" w:rsidRDefault="00AB50C5">
            <w:pPr>
              <w:jc w:val="center"/>
              <w:cnfStyle w:val="100000000000" w:firstRow="1" w:lastRow="0" w:firstColumn="0" w:lastColumn="0" w:oddVBand="0" w:evenVBand="0" w:oddHBand="0" w:evenHBand="0" w:firstRowFirstColumn="0" w:firstRowLastColumn="0" w:lastRowFirstColumn="0" w:lastRowLastColumn="0"/>
              <w:rPr>
                <w:i/>
                <w:noProof/>
                <w:sz w:val="16"/>
                <w:szCs w:val="16"/>
                <w:lang w:val="en-GB"/>
              </w:rPr>
            </w:pPr>
          </w:p>
          <w:p w:rsidR="00AB50C5" w:rsidRDefault="00724275">
            <w:pPr>
              <w:jc w:val="center"/>
              <w:cnfStyle w:val="100000000000" w:firstRow="1" w:lastRow="0" w:firstColumn="0" w:lastColumn="0" w:oddVBand="0" w:evenVBand="0" w:oddHBand="0" w:evenHBand="0" w:firstRowFirstColumn="0" w:firstRowLastColumn="0" w:lastRowFirstColumn="0" w:lastRowLastColumn="0"/>
              <w:rPr>
                <w:noProof/>
                <w:sz w:val="16"/>
                <w:szCs w:val="16"/>
                <w:lang w:val="en-GB"/>
              </w:rPr>
            </w:pPr>
            <w:r>
              <w:rPr>
                <w:i/>
                <w:noProof/>
                <w:sz w:val="16"/>
                <w:szCs w:val="16"/>
                <w:lang w:val="en-GB"/>
              </w:rPr>
              <w:t>E. coli</w:t>
            </w:r>
          </w:p>
          <w:p w:rsidR="00AB50C5" w:rsidRDefault="00724275">
            <w:pPr>
              <w:jc w:val="center"/>
              <w:cnfStyle w:val="100000000000" w:firstRow="1" w:lastRow="0" w:firstColumn="0" w:lastColumn="0" w:oddVBand="0" w:evenVBand="0" w:oddHBand="0" w:evenHBand="0" w:firstRowFirstColumn="0" w:firstRowLastColumn="0" w:lastRowFirstColumn="0" w:lastRowLastColumn="0"/>
              <w:rPr>
                <w:noProof/>
                <w:sz w:val="16"/>
                <w:szCs w:val="16"/>
                <w:lang w:val="en-GB"/>
              </w:rPr>
            </w:pPr>
            <w:r>
              <w:rPr>
                <w:noProof/>
                <w:sz w:val="16"/>
                <w:szCs w:val="16"/>
                <w:lang w:val="en-GB"/>
              </w:rPr>
              <w:t>(cfu/100 ml)</w:t>
            </w:r>
          </w:p>
        </w:tc>
        <w:tc>
          <w:tcPr>
            <w:tcW w:w="1260" w:type="dxa"/>
          </w:tcPr>
          <w:p w:rsidR="00AB50C5" w:rsidRDefault="00AB50C5">
            <w:pPr>
              <w:jc w:val="center"/>
              <w:cnfStyle w:val="100000000000" w:firstRow="1" w:lastRow="0" w:firstColumn="0" w:lastColumn="0" w:oddVBand="0" w:evenVBand="0" w:oddHBand="0" w:evenHBand="0" w:firstRowFirstColumn="0" w:firstRowLastColumn="0" w:lastRowFirstColumn="0" w:lastRowLastColumn="0"/>
              <w:rPr>
                <w:noProof/>
                <w:sz w:val="16"/>
                <w:szCs w:val="16"/>
              </w:rPr>
            </w:pPr>
          </w:p>
          <w:p w:rsidR="00AB50C5" w:rsidRDefault="00724275">
            <w:pPr>
              <w:jc w:val="center"/>
              <w:cnfStyle w:val="100000000000" w:firstRow="1" w:lastRow="0" w:firstColumn="0" w:lastColumn="0" w:oddVBand="0" w:evenVBand="0" w:oddHBand="0" w:evenHBand="0" w:firstRowFirstColumn="0" w:firstRowLastColumn="0" w:lastRowFirstColumn="0" w:lastRowLastColumn="0"/>
              <w:rPr>
                <w:noProof/>
                <w:sz w:val="16"/>
                <w:szCs w:val="16"/>
              </w:rPr>
            </w:pPr>
            <w:r>
              <w:rPr>
                <w:noProof/>
                <w:sz w:val="16"/>
                <w:szCs w:val="16"/>
              </w:rPr>
              <w:t>BOD</w:t>
            </w:r>
            <w:r>
              <w:rPr>
                <w:noProof/>
                <w:sz w:val="16"/>
                <w:szCs w:val="16"/>
                <w:vertAlign w:val="subscript"/>
              </w:rPr>
              <w:t>5</w:t>
            </w:r>
          </w:p>
          <w:p w:rsidR="00AB50C5" w:rsidRDefault="00724275">
            <w:pPr>
              <w:jc w:val="center"/>
              <w:cnfStyle w:val="100000000000" w:firstRow="1" w:lastRow="0" w:firstColumn="0" w:lastColumn="0" w:oddVBand="0" w:evenVBand="0" w:oddHBand="0" w:evenHBand="0" w:firstRowFirstColumn="0" w:firstRowLastColumn="0" w:lastRowFirstColumn="0" w:lastRowLastColumn="0"/>
              <w:rPr>
                <w:noProof/>
                <w:sz w:val="16"/>
                <w:szCs w:val="16"/>
              </w:rPr>
            </w:pPr>
            <w:r>
              <w:rPr>
                <w:noProof/>
                <w:sz w:val="16"/>
                <w:szCs w:val="16"/>
              </w:rPr>
              <w:t>(mg/l)</w:t>
            </w:r>
          </w:p>
          <w:p w:rsidR="00AB50C5" w:rsidRDefault="00AB50C5">
            <w:pPr>
              <w:jc w:val="center"/>
              <w:cnfStyle w:val="100000000000" w:firstRow="1" w:lastRow="0" w:firstColumn="0" w:lastColumn="0" w:oddVBand="0" w:evenVBand="0" w:oddHBand="0" w:evenHBand="0" w:firstRowFirstColumn="0" w:firstRowLastColumn="0" w:lastRowFirstColumn="0" w:lastRowLastColumn="0"/>
              <w:rPr>
                <w:noProof/>
                <w:sz w:val="16"/>
                <w:szCs w:val="16"/>
              </w:rPr>
            </w:pPr>
          </w:p>
        </w:tc>
        <w:tc>
          <w:tcPr>
            <w:tcW w:w="1260" w:type="dxa"/>
          </w:tcPr>
          <w:p w:rsidR="00AB50C5" w:rsidRDefault="00AB50C5">
            <w:pPr>
              <w:jc w:val="center"/>
              <w:cnfStyle w:val="100000000000" w:firstRow="1" w:lastRow="0" w:firstColumn="0" w:lastColumn="0" w:oddVBand="0" w:evenVBand="0" w:oddHBand="0" w:evenHBand="0" w:firstRowFirstColumn="0" w:firstRowLastColumn="0" w:lastRowFirstColumn="0" w:lastRowLastColumn="0"/>
              <w:rPr>
                <w:noProof/>
                <w:sz w:val="16"/>
                <w:szCs w:val="16"/>
              </w:rPr>
            </w:pPr>
          </w:p>
          <w:p w:rsidR="00AB50C5" w:rsidRDefault="00724275">
            <w:pPr>
              <w:jc w:val="center"/>
              <w:cnfStyle w:val="100000000000" w:firstRow="1" w:lastRow="0" w:firstColumn="0" w:lastColumn="0" w:oddVBand="0" w:evenVBand="0" w:oddHBand="0" w:evenHBand="0" w:firstRowFirstColumn="0" w:firstRowLastColumn="0" w:lastRowFirstColumn="0" w:lastRowLastColumn="0"/>
              <w:rPr>
                <w:noProof/>
                <w:sz w:val="16"/>
                <w:szCs w:val="16"/>
              </w:rPr>
            </w:pPr>
            <w:r>
              <w:rPr>
                <w:noProof/>
                <w:sz w:val="16"/>
                <w:szCs w:val="16"/>
              </w:rPr>
              <w:t>TSS</w:t>
            </w:r>
          </w:p>
          <w:p w:rsidR="00AB50C5" w:rsidRDefault="00724275">
            <w:pPr>
              <w:jc w:val="center"/>
              <w:cnfStyle w:val="100000000000" w:firstRow="1" w:lastRow="0" w:firstColumn="0" w:lastColumn="0" w:oddVBand="0" w:evenVBand="0" w:oddHBand="0" w:evenHBand="0" w:firstRowFirstColumn="0" w:firstRowLastColumn="0" w:lastRowFirstColumn="0" w:lastRowLastColumn="0"/>
              <w:rPr>
                <w:noProof/>
                <w:sz w:val="16"/>
                <w:szCs w:val="16"/>
              </w:rPr>
            </w:pPr>
            <w:r>
              <w:rPr>
                <w:noProof/>
                <w:sz w:val="16"/>
                <w:szCs w:val="16"/>
              </w:rPr>
              <w:t>(mg/l)</w:t>
            </w:r>
          </w:p>
        </w:tc>
        <w:tc>
          <w:tcPr>
            <w:tcW w:w="1080" w:type="dxa"/>
          </w:tcPr>
          <w:p w:rsidR="00AB50C5" w:rsidRDefault="00AB50C5">
            <w:pPr>
              <w:jc w:val="center"/>
              <w:cnfStyle w:val="100000000000" w:firstRow="1" w:lastRow="0" w:firstColumn="0" w:lastColumn="0" w:oddVBand="0" w:evenVBand="0" w:oddHBand="0" w:evenHBand="0" w:firstRowFirstColumn="0" w:firstRowLastColumn="0" w:lastRowFirstColumn="0" w:lastRowLastColumn="0"/>
              <w:rPr>
                <w:noProof/>
                <w:sz w:val="16"/>
                <w:szCs w:val="16"/>
                <w:lang w:val="en-GB"/>
              </w:rPr>
            </w:pPr>
          </w:p>
          <w:p w:rsidR="00AB50C5" w:rsidRDefault="00724275">
            <w:pPr>
              <w:jc w:val="center"/>
              <w:cnfStyle w:val="100000000000" w:firstRow="1" w:lastRow="0" w:firstColumn="0" w:lastColumn="0" w:oddVBand="0" w:evenVBand="0" w:oddHBand="0" w:evenHBand="0" w:firstRowFirstColumn="0" w:firstRowLastColumn="0" w:lastRowFirstColumn="0" w:lastRowLastColumn="0"/>
              <w:rPr>
                <w:noProof/>
                <w:sz w:val="16"/>
                <w:szCs w:val="16"/>
                <w:lang w:val="en-GB"/>
              </w:rPr>
            </w:pPr>
            <w:r>
              <w:rPr>
                <w:noProof/>
                <w:sz w:val="16"/>
                <w:szCs w:val="16"/>
                <w:lang w:val="en-GB"/>
              </w:rPr>
              <w:t>Turbidity</w:t>
            </w:r>
          </w:p>
          <w:p w:rsidR="00AB50C5" w:rsidRDefault="00724275">
            <w:pPr>
              <w:jc w:val="center"/>
              <w:cnfStyle w:val="100000000000" w:firstRow="1" w:lastRow="0" w:firstColumn="0" w:lastColumn="0" w:oddVBand="0" w:evenVBand="0" w:oddHBand="0" w:evenHBand="0" w:firstRowFirstColumn="0" w:firstRowLastColumn="0" w:lastRowFirstColumn="0" w:lastRowLastColumn="0"/>
              <w:rPr>
                <w:noProof/>
                <w:sz w:val="16"/>
                <w:szCs w:val="16"/>
                <w:lang w:val="en-GB"/>
              </w:rPr>
            </w:pPr>
            <w:r>
              <w:rPr>
                <w:noProof/>
                <w:sz w:val="16"/>
                <w:szCs w:val="16"/>
                <w:lang w:val="en-GB"/>
              </w:rPr>
              <w:t>(NTU)</w:t>
            </w:r>
          </w:p>
        </w:tc>
        <w:tc>
          <w:tcPr>
            <w:tcW w:w="2275" w:type="dxa"/>
          </w:tcPr>
          <w:p w:rsidR="00AB50C5" w:rsidRDefault="00AB50C5">
            <w:pPr>
              <w:jc w:val="center"/>
              <w:cnfStyle w:val="100000000000" w:firstRow="1" w:lastRow="0" w:firstColumn="0" w:lastColumn="0" w:oddVBand="0" w:evenVBand="0" w:oddHBand="0" w:evenHBand="0" w:firstRowFirstColumn="0" w:firstRowLastColumn="0" w:lastRowFirstColumn="0" w:lastRowLastColumn="0"/>
              <w:rPr>
                <w:noProof/>
                <w:sz w:val="16"/>
                <w:szCs w:val="16"/>
              </w:rPr>
            </w:pPr>
          </w:p>
          <w:p w:rsidR="00AB50C5" w:rsidRDefault="00724275">
            <w:pPr>
              <w:jc w:val="center"/>
              <w:cnfStyle w:val="100000000000" w:firstRow="1" w:lastRow="0" w:firstColumn="0" w:lastColumn="0" w:oddVBand="0" w:evenVBand="0" w:oddHBand="0" w:evenHBand="0" w:firstRowFirstColumn="0" w:firstRowLastColumn="0" w:lastRowFirstColumn="0" w:lastRowLastColumn="0"/>
              <w:rPr>
                <w:noProof/>
                <w:sz w:val="16"/>
                <w:szCs w:val="16"/>
              </w:rPr>
            </w:pPr>
            <w:r>
              <w:rPr>
                <w:noProof/>
                <w:sz w:val="16"/>
                <w:szCs w:val="16"/>
              </w:rPr>
              <w:t>Additional criteria</w:t>
            </w:r>
          </w:p>
        </w:tc>
      </w:tr>
      <w:tr w:rsidR="00AB50C5" w:rsidTr="00AB50C5">
        <w:trPr>
          <w:cnfStyle w:val="000000100000" w:firstRow="0" w:lastRow="0" w:firstColumn="0" w:lastColumn="0" w:oddVBand="0" w:evenVBand="0" w:oddHBand="1" w:evenHBand="0" w:firstRowFirstColumn="0" w:firstRowLastColumn="0" w:lastRowFirstColumn="0" w:lastRowLastColumn="0"/>
          <w:trHeight w:val="982"/>
        </w:trPr>
        <w:tc>
          <w:tcPr>
            <w:cnfStyle w:val="001000000000" w:firstRow="0" w:lastRow="0" w:firstColumn="1" w:lastColumn="0" w:oddVBand="0" w:evenVBand="0" w:oddHBand="0" w:evenHBand="0" w:firstRowFirstColumn="0" w:firstRowLastColumn="0" w:lastRowFirstColumn="0" w:lastRowLastColumn="0"/>
            <w:tcW w:w="1165" w:type="dxa"/>
            <w:shd w:val="clear" w:color="auto" w:fill="auto"/>
          </w:tcPr>
          <w:p w:rsidR="00AB50C5" w:rsidRDefault="00724275">
            <w:pPr>
              <w:jc w:val="center"/>
              <w:rPr>
                <w:noProof/>
                <w:sz w:val="16"/>
                <w:szCs w:val="16"/>
              </w:rPr>
            </w:pPr>
            <w:r>
              <w:rPr>
                <w:noProof/>
                <w:sz w:val="16"/>
                <w:szCs w:val="16"/>
              </w:rPr>
              <w:t>Class A</w:t>
            </w:r>
          </w:p>
        </w:tc>
        <w:tc>
          <w:tcPr>
            <w:tcW w:w="1350" w:type="dxa"/>
            <w:shd w:val="clear" w:color="auto" w:fill="auto"/>
          </w:tcPr>
          <w:p w:rsidR="00AB50C5" w:rsidRDefault="00724275">
            <w:pPr>
              <w:jc w:val="center"/>
              <w:cnfStyle w:val="000000100000" w:firstRow="0" w:lastRow="0" w:firstColumn="0" w:lastColumn="0" w:oddVBand="0" w:evenVBand="0" w:oddHBand="1" w:evenHBand="0" w:firstRowFirstColumn="0" w:firstRowLastColumn="0" w:lastRowFirstColumn="0" w:lastRowLastColumn="0"/>
              <w:rPr>
                <w:noProof/>
                <w:sz w:val="16"/>
                <w:szCs w:val="16"/>
                <w:lang w:val="en-US"/>
              </w:rPr>
            </w:pPr>
            <w:r>
              <w:rPr>
                <w:noProof/>
                <w:sz w:val="16"/>
                <w:szCs w:val="16"/>
                <w:lang w:val="en-US"/>
              </w:rPr>
              <w:t xml:space="preserve">Secondary </w:t>
            </w:r>
            <w:r>
              <w:rPr>
                <w:noProof/>
                <w:sz w:val="16"/>
                <w:szCs w:val="16"/>
                <w:lang w:val="en-US"/>
              </w:rPr>
              <w:t>treatment, filtration, and disinfection</w:t>
            </w:r>
          </w:p>
          <w:p w:rsidR="00AB50C5" w:rsidRDefault="00724275">
            <w:pPr>
              <w:jc w:val="center"/>
              <w:cnfStyle w:val="000000100000" w:firstRow="0" w:lastRow="0" w:firstColumn="0" w:lastColumn="0" w:oddVBand="0" w:evenVBand="0" w:oddHBand="1" w:evenHBand="0" w:firstRowFirstColumn="0" w:firstRowLastColumn="0" w:lastRowFirstColumn="0" w:lastRowLastColumn="0"/>
              <w:rPr>
                <w:noProof/>
                <w:sz w:val="16"/>
                <w:szCs w:val="16"/>
                <w:lang w:val="en-US"/>
              </w:rPr>
            </w:pPr>
            <w:r>
              <w:rPr>
                <w:noProof/>
                <w:sz w:val="16"/>
                <w:szCs w:val="16"/>
                <w:lang w:val="en-US"/>
              </w:rPr>
              <w:t>(advanced water treatments)</w:t>
            </w:r>
          </w:p>
        </w:tc>
        <w:tc>
          <w:tcPr>
            <w:tcW w:w="1080" w:type="dxa"/>
            <w:shd w:val="clear" w:color="auto" w:fill="auto"/>
          </w:tcPr>
          <w:p w:rsidR="00AB50C5" w:rsidRDefault="00724275">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w:t>
            </w:r>
          </w:p>
          <w:p w:rsidR="00AB50C5" w:rsidRDefault="00724275">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or below detection limit</w:t>
            </w:r>
          </w:p>
          <w:p w:rsidR="00AB50C5" w:rsidRDefault="00AB50C5">
            <w:pPr>
              <w:jc w:val="center"/>
              <w:cnfStyle w:val="000000100000" w:firstRow="0" w:lastRow="0" w:firstColumn="0" w:lastColumn="0" w:oddVBand="0" w:evenVBand="0" w:oddHBand="1" w:evenHBand="0" w:firstRowFirstColumn="0" w:firstRowLastColumn="0" w:lastRowFirstColumn="0" w:lastRowLastColumn="0"/>
              <w:rPr>
                <w:noProof/>
                <w:sz w:val="16"/>
                <w:szCs w:val="16"/>
              </w:rPr>
            </w:pPr>
          </w:p>
          <w:p w:rsidR="00AB50C5" w:rsidRDefault="00AB50C5">
            <w:pPr>
              <w:jc w:val="center"/>
              <w:cnfStyle w:val="000000100000" w:firstRow="0" w:lastRow="0" w:firstColumn="0" w:lastColumn="0" w:oddVBand="0" w:evenVBand="0" w:oddHBand="1" w:evenHBand="0" w:firstRowFirstColumn="0" w:firstRowLastColumn="0" w:lastRowFirstColumn="0" w:lastRowLastColumn="0"/>
              <w:rPr>
                <w:noProof/>
                <w:sz w:val="16"/>
                <w:szCs w:val="16"/>
              </w:rPr>
            </w:pPr>
          </w:p>
          <w:p w:rsidR="00AB50C5" w:rsidRDefault="00AB50C5">
            <w:pPr>
              <w:cnfStyle w:val="000000100000" w:firstRow="0" w:lastRow="0" w:firstColumn="0" w:lastColumn="0" w:oddVBand="0" w:evenVBand="0" w:oddHBand="1" w:evenHBand="0" w:firstRowFirstColumn="0" w:firstRowLastColumn="0" w:lastRowFirstColumn="0" w:lastRowLastColumn="0"/>
              <w:rPr>
                <w:noProof/>
                <w:sz w:val="16"/>
                <w:szCs w:val="16"/>
              </w:rPr>
            </w:pPr>
          </w:p>
        </w:tc>
        <w:tc>
          <w:tcPr>
            <w:tcW w:w="1260" w:type="dxa"/>
            <w:shd w:val="clear" w:color="auto" w:fill="auto"/>
          </w:tcPr>
          <w:p w:rsidR="00AB50C5" w:rsidRDefault="00724275">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w:t>
            </w:r>
          </w:p>
        </w:tc>
        <w:tc>
          <w:tcPr>
            <w:tcW w:w="1260" w:type="dxa"/>
            <w:shd w:val="clear" w:color="auto" w:fill="auto"/>
          </w:tcPr>
          <w:p w:rsidR="00AB50C5" w:rsidRDefault="00724275">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≤10</w:t>
            </w:r>
          </w:p>
        </w:tc>
        <w:tc>
          <w:tcPr>
            <w:tcW w:w="1080" w:type="dxa"/>
            <w:shd w:val="clear" w:color="auto" w:fill="auto"/>
          </w:tcPr>
          <w:p w:rsidR="00AB50C5" w:rsidRDefault="00724275">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≤5</w:t>
            </w:r>
          </w:p>
        </w:tc>
        <w:tc>
          <w:tcPr>
            <w:tcW w:w="2275" w:type="dxa"/>
            <w:vMerge w:val="restart"/>
            <w:shd w:val="clear" w:color="auto" w:fill="auto"/>
          </w:tcPr>
          <w:p w:rsidR="00AB50C5" w:rsidRDefault="00AB50C5">
            <w:pPr>
              <w:cnfStyle w:val="000000100000" w:firstRow="0" w:lastRow="0" w:firstColumn="0" w:lastColumn="0" w:oddVBand="0" w:evenVBand="0" w:oddHBand="1" w:evenHBand="0" w:firstRowFirstColumn="0" w:firstRowLastColumn="0" w:lastRowFirstColumn="0" w:lastRowLastColumn="0"/>
              <w:rPr>
                <w:noProof/>
                <w:sz w:val="16"/>
                <w:szCs w:val="16"/>
                <w:lang w:val="en-US"/>
              </w:rPr>
            </w:pPr>
          </w:p>
          <w:p w:rsidR="00AB50C5" w:rsidRDefault="00724275">
            <w:pPr>
              <w:cnfStyle w:val="000000100000" w:firstRow="0" w:lastRow="0" w:firstColumn="0" w:lastColumn="0" w:oddVBand="0" w:evenVBand="0" w:oddHBand="1" w:evenHBand="0" w:firstRowFirstColumn="0" w:firstRowLastColumn="0" w:lastRowFirstColumn="0" w:lastRowLastColumn="0"/>
              <w:rPr>
                <w:noProof/>
                <w:sz w:val="16"/>
                <w:szCs w:val="16"/>
                <w:lang w:val="en-US"/>
              </w:rPr>
            </w:pPr>
            <w:r>
              <w:rPr>
                <w:i/>
                <w:noProof/>
                <w:sz w:val="16"/>
                <w:szCs w:val="16"/>
                <w:lang w:val="en-US"/>
              </w:rPr>
              <w:t>Legionella</w:t>
            </w:r>
            <w:r>
              <w:rPr>
                <w:noProof/>
                <w:sz w:val="16"/>
                <w:szCs w:val="16"/>
                <w:lang w:val="en-US"/>
              </w:rPr>
              <w:t xml:space="preserve"> spp.: ≤1,000 cfu/l when there is risk of aerosolization.</w:t>
            </w:r>
          </w:p>
          <w:p w:rsidR="00AB50C5" w:rsidRDefault="00AB50C5">
            <w:pPr>
              <w:cnfStyle w:val="000000100000" w:firstRow="0" w:lastRow="0" w:firstColumn="0" w:lastColumn="0" w:oddVBand="0" w:evenVBand="0" w:oddHBand="1" w:evenHBand="0" w:firstRowFirstColumn="0" w:firstRowLastColumn="0" w:lastRowFirstColumn="0" w:lastRowLastColumn="0"/>
              <w:rPr>
                <w:noProof/>
                <w:sz w:val="16"/>
                <w:szCs w:val="16"/>
                <w:lang w:val="en-US"/>
              </w:rPr>
            </w:pPr>
          </w:p>
          <w:p w:rsidR="00AB50C5" w:rsidRDefault="00724275">
            <w:pPr>
              <w:cnfStyle w:val="000000100000" w:firstRow="0" w:lastRow="0" w:firstColumn="0" w:lastColumn="0" w:oddVBand="0" w:evenVBand="0" w:oddHBand="1" w:evenHBand="0" w:firstRowFirstColumn="0" w:firstRowLastColumn="0" w:lastRowFirstColumn="0" w:lastRowLastColumn="0"/>
              <w:rPr>
                <w:noProof/>
                <w:sz w:val="16"/>
                <w:szCs w:val="16"/>
                <w:lang w:val="en-US"/>
              </w:rPr>
            </w:pPr>
            <w:r>
              <w:rPr>
                <w:noProof/>
                <w:sz w:val="16"/>
                <w:szCs w:val="16"/>
                <w:lang w:val="en-US"/>
              </w:rPr>
              <w:t xml:space="preserve">Intestinal nematodes (helminth eggs): ≤1 egg/l when irrigation of pastures </w:t>
            </w:r>
            <w:r>
              <w:rPr>
                <w:noProof/>
                <w:sz w:val="16"/>
                <w:szCs w:val="16"/>
                <w:lang w:val="en-US"/>
              </w:rPr>
              <w:t>or fodder for livestock.</w:t>
            </w:r>
          </w:p>
        </w:tc>
      </w:tr>
      <w:tr w:rsidR="00AB50C5" w:rsidTr="00AB50C5">
        <w:trPr>
          <w:trHeight w:val="1234"/>
        </w:trPr>
        <w:tc>
          <w:tcPr>
            <w:cnfStyle w:val="001000000000" w:firstRow="0" w:lastRow="0" w:firstColumn="1" w:lastColumn="0" w:oddVBand="0" w:evenVBand="0" w:oddHBand="0" w:evenHBand="0" w:firstRowFirstColumn="0" w:firstRowLastColumn="0" w:lastRowFirstColumn="0" w:lastRowLastColumn="0"/>
            <w:tcW w:w="1165" w:type="dxa"/>
            <w:shd w:val="clear" w:color="auto" w:fill="auto"/>
          </w:tcPr>
          <w:p w:rsidR="00AB50C5" w:rsidRDefault="00724275">
            <w:pPr>
              <w:jc w:val="center"/>
              <w:rPr>
                <w:noProof/>
                <w:sz w:val="16"/>
                <w:szCs w:val="16"/>
              </w:rPr>
            </w:pPr>
            <w:r>
              <w:rPr>
                <w:noProof/>
                <w:sz w:val="16"/>
                <w:szCs w:val="16"/>
              </w:rPr>
              <w:t>Class B</w:t>
            </w:r>
          </w:p>
        </w:tc>
        <w:tc>
          <w:tcPr>
            <w:tcW w:w="1350" w:type="dxa"/>
            <w:shd w:val="clear" w:color="auto" w:fill="auto"/>
          </w:tcPr>
          <w:p w:rsidR="00AB50C5" w:rsidRDefault="00724275">
            <w:pPr>
              <w:jc w:val="center"/>
              <w:cnfStyle w:val="000000000000" w:firstRow="0" w:lastRow="0" w:firstColumn="0" w:lastColumn="0" w:oddVBand="0" w:evenVBand="0" w:oddHBand="0" w:evenHBand="0" w:firstRowFirstColumn="0" w:firstRowLastColumn="0" w:lastRowFirstColumn="0" w:lastRowLastColumn="0"/>
              <w:rPr>
                <w:noProof/>
                <w:sz w:val="16"/>
                <w:szCs w:val="16"/>
                <w:lang w:val="en-GB"/>
              </w:rPr>
            </w:pPr>
            <w:r>
              <w:rPr>
                <w:noProof/>
                <w:sz w:val="16"/>
                <w:szCs w:val="16"/>
              </w:rPr>
              <w:t>Secondary treatment, and disinfection</w:t>
            </w:r>
          </w:p>
        </w:tc>
        <w:tc>
          <w:tcPr>
            <w:tcW w:w="1080" w:type="dxa"/>
            <w:shd w:val="clear" w:color="auto" w:fill="auto"/>
          </w:tcPr>
          <w:p w:rsidR="00AB50C5" w:rsidRDefault="00724275">
            <w:pPr>
              <w:jc w:val="center"/>
              <w:cnfStyle w:val="000000000000" w:firstRow="0" w:lastRow="0" w:firstColumn="0" w:lastColumn="0" w:oddVBand="0" w:evenVBand="0" w:oddHBand="0" w:evenHBand="0" w:firstRowFirstColumn="0" w:firstRowLastColumn="0" w:lastRowFirstColumn="0" w:lastRowLastColumn="0"/>
              <w:rPr>
                <w:noProof/>
                <w:sz w:val="16"/>
                <w:szCs w:val="16"/>
                <w:lang w:val="en-GB"/>
              </w:rPr>
            </w:pPr>
            <w:r>
              <w:rPr>
                <w:noProof/>
                <w:sz w:val="16"/>
                <w:szCs w:val="16"/>
              </w:rPr>
              <w:t>≤</w:t>
            </w:r>
            <w:r>
              <w:rPr>
                <w:noProof/>
                <w:sz w:val="16"/>
                <w:szCs w:val="16"/>
                <w:lang w:val="en-GB"/>
              </w:rPr>
              <w:t>100</w:t>
            </w:r>
          </w:p>
          <w:p w:rsidR="00AB50C5" w:rsidRDefault="00AB50C5">
            <w:pPr>
              <w:jc w:val="center"/>
              <w:cnfStyle w:val="000000000000" w:firstRow="0" w:lastRow="0" w:firstColumn="0" w:lastColumn="0" w:oddVBand="0" w:evenVBand="0" w:oddHBand="0" w:evenHBand="0" w:firstRowFirstColumn="0" w:firstRowLastColumn="0" w:lastRowFirstColumn="0" w:lastRowLastColumn="0"/>
              <w:rPr>
                <w:noProof/>
                <w:sz w:val="16"/>
                <w:szCs w:val="16"/>
                <w:lang w:val="en-GB"/>
              </w:rPr>
            </w:pPr>
          </w:p>
          <w:p w:rsidR="00AB50C5" w:rsidRDefault="00AB50C5">
            <w:pPr>
              <w:jc w:val="center"/>
              <w:cnfStyle w:val="000000000000" w:firstRow="0" w:lastRow="0" w:firstColumn="0" w:lastColumn="0" w:oddVBand="0" w:evenVBand="0" w:oddHBand="0" w:evenHBand="0" w:firstRowFirstColumn="0" w:firstRowLastColumn="0" w:lastRowFirstColumn="0" w:lastRowLastColumn="0"/>
              <w:rPr>
                <w:noProof/>
                <w:sz w:val="16"/>
                <w:szCs w:val="16"/>
                <w:lang w:val="en-GB"/>
              </w:rPr>
            </w:pPr>
          </w:p>
          <w:p w:rsidR="00AB50C5" w:rsidRDefault="00AB50C5">
            <w:pPr>
              <w:jc w:val="center"/>
              <w:cnfStyle w:val="000000000000" w:firstRow="0" w:lastRow="0" w:firstColumn="0" w:lastColumn="0" w:oddVBand="0" w:evenVBand="0" w:oddHBand="0" w:evenHBand="0" w:firstRowFirstColumn="0" w:firstRowLastColumn="0" w:lastRowFirstColumn="0" w:lastRowLastColumn="0"/>
              <w:rPr>
                <w:noProof/>
                <w:sz w:val="16"/>
                <w:szCs w:val="16"/>
                <w:lang w:val="en-GB"/>
              </w:rPr>
            </w:pPr>
          </w:p>
          <w:p w:rsidR="00AB50C5" w:rsidRDefault="00AB50C5">
            <w:pPr>
              <w:jc w:val="center"/>
              <w:cnfStyle w:val="000000000000" w:firstRow="0" w:lastRow="0" w:firstColumn="0" w:lastColumn="0" w:oddVBand="0" w:evenVBand="0" w:oddHBand="0" w:evenHBand="0" w:firstRowFirstColumn="0" w:firstRowLastColumn="0" w:lastRowFirstColumn="0" w:lastRowLastColumn="0"/>
              <w:rPr>
                <w:noProof/>
                <w:sz w:val="16"/>
                <w:szCs w:val="16"/>
              </w:rPr>
            </w:pPr>
          </w:p>
        </w:tc>
        <w:tc>
          <w:tcPr>
            <w:tcW w:w="1260" w:type="dxa"/>
            <w:shd w:val="clear" w:color="auto" w:fill="auto"/>
          </w:tcPr>
          <w:p w:rsidR="00AB50C5" w:rsidRDefault="00724275">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According to Directive 91/271/EEC</w:t>
            </w:r>
          </w:p>
        </w:tc>
        <w:tc>
          <w:tcPr>
            <w:tcW w:w="1260" w:type="dxa"/>
            <w:shd w:val="clear" w:color="auto" w:fill="auto"/>
          </w:tcPr>
          <w:p w:rsidR="00AB50C5" w:rsidRDefault="00724275">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According to Directive 91/271/EEC</w:t>
            </w:r>
          </w:p>
        </w:tc>
        <w:tc>
          <w:tcPr>
            <w:tcW w:w="1080" w:type="dxa"/>
            <w:shd w:val="clear" w:color="auto" w:fill="auto"/>
          </w:tcPr>
          <w:p w:rsidR="00AB50C5" w:rsidRDefault="00724275">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w:t>
            </w:r>
          </w:p>
        </w:tc>
        <w:tc>
          <w:tcPr>
            <w:tcW w:w="2275" w:type="dxa"/>
            <w:vMerge/>
            <w:shd w:val="clear" w:color="auto" w:fill="auto"/>
          </w:tcPr>
          <w:p w:rsidR="00AB50C5" w:rsidRDefault="00AB50C5">
            <w:pPr>
              <w:cnfStyle w:val="000000000000" w:firstRow="0" w:lastRow="0" w:firstColumn="0" w:lastColumn="0" w:oddVBand="0" w:evenVBand="0" w:oddHBand="0" w:evenHBand="0" w:firstRowFirstColumn="0" w:firstRowLastColumn="0" w:lastRowFirstColumn="0" w:lastRowLastColumn="0"/>
              <w:rPr>
                <w:noProof/>
                <w:sz w:val="16"/>
                <w:szCs w:val="16"/>
              </w:rPr>
            </w:pPr>
          </w:p>
        </w:tc>
      </w:tr>
      <w:tr w:rsidR="00AB50C5" w:rsidTr="00AB50C5">
        <w:trPr>
          <w:cnfStyle w:val="000000100000" w:firstRow="0" w:lastRow="0" w:firstColumn="0" w:lastColumn="0" w:oddVBand="0" w:evenVBand="0" w:oddHBand="1" w:evenHBand="0" w:firstRowFirstColumn="0" w:firstRowLastColumn="0" w:lastRowFirstColumn="0" w:lastRowLastColumn="0"/>
          <w:trHeight w:val="919"/>
        </w:trPr>
        <w:tc>
          <w:tcPr>
            <w:cnfStyle w:val="001000000000" w:firstRow="0" w:lastRow="0" w:firstColumn="1" w:lastColumn="0" w:oddVBand="0" w:evenVBand="0" w:oddHBand="0" w:evenHBand="0" w:firstRowFirstColumn="0" w:firstRowLastColumn="0" w:lastRowFirstColumn="0" w:lastRowLastColumn="0"/>
            <w:tcW w:w="1165" w:type="dxa"/>
            <w:shd w:val="clear" w:color="auto" w:fill="auto"/>
          </w:tcPr>
          <w:p w:rsidR="00AB50C5" w:rsidRDefault="00724275">
            <w:pPr>
              <w:jc w:val="center"/>
              <w:rPr>
                <w:noProof/>
                <w:sz w:val="16"/>
                <w:szCs w:val="16"/>
                <w:lang w:val="en-GB"/>
              </w:rPr>
            </w:pPr>
            <w:r>
              <w:rPr>
                <w:noProof/>
                <w:sz w:val="16"/>
                <w:szCs w:val="16"/>
                <w:lang w:val="en-GB"/>
              </w:rPr>
              <w:t>Class C</w:t>
            </w:r>
          </w:p>
        </w:tc>
        <w:tc>
          <w:tcPr>
            <w:tcW w:w="1350" w:type="dxa"/>
            <w:shd w:val="clear" w:color="auto" w:fill="auto"/>
          </w:tcPr>
          <w:p w:rsidR="00AB50C5" w:rsidRDefault="00724275">
            <w:pPr>
              <w:jc w:val="center"/>
              <w:cnfStyle w:val="000000100000" w:firstRow="0" w:lastRow="0" w:firstColumn="0" w:lastColumn="0" w:oddVBand="0" w:evenVBand="0" w:oddHBand="1" w:evenHBand="0" w:firstRowFirstColumn="0" w:firstRowLastColumn="0" w:lastRowFirstColumn="0" w:lastRowLastColumn="0"/>
              <w:rPr>
                <w:noProof/>
                <w:sz w:val="16"/>
                <w:szCs w:val="16"/>
                <w:lang w:val="en-GB"/>
              </w:rPr>
            </w:pPr>
            <w:r>
              <w:rPr>
                <w:noProof/>
                <w:sz w:val="16"/>
                <w:szCs w:val="16"/>
              </w:rPr>
              <w:t>Secondary treatment, and disinfection</w:t>
            </w:r>
          </w:p>
        </w:tc>
        <w:tc>
          <w:tcPr>
            <w:tcW w:w="1080" w:type="dxa"/>
            <w:shd w:val="clear" w:color="auto" w:fill="auto"/>
          </w:tcPr>
          <w:p w:rsidR="00AB50C5" w:rsidRDefault="00724275">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w:t>
            </w:r>
            <w:r>
              <w:rPr>
                <w:noProof/>
                <w:sz w:val="16"/>
                <w:szCs w:val="16"/>
                <w:lang w:val="en-GB"/>
              </w:rPr>
              <w:t>1,000</w:t>
            </w:r>
          </w:p>
        </w:tc>
        <w:tc>
          <w:tcPr>
            <w:tcW w:w="1260" w:type="dxa"/>
            <w:shd w:val="clear" w:color="auto" w:fill="auto"/>
          </w:tcPr>
          <w:p w:rsidR="00AB50C5" w:rsidRDefault="00724275">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According to Directive 91/271/EEC</w:t>
            </w:r>
          </w:p>
        </w:tc>
        <w:tc>
          <w:tcPr>
            <w:tcW w:w="1260" w:type="dxa"/>
            <w:shd w:val="clear" w:color="auto" w:fill="auto"/>
          </w:tcPr>
          <w:p w:rsidR="00AB50C5" w:rsidRDefault="00724275">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rPr>
              <w:t xml:space="preserve">According to </w:t>
            </w:r>
            <w:r>
              <w:rPr>
                <w:noProof/>
                <w:sz w:val="16"/>
                <w:szCs w:val="16"/>
              </w:rPr>
              <w:t>Directive 91/271/EEC</w:t>
            </w:r>
          </w:p>
        </w:tc>
        <w:tc>
          <w:tcPr>
            <w:tcW w:w="1080" w:type="dxa"/>
            <w:shd w:val="clear" w:color="auto" w:fill="auto"/>
          </w:tcPr>
          <w:p w:rsidR="00AB50C5" w:rsidRDefault="00724275">
            <w:pPr>
              <w:jc w:val="center"/>
              <w:cnfStyle w:val="000000100000" w:firstRow="0" w:lastRow="0" w:firstColumn="0" w:lastColumn="0" w:oddVBand="0" w:evenVBand="0" w:oddHBand="1" w:evenHBand="0" w:firstRowFirstColumn="0" w:firstRowLastColumn="0" w:lastRowFirstColumn="0" w:lastRowLastColumn="0"/>
              <w:rPr>
                <w:noProof/>
                <w:sz w:val="16"/>
                <w:szCs w:val="16"/>
              </w:rPr>
            </w:pPr>
            <w:r>
              <w:rPr>
                <w:noProof/>
                <w:sz w:val="16"/>
                <w:szCs w:val="16"/>
                <w:lang w:val="en-GB"/>
              </w:rPr>
              <w:t>-</w:t>
            </w:r>
          </w:p>
        </w:tc>
        <w:tc>
          <w:tcPr>
            <w:tcW w:w="2275" w:type="dxa"/>
            <w:vMerge/>
            <w:shd w:val="clear" w:color="auto" w:fill="auto"/>
          </w:tcPr>
          <w:p w:rsidR="00AB50C5" w:rsidRDefault="00AB50C5">
            <w:pPr>
              <w:cnfStyle w:val="000000100000" w:firstRow="0" w:lastRow="0" w:firstColumn="0" w:lastColumn="0" w:oddVBand="0" w:evenVBand="0" w:oddHBand="1" w:evenHBand="0" w:firstRowFirstColumn="0" w:firstRowLastColumn="0" w:lastRowFirstColumn="0" w:lastRowLastColumn="0"/>
              <w:rPr>
                <w:noProof/>
                <w:sz w:val="16"/>
                <w:szCs w:val="16"/>
              </w:rPr>
            </w:pPr>
          </w:p>
        </w:tc>
      </w:tr>
      <w:tr w:rsidR="00AB50C5" w:rsidTr="00AB50C5">
        <w:trPr>
          <w:trHeight w:val="797"/>
        </w:trPr>
        <w:tc>
          <w:tcPr>
            <w:cnfStyle w:val="001000000000" w:firstRow="0" w:lastRow="0" w:firstColumn="1" w:lastColumn="0" w:oddVBand="0" w:evenVBand="0" w:oddHBand="0" w:evenHBand="0" w:firstRowFirstColumn="0" w:firstRowLastColumn="0" w:lastRowFirstColumn="0" w:lastRowLastColumn="0"/>
            <w:tcW w:w="1165" w:type="dxa"/>
            <w:shd w:val="clear" w:color="auto" w:fill="auto"/>
          </w:tcPr>
          <w:p w:rsidR="00AB50C5" w:rsidRDefault="00724275">
            <w:pPr>
              <w:jc w:val="center"/>
              <w:rPr>
                <w:noProof/>
                <w:sz w:val="16"/>
                <w:szCs w:val="16"/>
              </w:rPr>
            </w:pPr>
            <w:r>
              <w:rPr>
                <w:noProof/>
                <w:sz w:val="16"/>
                <w:szCs w:val="16"/>
              </w:rPr>
              <w:t>Class D</w:t>
            </w:r>
          </w:p>
        </w:tc>
        <w:tc>
          <w:tcPr>
            <w:tcW w:w="1350" w:type="dxa"/>
            <w:shd w:val="clear" w:color="auto" w:fill="auto"/>
          </w:tcPr>
          <w:p w:rsidR="00AB50C5" w:rsidRDefault="00724275">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 xml:space="preserve">Secondary treatment, and disinfection </w:t>
            </w:r>
          </w:p>
        </w:tc>
        <w:tc>
          <w:tcPr>
            <w:tcW w:w="1080" w:type="dxa"/>
            <w:shd w:val="clear" w:color="auto" w:fill="auto"/>
          </w:tcPr>
          <w:p w:rsidR="00AB50C5" w:rsidRDefault="00724275">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≤10,000</w:t>
            </w:r>
          </w:p>
        </w:tc>
        <w:tc>
          <w:tcPr>
            <w:tcW w:w="1260" w:type="dxa"/>
            <w:shd w:val="clear" w:color="auto" w:fill="auto"/>
          </w:tcPr>
          <w:p w:rsidR="00AB50C5" w:rsidRDefault="00724275">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According to Directive 91/271/EEC</w:t>
            </w:r>
          </w:p>
        </w:tc>
        <w:tc>
          <w:tcPr>
            <w:tcW w:w="1260" w:type="dxa"/>
            <w:shd w:val="clear" w:color="auto" w:fill="auto"/>
          </w:tcPr>
          <w:p w:rsidR="00AB50C5" w:rsidRDefault="00724275">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According to Directive 91/271/EEC</w:t>
            </w:r>
          </w:p>
        </w:tc>
        <w:tc>
          <w:tcPr>
            <w:tcW w:w="1080" w:type="dxa"/>
            <w:shd w:val="clear" w:color="auto" w:fill="auto"/>
          </w:tcPr>
          <w:p w:rsidR="00AB50C5" w:rsidRDefault="00724275">
            <w:pPr>
              <w:jc w:val="center"/>
              <w:cnfStyle w:val="000000000000" w:firstRow="0" w:lastRow="0" w:firstColumn="0" w:lastColumn="0" w:oddVBand="0" w:evenVBand="0" w:oddHBand="0" w:evenHBand="0" w:firstRowFirstColumn="0" w:firstRowLastColumn="0" w:lastRowFirstColumn="0" w:lastRowLastColumn="0"/>
              <w:rPr>
                <w:noProof/>
                <w:sz w:val="16"/>
                <w:szCs w:val="16"/>
              </w:rPr>
            </w:pPr>
            <w:r>
              <w:rPr>
                <w:noProof/>
                <w:sz w:val="16"/>
                <w:szCs w:val="16"/>
              </w:rPr>
              <w:t>-</w:t>
            </w:r>
          </w:p>
        </w:tc>
        <w:tc>
          <w:tcPr>
            <w:tcW w:w="2275" w:type="dxa"/>
            <w:vMerge/>
            <w:shd w:val="clear" w:color="auto" w:fill="auto"/>
          </w:tcPr>
          <w:p w:rsidR="00AB50C5" w:rsidRDefault="00AB50C5">
            <w:pPr>
              <w:cnfStyle w:val="000000000000" w:firstRow="0" w:lastRow="0" w:firstColumn="0" w:lastColumn="0" w:oddVBand="0" w:evenVBand="0" w:oddHBand="0" w:evenHBand="0" w:firstRowFirstColumn="0" w:firstRowLastColumn="0" w:lastRowFirstColumn="0" w:lastRowLastColumn="0"/>
              <w:rPr>
                <w:noProof/>
                <w:sz w:val="16"/>
                <w:szCs w:val="16"/>
              </w:rPr>
            </w:pPr>
          </w:p>
        </w:tc>
      </w:tr>
    </w:tbl>
    <w:p w:rsidR="00AB50C5" w:rsidRDefault="00724275">
      <w:pPr>
        <w:pStyle w:val="JRCText"/>
        <w:jc w:val="left"/>
        <w:rPr>
          <w:noProof/>
          <w:sz w:val="16"/>
          <w:szCs w:val="16"/>
        </w:rPr>
      </w:pPr>
      <w:r>
        <w:rPr>
          <w:i/>
          <w:noProof/>
          <w:sz w:val="16"/>
          <w:szCs w:val="16"/>
        </w:rPr>
        <w:t>Source:</w:t>
      </w:r>
      <w:r>
        <w:rPr>
          <w:noProof/>
          <w:sz w:val="16"/>
          <w:szCs w:val="16"/>
        </w:rPr>
        <w:t xml:space="preserve"> JRC analysis.</w:t>
      </w:r>
    </w:p>
    <w:p w:rsidR="00AB50C5" w:rsidRDefault="00AB50C5">
      <w:pPr>
        <w:pStyle w:val="JRCTabletitle"/>
        <w:jc w:val="both"/>
        <w:rPr>
          <w:b/>
          <w:noProof/>
        </w:rPr>
      </w:pPr>
      <w:bookmarkStart w:id="53" w:name="_Ref494113519"/>
      <w:bookmarkStart w:id="54" w:name="_Toc498672383"/>
    </w:p>
    <w:p w:rsidR="00AB50C5" w:rsidRDefault="00724275">
      <w:pPr>
        <w:pStyle w:val="JRCTabletitle"/>
        <w:jc w:val="both"/>
        <w:rPr>
          <w:noProof/>
        </w:rPr>
      </w:pPr>
      <w:r>
        <w:rPr>
          <w:b/>
          <w:noProof/>
        </w:rPr>
        <w:t xml:space="preserve">Table </w:t>
      </w:r>
      <w:r>
        <w:rPr>
          <w:b/>
          <w:noProof/>
        </w:rPr>
        <w:fldChar w:fldCharType="begin"/>
      </w:r>
      <w:r>
        <w:rPr>
          <w:b/>
          <w:noProof/>
        </w:rPr>
        <w:instrText xml:space="preserve"> SEQ Table \* ARABIC </w:instrText>
      </w:r>
      <w:r>
        <w:rPr>
          <w:b/>
          <w:noProof/>
        </w:rPr>
        <w:fldChar w:fldCharType="separate"/>
      </w:r>
      <w:r>
        <w:rPr>
          <w:b/>
          <w:noProof/>
        </w:rPr>
        <w:t>3</w:t>
      </w:r>
      <w:r>
        <w:rPr>
          <w:b/>
          <w:noProof/>
        </w:rPr>
        <w:fldChar w:fldCharType="end"/>
      </w:r>
      <w:bookmarkEnd w:id="53"/>
      <w:r>
        <w:rPr>
          <w:b/>
          <w:noProof/>
        </w:rPr>
        <w:t>.</w:t>
      </w:r>
      <w:r>
        <w:rPr>
          <w:noProof/>
        </w:rPr>
        <w:t xml:space="preserve"> Classes of reclaimed water quality, and the associated agricultural use and irrigation method considered.</w:t>
      </w:r>
      <w:bookmarkEnd w:id="54"/>
    </w:p>
    <w:tbl>
      <w:tblPr>
        <w:tblStyle w:val="GridTable4-Accent12"/>
        <w:tblW w:w="9535" w:type="dxa"/>
        <w:tblLayout w:type="fixed"/>
        <w:tblLook w:val="04A0" w:firstRow="1" w:lastRow="0" w:firstColumn="1" w:lastColumn="0" w:noHBand="0" w:noVBand="1"/>
      </w:tblPr>
      <w:tblGrid>
        <w:gridCol w:w="4675"/>
        <w:gridCol w:w="1710"/>
        <w:gridCol w:w="3150"/>
      </w:tblGrid>
      <w:tr w:rsidR="00AB50C5" w:rsidTr="00AB50C5">
        <w:trPr>
          <w:cnfStyle w:val="100000000000" w:firstRow="1" w:lastRow="0" w:firstColumn="0" w:lastColumn="0" w:oddVBand="0" w:evenVBand="0" w:oddHBand="0" w:evenHBand="0" w:firstRowFirstColumn="0" w:firstRowLastColumn="0" w:lastRowFirstColumn="0" w:lastRowLastColumn="0"/>
          <w:trHeight w:val="621"/>
          <w:tblHeader/>
        </w:trPr>
        <w:tc>
          <w:tcPr>
            <w:cnfStyle w:val="001000000000" w:firstRow="0" w:lastRow="0" w:firstColumn="1" w:lastColumn="0" w:oddVBand="0" w:evenVBand="0" w:oddHBand="0" w:evenHBand="0" w:firstRowFirstColumn="0" w:firstRowLastColumn="0" w:lastRowFirstColumn="0" w:lastRowLastColumn="0"/>
            <w:tcW w:w="4675" w:type="dxa"/>
          </w:tcPr>
          <w:p w:rsidR="00AB50C5" w:rsidRDefault="00724275">
            <w:pPr>
              <w:jc w:val="center"/>
              <w:rPr>
                <w:i/>
                <w:noProof/>
                <w:sz w:val="16"/>
                <w:szCs w:val="16"/>
                <w:lang w:val="en-US" w:eastAsia="it-IT"/>
              </w:rPr>
            </w:pPr>
            <w:r>
              <w:rPr>
                <w:noProof/>
                <w:sz w:val="16"/>
                <w:szCs w:val="16"/>
                <w:lang w:val="en-US" w:eastAsia="it-IT"/>
              </w:rPr>
              <w:t>Crop category</w:t>
            </w:r>
          </w:p>
        </w:tc>
        <w:tc>
          <w:tcPr>
            <w:tcW w:w="1710" w:type="dxa"/>
          </w:tcPr>
          <w:p w:rsidR="00AB50C5" w:rsidRDefault="00724275">
            <w:pPr>
              <w:jc w:val="center"/>
              <w:cnfStyle w:val="100000000000" w:firstRow="1" w:lastRow="0" w:firstColumn="0" w:lastColumn="0" w:oddVBand="0" w:evenVBand="0" w:oddHBand="0" w:evenHBand="0" w:firstRowFirstColumn="0" w:firstRowLastColumn="0" w:lastRowFirstColumn="0" w:lastRowLastColumn="0"/>
              <w:rPr>
                <w:noProof/>
                <w:sz w:val="16"/>
                <w:szCs w:val="16"/>
                <w:lang w:val="en-US" w:eastAsia="it-IT"/>
              </w:rPr>
            </w:pPr>
            <w:r>
              <w:rPr>
                <w:noProof/>
                <w:sz w:val="16"/>
                <w:szCs w:val="16"/>
                <w:lang w:val="en-US" w:eastAsia="it-IT"/>
              </w:rPr>
              <w:t>Minimum reclaimed water quality class</w:t>
            </w:r>
          </w:p>
        </w:tc>
        <w:tc>
          <w:tcPr>
            <w:tcW w:w="3150" w:type="dxa"/>
          </w:tcPr>
          <w:p w:rsidR="00AB50C5" w:rsidRDefault="00724275">
            <w:pPr>
              <w:jc w:val="center"/>
              <w:cnfStyle w:val="100000000000" w:firstRow="1" w:lastRow="0" w:firstColumn="0" w:lastColumn="0" w:oddVBand="0" w:evenVBand="0" w:oddHBand="0" w:evenHBand="0" w:firstRowFirstColumn="0" w:firstRowLastColumn="0" w:lastRowFirstColumn="0" w:lastRowLastColumn="0"/>
              <w:rPr>
                <w:noProof/>
                <w:sz w:val="16"/>
                <w:szCs w:val="16"/>
                <w:lang w:val="en-US" w:eastAsia="it-IT"/>
              </w:rPr>
            </w:pPr>
            <w:r>
              <w:rPr>
                <w:noProof/>
                <w:sz w:val="16"/>
                <w:szCs w:val="16"/>
                <w:lang w:val="en-US" w:eastAsia="it-IT"/>
              </w:rPr>
              <w:t xml:space="preserve">Irrigation method </w:t>
            </w:r>
          </w:p>
          <w:p w:rsidR="00AB50C5" w:rsidRDefault="00AB50C5">
            <w:pPr>
              <w:jc w:val="center"/>
              <w:cnfStyle w:val="100000000000" w:firstRow="1" w:lastRow="0" w:firstColumn="0" w:lastColumn="0" w:oddVBand="0" w:evenVBand="0" w:oddHBand="0" w:evenHBand="0" w:firstRowFirstColumn="0" w:firstRowLastColumn="0" w:lastRowFirstColumn="0" w:lastRowLastColumn="0"/>
              <w:rPr>
                <w:noProof/>
                <w:sz w:val="16"/>
                <w:szCs w:val="16"/>
                <w:lang w:val="en-US" w:eastAsia="it-IT"/>
              </w:rPr>
            </w:pPr>
          </w:p>
        </w:tc>
      </w:tr>
      <w:tr w:rsidR="00AB50C5" w:rsidTr="00AB50C5">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4675" w:type="dxa"/>
            <w:shd w:val="clear" w:color="auto" w:fill="auto"/>
          </w:tcPr>
          <w:p w:rsidR="00AB50C5" w:rsidRDefault="00724275">
            <w:pPr>
              <w:rPr>
                <w:noProof/>
                <w:sz w:val="16"/>
                <w:szCs w:val="16"/>
                <w:lang w:val="en-US" w:eastAsia="it-IT"/>
              </w:rPr>
            </w:pPr>
            <w:r>
              <w:rPr>
                <w:noProof/>
                <w:sz w:val="16"/>
                <w:szCs w:val="16"/>
                <w:lang w:val="en-US" w:eastAsia="it-IT"/>
              </w:rPr>
              <w:t xml:space="preserve">All food crops, including root crops consumed raw and food crops where the </w:t>
            </w:r>
            <w:r>
              <w:rPr>
                <w:noProof/>
                <w:sz w:val="16"/>
                <w:szCs w:val="16"/>
                <w:lang w:val="en-US" w:eastAsia="it-IT"/>
              </w:rPr>
              <w:t>edible portion is in direct contact with reclaimed water</w:t>
            </w:r>
          </w:p>
          <w:p w:rsidR="00AB50C5" w:rsidRDefault="00AB50C5">
            <w:pPr>
              <w:rPr>
                <w:noProof/>
                <w:sz w:val="16"/>
                <w:szCs w:val="16"/>
                <w:lang w:val="en-US" w:eastAsia="it-IT"/>
              </w:rPr>
            </w:pPr>
          </w:p>
        </w:tc>
        <w:tc>
          <w:tcPr>
            <w:tcW w:w="1710" w:type="dxa"/>
            <w:shd w:val="clear" w:color="auto" w:fill="auto"/>
          </w:tcPr>
          <w:p w:rsidR="00AB50C5" w:rsidRDefault="00724275">
            <w:pPr>
              <w:cnfStyle w:val="000000100000" w:firstRow="0" w:lastRow="0" w:firstColumn="0" w:lastColumn="0" w:oddVBand="0" w:evenVBand="0" w:oddHBand="1" w:evenHBand="0" w:firstRowFirstColumn="0" w:firstRowLastColumn="0" w:lastRowFirstColumn="0" w:lastRowLastColumn="0"/>
              <w:rPr>
                <w:noProof/>
                <w:sz w:val="16"/>
                <w:szCs w:val="16"/>
                <w:lang w:val="en-US" w:eastAsia="it-IT"/>
              </w:rPr>
            </w:pPr>
            <w:r>
              <w:rPr>
                <w:noProof/>
                <w:sz w:val="16"/>
                <w:szCs w:val="16"/>
                <w:lang w:val="en-US" w:eastAsia="it-IT"/>
              </w:rPr>
              <w:t>Class A</w:t>
            </w:r>
          </w:p>
          <w:p w:rsidR="00AB50C5" w:rsidRDefault="00AB50C5">
            <w:pPr>
              <w:cnfStyle w:val="000000100000" w:firstRow="0" w:lastRow="0" w:firstColumn="0" w:lastColumn="0" w:oddVBand="0" w:evenVBand="0" w:oddHBand="1" w:evenHBand="0" w:firstRowFirstColumn="0" w:firstRowLastColumn="0" w:lastRowFirstColumn="0" w:lastRowLastColumn="0"/>
              <w:rPr>
                <w:noProof/>
                <w:sz w:val="16"/>
                <w:szCs w:val="16"/>
                <w:lang w:val="en-US" w:eastAsia="it-IT"/>
              </w:rPr>
            </w:pPr>
          </w:p>
          <w:p w:rsidR="00AB50C5" w:rsidRDefault="00AB50C5">
            <w:pPr>
              <w:cnfStyle w:val="000000100000" w:firstRow="0" w:lastRow="0" w:firstColumn="0" w:lastColumn="0" w:oddVBand="0" w:evenVBand="0" w:oddHBand="1" w:evenHBand="0" w:firstRowFirstColumn="0" w:firstRowLastColumn="0" w:lastRowFirstColumn="0" w:lastRowLastColumn="0"/>
              <w:rPr>
                <w:noProof/>
                <w:sz w:val="16"/>
                <w:szCs w:val="16"/>
                <w:lang w:val="en-US" w:eastAsia="it-IT"/>
              </w:rPr>
            </w:pPr>
          </w:p>
          <w:p w:rsidR="00AB50C5" w:rsidRDefault="00AB50C5">
            <w:pPr>
              <w:cnfStyle w:val="000000100000" w:firstRow="0" w:lastRow="0" w:firstColumn="0" w:lastColumn="0" w:oddVBand="0" w:evenVBand="0" w:oddHBand="1" w:evenHBand="0" w:firstRowFirstColumn="0" w:firstRowLastColumn="0" w:lastRowFirstColumn="0" w:lastRowLastColumn="0"/>
              <w:rPr>
                <w:noProof/>
                <w:sz w:val="16"/>
                <w:szCs w:val="16"/>
                <w:lang w:val="en-US" w:eastAsia="it-IT"/>
              </w:rPr>
            </w:pPr>
          </w:p>
        </w:tc>
        <w:tc>
          <w:tcPr>
            <w:tcW w:w="3150" w:type="dxa"/>
            <w:shd w:val="clear" w:color="auto" w:fill="auto"/>
          </w:tcPr>
          <w:p w:rsidR="00AB50C5" w:rsidRDefault="00724275">
            <w:pPr>
              <w:cnfStyle w:val="000000100000" w:firstRow="0" w:lastRow="0" w:firstColumn="0" w:lastColumn="0" w:oddVBand="0" w:evenVBand="0" w:oddHBand="1" w:evenHBand="0" w:firstRowFirstColumn="0" w:firstRowLastColumn="0" w:lastRowFirstColumn="0" w:lastRowLastColumn="0"/>
              <w:rPr>
                <w:noProof/>
                <w:sz w:val="16"/>
                <w:szCs w:val="16"/>
                <w:lang w:val="en-US" w:eastAsia="it-IT"/>
              </w:rPr>
            </w:pPr>
            <w:r>
              <w:rPr>
                <w:noProof/>
                <w:sz w:val="16"/>
                <w:szCs w:val="16"/>
                <w:lang w:val="en-US" w:eastAsia="it-IT"/>
              </w:rPr>
              <w:t>All irrigation methods allowed</w:t>
            </w:r>
          </w:p>
          <w:p w:rsidR="00AB50C5" w:rsidRDefault="00AB50C5">
            <w:pPr>
              <w:cnfStyle w:val="000000100000" w:firstRow="0" w:lastRow="0" w:firstColumn="0" w:lastColumn="0" w:oddVBand="0" w:evenVBand="0" w:oddHBand="1" w:evenHBand="0" w:firstRowFirstColumn="0" w:firstRowLastColumn="0" w:lastRowFirstColumn="0" w:lastRowLastColumn="0"/>
              <w:rPr>
                <w:noProof/>
                <w:sz w:val="16"/>
                <w:szCs w:val="16"/>
                <w:lang w:val="en-US" w:eastAsia="it-IT"/>
              </w:rPr>
            </w:pPr>
          </w:p>
          <w:p w:rsidR="00AB50C5" w:rsidRDefault="00AB50C5">
            <w:pPr>
              <w:cnfStyle w:val="000000100000" w:firstRow="0" w:lastRow="0" w:firstColumn="0" w:lastColumn="0" w:oddVBand="0" w:evenVBand="0" w:oddHBand="1" w:evenHBand="0" w:firstRowFirstColumn="0" w:firstRowLastColumn="0" w:lastRowFirstColumn="0" w:lastRowLastColumn="0"/>
              <w:rPr>
                <w:noProof/>
                <w:sz w:val="16"/>
                <w:szCs w:val="16"/>
                <w:lang w:val="en-US"/>
              </w:rPr>
            </w:pPr>
          </w:p>
        </w:tc>
      </w:tr>
      <w:tr w:rsidR="00AB50C5" w:rsidTr="00AB50C5">
        <w:trPr>
          <w:trHeight w:val="603"/>
        </w:trPr>
        <w:tc>
          <w:tcPr>
            <w:cnfStyle w:val="001000000000" w:firstRow="0" w:lastRow="0" w:firstColumn="1" w:lastColumn="0" w:oddVBand="0" w:evenVBand="0" w:oddHBand="0" w:evenHBand="0" w:firstRowFirstColumn="0" w:firstRowLastColumn="0" w:lastRowFirstColumn="0" w:lastRowLastColumn="0"/>
            <w:tcW w:w="4675" w:type="dxa"/>
            <w:vMerge w:val="restart"/>
            <w:shd w:val="clear" w:color="auto" w:fill="auto"/>
          </w:tcPr>
          <w:p w:rsidR="00AB50C5" w:rsidRDefault="00724275">
            <w:pPr>
              <w:rPr>
                <w:noProof/>
                <w:color w:val="000000"/>
                <w:sz w:val="16"/>
                <w:szCs w:val="16"/>
                <w:lang w:val="en-US"/>
              </w:rPr>
            </w:pPr>
            <w:r>
              <w:rPr>
                <w:noProof/>
                <w:color w:val="000000"/>
                <w:sz w:val="16"/>
                <w:szCs w:val="16"/>
                <w:lang w:val="en-US"/>
              </w:rPr>
              <w:t>Food crops consumed raw where the edible portion is produced above ground and is not in direct contact with reclaimed water</w:t>
            </w:r>
          </w:p>
          <w:p w:rsidR="00AB50C5" w:rsidRDefault="00AB50C5">
            <w:pPr>
              <w:rPr>
                <w:noProof/>
                <w:sz w:val="16"/>
                <w:szCs w:val="16"/>
                <w:lang w:val="en-US" w:eastAsia="it-IT"/>
              </w:rPr>
            </w:pPr>
          </w:p>
        </w:tc>
        <w:tc>
          <w:tcPr>
            <w:tcW w:w="1710" w:type="dxa"/>
            <w:shd w:val="clear" w:color="auto" w:fill="auto"/>
          </w:tcPr>
          <w:p w:rsidR="00AB50C5" w:rsidRDefault="00724275">
            <w:pPr>
              <w:cnfStyle w:val="000000000000" w:firstRow="0" w:lastRow="0" w:firstColumn="0" w:lastColumn="0" w:oddVBand="0" w:evenVBand="0" w:oddHBand="0" w:evenHBand="0" w:firstRowFirstColumn="0" w:firstRowLastColumn="0" w:lastRowFirstColumn="0" w:lastRowLastColumn="0"/>
              <w:rPr>
                <w:noProof/>
                <w:sz w:val="16"/>
                <w:szCs w:val="16"/>
                <w:lang w:val="en-US" w:eastAsia="it-IT"/>
              </w:rPr>
            </w:pPr>
            <w:r>
              <w:rPr>
                <w:noProof/>
                <w:sz w:val="16"/>
                <w:szCs w:val="16"/>
                <w:lang w:val="en-US" w:eastAsia="it-IT"/>
              </w:rPr>
              <w:t>Class B</w:t>
            </w:r>
          </w:p>
          <w:p w:rsidR="00AB50C5" w:rsidRDefault="00AB50C5">
            <w:pPr>
              <w:cnfStyle w:val="000000000000" w:firstRow="0" w:lastRow="0" w:firstColumn="0" w:lastColumn="0" w:oddVBand="0" w:evenVBand="0" w:oddHBand="0" w:evenHBand="0" w:firstRowFirstColumn="0" w:firstRowLastColumn="0" w:lastRowFirstColumn="0" w:lastRowLastColumn="0"/>
              <w:rPr>
                <w:noProof/>
                <w:sz w:val="16"/>
                <w:szCs w:val="16"/>
                <w:lang w:val="en-US" w:eastAsia="it-IT"/>
              </w:rPr>
            </w:pPr>
          </w:p>
        </w:tc>
        <w:tc>
          <w:tcPr>
            <w:tcW w:w="3150" w:type="dxa"/>
            <w:shd w:val="clear" w:color="auto" w:fill="auto"/>
          </w:tcPr>
          <w:p w:rsidR="00AB50C5" w:rsidRDefault="00724275">
            <w:pPr>
              <w:cnfStyle w:val="000000000000" w:firstRow="0" w:lastRow="0" w:firstColumn="0" w:lastColumn="0" w:oddVBand="0" w:evenVBand="0" w:oddHBand="0" w:evenHBand="0" w:firstRowFirstColumn="0" w:firstRowLastColumn="0" w:lastRowFirstColumn="0" w:lastRowLastColumn="0"/>
              <w:rPr>
                <w:noProof/>
                <w:sz w:val="16"/>
                <w:szCs w:val="16"/>
                <w:lang w:val="en-US" w:eastAsia="it-IT"/>
              </w:rPr>
            </w:pPr>
            <w:r>
              <w:rPr>
                <w:noProof/>
                <w:sz w:val="16"/>
                <w:szCs w:val="16"/>
                <w:lang w:val="en-US" w:eastAsia="it-IT"/>
              </w:rPr>
              <w:t xml:space="preserve">All irrigation methods allowed </w:t>
            </w:r>
          </w:p>
          <w:p w:rsidR="00AB50C5" w:rsidRDefault="00724275">
            <w:pPr>
              <w:ind w:left="780"/>
              <w:contextualSpacing/>
              <w:cnfStyle w:val="000000000000" w:firstRow="0" w:lastRow="0" w:firstColumn="0" w:lastColumn="0" w:oddVBand="0" w:evenVBand="0" w:oddHBand="0" w:evenHBand="0" w:firstRowFirstColumn="0" w:firstRowLastColumn="0" w:lastRowFirstColumn="0" w:lastRowLastColumn="0"/>
              <w:rPr>
                <w:noProof/>
                <w:sz w:val="16"/>
                <w:szCs w:val="16"/>
                <w:lang w:val="en-US" w:eastAsia="it-IT"/>
              </w:rPr>
            </w:pPr>
            <w:r>
              <w:rPr>
                <w:noProof/>
                <w:sz w:val="16"/>
                <w:szCs w:val="16"/>
                <w:lang w:val="en-US" w:eastAsia="it-IT"/>
              </w:rPr>
              <w:t xml:space="preserve">  </w:t>
            </w:r>
          </w:p>
        </w:tc>
      </w:tr>
      <w:tr w:rsidR="00AB50C5" w:rsidTr="00AB50C5">
        <w:trPr>
          <w:cnfStyle w:val="000000100000" w:firstRow="0" w:lastRow="0" w:firstColumn="0" w:lastColumn="0" w:oddVBand="0" w:evenVBand="0" w:oddHBand="1" w:evenHBand="0" w:firstRowFirstColumn="0" w:firstRowLastColumn="0" w:lastRowFirstColumn="0" w:lastRowLastColumn="0"/>
          <w:trHeight w:val="603"/>
        </w:trPr>
        <w:tc>
          <w:tcPr>
            <w:cnfStyle w:val="001000000000" w:firstRow="0" w:lastRow="0" w:firstColumn="1" w:lastColumn="0" w:oddVBand="0" w:evenVBand="0" w:oddHBand="0" w:evenHBand="0" w:firstRowFirstColumn="0" w:firstRowLastColumn="0" w:lastRowFirstColumn="0" w:lastRowLastColumn="0"/>
            <w:tcW w:w="4675" w:type="dxa"/>
            <w:vMerge/>
            <w:shd w:val="clear" w:color="auto" w:fill="auto"/>
          </w:tcPr>
          <w:p w:rsidR="00AB50C5" w:rsidRDefault="00AB50C5">
            <w:pPr>
              <w:rPr>
                <w:noProof/>
                <w:color w:val="000000"/>
                <w:sz w:val="16"/>
                <w:szCs w:val="16"/>
                <w:lang w:val="en-US"/>
              </w:rPr>
            </w:pPr>
          </w:p>
        </w:tc>
        <w:tc>
          <w:tcPr>
            <w:tcW w:w="1710" w:type="dxa"/>
            <w:shd w:val="clear" w:color="auto" w:fill="auto"/>
          </w:tcPr>
          <w:p w:rsidR="00AB50C5" w:rsidRDefault="00724275">
            <w:pPr>
              <w:cnfStyle w:val="000000100000" w:firstRow="0" w:lastRow="0" w:firstColumn="0" w:lastColumn="0" w:oddVBand="0" w:evenVBand="0" w:oddHBand="1" w:evenHBand="0" w:firstRowFirstColumn="0" w:firstRowLastColumn="0" w:lastRowFirstColumn="0" w:lastRowLastColumn="0"/>
              <w:rPr>
                <w:noProof/>
                <w:sz w:val="16"/>
                <w:szCs w:val="16"/>
                <w:lang w:val="en-US" w:eastAsia="it-IT"/>
              </w:rPr>
            </w:pPr>
            <w:r>
              <w:rPr>
                <w:noProof/>
                <w:sz w:val="16"/>
                <w:szCs w:val="16"/>
                <w:lang w:val="en-US" w:eastAsia="it-IT"/>
              </w:rPr>
              <w:t>Class C</w:t>
            </w:r>
          </w:p>
        </w:tc>
        <w:tc>
          <w:tcPr>
            <w:tcW w:w="3150" w:type="dxa"/>
            <w:shd w:val="clear" w:color="auto" w:fill="auto"/>
          </w:tcPr>
          <w:p w:rsidR="00AB50C5" w:rsidRDefault="00724275">
            <w:pPr>
              <w:cnfStyle w:val="000000100000" w:firstRow="0" w:lastRow="0" w:firstColumn="0" w:lastColumn="0" w:oddVBand="0" w:evenVBand="0" w:oddHBand="1" w:evenHBand="0" w:firstRowFirstColumn="0" w:firstRowLastColumn="0" w:lastRowFirstColumn="0" w:lastRowLastColumn="0"/>
              <w:rPr>
                <w:noProof/>
                <w:sz w:val="16"/>
                <w:szCs w:val="16"/>
                <w:lang w:val="en-US" w:eastAsia="it-IT"/>
              </w:rPr>
            </w:pPr>
            <w:r>
              <w:rPr>
                <w:noProof/>
                <w:sz w:val="16"/>
                <w:szCs w:val="16"/>
                <w:lang w:val="en-US" w:eastAsia="it-IT"/>
              </w:rPr>
              <w:t>Drip irrigation only</w:t>
            </w:r>
          </w:p>
        </w:tc>
      </w:tr>
      <w:tr w:rsidR="00AB50C5" w:rsidTr="00AB50C5">
        <w:trPr>
          <w:trHeight w:val="450"/>
        </w:trPr>
        <w:tc>
          <w:tcPr>
            <w:cnfStyle w:val="001000000000" w:firstRow="0" w:lastRow="0" w:firstColumn="1" w:lastColumn="0" w:oddVBand="0" w:evenVBand="0" w:oddHBand="0" w:evenHBand="0" w:firstRowFirstColumn="0" w:firstRowLastColumn="0" w:lastRowFirstColumn="0" w:lastRowLastColumn="0"/>
            <w:tcW w:w="4675" w:type="dxa"/>
            <w:vMerge w:val="restart"/>
            <w:shd w:val="clear" w:color="auto" w:fill="auto"/>
          </w:tcPr>
          <w:p w:rsidR="00AB50C5" w:rsidRDefault="00724275">
            <w:pPr>
              <w:rPr>
                <w:noProof/>
                <w:sz w:val="16"/>
                <w:szCs w:val="16"/>
                <w:lang w:val="en-US" w:eastAsia="it-IT"/>
              </w:rPr>
            </w:pPr>
            <w:r>
              <w:rPr>
                <w:noProof/>
                <w:sz w:val="16"/>
                <w:szCs w:val="16"/>
                <w:lang w:val="en-US" w:eastAsia="it-IT"/>
              </w:rPr>
              <w:t>Processed food crops</w:t>
            </w:r>
          </w:p>
        </w:tc>
        <w:tc>
          <w:tcPr>
            <w:tcW w:w="1710" w:type="dxa"/>
            <w:shd w:val="clear" w:color="auto" w:fill="auto"/>
          </w:tcPr>
          <w:p w:rsidR="00AB50C5" w:rsidRDefault="00724275">
            <w:pPr>
              <w:cnfStyle w:val="000000000000" w:firstRow="0" w:lastRow="0" w:firstColumn="0" w:lastColumn="0" w:oddVBand="0" w:evenVBand="0" w:oddHBand="0" w:evenHBand="0" w:firstRowFirstColumn="0" w:firstRowLastColumn="0" w:lastRowFirstColumn="0" w:lastRowLastColumn="0"/>
              <w:rPr>
                <w:noProof/>
                <w:sz w:val="16"/>
                <w:szCs w:val="16"/>
                <w:lang w:val="en-US" w:eastAsia="it-IT"/>
              </w:rPr>
            </w:pPr>
            <w:r>
              <w:rPr>
                <w:noProof/>
                <w:sz w:val="16"/>
                <w:szCs w:val="16"/>
                <w:lang w:val="en-US" w:eastAsia="it-IT"/>
              </w:rPr>
              <w:t>Class B</w:t>
            </w:r>
          </w:p>
          <w:p w:rsidR="00AB50C5" w:rsidRDefault="00AB50C5">
            <w:pPr>
              <w:cnfStyle w:val="000000000000" w:firstRow="0" w:lastRow="0" w:firstColumn="0" w:lastColumn="0" w:oddVBand="0" w:evenVBand="0" w:oddHBand="0" w:evenHBand="0" w:firstRowFirstColumn="0" w:firstRowLastColumn="0" w:lastRowFirstColumn="0" w:lastRowLastColumn="0"/>
              <w:rPr>
                <w:noProof/>
                <w:sz w:val="16"/>
                <w:szCs w:val="16"/>
                <w:lang w:val="en-US" w:eastAsia="it-IT"/>
              </w:rPr>
            </w:pPr>
          </w:p>
        </w:tc>
        <w:tc>
          <w:tcPr>
            <w:tcW w:w="3150" w:type="dxa"/>
            <w:shd w:val="clear" w:color="auto" w:fill="auto"/>
          </w:tcPr>
          <w:p w:rsidR="00AB50C5" w:rsidRDefault="00724275">
            <w:pPr>
              <w:cnfStyle w:val="000000000000" w:firstRow="0" w:lastRow="0" w:firstColumn="0" w:lastColumn="0" w:oddVBand="0" w:evenVBand="0" w:oddHBand="0" w:evenHBand="0" w:firstRowFirstColumn="0" w:firstRowLastColumn="0" w:lastRowFirstColumn="0" w:lastRowLastColumn="0"/>
              <w:rPr>
                <w:noProof/>
                <w:sz w:val="16"/>
                <w:szCs w:val="16"/>
                <w:lang w:val="en-US" w:eastAsia="it-IT"/>
              </w:rPr>
            </w:pPr>
            <w:r>
              <w:rPr>
                <w:noProof/>
                <w:sz w:val="16"/>
                <w:szCs w:val="16"/>
                <w:lang w:val="en-US" w:eastAsia="it-IT"/>
              </w:rPr>
              <w:t>All irrigation methods allowed</w:t>
            </w:r>
          </w:p>
          <w:p w:rsidR="00AB50C5" w:rsidRDefault="00AB50C5">
            <w:pPr>
              <w:cnfStyle w:val="000000000000" w:firstRow="0" w:lastRow="0" w:firstColumn="0" w:lastColumn="0" w:oddVBand="0" w:evenVBand="0" w:oddHBand="0" w:evenHBand="0" w:firstRowFirstColumn="0" w:firstRowLastColumn="0" w:lastRowFirstColumn="0" w:lastRowLastColumn="0"/>
              <w:rPr>
                <w:noProof/>
                <w:sz w:val="16"/>
                <w:szCs w:val="16"/>
                <w:lang w:val="en-US" w:eastAsia="it-IT"/>
              </w:rPr>
            </w:pPr>
          </w:p>
        </w:tc>
      </w:tr>
      <w:tr w:rsidR="00AB50C5" w:rsidTr="00AB50C5">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4675" w:type="dxa"/>
            <w:vMerge/>
            <w:shd w:val="clear" w:color="auto" w:fill="auto"/>
          </w:tcPr>
          <w:p w:rsidR="00AB50C5" w:rsidRDefault="00AB50C5">
            <w:pPr>
              <w:rPr>
                <w:noProof/>
                <w:sz w:val="16"/>
                <w:szCs w:val="16"/>
                <w:lang w:val="en-US" w:eastAsia="it-IT"/>
              </w:rPr>
            </w:pPr>
          </w:p>
        </w:tc>
        <w:tc>
          <w:tcPr>
            <w:tcW w:w="1710" w:type="dxa"/>
            <w:shd w:val="clear" w:color="auto" w:fill="auto"/>
          </w:tcPr>
          <w:p w:rsidR="00AB50C5" w:rsidRDefault="00724275">
            <w:pPr>
              <w:cnfStyle w:val="000000100000" w:firstRow="0" w:lastRow="0" w:firstColumn="0" w:lastColumn="0" w:oddVBand="0" w:evenVBand="0" w:oddHBand="1" w:evenHBand="0" w:firstRowFirstColumn="0" w:firstRowLastColumn="0" w:lastRowFirstColumn="0" w:lastRowLastColumn="0"/>
              <w:rPr>
                <w:noProof/>
                <w:sz w:val="16"/>
                <w:szCs w:val="16"/>
                <w:lang w:val="en-US" w:eastAsia="it-IT"/>
              </w:rPr>
            </w:pPr>
            <w:r>
              <w:rPr>
                <w:noProof/>
                <w:sz w:val="16"/>
                <w:szCs w:val="16"/>
                <w:lang w:val="en-US" w:eastAsia="it-IT"/>
              </w:rPr>
              <w:t>Class C</w:t>
            </w:r>
          </w:p>
        </w:tc>
        <w:tc>
          <w:tcPr>
            <w:tcW w:w="3150" w:type="dxa"/>
            <w:shd w:val="clear" w:color="auto" w:fill="auto"/>
          </w:tcPr>
          <w:p w:rsidR="00AB50C5" w:rsidRDefault="00724275">
            <w:pPr>
              <w:cnfStyle w:val="000000100000" w:firstRow="0" w:lastRow="0" w:firstColumn="0" w:lastColumn="0" w:oddVBand="0" w:evenVBand="0" w:oddHBand="1" w:evenHBand="0" w:firstRowFirstColumn="0" w:firstRowLastColumn="0" w:lastRowFirstColumn="0" w:lastRowLastColumn="0"/>
              <w:rPr>
                <w:noProof/>
                <w:sz w:val="16"/>
                <w:szCs w:val="16"/>
                <w:lang w:val="en-US" w:eastAsia="it-IT"/>
              </w:rPr>
            </w:pPr>
            <w:r>
              <w:rPr>
                <w:noProof/>
                <w:sz w:val="16"/>
                <w:szCs w:val="16"/>
                <w:lang w:val="en-US" w:eastAsia="it-IT"/>
              </w:rPr>
              <w:t>Drip irrigation only</w:t>
            </w:r>
          </w:p>
        </w:tc>
      </w:tr>
      <w:tr w:rsidR="00AB50C5" w:rsidTr="00AB50C5">
        <w:trPr>
          <w:trHeight w:val="540"/>
        </w:trPr>
        <w:tc>
          <w:tcPr>
            <w:cnfStyle w:val="001000000000" w:firstRow="0" w:lastRow="0" w:firstColumn="1" w:lastColumn="0" w:oddVBand="0" w:evenVBand="0" w:oddHBand="0" w:evenHBand="0" w:firstRowFirstColumn="0" w:firstRowLastColumn="0" w:lastRowFirstColumn="0" w:lastRowLastColumn="0"/>
            <w:tcW w:w="4675" w:type="dxa"/>
            <w:vMerge w:val="restart"/>
            <w:shd w:val="clear" w:color="auto" w:fill="auto"/>
          </w:tcPr>
          <w:p w:rsidR="00AB50C5" w:rsidRDefault="00724275">
            <w:pPr>
              <w:rPr>
                <w:noProof/>
                <w:sz w:val="16"/>
                <w:szCs w:val="16"/>
                <w:lang w:val="en-US" w:eastAsia="it-IT"/>
              </w:rPr>
            </w:pPr>
            <w:r>
              <w:rPr>
                <w:noProof/>
                <w:sz w:val="16"/>
                <w:szCs w:val="16"/>
                <w:lang w:val="en-US" w:eastAsia="it-IT"/>
              </w:rPr>
              <w:t>Non-food crops including crops to feed milk- or meat-producing animals</w:t>
            </w:r>
          </w:p>
        </w:tc>
        <w:tc>
          <w:tcPr>
            <w:tcW w:w="1710" w:type="dxa"/>
            <w:shd w:val="clear" w:color="auto" w:fill="auto"/>
          </w:tcPr>
          <w:p w:rsidR="00AB50C5" w:rsidRDefault="00724275">
            <w:pPr>
              <w:cnfStyle w:val="000000000000" w:firstRow="0" w:lastRow="0" w:firstColumn="0" w:lastColumn="0" w:oddVBand="0" w:evenVBand="0" w:oddHBand="0" w:evenHBand="0" w:firstRowFirstColumn="0" w:firstRowLastColumn="0" w:lastRowFirstColumn="0" w:lastRowLastColumn="0"/>
              <w:rPr>
                <w:noProof/>
                <w:sz w:val="16"/>
                <w:szCs w:val="16"/>
                <w:lang w:val="en-US" w:eastAsia="it-IT"/>
              </w:rPr>
            </w:pPr>
            <w:r>
              <w:rPr>
                <w:noProof/>
                <w:sz w:val="16"/>
                <w:szCs w:val="16"/>
                <w:lang w:val="en-US" w:eastAsia="it-IT"/>
              </w:rPr>
              <w:t>Class B</w:t>
            </w:r>
          </w:p>
        </w:tc>
        <w:tc>
          <w:tcPr>
            <w:tcW w:w="3150" w:type="dxa"/>
            <w:shd w:val="clear" w:color="auto" w:fill="auto"/>
          </w:tcPr>
          <w:p w:rsidR="00AB50C5" w:rsidRDefault="00724275">
            <w:pPr>
              <w:cnfStyle w:val="000000000000" w:firstRow="0" w:lastRow="0" w:firstColumn="0" w:lastColumn="0" w:oddVBand="0" w:evenVBand="0" w:oddHBand="0" w:evenHBand="0" w:firstRowFirstColumn="0" w:firstRowLastColumn="0" w:lastRowFirstColumn="0" w:lastRowLastColumn="0"/>
              <w:rPr>
                <w:noProof/>
                <w:sz w:val="16"/>
                <w:szCs w:val="16"/>
                <w:lang w:val="en-US" w:eastAsia="it-IT"/>
              </w:rPr>
            </w:pPr>
            <w:r>
              <w:rPr>
                <w:noProof/>
                <w:sz w:val="16"/>
                <w:szCs w:val="16"/>
                <w:lang w:val="en-US" w:eastAsia="it-IT"/>
              </w:rPr>
              <w:t xml:space="preserve">All irrigation </w:t>
            </w:r>
            <w:r>
              <w:rPr>
                <w:noProof/>
                <w:sz w:val="16"/>
                <w:szCs w:val="16"/>
                <w:lang w:val="en-US" w:eastAsia="it-IT"/>
              </w:rPr>
              <w:t>methods allowed</w:t>
            </w:r>
          </w:p>
        </w:tc>
      </w:tr>
      <w:tr w:rsidR="00AB50C5" w:rsidTr="00AB50C5">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4675" w:type="dxa"/>
            <w:vMerge/>
            <w:shd w:val="clear" w:color="auto" w:fill="auto"/>
          </w:tcPr>
          <w:p w:rsidR="00AB50C5" w:rsidRDefault="00AB50C5">
            <w:pPr>
              <w:rPr>
                <w:noProof/>
                <w:sz w:val="16"/>
                <w:szCs w:val="16"/>
                <w:lang w:val="en-US" w:eastAsia="it-IT"/>
              </w:rPr>
            </w:pPr>
          </w:p>
        </w:tc>
        <w:tc>
          <w:tcPr>
            <w:tcW w:w="1710" w:type="dxa"/>
            <w:shd w:val="clear" w:color="auto" w:fill="auto"/>
          </w:tcPr>
          <w:p w:rsidR="00AB50C5" w:rsidRDefault="00724275">
            <w:pPr>
              <w:cnfStyle w:val="000000100000" w:firstRow="0" w:lastRow="0" w:firstColumn="0" w:lastColumn="0" w:oddVBand="0" w:evenVBand="0" w:oddHBand="1" w:evenHBand="0" w:firstRowFirstColumn="0" w:firstRowLastColumn="0" w:lastRowFirstColumn="0" w:lastRowLastColumn="0"/>
              <w:rPr>
                <w:noProof/>
                <w:sz w:val="16"/>
                <w:szCs w:val="16"/>
                <w:lang w:val="en-US" w:eastAsia="it-IT"/>
              </w:rPr>
            </w:pPr>
            <w:r>
              <w:rPr>
                <w:noProof/>
                <w:sz w:val="16"/>
                <w:szCs w:val="16"/>
                <w:lang w:val="en-US" w:eastAsia="it-IT"/>
              </w:rPr>
              <w:t>Class C</w:t>
            </w:r>
          </w:p>
        </w:tc>
        <w:tc>
          <w:tcPr>
            <w:tcW w:w="3150" w:type="dxa"/>
            <w:shd w:val="clear" w:color="auto" w:fill="auto"/>
          </w:tcPr>
          <w:p w:rsidR="00AB50C5" w:rsidRDefault="00724275">
            <w:pPr>
              <w:cnfStyle w:val="000000100000" w:firstRow="0" w:lastRow="0" w:firstColumn="0" w:lastColumn="0" w:oddVBand="0" w:evenVBand="0" w:oddHBand="1" w:evenHBand="0" w:firstRowFirstColumn="0" w:firstRowLastColumn="0" w:lastRowFirstColumn="0" w:lastRowLastColumn="0"/>
              <w:rPr>
                <w:noProof/>
                <w:sz w:val="16"/>
                <w:szCs w:val="16"/>
                <w:lang w:val="en-US" w:eastAsia="it-IT"/>
              </w:rPr>
            </w:pPr>
            <w:r>
              <w:rPr>
                <w:noProof/>
                <w:sz w:val="16"/>
                <w:szCs w:val="16"/>
                <w:lang w:val="en-US" w:eastAsia="it-IT"/>
              </w:rPr>
              <w:t>Drip irrigation only</w:t>
            </w:r>
          </w:p>
        </w:tc>
      </w:tr>
      <w:tr w:rsidR="00AB50C5" w:rsidTr="00AB50C5">
        <w:trPr>
          <w:trHeight w:val="873"/>
        </w:trPr>
        <w:tc>
          <w:tcPr>
            <w:cnfStyle w:val="001000000000" w:firstRow="0" w:lastRow="0" w:firstColumn="1" w:lastColumn="0" w:oddVBand="0" w:evenVBand="0" w:oddHBand="0" w:evenHBand="0" w:firstRowFirstColumn="0" w:firstRowLastColumn="0" w:lastRowFirstColumn="0" w:lastRowLastColumn="0"/>
            <w:tcW w:w="4675" w:type="dxa"/>
            <w:shd w:val="clear" w:color="auto" w:fill="auto"/>
          </w:tcPr>
          <w:p w:rsidR="00AB50C5" w:rsidRDefault="00724275">
            <w:pPr>
              <w:rPr>
                <w:noProof/>
                <w:sz w:val="16"/>
                <w:szCs w:val="16"/>
                <w:lang w:val="en-US" w:eastAsia="it-IT"/>
              </w:rPr>
            </w:pPr>
            <w:r>
              <w:rPr>
                <w:noProof/>
                <w:sz w:val="16"/>
                <w:szCs w:val="16"/>
                <w:lang w:val="en-US" w:eastAsia="it-IT"/>
              </w:rPr>
              <w:t>Industrial, energy, and seeded crops</w:t>
            </w:r>
          </w:p>
          <w:p w:rsidR="00AB50C5" w:rsidRDefault="00AB50C5">
            <w:pPr>
              <w:rPr>
                <w:noProof/>
                <w:sz w:val="16"/>
                <w:szCs w:val="16"/>
                <w:lang w:val="en-US" w:eastAsia="it-IT"/>
              </w:rPr>
            </w:pPr>
          </w:p>
        </w:tc>
        <w:tc>
          <w:tcPr>
            <w:tcW w:w="1710" w:type="dxa"/>
            <w:shd w:val="clear" w:color="auto" w:fill="auto"/>
          </w:tcPr>
          <w:p w:rsidR="00AB50C5" w:rsidRDefault="00724275">
            <w:pPr>
              <w:cnfStyle w:val="000000000000" w:firstRow="0" w:lastRow="0" w:firstColumn="0" w:lastColumn="0" w:oddVBand="0" w:evenVBand="0" w:oddHBand="0" w:evenHBand="0" w:firstRowFirstColumn="0" w:firstRowLastColumn="0" w:lastRowFirstColumn="0" w:lastRowLastColumn="0"/>
              <w:rPr>
                <w:noProof/>
                <w:sz w:val="16"/>
                <w:szCs w:val="16"/>
                <w:lang w:val="en-US" w:eastAsia="it-IT"/>
              </w:rPr>
            </w:pPr>
            <w:r>
              <w:rPr>
                <w:noProof/>
                <w:sz w:val="16"/>
                <w:szCs w:val="16"/>
                <w:lang w:val="en-US" w:eastAsia="it-IT"/>
              </w:rPr>
              <w:t>Class D</w:t>
            </w:r>
          </w:p>
        </w:tc>
        <w:tc>
          <w:tcPr>
            <w:tcW w:w="3150" w:type="dxa"/>
            <w:shd w:val="clear" w:color="auto" w:fill="auto"/>
          </w:tcPr>
          <w:p w:rsidR="00AB50C5" w:rsidRDefault="00724275">
            <w:pPr>
              <w:cnfStyle w:val="000000000000" w:firstRow="0" w:lastRow="0" w:firstColumn="0" w:lastColumn="0" w:oddVBand="0" w:evenVBand="0" w:oddHBand="0" w:evenHBand="0" w:firstRowFirstColumn="0" w:firstRowLastColumn="0" w:lastRowFirstColumn="0" w:lastRowLastColumn="0"/>
              <w:rPr>
                <w:noProof/>
                <w:sz w:val="16"/>
                <w:szCs w:val="16"/>
                <w:lang w:val="en-US" w:eastAsia="it-IT"/>
              </w:rPr>
            </w:pPr>
            <w:r>
              <w:rPr>
                <w:noProof/>
                <w:sz w:val="16"/>
                <w:szCs w:val="16"/>
                <w:lang w:val="en-US" w:eastAsia="it-IT"/>
              </w:rPr>
              <w:t>All irrigation methods allowed</w:t>
            </w:r>
          </w:p>
          <w:p w:rsidR="00AB50C5" w:rsidRDefault="00AB50C5">
            <w:pPr>
              <w:cnfStyle w:val="000000000000" w:firstRow="0" w:lastRow="0" w:firstColumn="0" w:lastColumn="0" w:oddVBand="0" w:evenVBand="0" w:oddHBand="0" w:evenHBand="0" w:firstRowFirstColumn="0" w:firstRowLastColumn="0" w:lastRowFirstColumn="0" w:lastRowLastColumn="0"/>
              <w:rPr>
                <w:noProof/>
                <w:sz w:val="16"/>
                <w:szCs w:val="16"/>
                <w:lang w:val="en-US" w:eastAsia="it-IT"/>
              </w:rPr>
            </w:pPr>
          </w:p>
        </w:tc>
      </w:tr>
    </w:tbl>
    <w:p w:rsidR="00AB50C5" w:rsidRDefault="00724275">
      <w:pPr>
        <w:pStyle w:val="JRCText"/>
        <w:jc w:val="left"/>
        <w:rPr>
          <w:noProof/>
          <w:sz w:val="16"/>
          <w:szCs w:val="16"/>
        </w:rPr>
      </w:pPr>
      <w:r>
        <w:rPr>
          <w:i/>
          <w:noProof/>
          <w:sz w:val="16"/>
          <w:szCs w:val="16"/>
        </w:rPr>
        <w:t>Source:</w:t>
      </w:r>
      <w:r>
        <w:rPr>
          <w:noProof/>
          <w:sz w:val="16"/>
          <w:szCs w:val="16"/>
        </w:rPr>
        <w:t xml:space="preserve"> JRC analysis.</w:t>
      </w:r>
    </w:p>
    <w:p w:rsidR="00AB50C5" w:rsidRDefault="00AB50C5">
      <w:pPr>
        <w:pStyle w:val="JRCText"/>
        <w:jc w:val="left"/>
        <w:rPr>
          <w:noProof/>
          <w:sz w:val="16"/>
          <w:szCs w:val="16"/>
        </w:rPr>
      </w:pPr>
    </w:p>
    <w:p w:rsidR="00AB50C5" w:rsidRDefault="00724275">
      <w:pPr>
        <w:pStyle w:val="JRCTabletitle"/>
        <w:rPr>
          <w:noProof/>
        </w:rPr>
      </w:pPr>
      <w:bookmarkStart w:id="55" w:name="_Ref494113591"/>
      <w:bookmarkStart w:id="56" w:name="_Toc498672384"/>
      <w:r>
        <w:rPr>
          <w:b/>
          <w:noProof/>
        </w:rPr>
        <w:t xml:space="preserve">Table </w:t>
      </w:r>
      <w:r>
        <w:rPr>
          <w:b/>
          <w:noProof/>
        </w:rPr>
        <w:fldChar w:fldCharType="begin"/>
      </w:r>
      <w:r>
        <w:rPr>
          <w:b/>
          <w:noProof/>
        </w:rPr>
        <w:instrText xml:space="preserve"> SEQ Table \* ARABIC </w:instrText>
      </w:r>
      <w:r>
        <w:rPr>
          <w:b/>
          <w:noProof/>
        </w:rPr>
        <w:fldChar w:fldCharType="separate"/>
      </w:r>
      <w:r>
        <w:rPr>
          <w:b/>
          <w:noProof/>
        </w:rPr>
        <w:t>4</w:t>
      </w:r>
      <w:r>
        <w:rPr>
          <w:b/>
          <w:noProof/>
        </w:rPr>
        <w:fldChar w:fldCharType="end"/>
      </w:r>
      <w:bookmarkEnd w:id="55"/>
      <w:r>
        <w:rPr>
          <w:b/>
          <w:noProof/>
        </w:rPr>
        <w:t>.</w:t>
      </w:r>
      <w:r>
        <w:rPr>
          <w:noProof/>
        </w:rPr>
        <w:t xml:space="preserve"> Minimum frequencies for reclaimed water monitoring for agricultural irrigation.</w:t>
      </w:r>
      <w:bookmarkEnd w:id="56"/>
    </w:p>
    <w:tbl>
      <w:tblPr>
        <w:tblStyle w:val="GridTable4-Accent121"/>
        <w:tblW w:w="9445" w:type="dxa"/>
        <w:tblLayout w:type="fixed"/>
        <w:tblLook w:val="04A0" w:firstRow="1" w:lastRow="0" w:firstColumn="1" w:lastColumn="0" w:noHBand="0" w:noVBand="1"/>
      </w:tblPr>
      <w:tblGrid>
        <w:gridCol w:w="1435"/>
        <w:gridCol w:w="1345"/>
        <w:gridCol w:w="1443"/>
        <w:gridCol w:w="1352"/>
        <w:gridCol w:w="1260"/>
        <w:gridCol w:w="1350"/>
        <w:gridCol w:w="1260"/>
      </w:tblGrid>
      <w:tr w:rsidR="00AB50C5" w:rsidTr="00AB50C5">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35" w:type="dxa"/>
          </w:tcPr>
          <w:p w:rsidR="00AB50C5" w:rsidRDefault="00AB50C5">
            <w:pPr>
              <w:rPr>
                <w:noProof/>
                <w:sz w:val="16"/>
                <w:szCs w:val="16"/>
                <w:lang w:val="en-US" w:eastAsia="it-IT"/>
              </w:rPr>
            </w:pPr>
          </w:p>
        </w:tc>
        <w:tc>
          <w:tcPr>
            <w:tcW w:w="8010" w:type="dxa"/>
            <w:gridSpan w:val="6"/>
          </w:tcPr>
          <w:p w:rsidR="00AB50C5" w:rsidRDefault="00724275">
            <w:pPr>
              <w:keepNext/>
              <w:jc w:val="center"/>
              <w:cnfStyle w:val="100000000000" w:firstRow="1" w:lastRow="0" w:firstColumn="0" w:lastColumn="0" w:oddVBand="0" w:evenVBand="0" w:oddHBand="0" w:evenHBand="0" w:firstRowFirstColumn="0" w:firstRowLastColumn="0" w:lastRowFirstColumn="0" w:lastRowLastColumn="0"/>
              <w:rPr>
                <w:iCs/>
                <w:noProof/>
                <w:sz w:val="16"/>
                <w:szCs w:val="16"/>
                <w:lang w:val="en-US" w:eastAsia="it-IT"/>
              </w:rPr>
            </w:pPr>
            <w:r>
              <w:rPr>
                <w:iCs/>
                <w:noProof/>
                <w:sz w:val="16"/>
                <w:szCs w:val="16"/>
                <w:lang w:val="en-US" w:eastAsia="it-IT"/>
              </w:rPr>
              <w:t xml:space="preserve">Minimum monitoring frequencies </w:t>
            </w:r>
          </w:p>
          <w:p w:rsidR="00AB50C5" w:rsidRDefault="00AB50C5">
            <w:pPr>
              <w:keepNext/>
              <w:jc w:val="center"/>
              <w:cnfStyle w:val="100000000000" w:firstRow="1" w:lastRow="0" w:firstColumn="0" w:lastColumn="0" w:oddVBand="0" w:evenVBand="0" w:oddHBand="0" w:evenHBand="0" w:firstRowFirstColumn="0" w:firstRowLastColumn="0" w:lastRowFirstColumn="0" w:lastRowLastColumn="0"/>
              <w:rPr>
                <w:iCs/>
                <w:noProof/>
                <w:sz w:val="16"/>
                <w:szCs w:val="16"/>
                <w:lang w:val="en-US" w:eastAsia="it-IT"/>
              </w:rPr>
            </w:pPr>
          </w:p>
        </w:tc>
      </w:tr>
      <w:tr w:rsidR="00AB50C5" w:rsidTr="00AB50C5">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1435" w:type="dxa"/>
            <w:shd w:val="clear" w:color="auto" w:fill="5B9BD5"/>
          </w:tcPr>
          <w:p w:rsidR="00AB50C5" w:rsidRDefault="00724275">
            <w:pPr>
              <w:rPr>
                <w:noProof/>
                <w:color w:val="FFFFFF"/>
                <w:sz w:val="16"/>
                <w:szCs w:val="16"/>
                <w:lang w:val="en-US" w:eastAsia="it-IT"/>
              </w:rPr>
            </w:pPr>
            <w:r>
              <w:rPr>
                <w:noProof/>
                <w:color w:val="FFFFFF"/>
                <w:sz w:val="16"/>
                <w:szCs w:val="16"/>
                <w:lang w:val="en-US" w:eastAsia="it-IT"/>
              </w:rPr>
              <w:t>Reclaimed water quality classes</w:t>
            </w:r>
          </w:p>
        </w:tc>
        <w:tc>
          <w:tcPr>
            <w:tcW w:w="1345" w:type="dxa"/>
            <w:shd w:val="clear" w:color="auto" w:fill="5B9BD5"/>
          </w:tcPr>
          <w:p w:rsidR="00AB50C5" w:rsidRDefault="00724275">
            <w:pPr>
              <w:jc w:val="center"/>
              <w:cnfStyle w:val="000000100000" w:firstRow="0" w:lastRow="0" w:firstColumn="0" w:lastColumn="0" w:oddVBand="0" w:evenVBand="0" w:oddHBand="1" w:evenHBand="0" w:firstRowFirstColumn="0" w:firstRowLastColumn="0" w:lastRowFirstColumn="0" w:lastRowLastColumn="0"/>
              <w:rPr>
                <w:b/>
                <w:i/>
                <w:noProof/>
                <w:color w:val="FFFFFF"/>
                <w:sz w:val="16"/>
                <w:szCs w:val="16"/>
                <w:lang w:eastAsia="it-IT"/>
              </w:rPr>
            </w:pPr>
            <w:r>
              <w:rPr>
                <w:b/>
                <w:i/>
                <w:noProof/>
                <w:color w:val="FFFFFF"/>
                <w:sz w:val="16"/>
                <w:szCs w:val="16"/>
                <w:lang w:eastAsia="it-IT"/>
              </w:rPr>
              <w:t>E. coli</w:t>
            </w:r>
          </w:p>
          <w:p w:rsidR="00AB50C5" w:rsidRDefault="00AB50C5">
            <w:pPr>
              <w:jc w:val="center"/>
              <w:cnfStyle w:val="000000100000" w:firstRow="0" w:lastRow="0" w:firstColumn="0" w:lastColumn="0" w:oddVBand="0" w:evenVBand="0" w:oddHBand="1" w:evenHBand="0" w:firstRowFirstColumn="0" w:firstRowLastColumn="0" w:lastRowFirstColumn="0" w:lastRowLastColumn="0"/>
              <w:rPr>
                <w:b/>
                <w:iCs/>
                <w:noProof/>
                <w:color w:val="FFFFFF"/>
                <w:sz w:val="16"/>
                <w:szCs w:val="16"/>
                <w:lang w:eastAsia="it-IT"/>
              </w:rPr>
            </w:pPr>
          </w:p>
        </w:tc>
        <w:tc>
          <w:tcPr>
            <w:tcW w:w="1443" w:type="dxa"/>
            <w:shd w:val="clear" w:color="auto" w:fill="5B9BD5"/>
          </w:tcPr>
          <w:p w:rsidR="00AB50C5" w:rsidRDefault="00724275">
            <w:pPr>
              <w:jc w:val="center"/>
              <w:cnfStyle w:val="000000100000" w:firstRow="0" w:lastRow="0" w:firstColumn="0" w:lastColumn="0" w:oddVBand="0" w:evenVBand="0" w:oddHBand="1" w:evenHBand="0" w:firstRowFirstColumn="0" w:firstRowLastColumn="0" w:lastRowFirstColumn="0" w:lastRowLastColumn="0"/>
              <w:rPr>
                <w:b/>
                <w:iCs/>
                <w:noProof/>
                <w:color w:val="FFFFFF"/>
                <w:sz w:val="16"/>
                <w:szCs w:val="16"/>
                <w:lang w:val="en-US" w:eastAsia="it-IT"/>
              </w:rPr>
            </w:pPr>
            <w:r>
              <w:rPr>
                <w:b/>
                <w:noProof/>
                <w:color w:val="FFFFFF"/>
                <w:sz w:val="16"/>
                <w:szCs w:val="16"/>
                <w:lang w:val="en-US" w:eastAsia="it-IT"/>
              </w:rPr>
              <w:t>BOD</w:t>
            </w:r>
            <w:r>
              <w:rPr>
                <w:b/>
                <w:noProof/>
                <w:color w:val="FFFFFF"/>
                <w:sz w:val="16"/>
                <w:szCs w:val="16"/>
                <w:vertAlign w:val="subscript"/>
                <w:lang w:val="en-US" w:eastAsia="it-IT"/>
              </w:rPr>
              <w:t>5</w:t>
            </w:r>
          </w:p>
        </w:tc>
        <w:tc>
          <w:tcPr>
            <w:tcW w:w="1352" w:type="dxa"/>
            <w:shd w:val="clear" w:color="auto" w:fill="5B9BD5"/>
          </w:tcPr>
          <w:p w:rsidR="00AB50C5" w:rsidRDefault="00724275">
            <w:pPr>
              <w:jc w:val="center"/>
              <w:cnfStyle w:val="000000100000" w:firstRow="0" w:lastRow="0" w:firstColumn="0" w:lastColumn="0" w:oddVBand="0" w:evenVBand="0" w:oddHBand="1" w:evenHBand="0" w:firstRowFirstColumn="0" w:firstRowLastColumn="0" w:lastRowFirstColumn="0" w:lastRowLastColumn="0"/>
              <w:rPr>
                <w:b/>
                <w:iCs/>
                <w:noProof/>
                <w:color w:val="FFFFFF"/>
                <w:sz w:val="16"/>
                <w:szCs w:val="16"/>
                <w:lang w:val="en-US" w:eastAsia="it-IT"/>
              </w:rPr>
            </w:pPr>
            <w:r>
              <w:rPr>
                <w:b/>
                <w:noProof/>
                <w:color w:val="FFFFFF"/>
                <w:sz w:val="16"/>
                <w:szCs w:val="16"/>
                <w:lang w:val="en-US" w:eastAsia="it-IT"/>
              </w:rPr>
              <w:t>TSS</w:t>
            </w:r>
          </w:p>
        </w:tc>
        <w:tc>
          <w:tcPr>
            <w:tcW w:w="1260" w:type="dxa"/>
            <w:shd w:val="clear" w:color="auto" w:fill="5B9BD5"/>
          </w:tcPr>
          <w:p w:rsidR="00AB50C5" w:rsidRDefault="00724275">
            <w:pPr>
              <w:keepNext/>
              <w:jc w:val="center"/>
              <w:cnfStyle w:val="000000100000" w:firstRow="0" w:lastRow="0" w:firstColumn="0" w:lastColumn="0" w:oddVBand="0" w:evenVBand="0" w:oddHBand="1" w:evenHBand="0" w:firstRowFirstColumn="0" w:firstRowLastColumn="0" w:lastRowFirstColumn="0" w:lastRowLastColumn="0"/>
              <w:rPr>
                <w:b/>
                <w:noProof/>
                <w:color w:val="FFFFFF"/>
                <w:sz w:val="16"/>
                <w:szCs w:val="16"/>
                <w:lang w:eastAsia="it-IT"/>
              </w:rPr>
            </w:pPr>
            <w:r>
              <w:rPr>
                <w:b/>
                <w:iCs/>
                <w:noProof/>
                <w:color w:val="FFFFFF"/>
                <w:sz w:val="16"/>
                <w:szCs w:val="16"/>
                <w:lang w:val="en-US" w:eastAsia="it-IT"/>
              </w:rPr>
              <w:t>Turbidity</w:t>
            </w:r>
          </w:p>
        </w:tc>
        <w:tc>
          <w:tcPr>
            <w:tcW w:w="1350" w:type="dxa"/>
            <w:shd w:val="clear" w:color="auto" w:fill="5B9BD5"/>
          </w:tcPr>
          <w:p w:rsidR="00AB50C5" w:rsidRDefault="00724275">
            <w:pPr>
              <w:keepNext/>
              <w:jc w:val="center"/>
              <w:cnfStyle w:val="000000100000" w:firstRow="0" w:lastRow="0" w:firstColumn="0" w:lastColumn="0" w:oddVBand="0" w:evenVBand="0" w:oddHBand="1" w:evenHBand="0" w:firstRowFirstColumn="0" w:firstRowLastColumn="0" w:lastRowFirstColumn="0" w:lastRowLastColumn="0"/>
              <w:rPr>
                <w:b/>
                <w:iCs/>
                <w:noProof/>
                <w:color w:val="FFFFFF"/>
                <w:sz w:val="16"/>
                <w:szCs w:val="16"/>
                <w:lang w:val="en-US" w:eastAsia="it-IT"/>
              </w:rPr>
            </w:pPr>
            <w:r>
              <w:rPr>
                <w:b/>
                <w:i/>
                <w:iCs/>
                <w:noProof/>
                <w:color w:val="FFFFFF"/>
                <w:sz w:val="16"/>
                <w:szCs w:val="16"/>
                <w:lang w:val="en-US" w:eastAsia="it-IT"/>
              </w:rPr>
              <w:t>Legionella</w:t>
            </w:r>
            <w:r>
              <w:rPr>
                <w:b/>
                <w:iCs/>
                <w:noProof/>
                <w:color w:val="FFFFFF"/>
                <w:sz w:val="16"/>
                <w:szCs w:val="16"/>
                <w:lang w:val="en-US" w:eastAsia="it-IT"/>
              </w:rPr>
              <w:t xml:space="preserve"> spp.</w:t>
            </w:r>
          </w:p>
          <w:p w:rsidR="00AB50C5" w:rsidRDefault="00724275">
            <w:pPr>
              <w:keepNext/>
              <w:jc w:val="center"/>
              <w:cnfStyle w:val="000000100000" w:firstRow="0" w:lastRow="0" w:firstColumn="0" w:lastColumn="0" w:oddVBand="0" w:evenVBand="0" w:oddHBand="1" w:evenHBand="0" w:firstRowFirstColumn="0" w:firstRowLastColumn="0" w:lastRowFirstColumn="0" w:lastRowLastColumn="0"/>
              <w:rPr>
                <w:b/>
                <w:iCs/>
                <w:noProof/>
                <w:color w:val="FFFFFF"/>
                <w:sz w:val="16"/>
                <w:szCs w:val="16"/>
                <w:lang w:val="en-US" w:eastAsia="it-IT"/>
              </w:rPr>
            </w:pPr>
            <w:r>
              <w:rPr>
                <w:b/>
                <w:iCs/>
                <w:noProof/>
                <w:color w:val="FFFFFF"/>
                <w:sz w:val="16"/>
                <w:szCs w:val="16"/>
                <w:lang w:val="en-US" w:eastAsia="it-IT"/>
              </w:rPr>
              <w:t>(when applicable)</w:t>
            </w:r>
          </w:p>
        </w:tc>
        <w:tc>
          <w:tcPr>
            <w:tcW w:w="1260" w:type="dxa"/>
            <w:shd w:val="clear" w:color="auto" w:fill="5B9BD5"/>
          </w:tcPr>
          <w:p w:rsidR="00AB50C5" w:rsidRDefault="00724275">
            <w:pPr>
              <w:keepNext/>
              <w:jc w:val="center"/>
              <w:cnfStyle w:val="000000100000" w:firstRow="0" w:lastRow="0" w:firstColumn="0" w:lastColumn="0" w:oddVBand="0" w:evenVBand="0" w:oddHBand="1" w:evenHBand="0" w:firstRowFirstColumn="0" w:firstRowLastColumn="0" w:lastRowFirstColumn="0" w:lastRowLastColumn="0"/>
              <w:rPr>
                <w:b/>
                <w:iCs/>
                <w:noProof/>
                <w:color w:val="FFFFFF"/>
                <w:sz w:val="16"/>
                <w:szCs w:val="16"/>
                <w:lang w:val="en-US" w:eastAsia="it-IT"/>
              </w:rPr>
            </w:pPr>
            <w:r>
              <w:rPr>
                <w:b/>
                <w:iCs/>
                <w:noProof/>
                <w:color w:val="FFFFFF"/>
                <w:sz w:val="16"/>
                <w:szCs w:val="16"/>
                <w:lang w:val="en-US" w:eastAsia="it-IT"/>
              </w:rPr>
              <w:t>Intestinal nematodes</w:t>
            </w:r>
          </w:p>
          <w:p w:rsidR="00AB50C5" w:rsidRDefault="00724275">
            <w:pPr>
              <w:keepNext/>
              <w:jc w:val="center"/>
              <w:cnfStyle w:val="000000100000" w:firstRow="0" w:lastRow="0" w:firstColumn="0" w:lastColumn="0" w:oddVBand="0" w:evenVBand="0" w:oddHBand="1" w:evenHBand="0" w:firstRowFirstColumn="0" w:firstRowLastColumn="0" w:lastRowFirstColumn="0" w:lastRowLastColumn="0"/>
              <w:rPr>
                <w:b/>
                <w:iCs/>
                <w:noProof/>
                <w:color w:val="FFFFFF"/>
                <w:sz w:val="16"/>
                <w:szCs w:val="16"/>
                <w:lang w:val="en-US" w:eastAsia="it-IT"/>
              </w:rPr>
            </w:pPr>
            <w:r>
              <w:rPr>
                <w:b/>
                <w:iCs/>
                <w:noProof/>
                <w:color w:val="FFFFFF"/>
                <w:sz w:val="16"/>
                <w:szCs w:val="16"/>
                <w:lang w:val="en-US" w:eastAsia="it-IT"/>
              </w:rPr>
              <w:t>(when applicable)</w:t>
            </w:r>
          </w:p>
        </w:tc>
      </w:tr>
      <w:tr w:rsidR="00AB50C5" w:rsidTr="00AB50C5">
        <w:trPr>
          <w:trHeight w:val="666"/>
        </w:trPr>
        <w:tc>
          <w:tcPr>
            <w:cnfStyle w:val="001000000000" w:firstRow="0" w:lastRow="0" w:firstColumn="1" w:lastColumn="0" w:oddVBand="0" w:evenVBand="0" w:oddHBand="0" w:evenHBand="0" w:firstRowFirstColumn="0" w:firstRowLastColumn="0" w:lastRowFirstColumn="0" w:lastRowLastColumn="0"/>
            <w:tcW w:w="1435" w:type="dxa"/>
          </w:tcPr>
          <w:p w:rsidR="00AB50C5" w:rsidRDefault="00724275">
            <w:pPr>
              <w:rPr>
                <w:noProof/>
                <w:sz w:val="16"/>
                <w:szCs w:val="16"/>
                <w:lang w:eastAsia="it-IT"/>
              </w:rPr>
            </w:pPr>
            <w:r>
              <w:rPr>
                <w:noProof/>
                <w:sz w:val="16"/>
                <w:szCs w:val="16"/>
                <w:lang w:val="en-US" w:eastAsia="it-IT"/>
              </w:rPr>
              <w:t xml:space="preserve">Class </w:t>
            </w:r>
            <w:r>
              <w:rPr>
                <w:noProof/>
                <w:sz w:val="16"/>
                <w:szCs w:val="16"/>
                <w:lang w:val="en-US" w:eastAsia="it-IT"/>
              </w:rPr>
              <w:t>A</w:t>
            </w:r>
          </w:p>
        </w:tc>
        <w:tc>
          <w:tcPr>
            <w:tcW w:w="1345" w:type="dxa"/>
          </w:tcPr>
          <w:p w:rsidR="00AB50C5" w:rsidRDefault="00724275">
            <w:pPr>
              <w:keepNext/>
              <w:jc w:val="center"/>
              <w:cnfStyle w:val="000000000000" w:firstRow="0" w:lastRow="0" w:firstColumn="0" w:lastColumn="0" w:oddVBand="0" w:evenVBand="0" w:oddHBand="0" w:evenHBand="0" w:firstRowFirstColumn="0" w:firstRowLastColumn="0" w:lastRowFirstColumn="0" w:lastRowLastColumn="0"/>
              <w:rPr>
                <w:iCs/>
                <w:noProof/>
                <w:sz w:val="16"/>
                <w:szCs w:val="16"/>
                <w:lang w:val="en-US" w:eastAsia="it-IT"/>
              </w:rPr>
            </w:pPr>
            <w:r>
              <w:rPr>
                <w:iCs/>
                <w:noProof/>
                <w:sz w:val="16"/>
                <w:szCs w:val="16"/>
                <w:lang w:val="en-US" w:eastAsia="it-IT"/>
              </w:rPr>
              <w:t xml:space="preserve">Once </w:t>
            </w:r>
          </w:p>
          <w:p w:rsidR="00AB50C5" w:rsidRDefault="00724275">
            <w:pPr>
              <w:keepNext/>
              <w:jc w:val="center"/>
              <w:cnfStyle w:val="000000000000" w:firstRow="0" w:lastRow="0" w:firstColumn="0" w:lastColumn="0" w:oddVBand="0" w:evenVBand="0" w:oddHBand="0" w:evenHBand="0" w:firstRowFirstColumn="0" w:firstRowLastColumn="0" w:lastRowFirstColumn="0" w:lastRowLastColumn="0"/>
              <w:rPr>
                <w:iCs/>
                <w:noProof/>
                <w:sz w:val="16"/>
                <w:szCs w:val="16"/>
                <w:lang w:val="en-US" w:eastAsia="it-IT"/>
              </w:rPr>
            </w:pPr>
            <w:r>
              <w:rPr>
                <w:iCs/>
                <w:noProof/>
                <w:sz w:val="16"/>
                <w:szCs w:val="16"/>
                <w:lang w:val="en-US" w:eastAsia="it-IT"/>
              </w:rPr>
              <w:t>a week</w:t>
            </w:r>
          </w:p>
        </w:tc>
        <w:tc>
          <w:tcPr>
            <w:tcW w:w="1443" w:type="dxa"/>
          </w:tcPr>
          <w:p w:rsidR="00AB50C5" w:rsidRDefault="00724275">
            <w:pPr>
              <w:keepNext/>
              <w:jc w:val="center"/>
              <w:cnfStyle w:val="000000000000" w:firstRow="0" w:lastRow="0" w:firstColumn="0" w:lastColumn="0" w:oddVBand="0" w:evenVBand="0" w:oddHBand="0" w:evenHBand="0" w:firstRowFirstColumn="0" w:firstRowLastColumn="0" w:lastRowFirstColumn="0" w:lastRowLastColumn="0"/>
              <w:rPr>
                <w:iCs/>
                <w:noProof/>
                <w:sz w:val="16"/>
                <w:szCs w:val="16"/>
                <w:lang w:val="en-US" w:eastAsia="it-IT"/>
              </w:rPr>
            </w:pPr>
            <w:r>
              <w:rPr>
                <w:iCs/>
                <w:noProof/>
                <w:sz w:val="16"/>
                <w:szCs w:val="16"/>
                <w:lang w:val="en-US" w:eastAsia="it-IT"/>
              </w:rPr>
              <w:t xml:space="preserve">Once </w:t>
            </w:r>
          </w:p>
          <w:p w:rsidR="00AB50C5" w:rsidRDefault="00724275">
            <w:pPr>
              <w:keepNext/>
              <w:jc w:val="center"/>
              <w:cnfStyle w:val="000000000000" w:firstRow="0" w:lastRow="0" w:firstColumn="0" w:lastColumn="0" w:oddVBand="0" w:evenVBand="0" w:oddHBand="0" w:evenHBand="0" w:firstRowFirstColumn="0" w:firstRowLastColumn="0" w:lastRowFirstColumn="0" w:lastRowLastColumn="0"/>
              <w:rPr>
                <w:iCs/>
                <w:noProof/>
                <w:sz w:val="16"/>
                <w:szCs w:val="16"/>
                <w:lang w:val="en-US" w:eastAsia="it-IT"/>
              </w:rPr>
            </w:pPr>
            <w:r>
              <w:rPr>
                <w:iCs/>
                <w:noProof/>
                <w:sz w:val="16"/>
                <w:szCs w:val="16"/>
                <w:lang w:val="en-US" w:eastAsia="it-IT"/>
              </w:rPr>
              <w:t>a week</w:t>
            </w:r>
          </w:p>
        </w:tc>
        <w:tc>
          <w:tcPr>
            <w:tcW w:w="1352" w:type="dxa"/>
          </w:tcPr>
          <w:p w:rsidR="00AB50C5" w:rsidRDefault="00724275">
            <w:pPr>
              <w:keepNext/>
              <w:jc w:val="center"/>
              <w:cnfStyle w:val="000000000000" w:firstRow="0" w:lastRow="0" w:firstColumn="0" w:lastColumn="0" w:oddVBand="0" w:evenVBand="0" w:oddHBand="0" w:evenHBand="0" w:firstRowFirstColumn="0" w:firstRowLastColumn="0" w:lastRowFirstColumn="0" w:lastRowLastColumn="0"/>
              <w:rPr>
                <w:iCs/>
                <w:noProof/>
                <w:sz w:val="16"/>
                <w:szCs w:val="16"/>
                <w:lang w:val="en-US" w:eastAsia="it-IT"/>
              </w:rPr>
            </w:pPr>
            <w:r>
              <w:rPr>
                <w:iCs/>
                <w:noProof/>
                <w:sz w:val="16"/>
                <w:szCs w:val="16"/>
                <w:lang w:val="en-US" w:eastAsia="it-IT"/>
              </w:rPr>
              <w:t xml:space="preserve">Once </w:t>
            </w:r>
          </w:p>
          <w:p w:rsidR="00AB50C5" w:rsidRDefault="00724275">
            <w:pPr>
              <w:keepNext/>
              <w:jc w:val="center"/>
              <w:cnfStyle w:val="000000000000" w:firstRow="0" w:lastRow="0" w:firstColumn="0" w:lastColumn="0" w:oddVBand="0" w:evenVBand="0" w:oddHBand="0" w:evenHBand="0" w:firstRowFirstColumn="0" w:firstRowLastColumn="0" w:lastRowFirstColumn="0" w:lastRowLastColumn="0"/>
              <w:rPr>
                <w:iCs/>
                <w:noProof/>
                <w:sz w:val="16"/>
                <w:szCs w:val="16"/>
                <w:lang w:val="en-US" w:eastAsia="it-IT"/>
              </w:rPr>
            </w:pPr>
            <w:r>
              <w:rPr>
                <w:iCs/>
                <w:noProof/>
                <w:sz w:val="16"/>
                <w:szCs w:val="16"/>
                <w:lang w:val="en-US" w:eastAsia="it-IT"/>
              </w:rPr>
              <w:t>a week</w:t>
            </w:r>
          </w:p>
        </w:tc>
        <w:tc>
          <w:tcPr>
            <w:tcW w:w="1260" w:type="dxa"/>
          </w:tcPr>
          <w:p w:rsidR="00AB50C5" w:rsidRDefault="00724275">
            <w:pPr>
              <w:keepNext/>
              <w:jc w:val="center"/>
              <w:cnfStyle w:val="000000000000" w:firstRow="0" w:lastRow="0" w:firstColumn="0" w:lastColumn="0" w:oddVBand="0" w:evenVBand="0" w:oddHBand="0" w:evenHBand="0" w:firstRowFirstColumn="0" w:firstRowLastColumn="0" w:lastRowFirstColumn="0" w:lastRowLastColumn="0"/>
              <w:rPr>
                <w:iCs/>
                <w:noProof/>
                <w:sz w:val="16"/>
                <w:szCs w:val="16"/>
                <w:lang w:val="en-US" w:eastAsia="it-IT"/>
              </w:rPr>
            </w:pPr>
            <w:r>
              <w:rPr>
                <w:iCs/>
                <w:noProof/>
                <w:sz w:val="16"/>
                <w:szCs w:val="16"/>
                <w:lang w:val="en-US" w:eastAsia="it-IT"/>
              </w:rPr>
              <w:t xml:space="preserve">Continuous </w:t>
            </w:r>
          </w:p>
        </w:tc>
        <w:tc>
          <w:tcPr>
            <w:tcW w:w="1350" w:type="dxa"/>
            <w:vMerge w:val="restart"/>
          </w:tcPr>
          <w:p w:rsidR="00AB50C5" w:rsidRDefault="00724275">
            <w:pPr>
              <w:keepNext/>
              <w:jc w:val="center"/>
              <w:cnfStyle w:val="000000000000" w:firstRow="0" w:lastRow="0" w:firstColumn="0" w:lastColumn="0" w:oddVBand="0" w:evenVBand="0" w:oddHBand="0" w:evenHBand="0" w:firstRowFirstColumn="0" w:firstRowLastColumn="0" w:lastRowFirstColumn="0" w:lastRowLastColumn="0"/>
              <w:rPr>
                <w:iCs/>
                <w:noProof/>
                <w:sz w:val="16"/>
                <w:szCs w:val="16"/>
                <w:lang w:val="en-US" w:eastAsia="it-IT"/>
              </w:rPr>
            </w:pPr>
            <w:r>
              <w:rPr>
                <w:iCs/>
                <w:noProof/>
                <w:sz w:val="16"/>
                <w:szCs w:val="16"/>
                <w:lang w:val="en-US" w:eastAsia="it-IT"/>
              </w:rPr>
              <w:t xml:space="preserve">Once </w:t>
            </w:r>
          </w:p>
          <w:p w:rsidR="00AB50C5" w:rsidRDefault="00724275">
            <w:pPr>
              <w:keepNext/>
              <w:jc w:val="center"/>
              <w:cnfStyle w:val="000000000000" w:firstRow="0" w:lastRow="0" w:firstColumn="0" w:lastColumn="0" w:oddVBand="0" w:evenVBand="0" w:oddHBand="0" w:evenHBand="0" w:firstRowFirstColumn="0" w:firstRowLastColumn="0" w:lastRowFirstColumn="0" w:lastRowLastColumn="0"/>
              <w:rPr>
                <w:iCs/>
                <w:noProof/>
                <w:sz w:val="16"/>
                <w:szCs w:val="16"/>
                <w:lang w:val="en-US" w:eastAsia="it-IT"/>
              </w:rPr>
            </w:pPr>
            <w:r>
              <w:rPr>
                <w:iCs/>
                <w:noProof/>
                <w:sz w:val="16"/>
                <w:szCs w:val="16"/>
                <w:lang w:val="en-US" w:eastAsia="it-IT"/>
              </w:rPr>
              <w:t>a week</w:t>
            </w:r>
          </w:p>
        </w:tc>
        <w:tc>
          <w:tcPr>
            <w:tcW w:w="1260" w:type="dxa"/>
            <w:vMerge w:val="restart"/>
          </w:tcPr>
          <w:p w:rsidR="00AB50C5" w:rsidRDefault="00724275">
            <w:pPr>
              <w:keepNext/>
              <w:jc w:val="center"/>
              <w:cnfStyle w:val="000000000000" w:firstRow="0" w:lastRow="0" w:firstColumn="0" w:lastColumn="0" w:oddVBand="0" w:evenVBand="0" w:oddHBand="0" w:evenHBand="0" w:firstRowFirstColumn="0" w:firstRowLastColumn="0" w:lastRowFirstColumn="0" w:lastRowLastColumn="0"/>
              <w:rPr>
                <w:iCs/>
                <w:noProof/>
                <w:sz w:val="16"/>
                <w:szCs w:val="16"/>
                <w:lang w:val="en-US" w:eastAsia="it-IT"/>
              </w:rPr>
            </w:pPr>
            <w:r>
              <w:rPr>
                <w:iCs/>
                <w:noProof/>
                <w:sz w:val="16"/>
                <w:szCs w:val="16"/>
                <w:lang w:val="en-US" w:eastAsia="it-IT"/>
              </w:rPr>
              <w:t>Twice a month or frequency determined according to the number of eggs in wastewater.</w:t>
            </w:r>
          </w:p>
        </w:tc>
      </w:tr>
      <w:tr w:rsidR="00AB50C5" w:rsidTr="00AB50C5">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1435" w:type="dxa"/>
            <w:shd w:val="clear" w:color="auto" w:fill="auto"/>
          </w:tcPr>
          <w:p w:rsidR="00AB50C5" w:rsidRDefault="00724275">
            <w:pPr>
              <w:rPr>
                <w:noProof/>
                <w:sz w:val="16"/>
                <w:szCs w:val="16"/>
                <w:lang w:eastAsia="it-IT"/>
              </w:rPr>
            </w:pPr>
            <w:r>
              <w:rPr>
                <w:noProof/>
                <w:sz w:val="16"/>
                <w:szCs w:val="16"/>
                <w:lang w:val="en-US" w:eastAsia="it-IT"/>
              </w:rPr>
              <w:t>Class B</w:t>
            </w:r>
          </w:p>
        </w:tc>
        <w:tc>
          <w:tcPr>
            <w:tcW w:w="1345" w:type="dxa"/>
            <w:shd w:val="clear" w:color="auto" w:fill="auto"/>
          </w:tcPr>
          <w:p w:rsidR="00AB50C5" w:rsidRDefault="00724275">
            <w:pPr>
              <w:keepNext/>
              <w:jc w:val="center"/>
              <w:cnfStyle w:val="000000100000" w:firstRow="0" w:lastRow="0" w:firstColumn="0" w:lastColumn="0" w:oddVBand="0" w:evenVBand="0" w:oddHBand="1" w:evenHBand="0" w:firstRowFirstColumn="0" w:firstRowLastColumn="0" w:lastRowFirstColumn="0" w:lastRowLastColumn="0"/>
              <w:rPr>
                <w:iCs/>
                <w:noProof/>
                <w:sz w:val="16"/>
                <w:szCs w:val="16"/>
                <w:lang w:val="en-US" w:eastAsia="it-IT"/>
              </w:rPr>
            </w:pPr>
            <w:r>
              <w:rPr>
                <w:iCs/>
                <w:noProof/>
                <w:sz w:val="16"/>
                <w:szCs w:val="16"/>
                <w:lang w:val="en-US" w:eastAsia="it-IT"/>
              </w:rPr>
              <w:t xml:space="preserve">Once </w:t>
            </w:r>
          </w:p>
          <w:p w:rsidR="00AB50C5" w:rsidRDefault="00724275">
            <w:pPr>
              <w:keepNext/>
              <w:jc w:val="center"/>
              <w:cnfStyle w:val="000000100000" w:firstRow="0" w:lastRow="0" w:firstColumn="0" w:lastColumn="0" w:oddVBand="0" w:evenVBand="0" w:oddHBand="1" w:evenHBand="0" w:firstRowFirstColumn="0" w:firstRowLastColumn="0" w:lastRowFirstColumn="0" w:lastRowLastColumn="0"/>
              <w:rPr>
                <w:iCs/>
                <w:noProof/>
                <w:sz w:val="16"/>
                <w:szCs w:val="16"/>
                <w:lang w:val="en-US" w:eastAsia="it-IT"/>
              </w:rPr>
            </w:pPr>
            <w:r>
              <w:rPr>
                <w:iCs/>
                <w:noProof/>
                <w:sz w:val="16"/>
                <w:szCs w:val="16"/>
                <w:lang w:val="en-US" w:eastAsia="it-IT"/>
              </w:rPr>
              <w:t>a week</w:t>
            </w:r>
          </w:p>
        </w:tc>
        <w:tc>
          <w:tcPr>
            <w:tcW w:w="1443" w:type="dxa"/>
            <w:shd w:val="clear" w:color="auto" w:fill="auto"/>
          </w:tcPr>
          <w:p w:rsidR="00AB50C5" w:rsidRDefault="00724275">
            <w:pPr>
              <w:keepNext/>
              <w:jc w:val="center"/>
              <w:cnfStyle w:val="000000100000" w:firstRow="0" w:lastRow="0" w:firstColumn="0" w:lastColumn="0" w:oddVBand="0" w:evenVBand="0" w:oddHBand="1" w:evenHBand="0" w:firstRowFirstColumn="0" w:firstRowLastColumn="0" w:lastRowFirstColumn="0" w:lastRowLastColumn="0"/>
              <w:rPr>
                <w:iCs/>
                <w:noProof/>
                <w:sz w:val="16"/>
                <w:szCs w:val="16"/>
                <w:lang w:val="en-US" w:eastAsia="it-IT"/>
              </w:rPr>
            </w:pPr>
            <w:r>
              <w:rPr>
                <w:noProof/>
                <w:sz w:val="16"/>
                <w:szCs w:val="16"/>
                <w:lang w:val="en-US" w:eastAsia="it-IT"/>
              </w:rPr>
              <w:t>According to Directive 91/271/EEC</w:t>
            </w:r>
          </w:p>
          <w:p w:rsidR="00AB50C5" w:rsidRDefault="00AB50C5">
            <w:pPr>
              <w:keepNext/>
              <w:jc w:val="center"/>
              <w:cnfStyle w:val="000000100000" w:firstRow="0" w:lastRow="0" w:firstColumn="0" w:lastColumn="0" w:oddVBand="0" w:evenVBand="0" w:oddHBand="1" w:evenHBand="0" w:firstRowFirstColumn="0" w:firstRowLastColumn="0" w:lastRowFirstColumn="0" w:lastRowLastColumn="0"/>
              <w:rPr>
                <w:iCs/>
                <w:noProof/>
                <w:sz w:val="16"/>
                <w:szCs w:val="16"/>
                <w:lang w:val="en-US" w:eastAsia="it-IT"/>
              </w:rPr>
            </w:pPr>
          </w:p>
        </w:tc>
        <w:tc>
          <w:tcPr>
            <w:tcW w:w="1352" w:type="dxa"/>
            <w:shd w:val="clear" w:color="auto" w:fill="auto"/>
          </w:tcPr>
          <w:p w:rsidR="00AB50C5" w:rsidRDefault="00724275">
            <w:pPr>
              <w:keepNext/>
              <w:jc w:val="center"/>
              <w:cnfStyle w:val="000000100000" w:firstRow="0" w:lastRow="0" w:firstColumn="0" w:lastColumn="0" w:oddVBand="0" w:evenVBand="0" w:oddHBand="1" w:evenHBand="0" w:firstRowFirstColumn="0" w:firstRowLastColumn="0" w:lastRowFirstColumn="0" w:lastRowLastColumn="0"/>
              <w:rPr>
                <w:iCs/>
                <w:noProof/>
                <w:sz w:val="16"/>
                <w:szCs w:val="16"/>
                <w:lang w:val="en-US" w:eastAsia="it-IT"/>
              </w:rPr>
            </w:pPr>
            <w:r>
              <w:rPr>
                <w:noProof/>
                <w:sz w:val="16"/>
                <w:szCs w:val="16"/>
                <w:lang w:val="en-US" w:eastAsia="it-IT"/>
              </w:rPr>
              <w:t>According to Directive 91/271/EEC</w:t>
            </w:r>
          </w:p>
          <w:p w:rsidR="00AB50C5" w:rsidRDefault="00AB50C5">
            <w:pPr>
              <w:keepNext/>
              <w:jc w:val="center"/>
              <w:cnfStyle w:val="000000100000" w:firstRow="0" w:lastRow="0" w:firstColumn="0" w:lastColumn="0" w:oddVBand="0" w:evenVBand="0" w:oddHBand="1" w:evenHBand="0" w:firstRowFirstColumn="0" w:firstRowLastColumn="0" w:lastRowFirstColumn="0" w:lastRowLastColumn="0"/>
              <w:rPr>
                <w:iCs/>
                <w:noProof/>
                <w:sz w:val="16"/>
                <w:szCs w:val="16"/>
                <w:lang w:val="en-US" w:eastAsia="it-IT"/>
              </w:rPr>
            </w:pPr>
          </w:p>
        </w:tc>
        <w:tc>
          <w:tcPr>
            <w:tcW w:w="1260" w:type="dxa"/>
            <w:shd w:val="clear" w:color="auto" w:fill="auto"/>
          </w:tcPr>
          <w:p w:rsidR="00AB50C5" w:rsidRDefault="00724275">
            <w:pPr>
              <w:keepNext/>
              <w:jc w:val="center"/>
              <w:cnfStyle w:val="000000100000" w:firstRow="0" w:lastRow="0" w:firstColumn="0" w:lastColumn="0" w:oddVBand="0" w:evenVBand="0" w:oddHBand="1" w:evenHBand="0" w:firstRowFirstColumn="0" w:firstRowLastColumn="0" w:lastRowFirstColumn="0" w:lastRowLastColumn="0"/>
              <w:rPr>
                <w:iCs/>
                <w:noProof/>
                <w:sz w:val="16"/>
                <w:szCs w:val="16"/>
                <w:lang w:val="en-US" w:eastAsia="it-IT"/>
              </w:rPr>
            </w:pPr>
            <w:r>
              <w:rPr>
                <w:iCs/>
                <w:noProof/>
                <w:sz w:val="16"/>
                <w:szCs w:val="16"/>
                <w:lang w:val="en-US" w:eastAsia="it-IT"/>
              </w:rPr>
              <w:t>-</w:t>
            </w:r>
          </w:p>
        </w:tc>
        <w:tc>
          <w:tcPr>
            <w:tcW w:w="1350" w:type="dxa"/>
            <w:vMerge/>
          </w:tcPr>
          <w:p w:rsidR="00AB50C5" w:rsidRDefault="00AB50C5">
            <w:pPr>
              <w:keepNext/>
              <w:jc w:val="center"/>
              <w:cnfStyle w:val="000000100000" w:firstRow="0" w:lastRow="0" w:firstColumn="0" w:lastColumn="0" w:oddVBand="0" w:evenVBand="0" w:oddHBand="1" w:evenHBand="0" w:firstRowFirstColumn="0" w:firstRowLastColumn="0" w:lastRowFirstColumn="0" w:lastRowLastColumn="0"/>
              <w:rPr>
                <w:iCs/>
                <w:noProof/>
                <w:sz w:val="16"/>
                <w:szCs w:val="16"/>
                <w:lang w:val="en-US" w:eastAsia="it-IT"/>
              </w:rPr>
            </w:pPr>
          </w:p>
        </w:tc>
        <w:tc>
          <w:tcPr>
            <w:tcW w:w="1260" w:type="dxa"/>
            <w:vMerge/>
          </w:tcPr>
          <w:p w:rsidR="00AB50C5" w:rsidRDefault="00AB50C5">
            <w:pPr>
              <w:keepNext/>
              <w:jc w:val="center"/>
              <w:cnfStyle w:val="000000100000" w:firstRow="0" w:lastRow="0" w:firstColumn="0" w:lastColumn="0" w:oddVBand="0" w:evenVBand="0" w:oddHBand="1" w:evenHBand="0" w:firstRowFirstColumn="0" w:firstRowLastColumn="0" w:lastRowFirstColumn="0" w:lastRowLastColumn="0"/>
              <w:rPr>
                <w:iCs/>
                <w:noProof/>
                <w:sz w:val="16"/>
                <w:szCs w:val="16"/>
                <w:lang w:val="en-US" w:eastAsia="it-IT"/>
              </w:rPr>
            </w:pPr>
          </w:p>
        </w:tc>
      </w:tr>
      <w:tr w:rsidR="00AB50C5" w:rsidTr="00AB50C5">
        <w:trPr>
          <w:trHeight w:val="451"/>
        </w:trPr>
        <w:tc>
          <w:tcPr>
            <w:cnfStyle w:val="001000000000" w:firstRow="0" w:lastRow="0" w:firstColumn="1" w:lastColumn="0" w:oddVBand="0" w:evenVBand="0" w:oddHBand="0" w:evenHBand="0" w:firstRowFirstColumn="0" w:firstRowLastColumn="0" w:lastRowFirstColumn="0" w:lastRowLastColumn="0"/>
            <w:tcW w:w="1435" w:type="dxa"/>
          </w:tcPr>
          <w:p w:rsidR="00AB50C5" w:rsidRDefault="00724275">
            <w:pPr>
              <w:rPr>
                <w:noProof/>
                <w:sz w:val="16"/>
                <w:szCs w:val="16"/>
                <w:lang w:eastAsia="it-IT"/>
              </w:rPr>
            </w:pPr>
            <w:r>
              <w:rPr>
                <w:noProof/>
                <w:sz w:val="16"/>
                <w:szCs w:val="16"/>
                <w:lang w:eastAsia="it-IT"/>
              </w:rPr>
              <w:t>Class C</w:t>
            </w:r>
          </w:p>
        </w:tc>
        <w:tc>
          <w:tcPr>
            <w:tcW w:w="1345" w:type="dxa"/>
          </w:tcPr>
          <w:p w:rsidR="00AB50C5" w:rsidRDefault="00724275">
            <w:pPr>
              <w:keepNext/>
              <w:jc w:val="center"/>
              <w:cnfStyle w:val="000000000000" w:firstRow="0" w:lastRow="0" w:firstColumn="0" w:lastColumn="0" w:oddVBand="0" w:evenVBand="0" w:oddHBand="0" w:evenHBand="0" w:firstRowFirstColumn="0" w:firstRowLastColumn="0" w:lastRowFirstColumn="0" w:lastRowLastColumn="0"/>
              <w:rPr>
                <w:iCs/>
                <w:noProof/>
                <w:sz w:val="16"/>
                <w:szCs w:val="16"/>
                <w:lang w:val="en-US" w:eastAsia="it-IT"/>
              </w:rPr>
            </w:pPr>
            <w:r>
              <w:rPr>
                <w:iCs/>
                <w:noProof/>
                <w:sz w:val="16"/>
                <w:szCs w:val="16"/>
                <w:lang w:val="en-US" w:eastAsia="it-IT"/>
              </w:rPr>
              <w:t>Twice a month</w:t>
            </w:r>
          </w:p>
          <w:p w:rsidR="00AB50C5" w:rsidRDefault="00AB50C5">
            <w:pPr>
              <w:keepNext/>
              <w:jc w:val="center"/>
              <w:cnfStyle w:val="000000000000" w:firstRow="0" w:lastRow="0" w:firstColumn="0" w:lastColumn="0" w:oddVBand="0" w:evenVBand="0" w:oddHBand="0" w:evenHBand="0" w:firstRowFirstColumn="0" w:firstRowLastColumn="0" w:lastRowFirstColumn="0" w:lastRowLastColumn="0"/>
              <w:rPr>
                <w:iCs/>
                <w:noProof/>
                <w:sz w:val="16"/>
                <w:szCs w:val="16"/>
                <w:lang w:val="en-US" w:eastAsia="it-IT"/>
              </w:rPr>
            </w:pPr>
          </w:p>
        </w:tc>
        <w:tc>
          <w:tcPr>
            <w:tcW w:w="1443" w:type="dxa"/>
          </w:tcPr>
          <w:p w:rsidR="00AB50C5" w:rsidRDefault="00724275">
            <w:pPr>
              <w:keepNext/>
              <w:jc w:val="center"/>
              <w:cnfStyle w:val="000000000000" w:firstRow="0" w:lastRow="0" w:firstColumn="0" w:lastColumn="0" w:oddVBand="0" w:evenVBand="0" w:oddHBand="0" w:evenHBand="0" w:firstRowFirstColumn="0" w:firstRowLastColumn="0" w:lastRowFirstColumn="0" w:lastRowLastColumn="0"/>
              <w:rPr>
                <w:iCs/>
                <w:noProof/>
                <w:sz w:val="16"/>
                <w:szCs w:val="16"/>
                <w:lang w:val="en-US" w:eastAsia="it-IT"/>
              </w:rPr>
            </w:pPr>
            <w:r>
              <w:rPr>
                <w:noProof/>
                <w:sz w:val="16"/>
                <w:szCs w:val="16"/>
                <w:lang w:val="en-US" w:eastAsia="it-IT"/>
              </w:rPr>
              <w:t>According to Directive 91/271/EEC</w:t>
            </w:r>
          </w:p>
          <w:p w:rsidR="00AB50C5" w:rsidRDefault="00AB50C5">
            <w:pPr>
              <w:keepNext/>
              <w:jc w:val="center"/>
              <w:cnfStyle w:val="000000000000" w:firstRow="0" w:lastRow="0" w:firstColumn="0" w:lastColumn="0" w:oddVBand="0" w:evenVBand="0" w:oddHBand="0" w:evenHBand="0" w:firstRowFirstColumn="0" w:firstRowLastColumn="0" w:lastRowFirstColumn="0" w:lastRowLastColumn="0"/>
              <w:rPr>
                <w:iCs/>
                <w:noProof/>
                <w:sz w:val="16"/>
                <w:szCs w:val="16"/>
                <w:lang w:val="en-US" w:eastAsia="it-IT"/>
              </w:rPr>
            </w:pPr>
          </w:p>
        </w:tc>
        <w:tc>
          <w:tcPr>
            <w:tcW w:w="1352" w:type="dxa"/>
          </w:tcPr>
          <w:p w:rsidR="00AB50C5" w:rsidRDefault="00724275">
            <w:pPr>
              <w:keepNext/>
              <w:jc w:val="center"/>
              <w:cnfStyle w:val="000000000000" w:firstRow="0" w:lastRow="0" w:firstColumn="0" w:lastColumn="0" w:oddVBand="0" w:evenVBand="0" w:oddHBand="0" w:evenHBand="0" w:firstRowFirstColumn="0" w:firstRowLastColumn="0" w:lastRowFirstColumn="0" w:lastRowLastColumn="0"/>
              <w:rPr>
                <w:iCs/>
                <w:noProof/>
                <w:sz w:val="16"/>
                <w:szCs w:val="16"/>
                <w:lang w:val="en-US" w:eastAsia="it-IT"/>
              </w:rPr>
            </w:pPr>
            <w:r>
              <w:rPr>
                <w:noProof/>
                <w:sz w:val="16"/>
                <w:szCs w:val="16"/>
                <w:lang w:val="en-US" w:eastAsia="it-IT"/>
              </w:rPr>
              <w:t>According to Directive 91/271/EEC</w:t>
            </w:r>
            <w:r>
              <w:rPr>
                <w:iCs/>
                <w:noProof/>
                <w:sz w:val="16"/>
                <w:szCs w:val="16"/>
                <w:lang w:val="en-US" w:eastAsia="it-IT"/>
              </w:rPr>
              <w:t xml:space="preserve"> </w:t>
            </w:r>
          </w:p>
        </w:tc>
        <w:tc>
          <w:tcPr>
            <w:tcW w:w="1260" w:type="dxa"/>
          </w:tcPr>
          <w:p w:rsidR="00AB50C5" w:rsidRDefault="00724275">
            <w:pPr>
              <w:keepNext/>
              <w:jc w:val="center"/>
              <w:cnfStyle w:val="000000000000" w:firstRow="0" w:lastRow="0" w:firstColumn="0" w:lastColumn="0" w:oddVBand="0" w:evenVBand="0" w:oddHBand="0" w:evenHBand="0" w:firstRowFirstColumn="0" w:firstRowLastColumn="0" w:lastRowFirstColumn="0" w:lastRowLastColumn="0"/>
              <w:rPr>
                <w:iCs/>
                <w:noProof/>
                <w:sz w:val="16"/>
                <w:szCs w:val="16"/>
                <w:lang w:val="en-US" w:eastAsia="it-IT"/>
              </w:rPr>
            </w:pPr>
            <w:r>
              <w:rPr>
                <w:iCs/>
                <w:noProof/>
                <w:sz w:val="16"/>
                <w:szCs w:val="16"/>
                <w:lang w:val="en-US" w:eastAsia="it-IT"/>
              </w:rPr>
              <w:t>-</w:t>
            </w:r>
          </w:p>
        </w:tc>
        <w:tc>
          <w:tcPr>
            <w:tcW w:w="1350" w:type="dxa"/>
            <w:vMerge/>
          </w:tcPr>
          <w:p w:rsidR="00AB50C5" w:rsidRDefault="00AB50C5">
            <w:pPr>
              <w:keepNext/>
              <w:jc w:val="center"/>
              <w:cnfStyle w:val="000000000000" w:firstRow="0" w:lastRow="0" w:firstColumn="0" w:lastColumn="0" w:oddVBand="0" w:evenVBand="0" w:oddHBand="0" w:evenHBand="0" w:firstRowFirstColumn="0" w:firstRowLastColumn="0" w:lastRowFirstColumn="0" w:lastRowLastColumn="0"/>
              <w:rPr>
                <w:iCs/>
                <w:noProof/>
                <w:sz w:val="16"/>
                <w:szCs w:val="16"/>
                <w:lang w:val="en-US" w:eastAsia="it-IT"/>
              </w:rPr>
            </w:pPr>
          </w:p>
        </w:tc>
        <w:tc>
          <w:tcPr>
            <w:tcW w:w="1260" w:type="dxa"/>
            <w:vMerge/>
          </w:tcPr>
          <w:p w:rsidR="00AB50C5" w:rsidRDefault="00AB50C5">
            <w:pPr>
              <w:keepNext/>
              <w:jc w:val="center"/>
              <w:cnfStyle w:val="000000000000" w:firstRow="0" w:lastRow="0" w:firstColumn="0" w:lastColumn="0" w:oddVBand="0" w:evenVBand="0" w:oddHBand="0" w:evenHBand="0" w:firstRowFirstColumn="0" w:firstRowLastColumn="0" w:lastRowFirstColumn="0" w:lastRowLastColumn="0"/>
              <w:rPr>
                <w:iCs/>
                <w:noProof/>
                <w:sz w:val="16"/>
                <w:szCs w:val="16"/>
                <w:lang w:val="en-US" w:eastAsia="it-IT"/>
              </w:rPr>
            </w:pPr>
          </w:p>
        </w:tc>
      </w:tr>
      <w:tr w:rsidR="00AB50C5" w:rsidTr="00AB50C5">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1435" w:type="dxa"/>
            <w:shd w:val="clear" w:color="auto" w:fill="auto"/>
          </w:tcPr>
          <w:p w:rsidR="00AB50C5" w:rsidRDefault="00724275">
            <w:pPr>
              <w:rPr>
                <w:noProof/>
                <w:sz w:val="16"/>
                <w:szCs w:val="16"/>
                <w:lang w:eastAsia="it-IT"/>
              </w:rPr>
            </w:pPr>
            <w:r>
              <w:rPr>
                <w:noProof/>
                <w:sz w:val="16"/>
                <w:szCs w:val="16"/>
                <w:lang w:eastAsia="it-IT"/>
              </w:rPr>
              <w:t xml:space="preserve">Class D </w:t>
            </w:r>
          </w:p>
        </w:tc>
        <w:tc>
          <w:tcPr>
            <w:tcW w:w="1345" w:type="dxa"/>
            <w:shd w:val="clear" w:color="auto" w:fill="auto"/>
          </w:tcPr>
          <w:p w:rsidR="00AB50C5" w:rsidRDefault="00724275">
            <w:pPr>
              <w:keepNext/>
              <w:jc w:val="center"/>
              <w:cnfStyle w:val="000000100000" w:firstRow="0" w:lastRow="0" w:firstColumn="0" w:lastColumn="0" w:oddVBand="0" w:evenVBand="0" w:oddHBand="1" w:evenHBand="0" w:firstRowFirstColumn="0" w:firstRowLastColumn="0" w:lastRowFirstColumn="0" w:lastRowLastColumn="0"/>
              <w:rPr>
                <w:iCs/>
                <w:noProof/>
                <w:sz w:val="16"/>
                <w:szCs w:val="16"/>
                <w:lang w:val="en-US" w:eastAsia="it-IT"/>
              </w:rPr>
            </w:pPr>
            <w:r>
              <w:rPr>
                <w:iCs/>
                <w:noProof/>
                <w:sz w:val="16"/>
                <w:szCs w:val="16"/>
                <w:lang w:val="en-US" w:eastAsia="it-IT"/>
              </w:rPr>
              <w:t>Twice a month</w:t>
            </w:r>
          </w:p>
          <w:p w:rsidR="00AB50C5" w:rsidRDefault="00AB50C5">
            <w:pPr>
              <w:keepNext/>
              <w:jc w:val="center"/>
              <w:cnfStyle w:val="000000100000" w:firstRow="0" w:lastRow="0" w:firstColumn="0" w:lastColumn="0" w:oddVBand="0" w:evenVBand="0" w:oddHBand="1" w:evenHBand="0" w:firstRowFirstColumn="0" w:firstRowLastColumn="0" w:lastRowFirstColumn="0" w:lastRowLastColumn="0"/>
              <w:rPr>
                <w:iCs/>
                <w:noProof/>
                <w:sz w:val="16"/>
                <w:szCs w:val="16"/>
                <w:lang w:val="en-US" w:eastAsia="it-IT"/>
              </w:rPr>
            </w:pPr>
          </w:p>
        </w:tc>
        <w:tc>
          <w:tcPr>
            <w:tcW w:w="1443" w:type="dxa"/>
            <w:shd w:val="clear" w:color="auto" w:fill="auto"/>
          </w:tcPr>
          <w:p w:rsidR="00AB50C5" w:rsidRDefault="00724275">
            <w:pPr>
              <w:keepNext/>
              <w:jc w:val="center"/>
              <w:cnfStyle w:val="000000100000" w:firstRow="0" w:lastRow="0" w:firstColumn="0" w:lastColumn="0" w:oddVBand="0" w:evenVBand="0" w:oddHBand="1" w:evenHBand="0" w:firstRowFirstColumn="0" w:firstRowLastColumn="0" w:lastRowFirstColumn="0" w:lastRowLastColumn="0"/>
              <w:rPr>
                <w:iCs/>
                <w:noProof/>
                <w:sz w:val="16"/>
                <w:szCs w:val="16"/>
                <w:lang w:val="en-US" w:eastAsia="it-IT"/>
              </w:rPr>
            </w:pPr>
            <w:r>
              <w:rPr>
                <w:noProof/>
                <w:sz w:val="16"/>
                <w:szCs w:val="16"/>
                <w:lang w:val="en-US" w:eastAsia="it-IT"/>
              </w:rPr>
              <w:t>According to Directive 91/271/EEC</w:t>
            </w:r>
          </w:p>
          <w:p w:rsidR="00AB50C5" w:rsidRDefault="00AB50C5">
            <w:pPr>
              <w:keepNext/>
              <w:jc w:val="center"/>
              <w:cnfStyle w:val="000000100000" w:firstRow="0" w:lastRow="0" w:firstColumn="0" w:lastColumn="0" w:oddVBand="0" w:evenVBand="0" w:oddHBand="1" w:evenHBand="0" w:firstRowFirstColumn="0" w:firstRowLastColumn="0" w:lastRowFirstColumn="0" w:lastRowLastColumn="0"/>
              <w:rPr>
                <w:iCs/>
                <w:noProof/>
                <w:sz w:val="16"/>
                <w:szCs w:val="16"/>
                <w:lang w:val="en-US" w:eastAsia="it-IT"/>
              </w:rPr>
            </w:pPr>
          </w:p>
        </w:tc>
        <w:tc>
          <w:tcPr>
            <w:tcW w:w="1352" w:type="dxa"/>
            <w:shd w:val="clear" w:color="auto" w:fill="auto"/>
          </w:tcPr>
          <w:p w:rsidR="00AB50C5" w:rsidRDefault="00724275">
            <w:pPr>
              <w:keepNext/>
              <w:jc w:val="center"/>
              <w:cnfStyle w:val="000000100000" w:firstRow="0" w:lastRow="0" w:firstColumn="0" w:lastColumn="0" w:oddVBand="0" w:evenVBand="0" w:oddHBand="1" w:evenHBand="0" w:firstRowFirstColumn="0" w:firstRowLastColumn="0" w:lastRowFirstColumn="0" w:lastRowLastColumn="0"/>
              <w:rPr>
                <w:iCs/>
                <w:noProof/>
                <w:sz w:val="16"/>
                <w:szCs w:val="16"/>
                <w:lang w:val="en-US" w:eastAsia="it-IT"/>
              </w:rPr>
            </w:pPr>
            <w:r>
              <w:rPr>
                <w:noProof/>
                <w:sz w:val="16"/>
                <w:szCs w:val="16"/>
                <w:lang w:val="en-US" w:eastAsia="it-IT"/>
              </w:rPr>
              <w:t>According to Directive 91/271/EEC</w:t>
            </w:r>
          </w:p>
          <w:p w:rsidR="00AB50C5" w:rsidRDefault="00AB50C5">
            <w:pPr>
              <w:keepNext/>
              <w:jc w:val="center"/>
              <w:cnfStyle w:val="000000100000" w:firstRow="0" w:lastRow="0" w:firstColumn="0" w:lastColumn="0" w:oddVBand="0" w:evenVBand="0" w:oddHBand="1" w:evenHBand="0" w:firstRowFirstColumn="0" w:firstRowLastColumn="0" w:lastRowFirstColumn="0" w:lastRowLastColumn="0"/>
              <w:rPr>
                <w:iCs/>
                <w:noProof/>
                <w:sz w:val="16"/>
                <w:szCs w:val="16"/>
                <w:lang w:val="en-US" w:eastAsia="it-IT"/>
              </w:rPr>
            </w:pPr>
          </w:p>
        </w:tc>
        <w:tc>
          <w:tcPr>
            <w:tcW w:w="1260" w:type="dxa"/>
            <w:shd w:val="clear" w:color="auto" w:fill="auto"/>
          </w:tcPr>
          <w:p w:rsidR="00AB50C5" w:rsidRDefault="00724275">
            <w:pPr>
              <w:keepNext/>
              <w:jc w:val="center"/>
              <w:cnfStyle w:val="000000100000" w:firstRow="0" w:lastRow="0" w:firstColumn="0" w:lastColumn="0" w:oddVBand="0" w:evenVBand="0" w:oddHBand="1" w:evenHBand="0" w:firstRowFirstColumn="0" w:firstRowLastColumn="0" w:lastRowFirstColumn="0" w:lastRowLastColumn="0"/>
              <w:rPr>
                <w:iCs/>
                <w:noProof/>
                <w:sz w:val="16"/>
                <w:szCs w:val="16"/>
                <w:lang w:val="en-US" w:eastAsia="it-IT"/>
              </w:rPr>
            </w:pPr>
            <w:r>
              <w:rPr>
                <w:iCs/>
                <w:noProof/>
                <w:sz w:val="16"/>
                <w:szCs w:val="16"/>
                <w:lang w:val="en-US" w:eastAsia="it-IT"/>
              </w:rPr>
              <w:t>-</w:t>
            </w:r>
          </w:p>
        </w:tc>
        <w:tc>
          <w:tcPr>
            <w:tcW w:w="1350" w:type="dxa"/>
            <w:vMerge/>
          </w:tcPr>
          <w:p w:rsidR="00AB50C5" w:rsidRDefault="00AB50C5">
            <w:pPr>
              <w:keepNext/>
              <w:cnfStyle w:val="000000100000" w:firstRow="0" w:lastRow="0" w:firstColumn="0" w:lastColumn="0" w:oddVBand="0" w:evenVBand="0" w:oddHBand="1" w:evenHBand="0" w:firstRowFirstColumn="0" w:firstRowLastColumn="0" w:lastRowFirstColumn="0" w:lastRowLastColumn="0"/>
              <w:rPr>
                <w:iCs/>
                <w:noProof/>
                <w:sz w:val="16"/>
                <w:szCs w:val="16"/>
                <w:lang w:val="en-US" w:eastAsia="it-IT"/>
              </w:rPr>
            </w:pPr>
          </w:p>
        </w:tc>
        <w:tc>
          <w:tcPr>
            <w:tcW w:w="1260" w:type="dxa"/>
            <w:vMerge/>
          </w:tcPr>
          <w:p w:rsidR="00AB50C5" w:rsidRDefault="00AB50C5">
            <w:pPr>
              <w:keepNext/>
              <w:cnfStyle w:val="000000100000" w:firstRow="0" w:lastRow="0" w:firstColumn="0" w:lastColumn="0" w:oddVBand="0" w:evenVBand="0" w:oddHBand="1" w:evenHBand="0" w:firstRowFirstColumn="0" w:firstRowLastColumn="0" w:lastRowFirstColumn="0" w:lastRowLastColumn="0"/>
              <w:rPr>
                <w:iCs/>
                <w:noProof/>
                <w:sz w:val="16"/>
                <w:szCs w:val="16"/>
                <w:lang w:val="en-US" w:eastAsia="it-IT"/>
              </w:rPr>
            </w:pPr>
          </w:p>
        </w:tc>
      </w:tr>
    </w:tbl>
    <w:p w:rsidR="00AB50C5" w:rsidRDefault="00724275">
      <w:pPr>
        <w:pStyle w:val="JRCText"/>
        <w:jc w:val="left"/>
        <w:rPr>
          <w:noProof/>
          <w:sz w:val="16"/>
          <w:szCs w:val="16"/>
        </w:rPr>
      </w:pPr>
      <w:r>
        <w:rPr>
          <w:i/>
          <w:noProof/>
          <w:sz w:val="16"/>
          <w:szCs w:val="16"/>
        </w:rPr>
        <w:t>Source:</w:t>
      </w:r>
      <w:r>
        <w:rPr>
          <w:noProof/>
          <w:sz w:val="16"/>
          <w:szCs w:val="16"/>
        </w:rPr>
        <w:t xml:space="preserve"> JRC analysis.</w:t>
      </w:r>
    </w:p>
    <w:p w:rsidR="00AB50C5" w:rsidRDefault="00AB50C5">
      <w:pPr>
        <w:spacing w:after="0"/>
        <w:rPr>
          <w:noProof/>
          <w:szCs w:val="20"/>
          <w:lang w:val="en-US" w:eastAsia="it-IT"/>
        </w:rPr>
      </w:pPr>
    </w:p>
    <w:p w:rsidR="00AB50C5" w:rsidRDefault="00724275">
      <w:pPr>
        <w:spacing w:after="0" w:line="240" w:lineRule="auto"/>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The reclaimed water quality criteria will be</w:t>
      </w:r>
      <w:r>
        <w:rPr>
          <w:rFonts w:ascii="Times New Roman" w:hAnsi="Times New Roman" w:cs="Times New Roman"/>
          <w:noProof/>
          <w:sz w:val="24"/>
          <w:szCs w:val="24"/>
          <w:lang w:val="en-US" w:eastAsia="it-IT"/>
        </w:rPr>
        <w:t xml:space="preserve"> considered compliant with the requirements shown in Table 2 if the analytical controls meet all of the following criteria:</w:t>
      </w:r>
    </w:p>
    <w:p w:rsidR="00AB50C5" w:rsidRDefault="00724275">
      <w:pPr>
        <w:pStyle w:val="JRCTextbulletedlist1"/>
        <w:rPr>
          <w:rFonts w:ascii="Times New Roman" w:hAnsi="Times New Roman"/>
          <w:noProof/>
          <w:sz w:val="24"/>
          <w:szCs w:val="24"/>
          <w:lang w:val="en-US"/>
        </w:rPr>
      </w:pPr>
      <w:r>
        <w:rPr>
          <w:rFonts w:ascii="Times New Roman" w:hAnsi="Times New Roman"/>
          <w:noProof/>
          <w:sz w:val="24"/>
          <w:szCs w:val="24"/>
          <w:lang w:val="en-US"/>
        </w:rPr>
        <w:t xml:space="preserve">Values for criteria of </w:t>
      </w:r>
      <w:r>
        <w:rPr>
          <w:rFonts w:ascii="Times New Roman" w:hAnsi="Times New Roman"/>
          <w:i/>
          <w:noProof/>
          <w:sz w:val="24"/>
          <w:szCs w:val="24"/>
          <w:lang w:val="en-US"/>
        </w:rPr>
        <w:t>E. coli</w:t>
      </w:r>
      <w:r>
        <w:rPr>
          <w:rFonts w:ascii="Times New Roman" w:hAnsi="Times New Roman"/>
          <w:noProof/>
          <w:sz w:val="24"/>
          <w:szCs w:val="24"/>
          <w:lang w:val="en-US"/>
        </w:rPr>
        <w:t xml:space="preserve"> and </w:t>
      </w:r>
      <w:r>
        <w:rPr>
          <w:rFonts w:ascii="Times New Roman" w:hAnsi="Times New Roman"/>
          <w:i/>
          <w:noProof/>
          <w:sz w:val="24"/>
          <w:szCs w:val="24"/>
          <w:lang w:val="en-US"/>
        </w:rPr>
        <w:t>Legionella</w:t>
      </w:r>
      <w:r>
        <w:rPr>
          <w:rFonts w:ascii="Times New Roman" w:hAnsi="Times New Roman"/>
          <w:noProof/>
          <w:sz w:val="24"/>
          <w:szCs w:val="24"/>
          <w:lang w:val="en-US"/>
        </w:rPr>
        <w:t xml:space="preserve"> and intestinal nematodes (</w:t>
      </w:r>
      <w:r>
        <w:rPr>
          <w:rFonts w:ascii="Times New Roman" w:hAnsi="Times New Roman"/>
          <w:noProof/>
          <w:sz w:val="24"/>
          <w:szCs w:val="24"/>
          <w:lang w:val="en-US"/>
        </w:rPr>
        <w:fldChar w:fldCharType="begin"/>
      </w:r>
      <w:r>
        <w:rPr>
          <w:rFonts w:ascii="Times New Roman" w:hAnsi="Times New Roman"/>
          <w:noProof/>
          <w:sz w:val="24"/>
          <w:szCs w:val="24"/>
          <w:lang w:val="en-US"/>
        </w:rPr>
        <w:instrText xml:space="preserve"> REF _Ref494113432 \h  \* MERGEFORMAT </w:instrText>
      </w:r>
      <w:r>
        <w:rPr>
          <w:rFonts w:ascii="Times New Roman" w:hAnsi="Times New Roman"/>
          <w:noProof/>
          <w:sz w:val="24"/>
          <w:szCs w:val="24"/>
          <w:lang w:val="en-US"/>
        </w:rPr>
      </w:r>
      <w:r>
        <w:rPr>
          <w:rFonts w:ascii="Times New Roman" w:hAnsi="Times New Roman"/>
          <w:noProof/>
          <w:sz w:val="24"/>
          <w:szCs w:val="24"/>
          <w:lang w:val="en-US"/>
        </w:rPr>
        <w:fldChar w:fldCharType="separate"/>
      </w:r>
      <w:r>
        <w:rPr>
          <w:rFonts w:ascii="Times New Roman" w:hAnsi="Times New Roman"/>
          <w:noProof/>
          <w:sz w:val="24"/>
          <w:szCs w:val="24"/>
        </w:rPr>
        <w:t>Table 2</w:t>
      </w:r>
      <w:r>
        <w:rPr>
          <w:rFonts w:ascii="Times New Roman" w:hAnsi="Times New Roman"/>
          <w:noProof/>
          <w:sz w:val="24"/>
          <w:szCs w:val="24"/>
          <w:lang w:val="en-US"/>
        </w:rPr>
        <w:fldChar w:fldCharType="end"/>
      </w:r>
      <w:r>
        <w:rPr>
          <w:rFonts w:ascii="Times New Roman" w:hAnsi="Times New Roman"/>
          <w:noProof/>
          <w:sz w:val="24"/>
          <w:szCs w:val="24"/>
          <w:lang w:val="en-US"/>
        </w:rPr>
        <w:t xml:space="preserve">) must be conformed at 90% of the samples. Samples cannot exceed the maximum deviation limit of 1 log unit from the indicated value for </w:t>
      </w:r>
      <w:r>
        <w:rPr>
          <w:rFonts w:ascii="Times New Roman" w:hAnsi="Times New Roman"/>
          <w:i/>
          <w:noProof/>
          <w:sz w:val="24"/>
          <w:szCs w:val="24"/>
          <w:lang w:val="en-US"/>
        </w:rPr>
        <w:t>E. coli</w:t>
      </w:r>
      <w:r>
        <w:rPr>
          <w:rFonts w:ascii="Times New Roman" w:hAnsi="Times New Roman"/>
          <w:noProof/>
          <w:sz w:val="24"/>
          <w:szCs w:val="24"/>
          <w:lang w:val="en-US"/>
        </w:rPr>
        <w:t xml:space="preserve"> and </w:t>
      </w:r>
      <w:r>
        <w:rPr>
          <w:rFonts w:ascii="Times New Roman" w:hAnsi="Times New Roman"/>
          <w:i/>
          <w:noProof/>
          <w:sz w:val="24"/>
          <w:szCs w:val="24"/>
          <w:lang w:val="en-US"/>
        </w:rPr>
        <w:t>Legionella</w:t>
      </w:r>
      <w:r>
        <w:rPr>
          <w:rFonts w:ascii="Times New Roman" w:hAnsi="Times New Roman"/>
          <w:noProof/>
          <w:sz w:val="24"/>
          <w:szCs w:val="24"/>
          <w:lang w:val="en-US"/>
        </w:rPr>
        <w:t>, and 100% of the indicated value for intestin</w:t>
      </w:r>
      <w:r>
        <w:rPr>
          <w:rFonts w:ascii="Times New Roman" w:hAnsi="Times New Roman"/>
          <w:noProof/>
          <w:sz w:val="24"/>
          <w:szCs w:val="24"/>
          <w:lang w:val="en-US"/>
        </w:rPr>
        <w:t>al nematodes.</w:t>
      </w:r>
    </w:p>
    <w:p w:rsidR="00AB50C5" w:rsidRDefault="00724275">
      <w:pPr>
        <w:pStyle w:val="JRCTextbulletedlist1"/>
        <w:rPr>
          <w:rFonts w:ascii="Times New Roman" w:hAnsi="Times New Roman"/>
          <w:noProof/>
          <w:sz w:val="24"/>
          <w:szCs w:val="24"/>
          <w:lang w:val="en-US"/>
        </w:rPr>
      </w:pPr>
      <w:r>
        <w:rPr>
          <w:rFonts w:ascii="Times New Roman" w:hAnsi="Times New Roman"/>
          <w:noProof/>
          <w:sz w:val="24"/>
          <w:szCs w:val="24"/>
          <w:lang w:val="en-US"/>
        </w:rPr>
        <w:t>Values for criteria of BOD</w:t>
      </w:r>
      <w:r>
        <w:rPr>
          <w:rFonts w:ascii="Times New Roman" w:hAnsi="Times New Roman"/>
          <w:noProof/>
          <w:sz w:val="24"/>
          <w:szCs w:val="24"/>
          <w:vertAlign w:val="subscript"/>
          <w:lang w:val="en-US"/>
        </w:rPr>
        <w:t>5</w:t>
      </w:r>
      <w:r>
        <w:rPr>
          <w:rFonts w:ascii="Times New Roman" w:hAnsi="Times New Roman"/>
          <w:noProof/>
          <w:sz w:val="24"/>
          <w:szCs w:val="24"/>
          <w:lang w:val="en-US"/>
        </w:rPr>
        <w:t>, TSS, and turbidity in Class A (</w:t>
      </w:r>
      <w:r>
        <w:rPr>
          <w:rFonts w:ascii="Times New Roman" w:hAnsi="Times New Roman"/>
          <w:noProof/>
          <w:sz w:val="24"/>
          <w:szCs w:val="24"/>
          <w:lang w:val="en-US"/>
        </w:rPr>
        <w:fldChar w:fldCharType="begin"/>
      </w:r>
      <w:r>
        <w:rPr>
          <w:rFonts w:ascii="Times New Roman" w:hAnsi="Times New Roman"/>
          <w:noProof/>
          <w:sz w:val="24"/>
          <w:szCs w:val="24"/>
          <w:lang w:val="en-US"/>
        </w:rPr>
        <w:instrText xml:space="preserve"> REF _Ref494113432 \h  \* MERGEFORMAT </w:instrText>
      </w:r>
      <w:r>
        <w:rPr>
          <w:rFonts w:ascii="Times New Roman" w:hAnsi="Times New Roman"/>
          <w:noProof/>
          <w:sz w:val="24"/>
          <w:szCs w:val="24"/>
          <w:lang w:val="en-US"/>
        </w:rPr>
      </w:r>
      <w:r>
        <w:rPr>
          <w:rFonts w:ascii="Times New Roman" w:hAnsi="Times New Roman"/>
          <w:noProof/>
          <w:sz w:val="24"/>
          <w:szCs w:val="24"/>
          <w:lang w:val="en-US"/>
        </w:rPr>
        <w:fldChar w:fldCharType="separate"/>
      </w:r>
      <w:r>
        <w:rPr>
          <w:rFonts w:ascii="Times New Roman" w:hAnsi="Times New Roman"/>
          <w:noProof/>
          <w:sz w:val="24"/>
          <w:szCs w:val="24"/>
        </w:rPr>
        <w:t>Table 2</w:t>
      </w:r>
      <w:r>
        <w:rPr>
          <w:rFonts w:ascii="Times New Roman" w:hAnsi="Times New Roman"/>
          <w:noProof/>
          <w:sz w:val="24"/>
          <w:szCs w:val="24"/>
          <w:lang w:val="en-US"/>
        </w:rPr>
        <w:fldChar w:fldCharType="end"/>
      </w:r>
      <w:r>
        <w:rPr>
          <w:rFonts w:ascii="Times New Roman" w:hAnsi="Times New Roman"/>
          <w:noProof/>
          <w:sz w:val="24"/>
          <w:szCs w:val="24"/>
          <w:lang w:val="en-US"/>
        </w:rPr>
        <w:t>) must be conformed at 90% of the samples. Samples cannot exceed the m</w:t>
      </w:r>
      <w:r>
        <w:rPr>
          <w:rFonts w:ascii="Times New Roman" w:hAnsi="Times New Roman"/>
          <w:noProof/>
          <w:sz w:val="24"/>
          <w:szCs w:val="24"/>
          <w:lang w:val="en-US"/>
        </w:rPr>
        <w:t xml:space="preserve">aximum deviation limit of twice the value defined in </w:t>
      </w:r>
      <w:r>
        <w:rPr>
          <w:rFonts w:ascii="Times New Roman" w:hAnsi="Times New Roman"/>
          <w:noProof/>
          <w:sz w:val="24"/>
          <w:szCs w:val="24"/>
          <w:lang w:val="en-US"/>
        </w:rPr>
        <w:fldChar w:fldCharType="begin"/>
      </w:r>
      <w:r>
        <w:rPr>
          <w:rFonts w:ascii="Times New Roman" w:hAnsi="Times New Roman"/>
          <w:noProof/>
          <w:sz w:val="24"/>
          <w:szCs w:val="24"/>
          <w:lang w:val="en-US"/>
        </w:rPr>
        <w:instrText xml:space="preserve"> REF _Ref494113432 \h  \* MERGEFORMAT </w:instrText>
      </w:r>
      <w:r>
        <w:rPr>
          <w:rFonts w:ascii="Times New Roman" w:hAnsi="Times New Roman"/>
          <w:noProof/>
          <w:sz w:val="24"/>
          <w:szCs w:val="24"/>
          <w:lang w:val="en-US"/>
        </w:rPr>
      </w:r>
      <w:r>
        <w:rPr>
          <w:rFonts w:ascii="Times New Roman" w:hAnsi="Times New Roman"/>
          <w:noProof/>
          <w:sz w:val="24"/>
          <w:szCs w:val="24"/>
          <w:lang w:val="en-US"/>
        </w:rPr>
        <w:fldChar w:fldCharType="separate"/>
      </w:r>
      <w:r>
        <w:rPr>
          <w:rFonts w:ascii="Times New Roman" w:hAnsi="Times New Roman"/>
          <w:noProof/>
          <w:sz w:val="24"/>
          <w:szCs w:val="24"/>
        </w:rPr>
        <w:t>Table 2</w:t>
      </w:r>
      <w:r>
        <w:rPr>
          <w:rFonts w:ascii="Times New Roman" w:hAnsi="Times New Roman"/>
          <w:noProof/>
          <w:sz w:val="24"/>
          <w:szCs w:val="24"/>
          <w:lang w:val="en-US"/>
        </w:rPr>
        <w:fldChar w:fldCharType="end"/>
      </w:r>
      <w:r>
        <w:rPr>
          <w:rFonts w:ascii="Times New Roman" w:hAnsi="Times New Roman"/>
          <w:noProof/>
          <w:sz w:val="24"/>
          <w:szCs w:val="24"/>
          <w:lang w:val="en-US"/>
        </w:rPr>
        <w:t>.</w:t>
      </w:r>
    </w:p>
    <w:p w:rsidR="00AB50C5" w:rsidRDefault="00724275">
      <w:pPr>
        <w:spacing w:after="0" w:line="240" w:lineRule="auto"/>
        <w:jc w:val="both"/>
        <w:rPr>
          <w:rFonts w:ascii="Times New Roman" w:hAnsi="Times New Roman" w:cs="Times New Roman"/>
          <w:noProof/>
          <w:sz w:val="24"/>
          <w:szCs w:val="24"/>
          <w:shd w:val="clear" w:color="auto" w:fill="FFFFFF"/>
        </w:rPr>
      </w:pPr>
      <w:r>
        <w:rPr>
          <w:rFonts w:ascii="Times New Roman" w:hAnsi="Times New Roman" w:cs="Times New Roman"/>
          <w:noProof/>
          <w:sz w:val="24"/>
          <w:szCs w:val="24"/>
          <w:lang w:val="en-US"/>
        </w:rPr>
        <w:t>Re</w:t>
      </w:r>
      <w:r>
        <w:rPr>
          <w:rFonts w:ascii="Times New Roman" w:hAnsi="Times New Roman" w:cs="Times New Roman"/>
          <w:noProof/>
          <w:sz w:val="24"/>
          <w:szCs w:val="24"/>
          <w:lang w:val="en-US" w:eastAsia="it-IT"/>
        </w:rPr>
        <w:t>claimed water must comply with the quality criteria at the outlet of the treatment plant. The reclaimed water has to follow the same procedures as for any other irrigation water source onc</w:t>
      </w:r>
      <w:r>
        <w:rPr>
          <w:rFonts w:ascii="Times New Roman" w:hAnsi="Times New Roman" w:cs="Times New Roman"/>
          <w:noProof/>
          <w:sz w:val="24"/>
          <w:szCs w:val="24"/>
          <w:lang w:val="en-US" w:eastAsia="it-IT"/>
        </w:rPr>
        <w:t>e the water is delivered to the final user. T</w:t>
      </w:r>
      <w:r>
        <w:rPr>
          <w:rFonts w:ascii="Times New Roman" w:eastAsia="MS Mincho" w:hAnsi="Times New Roman" w:cs="Times New Roman"/>
          <w:noProof/>
          <w:sz w:val="24"/>
          <w:szCs w:val="24"/>
        </w:rPr>
        <w:t>he European Commission notice on guidance document on addressing microbiological risks in fresh fruits and vegetables at primary production through good hygiene is a guidance document to be considered (</w:t>
      </w:r>
      <w:r>
        <w:rPr>
          <w:rFonts w:ascii="Times New Roman" w:hAnsi="Times New Roman" w:cs="Times New Roman"/>
          <w:noProof/>
          <w:sz w:val="24"/>
          <w:szCs w:val="24"/>
          <w:shd w:val="clear" w:color="auto" w:fill="FFFFFF"/>
          <w:lang w:val="en-US"/>
        </w:rPr>
        <w:t xml:space="preserve">Notice </w:t>
      </w:r>
      <w:r>
        <w:rPr>
          <w:rFonts w:ascii="Times New Roman" w:hAnsi="Times New Roman" w:cs="Times New Roman"/>
          <w:noProof/>
          <w:sz w:val="24"/>
          <w:szCs w:val="24"/>
          <w:shd w:val="clear" w:color="auto" w:fill="FFFFFF"/>
        </w:rPr>
        <w:t>20</w:t>
      </w:r>
      <w:r>
        <w:rPr>
          <w:rFonts w:ascii="Times New Roman" w:hAnsi="Times New Roman" w:cs="Times New Roman"/>
          <w:noProof/>
          <w:sz w:val="24"/>
          <w:szCs w:val="24"/>
          <w:shd w:val="clear" w:color="auto" w:fill="FFFFFF"/>
        </w:rPr>
        <w:t>17/C 163/01).</w:t>
      </w:r>
    </w:p>
    <w:p w:rsidR="00AB50C5" w:rsidRDefault="00AB50C5">
      <w:pPr>
        <w:spacing w:after="0" w:line="240" w:lineRule="auto"/>
        <w:jc w:val="both"/>
        <w:rPr>
          <w:rFonts w:ascii="Times New Roman" w:hAnsi="Times New Roman" w:cs="Times New Roman"/>
          <w:noProof/>
          <w:sz w:val="24"/>
          <w:szCs w:val="24"/>
          <w:highlight w:val="yellow"/>
          <w:lang w:val="en-US" w:eastAsia="it-IT"/>
        </w:rPr>
      </w:pPr>
    </w:p>
    <w:p w:rsidR="00AB50C5" w:rsidRDefault="00724275">
      <w:pPr>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MS have to perform a routine monitoring to verify that the reclaimed water effluent is complying with the requested quality criteria and to be included in the verification procedures of the water reuse system. </w:t>
      </w:r>
    </w:p>
    <w:p w:rsidR="00AB50C5" w:rsidRDefault="00AB50C5">
      <w:pPr>
        <w:spacing w:after="0" w:line="240" w:lineRule="auto"/>
        <w:jc w:val="both"/>
        <w:rPr>
          <w:rFonts w:ascii="Times New Roman" w:hAnsi="Times New Roman" w:cs="Times New Roman"/>
          <w:noProof/>
          <w:sz w:val="24"/>
          <w:szCs w:val="24"/>
          <w:lang w:val="en-US"/>
        </w:rPr>
      </w:pPr>
    </w:p>
    <w:p w:rsidR="00AB50C5" w:rsidRDefault="00724275">
      <w:pPr>
        <w:spacing w:after="0" w:line="240" w:lineRule="auto"/>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 xml:space="preserve">Validation monitoring is </w:t>
      </w:r>
      <w:r>
        <w:rPr>
          <w:rFonts w:ascii="Times New Roman" w:hAnsi="Times New Roman" w:cs="Times New Roman"/>
          <w:noProof/>
          <w:sz w:val="24"/>
          <w:szCs w:val="24"/>
          <w:lang w:val="en-US" w:eastAsia="it-IT"/>
        </w:rPr>
        <w:t>mandatory for MS for the most stringent reclaimed water quality class, Class A, which relies only on the treatment technologies in place to meet the minimum quality requirements. The Class A allows irrigation of food crops eaten raw even when the reclaimed</w:t>
      </w:r>
      <w:r>
        <w:rPr>
          <w:rFonts w:ascii="Times New Roman" w:hAnsi="Times New Roman" w:cs="Times New Roman"/>
          <w:noProof/>
          <w:sz w:val="24"/>
          <w:szCs w:val="24"/>
          <w:lang w:val="en-US" w:eastAsia="it-IT"/>
        </w:rPr>
        <w:t xml:space="preserve"> water is in contact with the edible parts of the crop and root crops eaten raw. Validation for Class A is required to assess that the performance targets (log</w:t>
      </w:r>
      <w:r>
        <w:rPr>
          <w:rFonts w:ascii="Times New Roman" w:hAnsi="Times New Roman" w:cs="Times New Roman"/>
          <w:noProof/>
          <w:sz w:val="24"/>
          <w:szCs w:val="24"/>
          <w:vertAlign w:val="subscript"/>
          <w:lang w:val="en-US" w:eastAsia="it-IT"/>
        </w:rPr>
        <w:t>10</w:t>
      </w:r>
      <w:r>
        <w:rPr>
          <w:rFonts w:ascii="Times New Roman" w:hAnsi="Times New Roman" w:cs="Times New Roman"/>
          <w:noProof/>
          <w:sz w:val="24"/>
          <w:szCs w:val="24"/>
          <w:lang w:val="en-US" w:eastAsia="it-IT"/>
        </w:rPr>
        <w:t xml:space="preserve"> reduction) are complied with by the water reuse system. Validation monitoring entails the moni</w:t>
      </w:r>
      <w:r>
        <w:rPr>
          <w:rFonts w:ascii="Times New Roman" w:hAnsi="Times New Roman" w:cs="Times New Roman"/>
          <w:noProof/>
          <w:sz w:val="24"/>
          <w:szCs w:val="24"/>
          <w:lang w:val="en-US" w:eastAsia="it-IT"/>
        </w:rPr>
        <w:t xml:space="preserve">toring of the indicator microorganisms associated to each group of pathogens (bacteria, virus and protozoa). The indicator microorganisms selected are </w:t>
      </w:r>
      <w:r>
        <w:rPr>
          <w:rFonts w:ascii="Times New Roman" w:hAnsi="Times New Roman" w:cs="Times New Roman"/>
          <w:i/>
          <w:noProof/>
          <w:sz w:val="24"/>
          <w:szCs w:val="24"/>
          <w:lang w:val="en-US" w:eastAsia="it-IT"/>
        </w:rPr>
        <w:t>E. coli</w:t>
      </w:r>
      <w:r>
        <w:rPr>
          <w:rFonts w:ascii="Times New Roman" w:hAnsi="Times New Roman" w:cs="Times New Roman"/>
          <w:noProof/>
          <w:sz w:val="24"/>
          <w:szCs w:val="24"/>
          <w:lang w:val="en-US" w:eastAsia="it-IT"/>
        </w:rPr>
        <w:t xml:space="preserve"> for pathogenic bacteria, F-specific coliphages, somatic coliphages or coliphages for pathogenic v</w:t>
      </w:r>
      <w:r>
        <w:rPr>
          <w:rFonts w:ascii="Times New Roman" w:hAnsi="Times New Roman" w:cs="Times New Roman"/>
          <w:noProof/>
          <w:sz w:val="24"/>
          <w:szCs w:val="24"/>
          <w:lang w:val="en-US" w:eastAsia="it-IT"/>
        </w:rPr>
        <w:t xml:space="preserve">iruses, and </w:t>
      </w:r>
      <w:r>
        <w:rPr>
          <w:rFonts w:ascii="Times New Roman" w:hAnsi="Times New Roman" w:cs="Times New Roman"/>
          <w:i/>
          <w:noProof/>
          <w:sz w:val="24"/>
          <w:szCs w:val="24"/>
          <w:lang w:val="en-US" w:eastAsia="it-IT"/>
        </w:rPr>
        <w:t>Clostridium perfringens</w:t>
      </w:r>
      <w:r>
        <w:rPr>
          <w:rFonts w:ascii="Times New Roman" w:hAnsi="Times New Roman" w:cs="Times New Roman"/>
          <w:noProof/>
          <w:sz w:val="24"/>
          <w:szCs w:val="24"/>
          <w:lang w:val="en-US" w:eastAsia="it-IT"/>
        </w:rPr>
        <w:t xml:space="preserve"> spores or spore-forming sulfate-reducing bacteria for protozoa. Performance targets and monitoring frequencies required are shown in </w:t>
      </w:r>
      <w:r>
        <w:rPr>
          <w:rFonts w:ascii="Times New Roman" w:hAnsi="Times New Roman" w:cs="Times New Roman"/>
          <w:noProof/>
          <w:sz w:val="24"/>
          <w:szCs w:val="24"/>
          <w:lang w:val="en-US" w:eastAsia="it-IT"/>
        </w:rPr>
        <w:fldChar w:fldCharType="begin"/>
      </w:r>
      <w:r>
        <w:rPr>
          <w:rFonts w:ascii="Times New Roman" w:hAnsi="Times New Roman" w:cs="Times New Roman"/>
          <w:noProof/>
          <w:sz w:val="24"/>
          <w:szCs w:val="24"/>
          <w:lang w:val="en-US" w:eastAsia="it-IT"/>
        </w:rPr>
        <w:instrText xml:space="preserve"> REF _Ref494113706 \h  \* MERGEFORMAT </w:instrText>
      </w:r>
      <w:r>
        <w:rPr>
          <w:rFonts w:ascii="Times New Roman" w:hAnsi="Times New Roman" w:cs="Times New Roman"/>
          <w:noProof/>
          <w:sz w:val="24"/>
          <w:szCs w:val="24"/>
          <w:lang w:val="en-US" w:eastAsia="it-IT"/>
        </w:rPr>
      </w:r>
      <w:r>
        <w:rPr>
          <w:rFonts w:ascii="Times New Roman" w:hAnsi="Times New Roman" w:cs="Times New Roman"/>
          <w:noProof/>
          <w:sz w:val="24"/>
          <w:szCs w:val="24"/>
          <w:lang w:val="en-US" w:eastAsia="it-IT"/>
        </w:rPr>
        <w:fldChar w:fldCharType="separate"/>
      </w:r>
      <w:r>
        <w:rPr>
          <w:rFonts w:ascii="Times New Roman" w:hAnsi="Times New Roman" w:cs="Times New Roman"/>
          <w:noProof/>
          <w:sz w:val="24"/>
          <w:szCs w:val="24"/>
        </w:rPr>
        <w:t>Table 5</w:t>
      </w:r>
      <w:r>
        <w:rPr>
          <w:rFonts w:ascii="Times New Roman" w:hAnsi="Times New Roman" w:cs="Times New Roman"/>
          <w:noProof/>
          <w:sz w:val="24"/>
          <w:szCs w:val="24"/>
          <w:lang w:val="en-US" w:eastAsia="it-IT"/>
        </w:rPr>
        <w:fldChar w:fldCharType="end"/>
      </w:r>
      <w:r>
        <w:rPr>
          <w:rFonts w:ascii="Times New Roman" w:hAnsi="Times New Roman" w:cs="Times New Roman"/>
          <w:noProof/>
          <w:sz w:val="24"/>
          <w:szCs w:val="24"/>
          <w:lang w:val="en-US" w:eastAsia="it-IT"/>
        </w:rPr>
        <w:t>.</w:t>
      </w:r>
    </w:p>
    <w:p w:rsidR="00AB50C5" w:rsidRDefault="00AB50C5">
      <w:pPr>
        <w:spacing w:after="0" w:line="240" w:lineRule="auto"/>
        <w:jc w:val="both"/>
        <w:rPr>
          <w:rFonts w:ascii="Times New Roman" w:hAnsi="Times New Roman" w:cs="Times New Roman"/>
          <w:noProof/>
          <w:sz w:val="24"/>
          <w:szCs w:val="24"/>
          <w:lang w:val="en-US" w:eastAsia="it-IT"/>
        </w:rPr>
      </w:pPr>
    </w:p>
    <w:p w:rsidR="00AB50C5" w:rsidRDefault="00724275">
      <w:pPr>
        <w:spacing w:after="0" w:line="240" w:lineRule="auto"/>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 xml:space="preserve">It has to be noticed that the </w:t>
      </w:r>
      <w:r>
        <w:rPr>
          <w:rFonts w:ascii="Times New Roman" w:hAnsi="Times New Roman" w:cs="Times New Roman"/>
          <w:b/>
          <w:noProof/>
          <w:sz w:val="24"/>
          <w:szCs w:val="24"/>
          <w:lang w:val="en-US" w:eastAsia="it-IT"/>
        </w:rPr>
        <w:t>reference pathogens</w:t>
      </w:r>
      <w:r>
        <w:rPr>
          <w:rFonts w:ascii="Times New Roman" w:hAnsi="Times New Roman" w:cs="Times New Roman"/>
          <w:noProof/>
          <w:sz w:val="24"/>
          <w:szCs w:val="24"/>
          <w:lang w:val="en-US" w:eastAsia="it-IT"/>
        </w:rPr>
        <w:t xml:space="preserve"> used to define the log removals (see section 4.4.4), </w:t>
      </w:r>
      <w:r>
        <w:rPr>
          <w:rFonts w:ascii="Times New Roman" w:hAnsi="Times New Roman" w:cs="Times New Roman"/>
          <w:i/>
          <w:noProof/>
          <w:sz w:val="24"/>
          <w:szCs w:val="24"/>
          <w:lang w:val="en-US" w:eastAsia="it-IT"/>
        </w:rPr>
        <w:t>Campylobacter</w:t>
      </w:r>
      <w:r>
        <w:rPr>
          <w:rFonts w:ascii="Times New Roman" w:hAnsi="Times New Roman" w:cs="Times New Roman"/>
          <w:noProof/>
          <w:sz w:val="24"/>
          <w:szCs w:val="24"/>
          <w:lang w:val="en-US" w:eastAsia="it-IT"/>
        </w:rPr>
        <w:t xml:space="preserve">, rotavirus and </w:t>
      </w:r>
      <w:r>
        <w:rPr>
          <w:rFonts w:ascii="Times New Roman" w:hAnsi="Times New Roman" w:cs="Times New Roman"/>
          <w:i/>
          <w:noProof/>
          <w:sz w:val="24"/>
          <w:szCs w:val="24"/>
          <w:lang w:val="en-US" w:eastAsia="it-IT"/>
        </w:rPr>
        <w:t>Cryptosporidium</w:t>
      </w:r>
      <w:r>
        <w:rPr>
          <w:rFonts w:ascii="Times New Roman" w:hAnsi="Times New Roman" w:cs="Times New Roman"/>
          <w:noProof/>
          <w:sz w:val="24"/>
          <w:szCs w:val="24"/>
          <w:lang w:val="en-US" w:eastAsia="it-IT"/>
        </w:rPr>
        <w:t>, can always be used for monitoring purposes instead of the proposed indicators.</w:t>
      </w:r>
    </w:p>
    <w:p w:rsidR="00AB50C5" w:rsidRDefault="00AB50C5">
      <w:pPr>
        <w:pStyle w:val="ListParagraph"/>
        <w:ind w:left="0"/>
        <w:jc w:val="both"/>
        <w:rPr>
          <w:rFonts w:ascii="Times New Roman" w:hAnsi="Times New Roman" w:cs="Times New Roman"/>
          <w:noProof/>
          <w:sz w:val="24"/>
          <w:szCs w:val="24"/>
          <w:lang w:val="en-US"/>
        </w:rPr>
      </w:pPr>
    </w:p>
    <w:p w:rsidR="00AB50C5" w:rsidRDefault="00724275">
      <w:pPr>
        <w:pStyle w:val="ListParagraph"/>
        <w:ind w:left="0"/>
        <w:jc w:val="both"/>
        <w:rPr>
          <w:rFonts w:ascii="Times New Roman" w:eastAsia="Times New Roman" w:hAnsi="Times New Roman" w:cs="Times New Roman"/>
          <w:noProof/>
          <w:sz w:val="24"/>
          <w:szCs w:val="24"/>
          <w:lang w:val="en-US"/>
        </w:rPr>
      </w:pPr>
      <w:r>
        <w:rPr>
          <w:rFonts w:ascii="Times New Roman" w:hAnsi="Times New Roman" w:cs="Times New Roman"/>
          <w:noProof/>
          <w:sz w:val="24"/>
          <w:szCs w:val="24"/>
          <w:lang w:val="en-US"/>
        </w:rPr>
        <w:t>Performance targets (log</w:t>
      </w:r>
      <w:r>
        <w:rPr>
          <w:rFonts w:ascii="Times New Roman" w:hAnsi="Times New Roman" w:cs="Times New Roman"/>
          <w:noProof/>
          <w:sz w:val="24"/>
          <w:szCs w:val="24"/>
          <w:vertAlign w:val="subscript"/>
          <w:lang w:val="en-US"/>
        </w:rPr>
        <w:t xml:space="preserve">10 </w:t>
      </w:r>
      <w:r>
        <w:rPr>
          <w:rFonts w:ascii="Times New Roman" w:hAnsi="Times New Roman" w:cs="Times New Roman"/>
          <w:noProof/>
          <w:sz w:val="24"/>
          <w:szCs w:val="24"/>
          <w:lang w:val="en-US"/>
        </w:rPr>
        <w:t xml:space="preserve">reduction targets) for the selected indicator microorganisms </w:t>
      </w:r>
      <w:r>
        <w:rPr>
          <w:rFonts w:ascii="Times New Roman" w:eastAsia="Times New Roman" w:hAnsi="Times New Roman" w:cs="Times New Roman"/>
          <w:noProof/>
          <w:sz w:val="24"/>
          <w:szCs w:val="24"/>
          <w:lang w:val="en-US"/>
        </w:rPr>
        <w:t xml:space="preserve">are to be met considering the concentrations of the raw wastewater effluent entering the UWWTP as the initial point, and the concentrations of the final reclaimed </w:t>
      </w:r>
      <w:r>
        <w:rPr>
          <w:rFonts w:ascii="Times New Roman" w:eastAsia="Times New Roman" w:hAnsi="Times New Roman" w:cs="Times New Roman"/>
          <w:noProof/>
          <w:sz w:val="24"/>
          <w:szCs w:val="24"/>
          <w:lang w:val="en-US"/>
        </w:rPr>
        <w:t>water effluent at the outlet of the additional treatment processes as the final point.</w:t>
      </w:r>
    </w:p>
    <w:p w:rsidR="00AB50C5" w:rsidRDefault="00724275">
      <w:pPr>
        <w:pStyle w:val="ListParagraph"/>
        <w:ind w:left="0"/>
        <w:jc w:val="both"/>
        <w:rPr>
          <w:rFonts w:ascii="Times New Roman" w:eastAsia="Times New Roman" w:hAnsi="Times New Roman" w:cs="Times New Roman"/>
          <w:noProof/>
          <w:sz w:val="24"/>
          <w:szCs w:val="24"/>
          <w:lang w:val="en-US"/>
        </w:rPr>
      </w:pPr>
      <w:r>
        <w:rPr>
          <w:rFonts w:ascii="Times New Roman" w:eastAsia="Times New Roman" w:hAnsi="Times New Roman" w:cs="Times New Roman"/>
          <w:noProof/>
          <w:sz w:val="24"/>
          <w:szCs w:val="24"/>
          <w:lang w:val="en-US"/>
        </w:rPr>
        <w:t xml:space="preserve"> </w:t>
      </w:r>
    </w:p>
    <w:p w:rsidR="00AB50C5" w:rsidRDefault="00724275">
      <w:pPr>
        <w:pStyle w:val="ListParagraph"/>
        <w:ind w:left="0"/>
        <w:jc w:val="both"/>
        <w:rPr>
          <w:rFonts w:ascii="Times New Roman" w:eastAsia="Times New Roman" w:hAnsi="Times New Roman" w:cs="Times New Roman"/>
          <w:noProof/>
          <w:sz w:val="24"/>
          <w:szCs w:val="24"/>
          <w:lang w:val="en-US"/>
        </w:rPr>
      </w:pPr>
      <w:r>
        <w:rPr>
          <w:rFonts w:ascii="Times New Roman" w:eastAsia="Times New Roman" w:hAnsi="Times New Roman" w:cs="Times New Roman"/>
          <w:noProof/>
          <w:sz w:val="24"/>
          <w:szCs w:val="24"/>
          <w:lang w:val="en-US"/>
        </w:rPr>
        <w:t>Validation monitoring has to be performed before the reuse scheme is put into place, when equipment is upgraded, and when new equipment or processes are added.</w:t>
      </w:r>
    </w:p>
    <w:p w:rsidR="00AB50C5" w:rsidRDefault="00724275">
      <w:pPr>
        <w:pStyle w:val="JRCTabletitle"/>
        <w:jc w:val="both"/>
        <w:rPr>
          <w:noProof/>
        </w:rPr>
      </w:pPr>
      <w:bookmarkStart w:id="57" w:name="_Ref494113706"/>
      <w:bookmarkStart w:id="58" w:name="_Toc498672385"/>
      <w:r>
        <w:rPr>
          <w:b/>
          <w:noProof/>
        </w:rPr>
        <w:t xml:space="preserve">Table </w:t>
      </w:r>
      <w:r>
        <w:rPr>
          <w:b/>
          <w:noProof/>
        </w:rPr>
        <w:fldChar w:fldCharType="begin"/>
      </w:r>
      <w:r>
        <w:rPr>
          <w:b/>
          <w:noProof/>
        </w:rPr>
        <w:instrText xml:space="preserve"> </w:instrText>
      </w:r>
      <w:r>
        <w:rPr>
          <w:b/>
          <w:noProof/>
        </w:rPr>
        <w:instrText xml:space="preserve">SEQ Table \* ARABIC </w:instrText>
      </w:r>
      <w:r>
        <w:rPr>
          <w:b/>
          <w:noProof/>
        </w:rPr>
        <w:fldChar w:fldCharType="separate"/>
      </w:r>
      <w:r>
        <w:rPr>
          <w:b/>
          <w:noProof/>
        </w:rPr>
        <w:t>5</w:t>
      </w:r>
      <w:r>
        <w:rPr>
          <w:b/>
          <w:noProof/>
        </w:rPr>
        <w:fldChar w:fldCharType="end"/>
      </w:r>
      <w:bookmarkEnd w:id="57"/>
      <w:r>
        <w:rPr>
          <w:b/>
          <w:noProof/>
        </w:rPr>
        <w:t>.</w:t>
      </w:r>
      <w:r>
        <w:rPr>
          <w:noProof/>
        </w:rPr>
        <w:t xml:space="preserve"> Validation monitoring of the treatment performance for agricultural irrigation.</w:t>
      </w:r>
      <w:bookmarkEnd w:id="58"/>
    </w:p>
    <w:tbl>
      <w:tblPr>
        <w:tblStyle w:val="GridTable4-Accent122"/>
        <w:tblW w:w="9625" w:type="dxa"/>
        <w:tblLook w:val="04A0" w:firstRow="1" w:lastRow="0" w:firstColumn="1" w:lastColumn="0" w:noHBand="0" w:noVBand="1"/>
      </w:tblPr>
      <w:tblGrid>
        <w:gridCol w:w="1975"/>
        <w:gridCol w:w="3490"/>
        <w:gridCol w:w="4160"/>
      </w:tblGrid>
      <w:tr w:rsidR="00AB50C5" w:rsidTr="00AB50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5" w:type="dxa"/>
          </w:tcPr>
          <w:p w:rsidR="00AB50C5" w:rsidRDefault="00724275">
            <w:pPr>
              <w:rPr>
                <w:noProof/>
                <w:sz w:val="16"/>
                <w:szCs w:val="16"/>
              </w:rPr>
            </w:pPr>
            <w:r>
              <w:rPr>
                <w:noProof/>
                <w:sz w:val="16"/>
                <w:szCs w:val="16"/>
                <w:lang w:val="en-US"/>
              </w:rPr>
              <w:t xml:space="preserve">Reclaimed </w:t>
            </w:r>
          </w:p>
          <w:p w:rsidR="00AB50C5" w:rsidRDefault="00724275">
            <w:pPr>
              <w:rPr>
                <w:noProof/>
                <w:sz w:val="16"/>
                <w:szCs w:val="16"/>
              </w:rPr>
            </w:pPr>
            <w:r>
              <w:rPr>
                <w:noProof/>
                <w:sz w:val="16"/>
                <w:szCs w:val="16"/>
                <w:lang w:val="en-US"/>
              </w:rPr>
              <w:t>water quality</w:t>
            </w:r>
          </w:p>
          <w:p w:rsidR="00AB50C5" w:rsidRDefault="00724275">
            <w:pPr>
              <w:rPr>
                <w:noProof/>
                <w:lang w:val="en-US" w:eastAsia="it-IT"/>
              </w:rPr>
            </w:pPr>
            <w:r>
              <w:rPr>
                <w:noProof/>
                <w:sz w:val="16"/>
                <w:szCs w:val="16"/>
                <w:lang w:val="en-US"/>
              </w:rPr>
              <w:t>class</w:t>
            </w:r>
          </w:p>
        </w:tc>
        <w:tc>
          <w:tcPr>
            <w:tcW w:w="3490" w:type="dxa"/>
          </w:tcPr>
          <w:p w:rsidR="00AB50C5" w:rsidRDefault="00724275">
            <w:pPr>
              <w:jc w:val="center"/>
              <w:cnfStyle w:val="100000000000" w:firstRow="1" w:lastRow="0" w:firstColumn="0" w:lastColumn="0" w:oddVBand="0" w:evenVBand="0" w:oddHBand="0" w:evenHBand="0" w:firstRowFirstColumn="0" w:firstRowLastColumn="0" w:lastRowFirstColumn="0" w:lastRowLastColumn="0"/>
              <w:rPr>
                <w:noProof/>
                <w:sz w:val="16"/>
                <w:szCs w:val="16"/>
                <w:lang w:val="en-US"/>
              </w:rPr>
            </w:pPr>
            <w:r>
              <w:rPr>
                <w:noProof/>
                <w:sz w:val="16"/>
                <w:szCs w:val="16"/>
                <w:lang w:val="en-US"/>
              </w:rPr>
              <w:t>Indicator microorganisms</w:t>
            </w:r>
          </w:p>
          <w:p w:rsidR="00AB50C5" w:rsidRDefault="00AB50C5">
            <w:pPr>
              <w:jc w:val="center"/>
              <w:cnfStyle w:val="100000000000" w:firstRow="1" w:lastRow="0" w:firstColumn="0" w:lastColumn="0" w:oddVBand="0" w:evenVBand="0" w:oddHBand="0" w:evenHBand="0" w:firstRowFirstColumn="0" w:firstRowLastColumn="0" w:lastRowFirstColumn="0" w:lastRowLastColumn="0"/>
              <w:rPr>
                <w:noProof/>
                <w:lang w:val="en-US" w:eastAsia="it-IT"/>
              </w:rPr>
            </w:pPr>
          </w:p>
        </w:tc>
        <w:tc>
          <w:tcPr>
            <w:tcW w:w="4160" w:type="dxa"/>
          </w:tcPr>
          <w:p w:rsidR="00AB50C5" w:rsidRDefault="00724275">
            <w:pPr>
              <w:jc w:val="center"/>
              <w:cnfStyle w:val="100000000000" w:firstRow="1" w:lastRow="0" w:firstColumn="0" w:lastColumn="0" w:oddVBand="0" w:evenVBand="0" w:oddHBand="0" w:evenHBand="0" w:firstRowFirstColumn="0" w:firstRowLastColumn="0" w:lastRowFirstColumn="0" w:lastRowLastColumn="0"/>
              <w:rPr>
                <w:noProof/>
                <w:sz w:val="16"/>
                <w:szCs w:val="16"/>
                <w:lang w:val="en-US"/>
              </w:rPr>
            </w:pPr>
            <w:r>
              <w:rPr>
                <w:noProof/>
                <w:sz w:val="16"/>
                <w:szCs w:val="16"/>
                <w:lang w:val="en-US"/>
              </w:rPr>
              <w:t>Performance targets for the treatment train</w:t>
            </w:r>
          </w:p>
          <w:p w:rsidR="00AB50C5" w:rsidRDefault="00724275">
            <w:pPr>
              <w:jc w:val="center"/>
              <w:cnfStyle w:val="100000000000" w:firstRow="1" w:lastRow="0" w:firstColumn="0" w:lastColumn="0" w:oddVBand="0" w:evenVBand="0" w:oddHBand="0" w:evenHBand="0" w:firstRowFirstColumn="0" w:firstRowLastColumn="0" w:lastRowFirstColumn="0" w:lastRowLastColumn="0"/>
              <w:rPr>
                <w:noProof/>
                <w:sz w:val="16"/>
                <w:szCs w:val="16"/>
                <w:lang w:val="en-US"/>
              </w:rPr>
            </w:pPr>
            <w:r>
              <w:rPr>
                <w:noProof/>
                <w:sz w:val="16"/>
                <w:szCs w:val="16"/>
                <w:lang w:val="en-US"/>
              </w:rPr>
              <w:t>(log</w:t>
            </w:r>
            <w:r>
              <w:rPr>
                <w:noProof/>
                <w:sz w:val="16"/>
                <w:szCs w:val="16"/>
                <w:vertAlign w:val="subscript"/>
                <w:lang w:val="en-US"/>
              </w:rPr>
              <w:t>10</w:t>
            </w:r>
            <w:r>
              <w:rPr>
                <w:noProof/>
                <w:sz w:val="16"/>
                <w:szCs w:val="16"/>
                <w:lang w:val="en-US"/>
              </w:rPr>
              <w:t xml:space="preserve"> reduction)</w:t>
            </w:r>
          </w:p>
        </w:tc>
      </w:tr>
      <w:tr w:rsidR="00AB50C5" w:rsidTr="00AB50C5">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1975" w:type="dxa"/>
            <w:vMerge w:val="restart"/>
            <w:shd w:val="clear" w:color="auto" w:fill="auto"/>
          </w:tcPr>
          <w:p w:rsidR="00AB50C5" w:rsidRDefault="00724275">
            <w:pPr>
              <w:rPr>
                <w:noProof/>
                <w:lang w:val="en-US" w:eastAsia="it-IT"/>
              </w:rPr>
            </w:pPr>
            <w:r>
              <w:rPr>
                <w:noProof/>
                <w:sz w:val="16"/>
                <w:szCs w:val="16"/>
                <w:lang w:val="en-US"/>
              </w:rPr>
              <w:t>Class A</w:t>
            </w:r>
          </w:p>
        </w:tc>
        <w:tc>
          <w:tcPr>
            <w:tcW w:w="3490" w:type="dxa"/>
            <w:shd w:val="clear" w:color="auto" w:fill="auto"/>
          </w:tcPr>
          <w:p w:rsidR="00AB50C5" w:rsidRDefault="00724275">
            <w:pPr>
              <w:cnfStyle w:val="000000100000" w:firstRow="0" w:lastRow="0" w:firstColumn="0" w:lastColumn="0" w:oddVBand="0" w:evenVBand="0" w:oddHBand="1" w:evenHBand="0" w:firstRowFirstColumn="0" w:firstRowLastColumn="0" w:lastRowFirstColumn="0" w:lastRowLastColumn="0"/>
              <w:rPr>
                <w:noProof/>
                <w:sz w:val="16"/>
                <w:szCs w:val="16"/>
                <w:lang w:val="en-US"/>
              </w:rPr>
            </w:pPr>
            <w:r>
              <w:rPr>
                <w:i/>
                <w:noProof/>
                <w:sz w:val="16"/>
                <w:szCs w:val="16"/>
                <w:lang w:val="en-US"/>
              </w:rPr>
              <w:t xml:space="preserve">E. coli </w:t>
            </w:r>
          </w:p>
        </w:tc>
        <w:tc>
          <w:tcPr>
            <w:tcW w:w="4160" w:type="dxa"/>
            <w:shd w:val="clear" w:color="auto" w:fill="auto"/>
          </w:tcPr>
          <w:p w:rsidR="00AB50C5" w:rsidRDefault="00724275">
            <w:pPr>
              <w:jc w:val="center"/>
              <w:cnfStyle w:val="000000100000" w:firstRow="0" w:lastRow="0" w:firstColumn="0" w:lastColumn="0" w:oddVBand="0" w:evenVBand="0" w:oddHBand="1" w:evenHBand="0" w:firstRowFirstColumn="0" w:firstRowLastColumn="0" w:lastRowFirstColumn="0" w:lastRowLastColumn="0"/>
              <w:rPr>
                <w:noProof/>
                <w:sz w:val="16"/>
                <w:szCs w:val="16"/>
                <w:lang w:val="en-US"/>
              </w:rPr>
            </w:pPr>
            <w:r>
              <w:rPr>
                <w:noProof/>
                <w:sz w:val="16"/>
                <w:szCs w:val="16"/>
                <w:lang w:val="en-US"/>
              </w:rPr>
              <w:t>≥ 5.0</w:t>
            </w:r>
          </w:p>
        </w:tc>
      </w:tr>
      <w:tr w:rsidR="00AB50C5" w:rsidTr="00AB50C5">
        <w:trPr>
          <w:trHeight w:val="442"/>
        </w:trPr>
        <w:tc>
          <w:tcPr>
            <w:cnfStyle w:val="001000000000" w:firstRow="0" w:lastRow="0" w:firstColumn="1" w:lastColumn="0" w:oddVBand="0" w:evenVBand="0" w:oddHBand="0" w:evenHBand="0" w:firstRowFirstColumn="0" w:firstRowLastColumn="0" w:lastRowFirstColumn="0" w:lastRowLastColumn="0"/>
            <w:tcW w:w="1975" w:type="dxa"/>
            <w:vMerge/>
            <w:shd w:val="clear" w:color="auto" w:fill="auto"/>
          </w:tcPr>
          <w:p w:rsidR="00AB50C5" w:rsidRDefault="00AB50C5">
            <w:pPr>
              <w:rPr>
                <w:noProof/>
                <w:lang w:val="en-US" w:eastAsia="it-IT"/>
              </w:rPr>
            </w:pPr>
          </w:p>
        </w:tc>
        <w:tc>
          <w:tcPr>
            <w:tcW w:w="3490" w:type="dxa"/>
            <w:shd w:val="clear" w:color="auto" w:fill="auto"/>
          </w:tcPr>
          <w:p w:rsidR="00AB50C5" w:rsidRDefault="00724275">
            <w:pPr>
              <w:cnfStyle w:val="000000000000" w:firstRow="0" w:lastRow="0" w:firstColumn="0" w:lastColumn="0" w:oddVBand="0" w:evenVBand="0" w:oddHBand="0" w:evenHBand="0" w:firstRowFirstColumn="0" w:firstRowLastColumn="0" w:lastRowFirstColumn="0" w:lastRowLastColumn="0"/>
              <w:rPr>
                <w:noProof/>
                <w:sz w:val="16"/>
                <w:szCs w:val="16"/>
                <w:lang w:val="en-US"/>
              </w:rPr>
            </w:pPr>
            <w:r>
              <w:rPr>
                <w:noProof/>
                <w:sz w:val="16"/>
                <w:szCs w:val="16"/>
                <w:lang w:val="en-US"/>
              </w:rPr>
              <w:t>Total</w:t>
            </w:r>
            <w:r>
              <w:rPr>
                <w:noProof/>
                <w:sz w:val="16"/>
                <w:szCs w:val="16"/>
                <w:lang w:val="en-US"/>
              </w:rPr>
              <w:t xml:space="preserve"> coliphages/F-specific coliphages/ somatic coliphages*</w:t>
            </w:r>
          </w:p>
        </w:tc>
        <w:tc>
          <w:tcPr>
            <w:tcW w:w="4160" w:type="dxa"/>
            <w:shd w:val="clear" w:color="auto" w:fill="auto"/>
          </w:tcPr>
          <w:p w:rsidR="00AB50C5" w:rsidRDefault="00724275">
            <w:pPr>
              <w:jc w:val="center"/>
              <w:cnfStyle w:val="000000000000" w:firstRow="0" w:lastRow="0" w:firstColumn="0" w:lastColumn="0" w:oddVBand="0" w:evenVBand="0" w:oddHBand="0" w:evenHBand="0" w:firstRowFirstColumn="0" w:firstRowLastColumn="0" w:lastRowFirstColumn="0" w:lastRowLastColumn="0"/>
              <w:rPr>
                <w:noProof/>
                <w:sz w:val="16"/>
                <w:szCs w:val="16"/>
                <w:lang w:val="en-US"/>
              </w:rPr>
            </w:pPr>
            <w:r>
              <w:rPr>
                <w:noProof/>
                <w:sz w:val="16"/>
                <w:szCs w:val="16"/>
                <w:lang w:val="en-US"/>
              </w:rPr>
              <w:t>≥ 6.0</w:t>
            </w:r>
          </w:p>
        </w:tc>
      </w:tr>
      <w:tr w:rsidR="00AB50C5" w:rsidTr="00AB50C5">
        <w:trPr>
          <w:cnfStyle w:val="000000100000" w:firstRow="0" w:lastRow="0" w:firstColumn="0" w:lastColumn="0" w:oddVBand="0" w:evenVBand="0" w:oddHBand="1" w:evenHBand="0" w:firstRowFirstColumn="0" w:firstRowLastColumn="0" w:lastRowFirstColumn="0" w:lastRowLastColumn="0"/>
          <w:trHeight w:val="784"/>
        </w:trPr>
        <w:tc>
          <w:tcPr>
            <w:cnfStyle w:val="001000000000" w:firstRow="0" w:lastRow="0" w:firstColumn="1" w:lastColumn="0" w:oddVBand="0" w:evenVBand="0" w:oddHBand="0" w:evenHBand="0" w:firstRowFirstColumn="0" w:firstRowLastColumn="0" w:lastRowFirstColumn="0" w:lastRowLastColumn="0"/>
            <w:tcW w:w="1975" w:type="dxa"/>
            <w:vMerge/>
            <w:shd w:val="clear" w:color="auto" w:fill="auto"/>
          </w:tcPr>
          <w:p w:rsidR="00AB50C5" w:rsidRDefault="00AB50C5">
            <w:pPr>
              <w:rPr>
                <w:noProof/>
                <w:lang w:val="en-US" w:eastAsia="it-IT"/>
              </w:rPr>
            </w:pPr>
          </w:p>
        </w:tc>
        <w:tc>
          <w:tcPr>
            <w:tcW w:w="3490" w:type="dxa"/>
            <w:shd w:val="clear" w:color="auto" w:fill="auto"/>
          </w:tcPr>
          <w:p w:rsidR="00AB50C5" w:rsidRDefault="00724275">
            <w:pPr>
              <w:cnfStyle w:val="000000100000" w:firstRow="0" w:lastRow="0" w:firstColumn="0" w:lastColumn="0" w:oddVBand="0" w:evenVBand="0" w:oddHBand="1" w:evenHBand="0" w:firstRowFirstColumn="0" w:firstRowLastColumn="0" w:lastRowFirstColumn="0" w:lastRowLastColumn="0"/>
              <w:rPr>
                <w:noProof/>
                <w:lang w:val="en-US" w:eastAsia="it-IT"/>
              </w:rPr>
            </w:pPr>
            <w:r>
              <w:rPr>
                <w:i/>
                <w:noProof/>
                <w:sz w:val="16"/>
                <w:szCs w:val="16"/>
                <w:lang w:val="en-US"/>
              </w:rPr>
              <w:t xml:space="preserve">Clostridium perfringens </w:t>
            </w:r>
            <w:r>
              <w:rPr>
                <w:noProof/>
                <w:sz w:val="16"/>
                <w:szCs w:val="16"/>
                <w:lang w:val="en-US"/>
              </w:rPr>
              <w:t xml:space="preserve">spores/spore-forming sulphite-reducing bacteria** </w:t>
            </w:r>
          </w:p>
        </w:tc>
        <w:tc>
          <w:tcPr>
            <w:tcW w:w="4160" w:type="dxa"/>
            <w:shd w:val="clear" w:color="auto" w:fill="auto"/>
          </w:tcPr>
          <w:p w:rsidR="00AB50C5" w:rsidRDefault="00724275">
            <w:pPr>
              <w:jc w:val="center"/>
              <w:cnfStyle w:val="000000100000" w:firstRow="0" w:lastRow="0" w:firstColumn="0" w:lastColumn="0" w:oddVBand="0" w:evenVBand="0" w:oddHBand="1" w:evenHBand="0" w:firstRowFirstColumn="0" w:firstRowLastColumn="0" w:lastRowFirstColumn="0" w:lastRowLastColumn="0"/>
              <w:rPr>
                <w:noProof/>
                <w:lang w:val="en-US" w:eastAsia="it-IT"/>
              </w:rPr>
            </w:pPr>
            <w:r>
              <w:rPr>
                <w:noProof/>
                <w:sz w:val="16"/>
                <w:szCs w:val="16"/>
                <w:lang w:val="en-US"/>
              </w:rPr>
              <w:t>≥ 5.0</w:t>
            </w:r>
          </w:p>
        </w:tc>
      </w:tr>
    </w:tbl>
    <w:p w:rsidR="00AB50C5" w:rsidRDefault="00724275">
      <w:pPr>
        <w:pStyle w:val="JRCText"/>
        <w:spacing w:before="0" w:after="0"/>
        <w:rPr>
          <w:noProof/>
          <w:sz w:val="16"/>
          <w:szCs w:val="16"/>
          <w:lang w:val="en-US"/>
        </w:rPr>
      </w:pPr>
      <w:r>
        <w:rPr>
          <w:noProof/>
          <w:sz w:val="16"/>
          <w:szCs w:val="16"/>
        </w:rPr>
        <w:t>(*)T</w:t>
      </w:r>
      <w:r>
        <w:rPr>
          <w:noProof/>
          <w:sz w:val="16"/>
          <w:szCs w:val="16"/>
          <w:lang w:val="en-US"/>
        </w:rPr>
        <w:t xml:space="preserve">otal coliphages is selected as the most appropriate viral indicator. However, if analysis of total </w:t>
      </w:r>
      <w:r>
        <w:rPr>
          <w:noProof/>
          <w:sz w:val="16"/>
          <w:szCs w:val="16"/>
          <w:lang w:val="en-US"/>
        </w:rPr>
        <w:t>coliphages is not feasible, at least one of them (F-specific or somatic coliphages) has to be analyzed.</w:t>
      </w:r>
    </w:p>
    <w:p w:rsidR="00AB50C5" w:rsidRDefault="00724275">
      <w:pPr>
        <w:pStyle w:val="JRCText"/>
        <w:spacing w:before="0" w:after="0"/>
        <w:rPr>
          <w:noProof/>
          <w:sz w:val="16"/>
          <w:szCs w:val="16"/>
          <w:lang w:val="en-US"/>
        </w:rPr>
      </w:pPr>
      <w:r>
        <w:rPr>
          <w:noProof/>
          <w:sz w:val="16"/>
          <w:szCs w:val="16"/>
          <w:lang w:val="en-US"/>
        </w:rPr>
        <w:t>(**)</w:t>
      </w:r>
      <w:r>
        <w:rPr>
          <w:i/>
          <w:noProof/>
          <w:sz w:val="16"/>
          <w:szCs w:val="16"/>
          <w:lang w:val="en-US"/>
        </w:rPr>
        <w:t xml:space="preserve">Clostridium perfringens </w:t>
      </w:r>
      <w:r>
        <w:rPr>
          <w:noProof/>
          <w:sz w:val="16"/>
          <w:szCs w:val="16"/>
          <w:lang w:val="en-US"/>
        </w:rPr>
        <w:t>spores is selected as the most appropriate protozoa indicator. However, spore-forming sulfate-reducing bacteria is an altern</w:t>
      </w:r>
      <w:r>
        <w:rPr>
          <w:noProof/>
          <w:sz w:val="16"/>
          <w:szCs w:val="16"/>
          <w:lang w:val="en-US"/>
        </w:rPr>
        <w:t xml:space="preserve">ative if the concentration of </w:t>
      </w:r>
      <w:r>
        <w:rPr>
          <w:i/>
          <w:noProof/>
          <w:sz w:val="16"/>
          <w:szCs w:val="16"/>
          <w:lang w:val="en-US"/>
        </w:rPr>
        <w:t>Clostridium perfringens</w:t>
      </w:r>
      <w:r>
        <w:rPr>
          <w:noProof/>
          <w:sz w:val="16"/>
          <w:szCs w:val="16"/>
          <w:lang w:val="en-US"/>
        </w:rPr>
        <w:t xml:space="preserve"> spores does not allow to validate the requested log</w:t>
      </w:r>
      <w:r>
        <w:rPr>
          <w:noProof/>
          <w:sz w:val="16"/>
          <w:szCs w:val="16"/>
          <w:vertAlign w:val="subscript"/>
          <w:lang w:val="en-US"/>
        </w:rPr>
        <w:t>10</w:t>
      </w:r>
      <w:r>
        <w:rPr>
          <w:noProof/>
          <w:sz w:val="16"/>
          <w:szCs w:val="16"/>
          <w:lang w:val="en-US"/>
        </w:rPr>
        <w:t xml:space="preserve"> removal.</w:t>
      </w:r>
    </w:p>
    <w:p w:rsidR="00AB50C5" w:rsidRDefault="00724275">
      <w:pPr>
        <w:pStyle w:val="JRCText"/>
        <w:tabs>
          <w:tab w:val="left" w:pos="2220"/>
        </w:tabs>
        <w:spacing w:before="0" w:after="0"/>
        <w:jc w:val="left"/>
        <w:rPr>
          <w:noProof/>
          <w:sz w:val="16"/>
          <w:szCs w:val="16"/>
        </w:rPr>
      </w:pPr>
      <w:r>
        <w:rPr>
          <w:i/>
          <w:noProof/>
          <w:sz w:val="16"/>
          <w:szCs w:val="16"/>
        </w:rPr>
        <w:t>Source:</w:t>
      </w:r>
      <w:r>
        <w:rPr>
          <w:noProof/>
          <w:sz w:val="16"/>
          <w:szCs w:val="16"/>
        </w:rPr>
        <w:t xml:space="preserve"> JRC analysis.</w:t>
      </w:r>
      <w:r>
        <w:rPr>
          <w:noProof/>
          <w:sz w:val="16"/>
          <w:szCs w:val="16"/>
        </w:rPr>
        <w:tab/>
      </w:r>
    </w:p>
    <w:p w:rsidR="00AB50C5" w:rsidRDefault="00724275">
      <w:pPr>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Analytical methods used for monitoring shall comply with the requirements included in the related Directives (i.e. </w:t>
      </w:r>
      <w:r>
        <w:rPr>
          <w:rFonts w:ascii="Times New Roman" w:hAnsi="Times New Roman" w:cs="Times New Roman"/>
          <w:noProof/>
          <w:sz w:val="24"/>
          <w:szCs w:val="24"/>
          <w:lang w:val="en-US"/>
        </w:rPr>
        <w:t>WFD (2000/60/EC), DWD (98/83/EC), GWD (2006/118/EC) to conform to the quality control principles, including, if relevant, ISO/CEN or national standardized methods, to ensure the provision of data of an equivalent scientific quality and comparability.</w:t>
      </w:r>
    </w:p>
    <w:p w:rsidR="00AB50C5" w:rsidRDefault="00AB50C5">
      <w:pPr>
        <w:spacing w:after="0" w:line="240" w:lineRule="auto"/>
        <w:jc w:val="both"/>
        <w:rPr>
          <w:rFonts w:ascii="Times New Roman" w:hAnsi="Times New Roman" w:cs="Times New Roman"/>
          <w:noProof/>
          <w:sz w:val="24"/>
          <w:szCs w:val="24"/>
          <w:lang w:val="en-US"/>
        </w:rPr>
      </w:pPr>
    </w:p>
    <w:p w:rsidR="00AB50C5" w:rsidRDefault="00724275">
      <w:pPr>
        <w:autoSpaceDE w:val="0"/>
        <w:autoSpaceDN w:val="0"/>
        <w:adjustRightInd w:val="0"/>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MS h</w:t>
      </w:r>
      <w:r>
        <w:rPr>
          <w:rFonts w:ascii="Times New Roman" w:hAnsi="Times New Roman" w:cs="Times New Roman"/>
          <w:noProof/>
          <w:sz w:val="24"/>
          <w:szCs w:val="24"/>
          <w:lang w:val="en-US"/>
        </w:rPr>
        <w:t>ave to comply with common specific preventive measures for any water reuse project regardless of the site specific conditions (</w:t>
      </w:r>
      <w:r>
        <w:rPr>
          <w:rFonts w:ascii="Times New Roman" w:hAnsi="Times New Roman" w:cs="Times New Roman"/>
          <w:noProof/>
          <w:sz w:val="24"/>
          <w:szCs w:val="24"/>
          <w:lang w:val="en-US"/>
        </w:rPr>
        <w:fldChar w:fldCharType="begin"/>
      </w:r>
      <w:r>
        <w:rPr>
          <w:rFonts w:ascii="Times New Roman" w:hAnsi="Times New Roman" w:cs="Times New Roman"/>
          <w:noProof/>
          <w:sz w:val="24"/>
          <w:szCs w:val="24"/>
          <w:lang w:val="en-US"/>
        </w:rPr>
        <w:instrText xml:space="preserve"> REF _Ref494113785 \h  \* MERGEFORMAT </w:instrText>
      </w:r>
      <w:r>
        <w:rPr>
          <w:rFonts w:ascii="Times New Roman" w:hAnsi="Times New Roman" w:cs="Times New Roman"/>
          <w:noProof/>
          <w:sz w:val="24"/>
          <w:szCs w:val="24"/>
          <w:lang w:val="en-US"/>
        </w:rPr>
      </w:r>
      <w:r>
        <w:rPr>
          <w:rFonts w:ascii="Times New Roman" w:hAnsi="Times New Roman" w:cs="Times New Roman"/>
          <w:noProof/>
          <w:sz w:val="24"/>
          <w:szCs w:val="24"/>
          <w:lang w:val="en-US"/>
        </w:rPr>
        <w:fldChar w:fldCharType="separate"/>
      </w:r>
      <w:r>
        <w:rPr>
          <w:rFonts w:ascii="Times New Roman" w:hAnsi="Times New Roman" w:cs="Times New Roman"/>
          <w:noProof/>
          <w:sz w:val="24"/>
          <w:szCs w:val="24"/>
        </w:rPr>
        <w:t>Table 6</w:t>
      </w:r>
      <w:r>
        <w:rPr>
          <w:rFonts w:ascii="Times New Roman" w:hAnsi="Times New Roman" w:cs="Times New Roman"/>
          <w:noProof/>
          <w:sz w:val="24"/>
          <w:szCs w:val="24"/>
          <w:lang w:val="en-US"/>
        </w:rPr>
        <w:fldChar w:fldCharType="end"/>
      </w:r>
      <w:r>
        <w:rPr>
          <w:rFonts w:ascii="Times New Roman" w:hAnsi="Times New Roman" w:cs="Times New Roman"/>
          <w:noProof/>
          <w:sz w:val="24"/>
          <w:szCs w:val="24"/>
          <w:lang w:val="en-US"/>
        </w:rPr>
        <w:t>).</w:t>
      </w:r>
    </w:p>
    <w:p w:rsidR="00AB50C5" w:rsidRDefault="00724275">
      <w:pPr>
        <w:pStyle w:val="JRCTabletitle"/>
        <w:rPr>
          <w:noProof/>
        </w:rPr>
      </w:pPr>
      <w:bookmarkStart w:id="59" w:name="_Ref494113785"/>
      <w:bookmarkStart w:id="60" w:name="_Toc498672386"/>
      <w:r>
        <w:rPr>
          <w:b/>
          <w:noProof/>
        </w:rPr>
        <w:t xml:space="preserve">Table </w:t>
      </w:r>
      <w:r>
        <w:rPr>
          <w:b/>
          <w:noProof/>
        </w:rPr>
        <w:fldChar w:fldCharType="begin"/>
      </w:r>
      <w:r>
        <w:rPr>
          <w:b/>
          <w:noProof/>
        </w:rPr>
        <w:instrText xml:space="preserve"> SEQ Table \* ARABIC </w:instrText>
      </w:r>
      <w:r>
        <w:rPr>
          <w:b/>
          <w:noProof/>
        </w:rPr>
        <w:fldChar w:fldCharType="separate"/>
      </w:r>
      <w:r>
        <w:rPr>
          <w:b/>
          <w:noProof/>
        </w:rPr>
        <w:t>6</w:t>
      </w:r>
      <w:r>
        <w:rPr>
          <w:b/>
          <w:noProof/>
        </w:rPr>
        <w:fldChar w:fldCharType="end"/>
      </w:r>
      <w:bookmarkEnd w:id="59"/>
      <w:r>
        <w:rPr>
          <w:b/>
          <w:noProof/>
        </w:rPr>
        <w:t>.</w:t>
      </w:r>
      <w:r>
        <w:rPr>
          <w:noProof/>
        </w:rPr>
        <w:t xml:space="preserve"> Specific additional preventive measures for health protection to be complied with by MS for any site specific condition.</w:t>
      </w:r>
      <w:bookmarkEnd w:id="60"/>
    </w:p>
    <w:tbl>
      <w:tblPr>
        <w:tblStyle w:val="GridTable4-Accent12"/>
        <w:tblW w:w="9625" w:type="dxa"/>
        <w:tblLook w:val="04A0" w:firstRow="1" w:lastRow="0" w:firstColumn="1" w:lastColumn="0" w:noHBand="0" w:noVBand="1"/>
      </w:tblPr>
      <w:tblGrid>
        <w:gridCol w:w="2155"/>
        <w:gridCol w:w="7470"/>
      </w:tblGrid>
      <w:tr w:rsidR="00AB50C5" w:rsidTr="00AB50C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155" w:type="dxa"/>
          </w:tcPr>
          <w:p w:rsidR="00AB50C5" w:rsidRDefault="00724275">
            <w:pPr>
              <w:rPr>
                <w:noProof/>
                <w:sz w:val="16"/>
                <w:szCs w:val="16"/>
              </w:rPr>
            </w:pPr>
            <w:r>
              <w:rPr>
                <w:noProof/>
                <w:sz w:val="16"/>
                <w:szCs w:val="16"/>
                <w:lang w:val="en-US"/>
              </w:rPr>
              <w:t xml:space="preserve">Reclaimed </w:t>
            </w:r>
          </w:p>
          <w:p w:rsidR="00AB50C5" w:rsidRDefault="00724275">
            <w:pPr>
              <w:rPr>
                <w:noProof/>
                <w:sz w:val="16"/>
                <w:szCs w:val="16"/>
              </w:rPr>
            </w:pPr>
            <w:r>
              <w:rPr>
                <w:noProof/>
                <w:sz w:val="16"/>
                <w:szCs w:val="16"/>
                <w:lang w:val="en-US"/>
              </w:rPr>
              <w:t>water quality</w:t>
            </w:r>
          </w:p>
          <w:p w:rsidR="00AB50C5" w:rsidRDefault="00724275">
            <w:pPr>
              <w:rPr>
                <w:noProof/>
                <w:sz w:val="16"/>
                <w:szCs w:val="16"/>
                <w:lang w:val="en-US" w:eastAsia="it-IT"/>
              </w:rPr>
            </w:pPr>
            <w:r>
              <w:rPr>
                <w:noProof/>
                <w:sz w:val="16"/>
                <w:szCs w:val="16"/>
                <w:lang w:val="en-US"/>
              </w:rPr>
              <w:t>class</w:t>
            </w:r>
          </w:p>
        </w:tc>
        <w:tc>
          <w:tcPr>
            <w:tcW w:w="7470" w:type="dxa"/>
          </w:tcPr>
          <w:p w:rsidR="00AB50C5" w:rsidRDefault="00724275">
            <w:pPr>
              <w:jc w:val="center"/>
              <w:cnfStyle w:val="100000000000" w:firstRow="1" w:lastRow="0" w:firstColumn="0" w:lastColumn="0" w:oddVBand="0" w:evenVBand="0" w:oddHBand="0" w:evenHBand="0" w:firstRowFirstColumn="0" w:firstRowLastColumn="0" w:lastRowFirstColumn="0" w:lastRowLastColumn="0"/>
              <w:rPr>
                <w:noProof/>
                <w:sz w:val="16"/>
                <w:szCs w:val="16"/>
                <w:lang w:val="en-US"/>
              </w:rPr>
            </w:pPr>
            <w:r>
              <w:rPr>
                <w:noProof/>
                <w:sz w:val="16"/>
                <w:szCs w:val="16"/>
                <w:lang w:val="en-US"/>
              </w:rPr>
              <w:t>Specific additional preventive measures to be complied with by MS</w:t>
            </w:r>
          </w:p>
        </w:tc>
      </w:tr>
      <w:tr w:rsidR="00AB50C5" w:rsidTr="00AB50C5">
        <w:trPr>
          <w:cnfStyle w:val="000000100000" w:firstRow="0" w:lastRow="0" w:firstColumn="0" w:lastColumn="0" w:oddVBand="0" w:evenVBand="0" w:oddHBand="1" w:evenHBand="0" w:firstRowFirstColumn="0" w:firstRowLastColumn="0" w:lastRowFirstColumn="0" w:lastRowLastColumn="0"/>
          <w:trHeight w:val="1021"/>
        </w:trPr>
        <w:tc>
          <w:tcPr>
            <w:cnfStyle w:val="001000000000" w:firstRow="0" w:lastRow="0" w:firstColumn="1" w:lastColumn="0" w:oddVBand="0" w:evenVBand="0" w:oddHBand="0" w:evenHBand="0" w:firstRowFirstColumn="0" w:firstRowLastColumn="0" w:lastRowFirstColumn="0" w:lastRowLastColumn="0"/>
            <w:tcW w:w="2155" w:type="dxa"/>
            <w:shd w:val="clear" w:color="auto" w:fill="auto"/>
          </w:tcPr>
          <w:p w:rsidR="00AB50C5" w:rsidRDefault="00724275">
            <w:pPr>
              <w:rPr>
                <w:noProof/>
                <w:sz w:val="16"/>
                <w:szCs w:val="16"/>
                <w:lang w:val="en-US" w:eastAsia="it-IT"/>
              </w:rPr>
            </w:pPr>
            <w:r>
              <w:rPr>
                <w:noProof/>
                <w:sz w:val="16"/>
                <w:szCs w:val="16"/>
                <w:lang w:val="en-US"/>
              </w:rPr>
              <w:t>Class A</w:t>
            </w:r>
          </w:p>
        </w:tc>
        <w:tc>
          <w:tcPr>
            <w:tcW w:w="7470" w:type="dxa"/>
            <w:shd w:val="clear" w:color="auto" w:fill="auto"/>
          </w:tcPr>
          <w:p w:rsidR="00AB50C5" w:rsidRDefault="00724275">
            <w:pPr>
              <w:pStyle w:val="ListParagraph"/>
              <w:numPr>
                <w:ilvl w:val="0"/>
                <w:numId w:val="140"/>
              </w:numPr>
              <w:suppressAutoHyphens w:val="0"/>
              <w:spacing w:after="200"/>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16"/>
                <w:szCs w:val="16"/>
                <w:lang w:val="en-US"/>
              </w:rPr>
            </w:pPr>
            <w:r>
              <w:rPr>
                <w:rFonts w:eastAsia="Times New Roman" w:cs="Times New Roman"/>
                <w:noProof/>
                <w:sz w:val="16"/>
                <w:szCs w:val="16"/>
                <w:lang w:val="en-US"/>
              </w:rPr>
              <w:t>Pi</w:t>
            </w:r>
            <w:r>
              <w:rPr>
                <w:rFonts w:eastAsia="Times New Roman" w:cs="Times New Roman"/>
                <w:noProof/>
                <w:sz w:val="16"/>
                <w:szCs w:val="16"/>
                <w:lang w:val="en-US"/>
              </w:rPr>
              <w:t>gs must not be exposed to fodder irrigated with reclaimed water unless there is sufficient data to indicate the risks for a specific case can be managed.</w:t>
            </w:r>
          </w:p>
          <w:p w:rsidR="00AB50C5" w:rsidRDefault="00AB50C5">
            <w:pPr>
              <w:pStyle w:val="ListParagraph"/>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16"/>
                <w:szCs w:val="16"/>
                <w:lang w:val="en-US"/>
              </w:rPr>
            </w:pPr>
          </w:p>
          <w:p w:rsidR="00AB50C5" w:rsidRDefault="00AB50C5">
            <w:pPr>
              <w:cnfStyle w:val="000000100000" w:firstRow="0" w:lastRow="0" w:firstColumn="0" w:lastColumn="0" w:oddVBand="0" w:evenVBand="0" w:oddHBand="1" w:evenHBand="0" w:firstRowFirstColumn="0" w:firstRowLastColumn="0" w:lastRowFirstColumn="0" w:lastRowLastColumn="0"/>
              <w:rPr>
                <w:rFonts w:eastAsia="Times New Roman"/>
                <w:noProof/>
                <w:sz w:val="16"/>
                <w:szCs w:val="16"/>
                <w:lang w:val="en-US"/>
              </w:rPr>
            </w:pPr>
          </w:p>
        </w:tc>
      </w:tr>
      <w:tr w:rsidR="00AB50C5" w:rsidTr="00AB50C5">
        <w:trPr>
          <w:trHeight w:val="1066"/>
        </w:trPr>
        <w:tc>
          <w:tcPr>
            <w:cnfStyle w:val="001000000000" w:firstRow="0" w:lastRow="0" w:firstColumn="1" w:lastColumn="0" w:oddVBand="0" w:evenVBand="0" w:oddHBand="0" w:evenHBand="0" w:firstRowFirstColumn="0" w:firstRowLastColumn="0" w:lastRowFirstColumn="0" w:lastRowLastColumn="0"/>
            <w:tcW w:w="2155" w:type="dxa"/>
            <w:shd w:val="clear" w:color="auto" w:fill="auto"/>
          </w:tcPr>
          <w:p w:rsidR="00AB50C5" w:rsidRDefault="00724275">
            <w:pPr>
              <w:rPr>
                <w:noProof/>
                <w:sz w:val="16"/>
                <w:szCs w:val="16"/>
                <w:lang w:val="en-US" w:eastAsia="it-IT"/>
              </w:rPr>
            </w:pPr>
            <w:r>
              <w:rPr>
                <w:noProof/>
                <w:sz w:val="16"/>
                <w:szCs w:val="16"/>
                <w:lang w:val="en-US" w:eastAsia="it-IT"/>
              </w:rPr>
              <w:t>Class B</w:t>
            </w:r>
          </w:p>
        </w:tc>
        <w:tc>
          <w:tcPr>
            <w:tcW w:w="7470" w:type="dxa"/>
          </w:tcPr>
          <w:p w:rsidR="00AB50C5" w:rsidRDefault="00724275">
            <w:pPr>
              <w:pStyle w:val="ListParagraph"/>
              <w:numPr>
                <w:ilvl w:val="0"/>
                <w:numId w:val="140"/>
              </w:numPr>
              <w:suppressAutoHyphens w:val="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noProof/>
                <w:sz w:val="20"/>
                <w:szCs w:val="20"/>
                <w:lang w:val="en-US"/>
              </w:rPr>
            </w:pPr>
            <w:r>
              <w:rPr>
                <w:rFonts w:eastAsia="Times New Roman" w:cs="Times New Roman"/>
                <w:noProof/>
                <w:sz w:val="16"/>
                <w:szCs w:val="16"/>
                <w:lang w:val="en-US"/>
              </w:rPr>
              <w:t>Prohibition of harvesting of wet irrigated or dropped produce.</w:t>
            </w:r>
          </w:p>
          <w:p w:rsidR="00AB50C5" w:rsidRDefault="00724275">
            <w:pPr>
              <w:pStyle w:val="ListParagraph"/>
              <w:numPr>
                <w:ilvl w:val="0"/>
                <w:numId w:val="140"/>
              </w:numPr>
              <w:suppressAutoHyphens w:val="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noProof/>
                <w:sz w:val="16"/>
                <w:szCs w:val="16"/>
                <w:lang w:val="en-US"/>
              </w:rPr>
            </w:pPr>
            <w:r>
              <w:rPr>
                <w:rFonts w:eastAsia="Times New Roman" w:cs="Times New Roman"/>
                <w:noProof/>
                <w:sz w:val="16"/>
                <w:szCs w:val="16"/>
                <w:lang w:val="en-US"/>
              </w:rPr>
              <w:t xml:space="preserve">Exclude lactating dairy cattle from pasture until pasture is dry. </w:t>
            </w:r>
          </w:p>
          <w:p w:rsidR="00AB50C5" w:rsidRDefault="00724275">
            <w:pPr>
              <w:pStyle w:val="ListParagraph"/>
              <w:numPr>
                <w:ilvl w:val="0"/>
                <w:numId w:val="140"/>
              </w:numPr>
              <w:suppressAutoHyphens w:val="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noProof/>
                <w:sz w:val="16"/>
                <w:szCs w:val="16"/>
                <w:lang w:val="en-US"/>
              </w:rPr>
            </w:pPr>
            <w:r>
              <w:rPr>
                <w:rFonts w:eastAsia="Times New Roman" w:cs="Times New Roman"/>
                <w:noProof/>
                <w:sz w:val="16"/>
                <w:szCs w:val="16"/>
                <w:lang w:val="en-US"/>
              </w:rPr>
              <w:t xml:space="preserve">Fodder has to be dried or ensiled before packaging. </w:t>
            </w:r>
          </w:p>
          <w:p w:rsidR="00AB50C5" w:rsidRDefault="00724275">
            <w:pPr>
              <w:pStyle w:val="ListParagraph"/>
              <w:numPr>
                <w:ilvl w:val="0"/>
                <w:numId w:val="140"/>
              </w:numPr>
              <w:suppressAutoHyphens w:val="0"/>
              <w:spacing w:after="20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noProof/>
                <w:sz w:val="16"/>
                <w:szCs w:val="16"/>
                <w:lang w:val="en-US"/>
              </w:rPr>
            </w:pPr>
            <w:r>
              <w:rPr>
                <w:rFonts w:eastAsia="Times New Roman" w:cs="Times New Roman"/>
                <w:noProof/>
                <w:sz w:val="16"/>
                <w:szCs w:val="16"/>
                <w:lang w:val="en-US"/>
              </w:rPr>
              <w:t>Pigs must not be exposed to fodder irrigated with reclaimed water unless there is sufficient data to indicate the risks for a specific c</w:t>
            </w:r>
            <w:r>
              <w:rPr>
                <w:rFonts w:eastAsia="Times New Roman" w:cs="Times New Roman"/>
                <w:noProof/>
                <w:sz w:val="16"/>
                <w:szCs w:val="16"/>
                <w:lang w:val="en-US"/>
              </w:rPr>
              <w:t>ase can be managed.</w:t>
            </w:r>
          </w:p>
        </w:tc>
      </w:tr>
      <w:tr w:rsidR="00AB50C5" w:rsidTr="00AB50C5">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2155" w:type="dxa"/>
            <w:shd w:val="clear" w:color="auto" w:fill="auto"/>
          </w:tcPr>
          <w:p w:rsidR="00AB50C5" w:rsidRDefault="00724275">
            <w:pPr>
              <w:rPr>
                <w:noProof/>
                <w:sz w:val="16"/>
                <w:szCs w:val="16"/>
                <w:lang w:val="en-US" w:eastAsia="it-IT"/>
              </w:rPr>
            </w:pPr>
            <w:r>
              <w:rPr>
                <w:noProof/>
                <w:sz w:val="16"/>
                <w:szCs w:val="16"/>
                <w:lang w:val="en-US" w:eastAsia="it-IT"/>
              </w:rPr>
              <w:t>Class C</w:t>
            </w:r>
          </w:p>
        </w:tc>
        <w:tc>
          <w:tcPr>
            <w:tcW w:w="7470" w:type="dxa"/>
            <w:shd w:val="clear" w:color="auto" w:fill="auto"/>
          </w:tcPr>
          <w:p w:rsidR="00AB50C5" w:rsidRDefault="00724275">
            <w:pPr>
              <w:pStyle w:val="ListParagraph"/>
              <w:numPr>
                <w:ilvl w:val="0"/>
                <w:numId w:val="140"/>
              </w:numPr>
              <w:suppressAutoHyphens w:val="0"/>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20"/>
                <w:szCs w:val="20"/>
                <w:lang w:val="en-US"/>
              </w:rPr>
            </w:pPr>
            <w:r>
              <w:rPr>
                <w:rFonts w:eastAsia="Times New Roman" w:cs="Times New Roman"/>
                <w:noProof/>
                <w:sz w:val="16"/>
                <w:szCs w:val="16"/>
                <w:lang w:val="en-US"/>
              </w:rPr>
              <w:t>Prohibition of harvesting of wet irrigated or dropped produce.</w:t>
            </w:r>
          </w:p>
          <w:p w:rsidR="00AB50C5" w:rsidRDefault="00724275">
            <w:pPr>
              <w:pStyle w:val="ListParagraph"/>
              <w:numPr>
                <w:ilvl w:val="0"/>
                <w:numId w:val="140"/>
              </w:numPr>
              <w:suppressAutoHyphens w:val="0"/>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16"/>
                <w:szCs w:val="16"/>
                <w:lang w:val="en-US"/>
              </w:rPr>
            </w:pPr>
            <w:r>
              <w:rPr>
                <w:rFonts w:eastAsia="Times New Roman" w:cs="Times New Roman"/>
                <w:noProof/>
                <w:sz w:val="16"/>
                <w:szCs w:val="16"/>
                <w:lang w:val="en-US"/>
              </w:rPr>
              <w:t xml:space="preserve">Exclude grazing animals from pasture for five days after last irrigation. </w:t>
            </w:r>
          </w:p>
          <w:p w:rsidR="00AB50C5" w:rsidRDefault="00724275">
            <w:pPr>
              <w:pStyle w:val="ListParagraph"/>
              <w:numPr>
                <w:ilvl w:val="0"/>
                <w:numId w:val="140"/>
              </w:numPr>
              <w:suppressAutoHyphens w:val="0"/>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16"/>
                <w:szCs w:val="16"/>
                <w:lang w:val="en-US"/>
              </w:rPr>
            </w:pPr>
            <w:r>
              <w:rPr>
                <w:rFonts w:eastAsia="Times New Roman" w:cs="Times New Roman"/>
                <w:noProof/>
                <w:sz w:val="16"/>
                <w:szCs w:val="16"/>
                <w:lang w:val="en-US"/>
              </w:rPr>
              <w:t xml:space="preserve">Fodder has to be dried or ensiled before packaging. </w:t>
            </w:r>
          </w:p>
          <w:p w:rsidR="00AB50C5" w:rsidRDefault="00724275">
            <w:pPr>
              <w:pStyle w:val="ListParagraph"/>
              <w:numPr>
                <w:ilvl w:val="0"/>
                <w:numId w:val="140"/>
              </w:numPr>
              <w:suppressAutoHyphens w:val="0"/>
              <w:spacing w:after="200"/>
              <w:contextualSpacing/>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16"/>
                <w:szCs w:val="16"/>
                <w:lang w:val="en-US"/>
              </w:rPr>
            </w:pPr>
            <w:r>
              <w:rPr>
                <w:rFonts w:eastAsia="Times New Roman" w:cs="Times New Roman"/>
                <w:noProof/>
                <w:sz w:val="16"/>
                <w:szCs w:val="16"/>
                <w:lang w:val="en-US"/>
              </w:rPr>
              <w:t xml:space="preserve">Pigs must not be exposed to fodder </w:t>
            </w:r>
            <w:r>
              <w:rPr>
                <w:rFonts w:eastAsia="Times New Roman" w:cs="Times New Roman"/>
                <w:noProof/>
                <w:sz w:val="16"/>
                <w:szCs w:val="16"/>
                <w:lang w:val="en-US"/>
              </w:rPr>
              <w:t>irrigated with reclaimed water unless there is sufficient data to indicate the risks for a specific case can be managed.</w:t>
            </w:r>
          </w:p>
          <w:p w:rsidR="00AB50C5" w:rsidRDefault="00AB50C5">
            <w:pPr>
              <w:pStyle w:val="ListParagraph"/>
              <w:cnfStyle w:val="000000100000" w:firstRow="0" w:lastRow="0" w:firstColumn="0" w:lastColumn="0" w:oddVBand="0" w:evenVBand="0" w:oddHBand="1" w:evenHBand="0" w:firstRowFirstColumn="0" w:firstRowLastColumn="0" w:lastRowFirstColumn="0" w:lastRowLastColumn="0"/>
              <w:rPr>
                <w:rFonts w:eastAsia="Times New Roman" w:cs="Times New Roman"/>
                <w:noProof/>
                <w:sz w:val="16"/>
                <w:szCs w:val="16"/>
                <w:lang w:val="en-US"/>
              </w:rPr>
            </w:pPr>
          </w:p>
        </w:tc>
      </w:tr>
      <w:tr w:rsidR="00AB50C5" w:rsidTr="00AB50C5">
        <w:trPr>
          <w:trHeight w:val="895"/>
        </w:trPr>
        <w:tc>
          <w:tcPr>
            <w:cnfStyle w:val="001000000000" w:firstRow="0" w:lastRow="0" w:firstColumn="1" w:lastColumn="0" w:oddVBand="0" w:evenVBand="0" w:oddHBand="0" w:evenHBand="0" w:firstRowFirstColumn="0" w:firstRowLastColumn="0" w:lastRowFirstColumn="0" w:lastRowLastColumn="0"/>
            <w:tcW w:w="2155" w:type="dxa"/>
            <w:shd w:val="clear" w:color="auto" w:fill="auto"/>
          </w:tcPr>
          <w:p w:rsidR="00AB50C5" w:rsidRDefault="00724275">
            <w:pPr>
              <w:rPr>
                <w:noProof/>
                <w:sz w:val="16"/>
                <w:szCs w:val="16"/>
                <w:lang w:val="en-US" w:eastAsia="it-IT"/>
              </w:rPr>
            </w:pPr>
            <w:r>
              <w:rPr>
                <w:noProof/>
                <w:sz w:val="16"/>
                <w:szCs w:val="16"/>
                <w:lang w:val="en-US" w:eastAsia="it-IT"/>
              </w:rPr>
              <w:t>Class D</w:t>
            </w:r>
          </w:p>
        </w:tc>
        <w:tc>
          <w:tcPr>
            <w:tcW w:w="7470" w:type="dxa"/>
          </w:tcPr>
          <w:p w:rsidR="00AB50C5" w:rsidRDefault="00724275">
            <w:pPr>
              <w:pStyle w:val="ListParagraph"/>
              <w:numPr>
                <w:ilvl w:val="0"/>
                <w:numId w:val="140"/>
              </w:numPr>
              <w:suppressAutoHyphens w:val="0"/>
              <w:contextualSpacing/>
              <w:cnfStyle w:val="000000000000" w:firstRow="0" w:lastRow="0" w:firstColumn="0" w:lastColumn="0" w:oddVBand="0" w:evenVBand="0" w:oddHBand="0" w:evenHBand="0" w:firstRowFirstColumn="0" w:firstRowLastColumn="0" w:lastRowFirstColumn="0" w:lastRowLastColumn="0"/>
              <w:rPr>
                <w:rFonts w:eastAsia="Times New Roman" w:cs="Times New Roman"/>
                <w:noProof/>
                <w:sz w:val="20"/>
                <w:szCs w:val="20"/>
                <w:lang w:val="en-US"/>
              </w:rPr>
            </w:pPr>
            <w:r>
              <w:rPr>
                <w:rFonts w:eastAsia="Times New Roman" w:cs="Times New Roman"/>
                <w:noProof/>
                <w:sz w:val="16"/>
                <w:szCs w:val="16"/>
                <w:lang w:val="en-US"/>
              </w:rPr>
              <w:t>Prohibition of harvesting of wet irrigated or dropped produce.</w:t>
            </w:r>
          </w:p>
        </w:tc>
      </w:tr>
    </w:tbl>
    <w:p w:rsidR="00AB50C5" w:rsidRDefault="00724275">
      <w:pPr>
        <w:pStyle w:val="JRCText"/>
        <w:jc w:val="left"/>
        <w:rPr>
          <w:noProof/>
          <w:sz w:val="16"/>
          <w:szCs w:val="16"/>
        </w:rPr>
      </w:pPr>
      <w:r>
        <w:rPr>
          <w:i/>
          <w:noProof/>
          <w:sz w:val="16"/>
          <w:szCs w:val="16"/>
        </w:rPr>
        <w:t>Source:</w:t>
      </w:r>
      <w:r>
        <w:rPr>
          <w:noProof/>
          <w:sz w:val="16"/>
          <w:szCs w:val="16"/>
        </w:rPr>
        <w:t xml:space="preserve"> JRC analysis.</w:t>
      </w:r>
    </w:p>
    <w:p w:rsidR="00AB50C5" w:rsidRDefault="0072427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reclaimed water quality requirements and preventive measures are an integral part of the risk management framework for water reuse in agriculture. It is clearly emerging that the more "site-specific" risks, which are mostly related to environmental iss</w:t>
      </w:r>
      <w:r>
        <w:rPr>
          <w:rFonts w:ascii="Times New Roman" w:hAnsi="Times New Roman" w:cs="Times New Roman"/>
          <w:noProof/>
          <w:sz w:val="24"/>
          <w:szCs w:val="24"/>
        </w:rPr>
        <w:t xml:space="preserve">ues, are handled either under the umbrella of the Water Framework Directive and its Daughter Directives or subject to the development of specific risk assessments considering local conditions. </w:t>
      </w:r>
    </w:p>
    <w:p w:rsidR="00AB50C5" w:rsidRDefault="00724275">
      <w:pPr>
        <w:pStyle w:val="JRCLevel-2title"/>
        <w:rPr>
          <w:rFonts w:ascii="Times New Roman" w:hAnsi="Times New Roman"/>
          <w:noProof/>
          <w:szCs w:val="24"/>
        </w:rPr>
      </w:pPr>
      <w:bookmarkStart w:id="61" w:name="_Toc498695681"/>
      <w:bookmarkStart w:id="62" w:name="_Toc516234763"/>
      <w:r>
        <w:rPr>
          <w:rFonts w:ascii="Times New Roman" w:hAnsi="Times New Roman"/>
          <w:noProof/>
          <w:szCs w:val="24"/>
        </w:rPr>
        <w:t>Justification for the selected quality requirements</w:t>
      </w:r>
      <w:bookmarkEnd w:id="61"/>
      <w:bookmarkEnd w:id="62"/>
    </w:p>
    <w:p w:rsidR="00AB50C5" w:rsidRDefault="00724275">
      <w:pPr>
        <w:spacing w:after="0" w:line="240" w:lineRule="auto"/>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 xml:space="preserve">The </w:t>
      </w:r>
      <w:r>
        <w:rPr>
          <w:rFonts w:ascii="Times New Roman" w:hAnsi="Times New Roman" w:cs="Times New Roman"/>
          <w:noProof/>
          <w:sz w:val="24"/>
          <w:szCs w:val="24"/>
          <w:lang w:val="en-US" w:eastAsia="it-IT"/>
        </w:rPr>
        <w:t>quality requirements have been established following the risk management approach. This framework is recommended by the WHO Guidelines for the Safe Use of Wastewater, Excreta and Greywater (WHO, 2006) and it has been applied and further detailed in the Aus</w:t>
      </w:r>
      <w:r>
        <w:rPr>
          <w:rFonts w:ascii="Times New Roman" w:hAnsi="Times New Roman" w:cs="Times New Roman"/>
          <w:noProof/>
          <w:sz w:val="24"/>
          <w:szCs w:val="24"/>
          <w:lang w:val="en-US" w:eastAsia="it-IT"/>
        </w:rPr>
        <w:t>tralian Guidelines for Water Recycling (NRMMC–EPHC–AHMC, 2006).</w:t>
      </w:r>
    </w:p>
    <w:p w:rsidR="00AB50C5" w:rsidRDefault="00AB50C5">
      <w:pPr>
        <w:spacing w:after="0" w:line="240" w:lineRule="auto"/>
        <w:jc w:val="both"/>
        <w:rPr>
          <w:rFonts w:ascii="Times New Roman" w:hAnsi="Times New Roman" w:cs="Times New Roman"/>
          <w:noProof/>
          <w:sz w:val="24"/>
          <w:szCs w:val="24"/>
          <w:lang w:val="en-US" w:eastAsia="it-IT"/>
        </w:rPr>
      </w:pPr>
    </w:p>
    <w:p w:rsidR="00AB50C5" w:rsidRDefault="00724275">
      <w:pPr>
        <w:spacing w:after="0" w:line="240" w:lineRule="auto"/>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There was no specific risk assessment with European data performed for the present document to evaluate water reuse schemes for agricultural irrigation. The selection of the minimum quality r</w:t>
      </w:r>
      <w:r>
        <w:rPr>
          <w:rFonts w:ascii="Times New Roman" w:hAnsi="Times New Roman" w:cs="Times New Roman"/>
          <w:noProof/>
          <w:sz w:val="24"/>
          <w:szCs w:val="24"/>
          <w:lang w:val="en-US" w:eastAsia="it-IT"/>
        </w:rPr>
        <w:t xml:space="preserve">equirements established is based on existing water reuse guidelines and MS regulations, and on the health and environmental risks considered by them. </w:t>
      </w:r>
    </w:p>
    <w:p w:rsidR="00AB50C5" w:rsidRDefault="00724275">
      <w:pPr>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The health and environmental risks related to water reuse in agricultural irrigation are associated to th</w:t>
      </w:r>
      <w:r>
        <w:rPr>
          <w:rFonts w:ascii="Times New Roman" w:hAnsi="Times New Roman" w:cs="Times New Roman"/>
          <w:noProof/>
          <w:sz w:val="24"/>
          <w:szCs w:val="24"/>
          <w:lang w:val="en-US"/>
        </w:rPr>
        <w:t>e potential presence of pathogens and physico-chemical constituents that may pose a risk to human and animal health, and to environmental matrices.</w:t>
      </w:r>
    </w:p>
    <w:p w:rsidR="00AB50C5" w:rsidRDefault="00724275">
      <w:pPr>
        <w:pStyle w:val="JRCLevel-3title"/>
        <w:rPr>
          <w:rFonts w:ascii="Times New Roman" w:hAnsi="Times New Roman"/>
          <w:noProof/>
          <w:sz w:val="24"/>
          <w:lang w:val="en-US"/>
        </w:rPr>
      </w:pPr>
      <w:bookmarkStart w:id="63" w:name="_Toc498695682"/>
      <w:bookmarkStart w:id="64" w:name="_Toc516234764"/>
      <w:r>
        <w:rPr>
          <w:rFonts w:ascii="Times New Roman" w:hAnsi="Times New Roman"/>
          <w:noProof/>
          <w:sz w:val="24"/>
          <w:lang w:val="en-US"/>
        </w:rPr>
        <w:t>Health and environmental risks considered for agricultural irrigation</w:t>
      </w:r>
      <w:bookmarkEnd w:id="63"/>
      <w:bookmarkEnd w:id="64"/>
    </w:p>
    <w:p w:rsidR="00AB50C5" w:rsidRDefault="00724275">
      <w:pPr>
        <w:spacing w:after="0" w:line="240" w:lineRule="auto"/>
        <w:jc w:val="both"/>
        <w:rPr>
          <w:rFonts w:ascii="Times New Roman" w:hAnsi="Times New Roman" w:cs="Times New Roman"/>
          <w:noProof/>
          <w:sz w:val="24"/>
          <w:szCs w:val="24"/>
          <w:lang w:val="en-US" w:eastAsia="en-AU"/>
        </w:rPr>
      </w:pPr>
      <w:r>
        <w:rPr>
          <w:rFonts w:ascii="Times New Roman" w:hAnsi="Times New Roman" w:cs="Times New Roman"/>
          <w:noProof/>
          <w:sz w:val="24"/>
          <w:szCs w:val="24"/>
          <w:lang w:val="en-US"/>
        </w:rPr>
        <w:t>Health risks considered in this docume</w:t>
      </w:r>
      <w:r>
        <w:rPr>
          <w:rFonts w:ascii="Times New Roman" w:hAnsi="Times New Roman" w:cs="Times New Roman"/>
          <w:noProof/>
          <w:sz w:val="24"/>
          <w:szCs w:val="24"/>
          <w:lang w:val="en-US"/>
        </w:rPr>
        <w:t xml:space="preserve">nt are established based on the exposure scenarios </w:t>
      </w:r>
      <w:r>
        <w:rPr>
          <w:rFonts w:ascii="Times New Roman" w:hAnsi="Times New Roman" w:cs="Times New Roman"/>
          <w:noProof/>
          <w:sz w:val="24"/>
          <w:szCs w:val="24"/>
          <w:lang w:val="en-US" w:eastAsia="en-AU"/>
        </w:rPr>
        <w:t>recommended by WHO guidelines (WHO, 2006), which are the following:</w:t>
      </w:r>
    </w:p>
    <w:p w:rsidR="00AB50C5" w:rsidRDefault="00724275">
      <w:pPr>
        <w:pStyle w:val="JRCTextbulletedlist1"/>
        <w:rPr>
          <w:rFonts w:ascii="Times New Roman" w:hAnsi="Times New Roman"/>
          <w:noProof/>
          <w:sz w:val="24"/>
          <w:szCs w:val="24"/>
          <w:lang w:val="en-US" w:eastAsia="en-AU"/>
        </w:rPr>
      </w:pPr>
      <w:r>
        <w:rPr>
          <w:rFonts w:ascii="Times New Roman" w:hAnsi="Times New Roman"/>
          <w:noProof/>
          <w:sz w:val="24"/>
          <w:szCs w:val="24"/>
          <w:lang w:val="en-US" w:eastAsia="en-AU"/>
        </w:rPr>
        <w:t>Ingestion of irrigated crops by consumers.</w:t>
      </w:r>
    </w:p>
    <w:p w:rsidR="00AB50C5" w:rsidRDefault="00724275">
      <w:pPr>
        <w:pStyle w:val="JRCTextbulletedlist1"/>
        <w:rPr>
          <w:rFonts w:ascii="Times New Roman" w:hAnsi="Times New Roman"/>
          <w:noProof/>
          <w:sz w:val="24"/>
          <w:szCs w:val="24"/>
          <w:lang w:val="en-US" w:eastAsia="en-AU"/>
        </w:rPr>
      </w:pPr>
      <w:r>
        <w:rPr>
          <w:rFonts w:ascii="Times New Roman" w:hAnsi="Times New Roman"/>
          <w:noProof/>
          <w:sz w:val="24"/>
          <w:szCs w:val="24"/>
          <w:lang w:val="en-US" w:eastAsia="en-AU"/>
        </w:rPr>
        <w:t xml:space="preserve">Ingestion of droplets (produced by sprinkler irrigation) by workers, bystanders and residents </w:t>
      </w:r>
      <w:r>
        <w:rPr>
          <w:rFonts w:ascii="Times New Roman" w:hAnsi="Times New Roman"/>
          <w:noProof/>
          <w:sz w:val="24"/>
          <w:szCs w:val="24"/>
          <w:lang w:val="en-US" w:eastAsia="en-AU"/>
        </w:rPr>
        <w:t xml:space="preserve">in nearby communities. </w:t>
      </w:r>
    </w:p>
    <w:p w:rsidR="00AB50C5" w:rsidRDefault="00724275">
      <w:pPr>
        <w:pStyle w:val="JRCTextbulletedlist1"/>
        <w:rPr>
          <w:rFonts w:ascii="Times New Roman" w:hAnsi="Times New Roman"/>
          <w:noProof/>
          <w:sz w:val="24"/>
          <w:szCs w:val="24"/>
          <w:lang w:val="en-US" w:eastAsia="en-AU"/>
        </w:rPr>
      </w:pPr>
      <w:r>
        <w:rPr>
          <w:rFonts w:ascii="Times New Roman" w:hAnsi="Times New Roman"/>
          <w:noProof/>
          <w:sz w:val="24"/>
          <w:szCs w:val="24"/>
          <w:lang w:val="en-US" w:eastAsia="en-AU"/>
        </w:rPr>
        <w:t xml:space="preserve">Inhalation of aerosols (produced by sprinkler irrigation) by workers, bystanders and residents in nearby communities. </w:t>
      </w:r>
    </w:p>
    <w:p w:rsidR="00AB50C5" w:rsidRDefault="00724275">
      <w:pPr>
        <w:pStyle w:val="JRCTextbulletedlist1"/>
        <w:rPr>
          <w:rFonts w:ascii="Times New Roman" w:hAnsi="Times New Roman"/>
          <w:noProof/>
          <w:sz w:val="24"/>
          <w:szCs w:val="24"/>
          <w:lang w:val="en-US" w:eastAsia="en-AU"/>
        </w:rPr>
      </w:pPr>
      <w:r>
        <w:rPr>
          <w:rFonts w:ascii="Times New Roman" w:hAnsi="Times New Roman"/>
          <w:noProof/>
          <w:sz w:val="24"/>
          <w:szCs w:val="24"/>
          <w:lang w:val="en-US" w:eastAsia="en-AU"/>
        </w:rPr>
        <w:t>Dermal exposure by workers, bystanders and residents in nearby communities.</w:t>
      </w:r>
    </w:p>
    <w:p w:rsidR="00AB50C5" w:rsidRDefault="00724275">
      <w:pPr>
        <w:pStyle w:val="JRCTextbulletedlist1"/>
        <w:rPr>
          <w:rFonts w:ascii="Times New Roman" w:hAnsi="Times New Roman"/>
          <w:noProof/>
          <w:sz w:val="24"/>
          <w:szCs w:val="24"/>
          <w:lang w:val="en-US" w:eastAsia="en-AU"/>
        </w:rPr>
      </w:pPr>
      <w:r>
        <w:rPr>
          <w:rFonts w:ascii="Times New Roman" w:hAnsi="Times New Roman"/>
          <w:noProof/>
          <w:sz w:val="24"/>
          <w:szCs w:val="24"/>
          <w:lang w:val="en-US" w:eastAsia="en-AU"/>
        </w:rPr>
        <w:t>Ingestion of soil particles by worker</w:t>
      </w:r>
      <w:r>
        <w:rPr>
          <w:rFonts w:ascii="Times New Roman" w:hAnsi="Times New Roman"/>
          <w:noProof/>
          <w:sz w:val="24"/>
          <w:szCs w:val="24"/>
          <w:lang w:val="en-US" w:eastAsia="en-AU"/>
        </w:rPr>
        <w:t>s, bystanders and residents in nearby communities.</w:t>
      </w:r>
    </w:p>
    <w:p w:rsidR="00AB50C5" w:rsidRDefault="00724275">
      <w:pPr>
        <w:pStyle w:val="JRCTextbulletedlist1"/>
        <w:rPr>
          <w:rFonts w:ascii="Times New Roman" w:hAnsi="Times New Roman"/>
          <w:noProof/>
          <w:sz w:val="24"/>
          <w:szCs w:val="24"/>
          <w:lang w:val="en-US" w:eastAsia="en-AU"/>
        </w:rPr>
      </w:pPr>
      <w:r>
        <w:rPr>
          <w:rFonts w:ascii="Times New Roman" w:hAnsi="Times New Roman"/>
          <w:noProof/>
          <w:sz w:val="24"/>
          <w:szCs w:val="24"/>
          <w:lang w:val="en-US" w:eastAsia="en-AU"/>
        </w:rPr>
        <w:t>Ingestion of pastures and fodder by milk- or meat-producing animals (human and animal health).</w:t>
      </w:r>
    </w:p>
    <w:p w:rsidR="00AB50C5" w:rsidRDefault="00724275">
      <w:pPr>
        <w:pStyle w:val="JRCTextbulletedlist1"/>
        <w:rPr>
          <w:rFonts w:ascii="Times New Roman" w:hAnsi="Times New Roman"/>
          <w:noProof/>
          <w:sz w:val="24"/>
          <w:szCs w:val="24"/>
          <w:lang w:val="en-US" w:eastAsia="en-AU"/>
        </w:rPr>
      </w:pPr>
      <w:r>
        <w:rPr>
          <w:rFonts w:ascii="Times New Roman" w:hAnsi="Times New Roman"/>
          <w:noProof/>
          <w:sz w:val="24"/>
          <w:szCs w:val="24"/>
          <w:lang w:val="en-US" w:eastAsia="en-AU"/>
        </w:rPr>
        <w:t>Contamination of drinking water sources.</w:t>
      </w:r>
    </w:p>
    <w:p w:rsidR="00AB50C5" w:rsidRDefault="00724275">
      <w:pPr>
        <w:spacing w:after="0" w:line="240" w:lineRule="auto"/>
        <w:ind w:hanging="1"/>
        <w:jc w:val="both"/>
        <w:rPr>
          <w:rFonts w:ascii="Times New Roman" w:hAnsi="Times New Roman" w:cs="Times New Roman"/>
          <w:noProof/>
          <w:sz w:val="24"/>
          <w:szCs w:val="24"/>
          <w:lang w:val="en-US" w:eastAsia="en-AU"/>
        </w:rPr>
      </w:pPr>
      <w:r>
        <w:rPr>
          <w:rFonts w:ascii="Times New Roman" w:hAnsi="Times New Roman" w:cs="Times New Roman"/>
          <w:noProof/>
          <w:sz w:val="24"/>
          <w:szCs w:val="24"/>
          <w:lang w:val="en-US"/>
        </w:rPr>
        <w:t>The environmental risks considered are based on the principle of no a</w:t>
      </w:r>
      <w:r>
        <w:rPr>
          <w:rFonts w:ascii="Times New Roman" w:hAnsi="Times New Roman" w:cs="Times New Roman"/>
          <w:noProof/>
          <w:sz w:val="24"/>
          <w:szCs w:val="24"/>
          <w:lang w:val="en-US"/>
        </w:rPr>
        <w:t>dverse effects to be caused to environmental matrices, according to their present status, in compliance with the related EU</w:t>
      </w:r>
      <w:r>
        <w:rPr>
          <w:rFonts w:cs="TimesNewRomanPSMT"/>
          <w:noProof/>
          <w:szCs w:val="20"/>
          <w:lang w:val="en-US"/>
        </w:rPr>
        <w:t xml:space="preserve"> directives for environmental protection mentioned above. In complementarity, specific environmental risks assessments related to wat</w:t>
      </w:r>
      <w:r>
        <w:rPr>
          <w:rFonts w:cs="TimesNewRomanPSMT"/>
          <w:noProof/>
          <w:szCs w:val="20"/>
          <w:lang w:val="en-US"/>
        </w:rPr>
        <w:t xml:space="preserve">er reuse for agricultural irrigation established in </w:t>
      </w:r>
      <w:r>
        <w:rPr>
          <w:rFonts w:ascii="Times New Roman" w:hAnsi="Times New Roman" w:cs="Times New Roman"/>
          <w:noProof/>
          <w:sz w:val="24"/>
          <w:szCs w:val="24"/>
          <w:lang w:val="en-US"/>
        </w:rPr>
        <w:t xml:space="preserve">different guidelines for the environmental matrices (soil, groundwater, surface water, plants, and dependent ecosystems) (WHO, 2006; </w:t>
      </w:r>
      <w:r>
        <w:rPr>
          <w:rFonts w:ascii="Times New Roman" w:hAnsi="Times New Roman" w:cs="Times New Roman"/>
          <w:noProof/>
          <w:sz w:val="24"/>
          <w:szCs w:val="24"/>
          <w:lang w:val="en-US" w:eastAsia="it-IT"/>
        </w:rPr>
        <w:t xml:space="preserve">NRMMC–EPHC–AHMC, 2006) have been also considered. These guidelines </w:t>
      </w:r>
      <w:r>
        <w:rPr>
          <w:rFonts w:ascii="Times New Roman" w:hAnsi="Times New Roman" w:cs="Times New Roman"/>
          <w:noProof/>
          <w:sz w:val="24"/>
          <w:szCs w:val="24"/>
          <w:lang w:val="en-US" w:eastAsia="it-IT"/>
        </w:rPr>
        <w:t>include risks of s</w:t>
      </w:r>
      <w:r>
        <w:rPr>
          <w:rFonts w:ascii="Times New Roman" w:hAnsi="Times New Roman" w:cs="Times New Roman"/>
          <w:noProof/>
          <w:sz w:val="24"/>
          <w:szCs w:val="24"/>
          <w:lang w:val="en-US" w:eastAsia="en-AU"/>
        </w:rPr>
        <w:t>alinization, eutrophication</w:t>
      </w:r>
      <w:r>
        <w:rPr>
          <w:rFonts w:ascii="Times New Roman" w:hAnsi="Times New Roman" w:cs="Times New Roman"/>
          <w:noProof/>
          <w:sz w:val="24"/>
          <w:szCs w:val="24"/>
          <w:lang w:val="en-US" w:eastAsia="it-IT"/>
        </w:rPr>
        <w:t>, t</w:t>
      </w:r>
      <w:r>
        <w:rPr>
          <w:rFonts w:ascii="Times New Roman" w:hAnsi="Times New Roman" w:cs="Times New Roman"/>
          <w:noProof/>
          <w:sz w:val="24"/>
          <w:szCs w:val="24"/>
          <w:lang w:val="en-US" w:eastAsia="en-AU"/>
        </w:rPr>
        <w:t>oxicity</w:t>
      </w:r>
      <w:r>
        <w:rPr>
          <w:rFonts w:ascii="Times New Roman" w:hAnsi="Times New Roman" w:cs="Times New Roman"/>
          <w:noProof/>
          <w:sz w:val="24"/>
          <w:szCs w:val="24"/>
          <w:lang w:val="en-US" w:eastAsia="it-IT"/>
        </w:rPr>
        <w:t>, and s</w:t>
      </w:r>
      <w:r>
        <w:rPr>
          <w:rFonts w:ascii="Times New Roman" w:hAnsi="Times New Roman" w:cs="Times New Roman"/>
          <w:noProof/>
          <w:sz w:val="24"/>
          <w:szCs w:val="24"/>
          <w:lang w:val="en-US" w:eastAsia="en-AU"/>
        </w:rPr>
        <w:t>oil structure decline, among others.</w:t>
      </w:r>
    </w:p>
    <w:p w:rsidR="00AB50C5" w:rsidRDefault="00724275">
      <w:pPr>
        <w:pStyle w:val="JRCLevel-3title"/>
        <w:rPr>
          <w:rFonts w:ascii="Times New Roman" w:hAnsi="Times New Roman"/>
          <w:noProof/>
          <w:sz w:val="24"/>
          <w:lang w:val="en-US"/>
        </w:rPr>
      </w:pPr>
      <w:bookmarkStart w:id="65" w:name="_Toc498695683"/>
      <w:bookmarkStart w:id="66" w:name="_Toc516234765"/>
      <w:r>
        <w:rPr>
          <w:rFonts w:ascii="Times New Roman" w:hAnsi="Times New Roman"/>
          <w:noProof/>
          <w:sz w:val="24"/>
          <w:lang w:val="en-US"/>
        </w:rPr>
        <w:t>Tolerable risk for human health</w:t>
      </w:r>
      <w:bookmarkEnd w:id="65"/>
      <w:bookmarkEnd w:id="66"/>
    </w:p>
    <w:p w:rsidR="00AB50C5" w:rsidRDefault="00724275">
      <w:pPr>
        <w:spacing w:after="0" w:line="240" w:lineRule="auto"/>
        <w:ind w:hanging="1"/>
        <w:jc w:val="both"/>
        <w:rPr>
          <w:rFonts w:ascii="Times New Roman" w:hAnsi="Times New Roman" w:cs="Times New Roman"/>
          <w:noProof/>
          <w:sz w:val="24"/>
          <w:szCs w:val="24"/>
          <w:shd w:val="clear" w:color="auto" w:fill="FFFFFF"/>
          <w:lang w:val="en-US"/>
        </w:rPr>
      </w:pPr>
      <w:r>
        <w:rPr>
          <w:rFonts w:ascii="Times New Roman" w:hAnsi="Times New Roman" w:cs="Times New Roman"/>
          <w:noProof/>
          <w:sz w:val="24"/>
          <w:szCs w:val="24"/>
          <w:shd w:val="clear" w:color="auto" w:fill="FFFFFF"/>
          <w:lang w:val="en-US"/>
        </w:rPr>
        <w:t xml:space="preserve">The definition of a tolerable risk as a health-outcome target is required by the risk management framework to develop the </w:t>
      </w:r>
      <w:r>
        <w:rPr>
          <w:rFonts w:ascii="Times New Roman" w:hAnsi="Times New Roman" w:cs="Times New Roman"/>
          <w:noProof/>
          <w:sz w:val="24"/>
          <w:szCs w:val="24"/>
          <w:shd w:val="clear" w:color="auto" w:fill="FFFFFF"/>
          <w:lang w:val="en-US"/>
        </w:rPr>
        <w:t>other health-based targets (performance targets and water quality targets).</w:t>
      </w:r>
    </w:p>
    <w:p w:rsidR="00AB50C5" w:rsidRDefault="00AB50C5">
      <w:pPr>
        <w:spacing w:after="0" w:line="240" w:lineRule="auto"/>
        <w:ind w:hanging="1"/>
        <w:jc w:val="both"/>
        <w:rPr>
          <w:rFonts w:ascii="Times New Roman" w:hAnsi="Times New Roman" w:cs="Times New Roman"/>
          <w:noProof/>
          <w:sz w:val="24"/>
          <w:szCs w:val="24"/>
          <w:shd w:val="clear" w:color="auto" w:fill="FFFFFF"/>
          <w:lang w:val="en-US"/>
        </w:rPr>
      </w:pPr>
    </w:p>
    <w:p w:rsidR="00AB50C5" w:rsidRDefault="00724275">
      <w:pPr>
        <w:spacing w:after="0" w:line="240" w:lineRule="auto"/>
        <w:ind w:hanging="1"/>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Although the management of health risks is context specific, the WHO guidelines consider that the overall levels of health protection should be comparable for different water-rela</w:t>
      </w:r>
      <w:r>
        <w:rPr>
          <w:rFonts w:ascii="Times New Roman" w:hAnsi="Times New Roman" w:cs="Times New Roman"/>
          <w:noProof/>
          <w:sz w:val="24"/>
          <w:szCs w:val="24"/>
          <w:lang w:val="en-US" w:eastAsia="it-IT"/>
        </w:rPr>
        <w:t xml:space="preserve">ted exposures (i.e. drinking water, reclaimed water irrigation of foods). </w:t>
      </w:r>
    </w:p>
    <w:p w:rsidR="00AB50C5" w:rsidRDefault="00AB50C5">
      <w:pPr>
        <w:spacing w:after="0" w:line="240" w:lineRule="auto"/>
        <w:ind w:hanging="1"/>
        <w:jc w:val="both"/>
        <w:rPr>
          <w:rFonts w:ascii="Times New Roman" w:hAnsi="Times New Roman" w:cs="Times New Roman"/>
          <w:noProof/>
          <w:sz w:val="24"/>
          <w:szCs w:val="24"/>
          <w:lang w:val="en-US" w:eastAsia="it-IT"/>
        </w:rPr>
      </w:pPr>
    </w:p>
    <w:p w:rsidR="00AB50C5" w:rsidRDefault="00724275">
      <w:pPr>
        <w:spacing w:after="0" w:line="240" w:lineRule="auto"/>
        <w:ind w:hanging="1"/>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 xml:space="preserve">The WHO Guidelines for Drinking Water Quality (WHO, 2004 and 2011) establish the tolerable burden of disease (caused by either a chemical or an infectious agent) as an upper limit </w:t>
      </w:r>
      <w:r>
        <w:rPr>
          <w:rFonts w:ascii="Times New Roman" w:hAnsi="Times New Roman" w:cs="Times New Roman"/>
          <w:noProof/>
          <w:sz w:val="24"/>
          <w:szCs w:val="24"/>
          <w:lang w:val="en-US" w:eastAsia="it-IT"/>
        </w:rPr>
        <w:t>of 10</w:t>
      </w:r>
      <w:r>
        <w:rPr>
          <w:rFonts w:ascii="Times New Roman" w:hAnsi="Times New Roman" w:cs="Times New Roman"/>
          <w:noProof/>
          <w:sz w:val="24"/>
          <w:szCs w:val="24"/>
          <w:vertAlign w:val="superscript"/>
          <w:lang w:val="en-US" w:eastAsia="it-IT"/>
        </w:rPr>
        <w:t>–6</w:t>
      </w:r>
      <w:r>
        <w:rPr>
          <w:rFonts w:ascii="Times New Roman" w:hAnsi="Times New Roman" w:cs="Times New Roman"/>
          <w:noProof/>
          <w:sz w:val="24"/>
          <w:szCs w:val="24"/>
          <w:lang w:val="en-US" w:eastAsia="it-IT"/>
        </w:rPr>
        <w:t xml:space="preserve"> Disability Adjusted Life Years (DALYs) per person per year (pppy). This upper limit DALY is approximately equivalent to a 10</w:t>
      </w:r>
      <w:r>
        <w:rPr>
          <w:rFonts w:ascii="Times New Roman" w:hAnsi="Times New Roman" w:cs="Times New Roman"/>
          <w:noProof/>
          <w:sz w:val="24"/>
          <w:szCs w:val="24"/>
          <w:vertAlign w:val="superscript"/>
          <w:lang w:val="en-US" w:eastAsia="it-IT"/>
        </w:rPr>
        <w:t>−</w:t>
      </w:r>
      <w:r>
        <w:rPr>
          <w:rFonts w:ascii="Times New Roman" w:hAnsi="Times New Roman" w:cs="Times New Roman"/>
          <w:noProof/>
          <w:sz w:val="24"/>
          <w:szCs w:val="24"/>
          <w:vertAlign w:val="superscript"/>
          <w:lang w:val="en-US" w:eastAsia="it-IT"/>
        </w:rPr>
        <w:t>5</w:t>
      </w:r>
      <w:r>
        <w:rPr>
          <w:rFonts w:ascii="Times New Roman" w:hAnsi="Times New Roman" w:cs="Times New Roman"/>
          <w:noProof/>
          <w:sz w:val="24"/>
          <w:szCs w:val="24"/>
          <w:lang w:val="en-US" w:eastAsia="it-IT"/>
        </w:rPr>
        <w:t xml:space="preserve"> excess lifetime risk of cancer (i.e. 1 excess case of cancer per 100 000 people ingesting drinking-water at the water qua</w:t>
      </w:r>
      <w:r>
        <w:rPr>
          <w:rFonts w:ascii="Times New Roman" w:hAnsi="Times New Roman" w:cs="Times New Roman"/>
          <w:noProof/>
          <w:sz w:val="24"/>
          <w:szCs w:val="24"/>
          <w:lang w:val="en-US" w:eastAsia="it-IT"/>
        </w:rPr>
        <w:t>lity target daily over a lifetime that is used in the guidelines to determine guideline values for the maximum concentration of genotoxic carcinogens in drinking water), or an annual diarrhoeal risk of disease of 10</w:t>
      </w:r>
      <w:r>
        <w:rPr>
          <w:rFonts w:ascii="Times New Roman" w:hAnsi="Times New Roman" w:cs="Times New Roman"/>
          <w:noProof/>
          <w:sz w:val="24"/>
          <w:szCs w:val="24"/>
          <w:vertAlign w:val="superscript"/>
          <w:lang w:val="en-US" w:eastAsia="it-IT"/>
        </w:rPr>
        <w:t>-3</w:t>
      </w:r>
      <w:r>
        <w:rPr>
          <w:rFonts w:ascii="Times New Roman" w:hAnsi="Times New Roman" w:cs="Times New Roman"/>
          <w:noProof/>
          <w:sz w:val="24"/>
          <w:szCs w:val="24"/>
          <w:lang w:val="en-US" w:eastAsia="it-IT"/>
        </w:rPr>
        <w:t xml:space="preserve"> (i.e. one illness per 1000 people or 1</w:t>
      </w:r>
      <w:r>
        <w:rPr>
          <w:rFonts w:ascii="Times New Roman" w:hAnsi="Times New Roman" w:cs="Times New Roman"/>
          <w:noProof/>
          <w:sz w:val="24"/>
          <w:szCs w:val="24"/>
          <w:lang w:val="en-US" w:eastAsia="it-IT"/>
        </w:rPr>
        <w:t xml:space="preserve"> in 10 lifetime risk). These figures correspond closely to the 70-year lifetime waterborne cancer risk of 10</w:t>
      </w:r>
      <w:r>
        <w:rPr>
          <w:rFonts w:ascii="Times New Roman" w:hAnsi="Times New Roman" w:cs="Times New Roman"/>
          <w:noProof/>
          <w:sz w:val="24"/>
          <w:szCs w:val="24"/>
          <w:vertAlign w:val="superscript"/>
          <w:lang w:val="en-US" w:eastAsia="it-IT"/>
        </w:rPr>
        <w:t xml:space="preserve">-5 </w:t>
      </w:r>
      <w:r>
        <w:rPr>
          <w:rFonts w:ascii="Times New Roman" w:hAnsi="Times New Roman" w:cs="Times New Roman"/>
          <w:noProof/>
          <w:sz w:val="24"/>
          <w:szCs w:val="24"/>
          <w:lang w:val="en-US" w:eastAsia="it-IT"/>
        </w:rPr>
        <w:t>per person accepted by the USEPA (Mara, 2011). The tolerable</w:t>
      </w:r>
      <w:r>
        <w:rPr>
          <w:rFonts w:ascii="Times New Roman" w:hAnsi="Times New Roman" w:cs="Times New Roman"/>
          <w:noProof/>
          <w:sz w:val="24"/>
          <w:szCs w:val="24"/>
          <w:lang w:eastAsia="it-IT"/>
        </w:rPr>
        <w:t xml:space="preserve"> burden of disease of </w:t>
      </w:r>
      <w:r>
        <w:rPr>
          <w:rFonts w:ascii="Times New Roman" w:hAnsi="Times New Roman" w:cs="Times New Roman"/>
          <w:noProof/>
          <w:sz w:val="24"/>
          <w:szCs w:val="24"/>
          <w:lang w:val="en-US" w:eastAsia="it-IT"/>
        </w:rPr>
        <w:t>10</w:t>
      </w:r>
      <w:r>
        <w:rPr>
          <w:rFonts w:ascii="Times New Roman" w:hAnsi="Times New Roman" w:cs="Times New Roman"/>
          <w:noProof/>
          <w:sz w:val="24"/>
          <w:szCs w:val="24"/>
          <w:vertAlign w:val="superscript"/>
          <w:lang w:val="en-US" w:eastAsia="it-IT"/>
        </w:rPr>
        <w:t>–6</w:t>
      </w:r>
      <w:r>
        <w:rPr>
          <w:rFonts w:ascii="Times New Roman" w:hAnsi="Times New Roman" w:cs="Times New Roman"/>
          <w:noProof/>
          <w:sz w:val="24"/>
          <w:szCs w:val="24"/>
          <w:lang w:val="en-US" w:eastAsia="it-IT"/>
        </w:rPr>
        <w:t xml:space="preserve"> DALYs </w:t>
      </w:r>
      <w:r>
        <w:rPr>
          <w:rFonts w:ascii="Times New Roman" w:hAnsi="Times New Roman" w:cs="Times New Roman"/>
          <w:noProof/>
          <w:sz w:val="24"/>
          <w:szCs w:val="24"/>
          <w:lang w:eastAsia="it-IT"/>
        </w:rPr>
        <w:t>corresponds approximately to an infection risk of 10</w:t>
      </w:r>
      <w:r>
        <w:rPr>
          <w:rFonts w:ascii="Times New Roman" w:hAnsi="Times New Roman" w:cs="Times New Roman"/>
          <w:noProof/>
          <w:sz w:val="24"/>
          <w:szCs w:val="24"/>
          <w:vertAlign w:val="superscript"/>
          <w:lang w:eastAsia="it-IT"/>
        </w:rPr>
        <w:t>–3</w:t>
      </w:r>
      <w:r>
        <w:rPr>
          <w:rFonts w:ascii="Times New Roman" w:hAnsi="Times New Roman" w:cs="Times New Roman"/>
          <w:noProof/>
          <w:sz w:val="24"/>
          <w:szCs w:val="24"/>
          <w:lang w:eastAsia="it-IT"/>
        </w:rPr>
        <w:t xml:space="preserve"> ppy for rotavirus or </w:t>
      </w:r>
      <w:r>
        <w:rPr>
          <w:rFonts w:ascii="Times New Roman" w:hAnsi="Times New Roman" w:cs="Times New Roman"/>
          <w:i/>
          <w:noProof/>
          <w:sz w:val="24"/>
          <w:szCs w:val="24"/>
          <w:lang w:eastAsia="it-IT"/>
        </w:rPr>
        <w:t>Cryptosporidium</w:t>
      </w:r>
      <w:r>
        <w:rPr>
          <w:rFonts w:ascii="Times New Roman" w:hAnsi="Times New Roman" w:cs="Times New Roman"/>
          <w:noProof/>
          <w:sz w:val="24"/>
          <w:szCs w:val="24"/>
          <w:lang w:eastAsia="it-IT"/>
        </w:rPr>
        <w:t xml:space="preserve"> and 10</w:t>
      </w:r>
      <w:r>
        <w:rPr>
          <w:rFonts w:ascii="Times New Roman" w:hAnsi="Times New Roman" w:cs="Times New Roman"/>
          <w:noProof/>
          <w:sz w:val="24"/>
          <w:szCs w:val="24"/>
          <w:vertAlign w:val="superscript"/>
          <w:lang w:eastAsia="it-IT"/>
        </w:rPr>
        <w:t>-4</w:t>
      </w:r>
      <w:r>
        <w:rPr>
          <w:rFonts w:ascii="Times New Roman" w:hAnsi="Times New Roman" w:cs="Times New Roman"/>
          <w:noProof/>
          <w:sz w:val="24"/>
          <w:szCs w:val="24"/>
          <w:lang w:eastAsia="it-IT"/>
        </w:rPr>
        <w:t xml:space="preserve"> ppy for </w:t>
      </w:r>
      <w:r>
        <w:rPr>
          <w:rFonts w:ascii="Times New Roman" w:hAnsi="Times New Roman" w:cs="Times New Roman"/>
          <w:i/>
          <w:noProof/>
          <w:sz w:val="24"/>
          <w:szCs w:val="24"/>
          <w:lang w:eastAsia="it-IT"/>
        </w:rPr>
        <w:t>Campylobacter</w:t>
      </w:r>
      <w:r>
        <w:rPr>
          <w:rFonts w:ascii="Times New Roman" w:hAnsi="Times New Roman" w:cs="Times New Roman"/>
          <w:noProof/>
          <w:sz w:val="24"/>
          <w:szCs w:val="24"/>
          <w:lang w:val="en-US" w:eastAsia="it-IT"/>
        </w:rPr>
        <w:t xml:space="preserve"> (WHO, 2006; Mara, 2008).</w:t>
      </w:r>
    </w:p>
    <w:p w:rsidR="00AB50C5" w:rsidRDefault="00AB50C5">
      <w:pPr>
        <w:spacing w:after="0" w:line="240" w:lineRule="auto"/>
        <w:ind w:hanging="1"/>
        <w:jc w:val="both"/>
        <w:rPr>
          <w:rFonts w:ascii="Times New Roman" w:hAnsi="Times New Roman" w:cs="Times New Roman"/>
          <w:noProof/>
          <w:sz w:val="24"/>
          <w:szCs w:val="24"/>
          <w:lang w:val="en-US" w:eastAsia="it-IT"/>
        </w:rPr>
      </w:pPr>
    </w:p>
    <w:p w:rsidR="00AB50C5" w:rsidRDefault="00724275">
      <w:pPr>
        <w:spacing w:after="0" w:line="240" w:lineRule="auto"/>
        <w:ind w:hanging="1"/>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 xml:space="preserve">In the context of reclaimed water use, since food crops irrigated with reclaimed water, specially those eaten uncooked, are also expected to be as safe as </w:t>
      </w:r>
      <w:r>
        <w:rPr>
          <w:rFonts w:ascii="Times New Roman" w:hAnsi="Times New Roman" w:cs="Times New Roman"/>
          <w:noProof/>
          <w:sz w:val="24"/>
          <w:szCs w:val="24"/>
          <w:lang w:val="en-US" w:eastAsia="it-IT"/>
        </w:rPr>
        <w:t>drinking water by those who eat them, the WHO Guidelines for the Safe Use of Wastewater, Excreta and Greywater (WHO, 2006) also recommend the same tolerable level of risk of 10</w:t>
      </w:r>
      <w:r>
        <w:rPr>
          <w:rFonts w:ascii="Times New Roman" w:hAnsi="Times New Roman" w:cs="Times New Roman"/>
          <w:noProof/>
          <w:sz w:val="24"/>
          <w:szCs w:val="24"/>
          <w:vertAlign w:val="superscript"/>
          <w:lang w:val="en-US" w:eastAsia="it-IT"/>
        </w:rPr>
        <w:t>–6</w:t>
      </w:r>
      <w:r>
        <w:rPr>
          <w:rFonts w:ascii="Times New Roman" w:hAnsi="Times New Roman" w:cs="Times New Roman"/>
          <w:noProof/>
          <w:sz w:val="24"/>
          <w:szCs w:val="24"/>
          <w:lang w:val="en-US" w:eastAsia="it-IT"/>
        </w:rPr>
        <w:t xml:space="preserve"> DALYs. The tolerable risk adopted in the Australian Guidelines for Water Recy</w:t>
      </w:r>
      <w:r>
        <w:rPr>
          <w:rFonts w:ascii="Times New Roman" w:hAnsi="Times New Roman" w:cs="Times New Roman"/>
          <w:noProof/>
          <w:sz w:val="24"/>
          <w:szCs w:val="24"/>
          <w:lang w:val="en-US" w:eastAsia="it-IT"/>
        </w:rPr>
        <w:t>cling (NRMMC–EPHC–AHMC, 2006) is the same as the one selected by the WHO guidelines (WHO, 2006).</w:t>
      </w:r>
    </w:p>
    <w:p w:rsidR="00AB50C5" w:rsidRDefault="00724275">
      <w:pPr>
        <w:spacing w:after="0" w:line="240" w:lineRule="auto"/>
        <w:ind w:hanging="1"/>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 xml:space="preserve"> </w:t>
      </w:r>
    </w:p>
    <w:p w:rsidR="00AB50C5" w:rsidRDefault="00724275">
      <w:pPr>
        <w:spacing w:after="0" w:line="240" w:lineRule="auto"/>
        <w:ind w:hanging="1"/>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The 10</w:t>
      </w:r>
      <w:r>
        <w:rPr>
          <w:rFonts w:ascii="Times New Roman" w:hAnsi="Times New Roman" w:cs="Times New Roman"/>
          <w:noProof/>
          <w:sz w:val="24"/>
          <w:szCs w:val="24"/>
          <w:vertAlign w:val="superscript"/>
          <w:lang w:val="en-US" w:eastAsia="it-IT"/>
        </w:rPr>
        <w:t>–6</w:t>
      </w:r>
      <w:r>
        <w:rPr>
          <w:rFonts w:ascii="Times New Roman" w:hAnsi="Times New Roman" w:cs="Times New Roman"/>
          <w:noProof/>
          <w:sz w:val="24"/>
          <w:szCs w:val="24"/>
          <w:lang w:val="en-US" w:eastAsia="it-IT"/>
        </w:rPr>
        <w:t xml:space="preserve"> DALYs tolerable risk has been also selected for the Directive (98/83/EC) of water for human consumption (Drinking Water Directive (DWTD)) that consi</w:t>
      </w:r>
      <w:r>
        <w:rPr>
          <w:rFonts w:ascii="Times New Roman" w:hAnsi="Times New Roman" w:cs="Times New Roman"/>
          <w:noProof/>
          <w:sz w:val="24"/>
          <w:szCs w:val="24"/>
          <w:lang w:val="en-US" w:eastAsia="it-IT"/>
        </w:rPr>
        <w:t>ders as tolerable health risk a 10</w:t>
      </w:r>
      <w:r>
        <w:rPr>
          <w:rFonts w:ascii="Times New Roman" w:hAnsi="Times New Roman" w:cs="Times New Roman"/>
          <w:noProof/>
          <w:sz w:val="24"/>
          <w:szCs w:val="24"/>
          <w:vertAlign w:val="superscript"/>
          <w:lang w:val="en-US" w:eastAsia="it-IT"/>
        </w:rPr>
        <w:t>−</w:t>
      </w:r>
      <w:r>
        <w:rPr>
          <w:rFonts w:ascii="Times New Roman" w:hAnsi="Times New Roman" w:cs="Times New Roman"/>
          <w:noProof/>
          <w:sz w:val="24"/>
          <w:szCs w:val="24"/>
          <w:vertAlign w:val="superscript"/>
          <w:lang w:val="en-US" w:eastAsia="it-IT"/>
        </w:rPr>
        <w:t>5</w:t>
      </w:r>
      <w:r>
        <w:rPr>
          <w:rFonts w:ascii="Times New Roman" w:hAnsi="Times New Roman" w:cs="Times New Roman"/>
          <w:noProof/>
          <w:sz w:val="24"/>
          <w:szCs w:val="24"/>
          <w:lang w:val="en-US" w:eastAsia="it-IT"/>
        </w:rPr>
        <w:t xml:space="preserve"> excess lifetime risk of cancer, as recommended by the WHO. </w:t>
      </w:r>
    </w:p>
    <w:p w:rsidR="00AB50C5" w:rsidRDefault="00AB50C5">
      <w:pPr>
        <w:spacing w:after="0" w:line="240" w:lineRule="auto"/>
        <w:ind w:hanging="1"/>
        <w:jc w:val="both"/>
        <w:rPr>
          <w:rFonts w:ascii="Times New Roman" w:hAnsi="Times New Roman" w:cs="Times New Roman"/>
          <w:noProof/>
          <w:sz w:val="24"/>
          <w:szCs w:val="24"/>
          <w:lang w:val="en-US" w:eastAsia="it-IT"/>
        </w:rPr>
      </w:pPr>
    </w:p>
    <w:p w:rsidR="00AB50C5" w:rsidRDefault="00724275">
      <w:pPr>
        <w:spacing w:after="0" w:line="240" w:lineRule="auto"/>
        <w:ind w:hanging="1"/>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The other often referred benchmark level of acceptable risk is the one defined by the USEPA that considers one infection per 10000 individuals in a given year</w:t>
      </w:r>
      <w:r>
        <w:rPr>
          <w:rFonts w:ascii="Times New Roman" w:hAnsi="Times New Roman" w:cs="Times New Roman"/>
          <w:noProof/>
          <w:sz w:val="24"/>
          <w:szCs w:val="24"/>
          <w:lang w:val="en-US" w:eastAsia="it-IT"/>
        </w:rPr>
        <w:t xml:space="preserve"> (≤10</w:t>
      </w:r>
      <w:r>
        <w:rPr>
          <w:rFonts w:ascii="Times New Roman" w:hAnsi="Times New Roman" w:cs="Times New Roman"/>
          <w:noProof/>
          <w:sz w:val="24"/>
          <w:szCs w:val="24"/>
          <w:vertAlign w:val="superscript"/>
          <w:lang w:val="en-US" w:eastAsia="it-IT"/>
        </w:rPr>
        <w:t>−</w:t>
      </w:r>
      <w:r>
        <w:rPr>
          <w:rFonts w:ascii="Times New Roman" w:hAnsi="Times New Roman" w:cs="Times New Roman"/>
          <w:noProof/>
          <w:sz w:val="24"/>
          <w:szCs w:val="24"/>
          <w:vertAlign w:val="superscript"/>
          <w:lang w:val="en-US" w:eastAsia="it-IT"/>
        </w:rPr>
        <w:t>4</w:t>
      </w:r>
      <w:r>
        <w:rPr>
          <w:rFonts w:ascii="Times New Roman" w:hAnsi="Times New Roman" w:cs="Times New Roman"/>
          <w:noProof/>
          <w:sz w:val="24"/>
          <w:szCs w:val="24"/>
          <w:lang w:val="en-US" w:eastAsia="it-IT"/>
        </w:rPr>
        <w:t> pppy) as a reasonable level of safety for drinking water and also reclaimed water use (USEPA, 1989 and 2012). This number was derived in 1987 by determining the waterborne disease burden already tolerated in the United States. The USEPA does not us</w:t>
      </w:r>
      <w:r>
        <w:rPr>
          <w:rFonts w:ascii="Times New Roman" w:hAnsi="Times New Roman" w:cs="Times New Roman"/>
          <w:noProof/>
          <w:sz w:val="24"/>
          <w:szCs w:val="24"/>
          <w:lang w:val="en-US" w:eastAsia="it-IT"/>
        </w:rPr>
        <w:t>e the DALYs metric, and the tolerable risk of infection selected can be considered similar to the WHO guidelines tolerable risk, although comparisons are difficult due to the assumptions applied to derive them.</w:t>
      </w:r>
    </w:p>
    <w:p w:rsidR="00AB50C5" w:rsidRDefault="00AB50C5">
      <w:pPr>
        <w:spacing w:after="0" w:line="240" w:lineRule="auto"/>
        <w:ind w:hanging="1"/>
        <w:jc w:val="both"/>
        <w:rPr>
          <w:rFonts w:ascii="Times New Roman" w:hAnsi="Times New Roman" w:cs="Times New Roman"/>
          <w:noProof/>
          <w:sz w:val="24"/>
          <w:szCs w:val="24"/>
          <w:lang w:val="en-US" w:eastAsia="it-IT"/>
        </w:rPr>
      </w:pPr>
    </w:p>
    <w:p w:rsidR="00AB50C5" w:rsidRDefault="00724275">
      <w:pPr>
        <w:spacing w:after="0" w:line="240" w:lineRule="auto"/>
        <w:ind w:hanging="1"/>
        <w:jc w:val="both"/>
        <w:rPr>
          <w:rFonts w:ascii="Times New Roman" w:hAnsi="Times New Roman" w:cs="Times New Roman"/>
          <w:noProof/>
          <w:sz w:val="24"/>
          <w:szCs w:val="24"/>
          <w:shd w:val="clear" w:color="auto" w:fill="FFFFFF"/>
          <w:lang w:val="en-US"/>
        </w:rPr>
      </w:pPr>
      <w:r>
        <w:rPr>
          <w:rFonts w:ascii="Times New Roman" w:hAnsi="Times New Roman" w:cs="Times New Roman"/>
          <w:noProof/>
          <w:sz w:val="24"/>
          <w:szCs w:val="24"/>
          <w:shd w:val="clear" w:color="auto" w:fill="FFFFFF"/>
          <w:lang w:val="en-US"/>
        </w:rPr>
        <w:t>It is important to notice that the current t</w:t>
      </w:r>
      <w:r>
        <w:rPr>
          <w:rFonts w:ascii="Times New Roman" w:hAnsi="Times New Roman" w:cs="Times New Roman"/>
          <w:noProof/>
          <w:sz w:val="24"/>
          <w:szCs w:val="24"/>
          <w:shd w:val="clear" w:color="auto" w:fill="FFFFFF"/>
          <w:lang w:val="en-US"/>
        </w:rPr>
        <w:t>olerable risk levels of WHO and USEPA guidelines have been questioned and they have been considered too stringent (Haas, 1996; Mara, 2011). Haas (1996) has said that it became apparent that some key factors used for computing of the 1:10,000 level of accep</w:t>
      </w:r>
      <w:r>
        <w:rPr>
          <w:rFonts w:ascii="Times New Roman" w:hAnsi="Times New Roman" w:cs="Times New Roman"/>
          <w:noProof/>
          <w:sz w:val="24"/>
          <w:szCs w:val="24"/>
          <w:shd w:val="clear" w:color="auto" w:fill="FFFFFF"/>
          <w:lang w:val="en-US"/>
        </w:rPr>
        <w:t xml:space="preserve">table risk in USEPA guidelines may not be accurate thus considering that the current benchmark may be far too stringent. The computation of the currently used risk level from the late 1980s appears to have risen partly because, at that time, the perceived </w:t>
      </w:r>
      <w:r>
        <w:rPr>
          <w:rFonts w:ascii="Times New Roman" w:hAnsi="Times New Roman" w:cs="Times New Roman"/>
          <w:noProof/>
          <w:sz w:val="24"/>
          <w:szCs w:val="24"/>
          <w:shd w:val="clear" w:color="auto" w:fill="FFFFFF"/>
          <w:lang w:val="en-US"/>
        </w:rPr>
        <w:t xml:space="preserve">waterborne disease rate was 1 case per 10,000 people per year. But more recent assessments show that the actual burden of waterborne disease associated with water treatment practices appear to be much higher (Haas, 1996; Colford </w:t>
      </w:r>
      <w:r>
        <w:rPr>
          <w:rFonts w:ascii="Times New Roman" w:hAnsi="Times New Roman" w:cs="Times New Roman"/>
          <w:i/>
          <w:noProof/>
          <w:sz w:val="24"/>
          <w:szCs w:val="24"/>
          <w:shd w:val="clear" w:color="auto" w:fill="FFFFFF"/>
          <w:lang w:val="en-US"/>
        </w:rPr>
        <w:t>et al.</w:t>
      </w:r>
      <w:r>
        <w:rPr>
          <w:rFonts w:ascii="Times New Roman" w:hAnsi="Times New Roman" w:cs="Times New Roman"/>
          <w:noProof/>
          <w:sz w:val="24"/>
          <w:szCs w:val="24"/>
          <w:shd w:val="clear" w:color="auto" w:fill="FFFFFF"/>
          <w:lang w:val="en-US"/>
        </w:rPr>
        <w:t>, 2006). This would s</w:t>
      </w:r>
      <w:r>
        <w:rPr>
          <w:rFonts w:ascii="Times New Roman" w:hAnsi="Times New Roman" w:cs="Times New Roman"/>
          <w:noProof/>
          <w:sz w:val="24"/>
          <w:szCs w:val="24"/>
          <w:shd w:val="clear" w:color="auto" w:fill="FFFFFF"/>
          <w:lang w:val="en-US"/>
        </w:rPr>
        <w:t>uggest that an annual risk of infection of 1 in 1,000, or even a less strict risk level, is more appropriate than the current approach. Mara (</w:t>
      </w:r>
      <w:r>
        <w:rPr>
          <w:rFonts w:ascii="Times New Roman" w:hAnsi="Times New Roman" w:cs="Times New Roman"/>
          <w:noProof/>
          <w:sz w:val="24"/>
          <w:szCs w:val="24"/>
          <w:lang w:val="en-US"/>
        </w:rPr>
        <w:t>2011</w:t>
      </w:r>
      <w:r>
        <w:rPr>
          <w:rFonts w:ascii="Times New Roman" w:hAnsi="Times New Roman" w:cs="Times New Roman"/>
          <w:noProof/>
          <w:sz w:val="24"/>
          <w:szCs w:val="24"/>
          <w:shd w:val="clear" w:color="auto" w:fill="FFFFFF"/>
          <w:lang w:val="en-US"/>
        </w:rPr>
        <w:t>) states that the  current maximal additional burden of disease (10</w:t>
      </w:r>
      <w:r>
        <w:rPr>
          <w:rFonts w:ascii="Times New Roman" w:hAnsi="Times New Roman" w:cs="Times New Roman"/>
          <w:noProof/>
          <w:sz w:val="24"/>
          <w:szCs w:val="24"/>
          <w:shd w:val="clear" w:color="auto" w:fill="FFFFFF"/>
          <w:vertAlign w:val="superscript"/>
          <w:lang w:val="en-US"/>
        </w:rPr>
        <w:t>-6</w:t>
      </w:r>
      <w:r>
        <w:rPr>
          <w:rFonts w:ascii="Times New Roman" w:hAnsi="Times New Roman" w:cs="Times New Roman"/>
          <w:noProof/>
          <w:sz w:val="24"/>
          <w:szCs w:val="24"/>
          <w:shd w:val="clear" w:color="auto" w:fill="FFFFFF"/>
          <w:lang w:val="en-US"/>
        </w:rPr>
        <w:t xml:space="preserve"> DALYs pppy) should be lowered to 10</w:t>
      </w:r>
      <w:r>
        <w:rPr>
          <w:rFonts w:ascii="Times New Roman" w:hAnsi="Times New Roman" w:cs="Times New Roman"/>
          <w:noProof/>
          <w:sz w:val="24"/>
          <w:szCs w:val="24"/>
          <w:shd w:val="clear" w:color="auto" w:fill="FFFFFF"/>
          <w:vertAlign w:val="superscript"/>
          <w:lang w:val="en-US"/>
        </w:rPr>
        <w:t>-4</w:t>
      </w:r>
      <w:r>
        <w:rPr>
          <w:rFonts w:ascii="Times New Roman" w:hAnsi="Times New Roman" w:cs="Times New Roman"/>
          <w:noProof/>
          <w:sz w:val="24"/>
          <w:szCs w:val="24"/>
          <w:shd w:val="clear" w:color="auto" w:fill="FFFFFF"/>
          <w:lang w:val="en-US"/>
        </w:rPr>
        <w:t xml:space="preserve"> DALYs pppy, based on a critical analysis of the basis from which the current benchmark is derived, the 70-lifetime waterborne cancer risk of 10</w:t>
      </w:r>
      <w:r>
        <w:rPr>
          <w:rFonts w:ascii="Times New Roman" w:hAnsi="Times New Roman" w:cs="Times New Roman"/>
          <w:noProof/>
          <w:sz w:val="24"/>
          <w:szCs w:val="24"/>
          <w:bdr w:val="none" w:sz="0" w:space="0" w:color="auto" w:frame="1"/>
          <w:shd w:val="clear" w:color="auto" w:fill="FFFFFF"/>
          <w:vertAlign w:val="superscript"/>
          <w:lang w:val="en-US"/>
        </w:rPr>
        <w:t>−</w:t>
      </w:r>
      <w:r>
        <w:rPr>
          <w:rFonts w:ascii="Times New Roman" w:hAnsi="Times New Roman" w:cs="Times New Roman"/>
          <w:noProof/>
          <w:sz w:val="24"/>
          <w:szCs w:val="24"/>
          <w:bdr w:val="none" w:sz="0" w:space="0" w:color="auto" w:frame="1"/>
          <w:shd w:val="clear" w:color="auto" w:fill="FFFFFF"/>
          <w:vertAlign w:val="superscript"/>
          <w:lang w:val="en-US"/>
        </w:rPr>
        <w:t>5</w:t>
      </w:r>
      <w:r>
        <w:rPr>
          <w:rFonts w:ascii="Times New Roman" w:hAnsi="Times New Roman" w:cs="Times New Roman"/>
          <w:noProof/>
          <w:sz w:val="24"/>
          <w:szCs w:val="24"/>
          <w:shd w:val="clear" w:color="auto" w:fill="FFFFFF"/>
          <w:lang w:val="en-US"/>
        </w:rPr>
        <w:t> per person per year.</w:t>
      </w:r>
    </w:p>
    <w:p w:rsidR="00AB50C5" w:rsidRDefault="00AB50C5">
      <w:pPr>
        <w:spacing w:after="0" w:line="240" w:lineRule="auto"/>
        <w:ind w:hanging="1"/>
        <w:jc w:val="both"/>
        <w:rPr>
          <w:rFonts w:ascii="Times New Roman" w:hAnsi="Times New Roman" w:cs="Times New Roman"/>
          <w:noProof/>
          <w:sz w:val="24"/>
          <w:szCs w:val="24"/>
          <w:shd w:val="clear" w:color="auto" w:fill="FFFFFF"/>
          <w:lang w:val="en-US"/>
        </w:rPr>
      </w:pPr>
    </w:p>
    <w:p w:rsidR="00AB50C5" w:rsidRDefault="00724275">
      <w:pPr>
        <w:spacing w:after="0" w:line="240" w:lineRule="auto"/>
        <w:ind w:hanging="1"/>
        <w:jc w:val="both"/>
        <w:rPr>
          <w:rFonts w:ascii="Times New Roman" w:hAnsi="Times New Roman" w:cs="Times New Roman"/>
          <w:noProof/>
          <w:sz w:val="24"/>
          <w:szCs w:val="24"/>
          <w:shd w:val="clear" w:color="auto" w:fill="FFFFFF"/>
          <w:lang w:val="en-US"/>
        </w:rPr>
      </w:pPr>
      <w:r>
        <w:rPr>
          <w:rFonts w:ascii="Times New Roman" w:hAnsi="Times New Roman" w:cs="Times New Roman"/>
          <w:noProof/>
          <w:sz w:val="24"/>
          <w:szCs w:val="24"/>
          <w:shd w:val="clear" w:color="auto" w:fill="FFFFFF"/>
          <w:lang w:val="en-US"/>
        </w:rPr>
        <w:t xml:space="preserve">Therefore, in view of these considerations, the tolerable risk of </w:t>
      </w:r>
      <w:r>
        <w:rPr>
          <w:rFonts w:ascii="Times New Roman" w:hAnsi="Times New Roman" w:cs="Times New Roman"/>
          <w:b/>
          <w:noProof/>
          <w:sz w:val="24"/>
          <w:szCs w:val="24"/>
          <w:shd w:val="clear" w:color="auto" w:fill="FFFFFF"/>
          <w:lang w:val="en-US"/>
        </w:rPr>
        <w:t>10</w:t>
      </w:r>
      <w:r>
        <w:rPr>
          <w:rFonts w:ascii="Times New Roman" w:hAnsi="Times New Roman" w:cs="Times New Roman"/>
          <w:b/>
          <w:noProof/>
          <w:sz w:val="24"/>
          <w:szCs w:val="24"/>
          <w:shd w:val="clear" w:color="auto" w:fill="FFFFFF"/>
          <w:vertAlign w:val="superscript"/>
          <w:lang w:val="en-US"/>
        </w:rPr>
        <w:t>-6</w:t>
      </w:r>
      <w:r>
        <w:rPr>
          <w:rFonts w:ascii="Times New Roman" w:hAnsi="Times New Roman" w:cs="Times New Roman"/>
          <w:b/>
          <w:noProof/>
          <w:sz w:val="24"/>
          <w:szCs w:val="24"/>
          <w:shd w:val="clear" w:color="auto" w:fill="FFFFFF"/>
          <w:lang w:val="en-US"/>
        </w:rPr>
        <w:t xml:space="preserve"> DALYs pppy</w:t>
      </w:r>
      <w:r>
        <w:rPr>
          <w:rFonts w:ascii="Times New Roman" w:hAnsi="Times New Roman" w:cs="Times New Roman"/>
          <w:noProof/>
          <w:sz w:val="24"/>
          <w:szCs w:val="24"/>
          <w:shd w:val="clear" w:color="auto" w:fill="FFFFFF"/>
          <w:lang w:val="en-US"/>
        </w:rPr>
        <w:t xml:space="preserve"> used </w:t>
      </w:r>
      <w:r>
        <w:rPr>
          <w:rFonts w:ascii="Times New Roman" w:hAnsi="Times New Roman" w:cs="Times New Roman"/>
          <w:noProof/>
          <w:sz w:val="24"/>
          <w:szCs w:val="24"/>
          <w:shd w:val="clear" w:color="auto" w:fill="FFFFFF"/>
          <w:lang w:val="en-US"/>
        </w:rPr>
        <w:t>in this document is considered safe enough to be applied at EU level.</w:t>
      </w:r>
    </w:p>
    <w:p w:rsidR="00AB50C5" w:rsidRDefault="00724275">
      <w:pPr>
        <w:pStyle w:val="JRCLevel-3title"/>
        <w:rPr>
          <w:rFonts w:ascii="Times New Roman" w:hAnsi="Times New Roman"/>
          <w:noProof/>
          <w:sz w:val="24"/>
          <w:shd w:val="clear" w:color="auto" w:fill="FFFFFF"/>
          <w:lang w:val="en-US"/>
        </w:rPr>
      </w:pPr>
      <w:bookmarkStart w:id="67" w:name="_Toc498695684"/>
      <w:bookmarkStart w:id="68" w:name="_Toc516234766"/>
      <w:r>
        <w:rPr>
          <w:rFonts w:ascii="Times New Roman" w:hAnsi="Times New Roman"/>
          <w:noProof/>
          <w:sz w:val="24"/>
          <w:shd w:val="clear" w:color="auto" w:fill="FFFFFF"/>
          <w:lang w:val="en-US"/>
        </w:rPr>
        <w:t>Reference pathogens</w:t>
      </w:r>
      <w:bookmarkEnd w:id="67"/>
      <w:bookmarkEnd w:id="68"/>
      <w:r>
        <w:rPr>
          <w:rFonts w:ascii="Times New Roman" w:hAnsi="Times New Roman"/>
          <w:noProof/>
          <w:sz w:val="24"/>
          <w:shd w:val="clear" w:color="auto" w:fill="FFFFFF"/>
          <w:lang w:val="en-US"/>
        </w:rPr>
        <w:t xml:space="preserve"> </w:t>
      </w:r>
    </w:p>
    <w:p w:rsidR="00AB50C5" w:rsidRDefault="00724275">
      <w:pPr>
        <w:spacing w:line="240" w:lineRule="auto"/>
        <w:ind w:hanging="1"/>
        <w:jc w:val="both"/>
        <w:rPr>
          <w:rFonts w:ascii="Times New Roman" w:hAnsi="Times New Roman" w:cs="Times New Roman"/>
          <w:noProof/>
          <w:sz w:val="24"/>
          <w:szCs w:val="24"/>
          <w:lang w:val="en-US"/>
        </w:rPr>
      </w:pPr>
      <w:r>
        <w:rPr>
          <w:rFonts w:ascii="Times New Roman" w:hAnsi="Times New Roman" w:cs="Times New Roman"/>
          <w:noProof/>
          <w:sz w:val="24"/>
          <w:szCs w:val="24"/>
          <w:shd w:val="clear" w:color="auto" w:fill="FFFFFF"/>
          <w:lang w:val="en-US"/>
        </w:rPr>
        <w:t>Reference pathogens have been selected to be able to determine the performance targets (log</w:t>
      </w:r>
      <w:r>
        <w:rPr>
          <w:rFonts w:ascii="Times New Roman" w:hAnsi="Times New Roman" w:cs="Times New Roman"/>
          <w:noProof/>
          <w:sz w:val="24"/>
          <w:szCs w:val="24"/>
          <w:shd w:val="clear" w:color="auto" w:fill="FFFFFF"/>
          <w:vertAlign w:val="subscript"/>
          <w:lang w:val="en-US"/>
        </w:rPr>
        <w:t>10</w:t>
      </w:r>
      <w:r>
        <w:rPr>
          <w:rFonts w:ascii="Times New Roman" w:hAnsi="Times New Roman" w:cs="Times New Roman"/>
          <w:noProof/>
          <w:sz w:val="24"/>
          <w:szCs w:val="24"/>
          <w:shd w:val="clear" w:color="auto" w:fill="FFFFFF"/>
          <w:lang w:val="en-US"/>
        </w:rPr>
        <w:t xml:space="preserve"> reductions). </w:t>
      </w:r>
      <w:r>
        <w:rPr>
          <w:rFonts w:ascii="Times New Roman" w:hAnsi="Times New Roman" w:cs="Times New Roman"/>
          <w:noProof/>
          <w:sz w:val="24"/>
          <w:szCs w:val="24"/>
          <w:lang w:val="en-US" w:eastAsia="it-IT"/>
        </w:rPr>
        <w:t>It is impractical, and there are insufficient data, to set performance targets for all waterborne pathogens potentially present in wastewater, particularly since this would require information on concentrations, dose-response relationships, and disease bur</w:t>
      </w:r>
      <w:r>
        <w:rPr>
          <w:rFonts w:ascii="Times New Roman" w:hAnsi="Times New Roman" w:cs="Times New Roman"/>
          <w:noProof/>
          <w:sz w:val="24"/>
          <w:szCs w:val="24"/>
          <w:lang w:val="en-US" w:eastAsia="it-IT"/>
        </w:rPr>
        <w:t>dens that is often not available. A more practical approach is to identify reference pathogens that represent groups of pathogens taking into account variations in characteristics, behaviours and susceptibilities of each group to different treatment proces</w:t>
      </w:r>
      <w:r>
        <w:rPr>
          <w:rFonts w:ascii="Times New Roman" w:hAnsi="Times New Roman" w:cs="Times New Roman"/>
          <w:noProof/>
          <w:sz w:val="24"/>
          <w:szCs w:val="24"/>
          <w:lang w:val="en-US" w:eastAsia="it-IT"/>
        </w:rPr>
        <w:t xml:space="preserve">ses. Typically, different reference pathogens will be identified to represent bacteria, viruses, protozoa and helminths (NRMMC-EPHC-AMHC, 2006; WHO, 2006; USEPA, 2012). </w:t>
      </w:r>
      <w:r>
        <w:rPr>
          <w:rFonts w:ascii="Times New Roman" w:hAnsi="Times New Roman" w:cs="Times New Roman"/>
          <w:noProof/>
          <w:sz w:val="24"/>
          <w:szCs w:val="24"/>
          <w:lang w:val="en-US"/>
        </w:rPr>
        <w:t>It is to note that controlling reference pathogens implies controlling all pathogen ris</w:t>
      </w:r>
      <w:r>
        <w:rPr>
          <w:rFonts w:ascii="Times New Roman" w:hAnsi="Times New Roman" w:cs="Times New Roman"/>
          <w:noProof/>
          <w:sz w:val="24"/>
          <w:szCs w:val="24"/>
          <w:lang w:val="en-US"/>
        </w:rPr>
        <w:t>ks that are covered by the reference pathogen.</w:t>
      </w:r>
    </w:p>
    <w:p w:rsidR="00AB50C5" w:rsidRDefault="00724275">
      <w:pPr>
        <w:spacing w:after="0" w:line="240" w:lineRule="auto"/>
        <w:jc w:val="both"/>
        <w:rPr>
          <w:rFonts w:ascii="Times New Roman" w:hAnsi="Times New Roman" w:cs="Times New Roman"/>
          <w:noProof/>
          <w:sz w:val="24"/>
          <w:szCs w:val="24"/>
          <w:lang w:val="en-US" w:eastAsia="en-AU"/>
        </w:rPr>
      </w:pPr>
      <w:r>
        <w:rPr>
          <w:rFonts w:ascii="Times New Roman" w:hAnsi="Times New Roman" w:cs="Times New Roman"/>
          <w:noProof/>
          <w:sz w:val="24"/>
          <w:szCs w:val="24"/>
          <w:lang w:val="en-US" w:eastAsia="it-IT"/>
        </w:rPr>
        <w:t xml:space="preserve">The reference pathogens selected are the ones recommended by the WHO guidelines for water reuse and drinking water, which are </w:t>
      </w:r>
      <w:r>
        <w:rPr>
          <w:rFonts w:ascii="Times New Roman" w:hAnsi="Times New Roman" w:cs="Times New Roman"/>
          <w:i/>
          <w:noProof/>
          <w:sz w:val="24"/>
          <w:szCs w:val="24"/>
          <w:lang w:val="en-US" w:eastAsia="it-IT"/>
        </w:rPr>
        <w:t>Campylobacter</w:t>
      </w:r>
      <w:r>
        <w:rPr>
          <w:rFonts w:ascii="Times New Roman" w:hAnsi="Times New Roman" w:cs="Times New Roman"/>
          <w:noProof/>
          <w:sz w:val="24"/>
          <w:szCs w:val="24"/>
          <w:lang w:val="en-US" w:eastAsia="it-IT"/>
        </w:rPr>
        <w:t xml:space="preserve"> for bacteria, rotavirus for viruses and </w:t>
      </w:r>
      <w:r>
        <w:rPr>
          <w:rFonts w:ascii="Times New Roman" w:hAnsi="Times New Roman" w:cs="Times New Roman"/>
          <w:i/>
          <w:noProof/>
          <w:sz w:val="24"/>
          <w:szCs w:val="24"/>
          <w:lang w:val="en-US" w:eastAsia="it-IT"/>
        </w:rPr>
        <w:t>Cryptosporidium</w:t>
      </w:r>
      <w:r>
        <w:rPr>
          <w:rFonts w:ascii="Times New Roman" w:hAnsi="Times New Roman" w:cs="Times New Roman"/>
          <w:noProof/>
          <w:sz w:val="24"/>
          <w:szCs w:val="24"/>
          <w:lang w:val="en-US" w:eastAsia="it-IT"/>
        </w:rPr>
        <w:t xml:space="preserve"> for protozoa </w:t>
      </w:r>
      <w:r>
        <w:rPr>
          <w:rFonts w:ascii="Times New Roman" w:hAnsi="Times New Roman" w:cs="Times New Roman"/>
          <w:noProof/>
          <w:sz w:val="24"/>
          <w:szCs w:val="24"/>
          <w:lang w:val="en-US" w:eastAsia="en-AU"/>
        </w:rPr>
        <w:t>(WHO, 2006 and 2011). These are also the reference pathogens used by the DWD.</w:t>
      </w:r>
    </w:p>
    <w:p w:rsidR="00AB50C5" w:rsidRDefault="00AB50C5">
      <w:pPr>
        <w:spacing w:after="0" w:line="240" w:lineRule="auto"/>
        <w:jc w:val="both"/>
        <w:rPr>
          <w:rFonts w:ascii="Times New Roman" w:hAnsi="Times New Roman" w:cs="Times New Roman"/>
          <w:noProof/>
          <w:sz w:val="24"/>
          <w:szCs w:val="24"/>
          <w:lang w:val="en-US" w:eastAsia="it-IT"/>
        </w:rPr>
      </w:pPr>
    </w:p>
    <w:p w:rsidR="00AB50C5" w:rsidRDefault="00724275">
      <w:pPr>
        <w:spacing w:after="0" w:line="240" w:lineRule="auto"/>
        <w:jc w:val="both"/>
        <w:rPr>
          <w:rFonts w:ascii="Times New Roman" w:hAnsi="Times New Roman" w:cs="Times New Roman"/>
          <w:noProof/>
          <w:sz w:val="24"/>
          <w:szCs w:val="24"/>
          <w:lang w:val="en-US" w:eastAsia="en-AU"/>
        </w:rPr>
      </w:pPr>
      <w:r>
        <w:rPr>
          <w:rFonts w:ascii="Times New Roman" w:hAnsi="Times New Roman" w:cs="Times New Roman"/>
          <w:i/>
          <w:noProof/>
          <w:sz w:val="24"/>
          <w:szCs w:val="24"/>
          <w:lang w:val="en-US" w:eastAsia="it-IT"/>
        </w:rPr>
        <w:t>Campylobacter</w:t>
      </w:r>
      <w:r>
        <w:rPr>
          <w:rFonts w:ascii="Times New Roman" w:hAnsi="Times New Roman" w:cs="Times New Roman"/>
          <w:noProof/>
          <w:sz w:val="24"/>
          <w:szCs w:val="24"/>
          <w:lang w:val="en-US" w:eastAsia="it-IT"/>
        </w:rPr>
        <w:t xml:space="preserve"> </w:t>
      </w:r>
      <w:r>
        <w:rPr>
          <w:rFonts w:ascii="Times New Roman" w:hAnsi="Times New Roman" w:cs="Times New Roman"/>
          <w:iCs/>
          <w:noProof/>
          <w:sz w:val="24"/>
          <w:szCs w:val="24"/>
          <w:lang w:val="en-US" w:eastAsia="en-AU"/>
        </w:rPr>
        <w:t>compared with other bacterial pathogens, has the infective dose relatively low and is relatively common, and waterborne outbreaks have been recorded.</w:t>
      </w:r>
      <w:r>
        <w:rPr>
          <w:rFonts w:ascii="Times New Roman" w:hAnsi="Times New Roman" w:cs="Times New Roman"/>
          <w:noProof/>
          <w:sz w:val="24"/>
          <w:szCs w:val="24"/>
          <w:lang w:val="en-US" w:eastAsia="en-AU"/>
        </w:rPr>
        <w:t xml:space="preserve"> This selectio</w:t>
      </w:r>
      <w:r>
        <w:rPr>
          <w:rFonts w:ascii="Times New Roman" w:hAnsi="Times New Roman" w:cs="Times New Roman"/>
          <w:noProof/>
          <w:sz w:val="24"/>
          <w:szCs w:val="24"/>
          <w:lang w:val="en-US" w:eastAsia="en-AU"/>
        </w:rPr>
        <w:t xml:space="preserve">n is in agreement with the bacterial reference pathogens recommended by Australian guidelines for water reuse and drinking water (NRMMC–EPHC–AHMC, 2006; NHMRC-NRMMC, 2011). </w:t>
      </w:r>
    </w:p>
    <w:p w:rsidR="00AB50C5" w:rsidRDefault="00AB50C5">
      <w:pPr>
        <w:spacing w:after="0" w:line="240" w:lineRule="auto"/>
        <w:jc w:val="both"/>
        <w:rPr>
          <w:rFonts w:ascii="Times New Roman" w:eastAsiaTheme="minorEastAsia" w:hAnsi="Times New Roman" w:cs="Times New Roman"/>
          <w:noProof/>
          <w:sz w:val="24"/>
          <w:szCs w:val="24"/>
          <w:lang w:val="en-US"/>
        </w:rPr>
      </w:pPr>
    </w:p>
    <w:p w:rsidR="00AB50C5" w:rsidRDefault="00724275">
      <w:pPr>
        <w:spacing w:after="0" w:line="240" w:lineRule="auto"/>
        <w:jc w:val="both"/>
        <w:rPr>
          <w:rFonts w:ascii="Times New Roman" w:hAnsi="Times New Roman" w:cs="Times New Roman"/>
          <w:noProof/>
          <w:sz w:val="24"/>
          <w:szCs w:val="24"/>
          <w:lang w:val="en-US" w:eastAsia="en-AU"/>
        </w:rPr>
      </w:pPr>
      <w:r>
        <w:rPr>
          <w:rFonts w:ascii="Times New Roman" w:eastAsiaTheme="minorEastAsia" w:hAnsi="Times New Roman" w:cs="Times New Roman"/>
          <w:noProof/>
          <w:sz w:val="24"/>
          <w:szCs w:val="24"/>
          <w:lang w:val="en-US"/>
        </w:rPr>
        <w:t>Rotavirus is used as</w:t>
      </w:r>
      <w:r>
        <w:rPr>
          <w:rFonts w:ascii="Times New Roman" w:hAnsi="Times New Roman" w:cs="Times New Roman"/>
          <w:noProof/>
          <w:sz w:val="24"/>
          <w:szCs w:val="24"/>
          <w:lang w:val="en-US" w:eastAsia="en-AU"/>
        </w:rPr>
        <w:t xml:space="preserve"> reference pathogen for pathogenic enteric viruses because they represent a major risk of viral gastroenteritis, they have a relatively high infectivity compared with other waterborne viruses and a dose-response model has been established (Havelaar and Mel</w:t>
      </w:r>
      <w:r>
        <w:rPr>
          <w:rFonts w:ascii="Times New Roman" w:hAnsi="Times New Roman" w:cs="Times New Roman"/>
          <w:noProof/>
          <w:sz w:val="24"/>
          <w:szCs w:val="24"/>
          <w:lang w:val="en-US" w:eastAsia="en-AU"/>
        </w:rPr>
        <w:t>se, 2003). Adenoviruses have been detected in very high numbers in raw wastewater, and they appear to be the most resistant to water treatment technologies. Data gathered on rotavirus, norovirus and adenovirus indicated that prevalence in raw wastewater of</w:t>
      </w:r>
      <w:r>
        <w:rPr>
          <w:rFonts w:ascii="Times New Roman" w:hAnsi="Times New Roman" w:cs="Times New Roman"/>
          <w:noProof/>
          <w:sz w:val="24"/>
          <w:szCs w:val="24"/>
          <w:lang w:val="en-US" w:eastAsia="en-AU"/>
        </w:rPr>
        <w:t xml:space="preserve"> these three viruses could be similar (NRMMC–EPHC–AHMC, 2006). Due to these considerations, the reference pathogen for pathogenic viruses selected by the Australian guidelines is an amalgam of rotavirus and adenovirus, using dose-response data for rotaviru</w:t>
      </w:r>
      <w:r>
        <w:rPr>
          <w:rFonts w:ascii="Times New Roman" w:hAnsi="Times New Roman" w:cs="Times New Roman"/>
          <w:noProof/>
          <w:sz w:val="24"/>
          <w:szCs w:val="24"/>
          <w:lang w:val="en-US" w:eastAsia="en-AU"/>
        </w:rPr>
        <w:t>s and occurrence data for adenovirus.</w:t>
      </w:r>
    </w:p>
    <w:p w:rsidR="00AB50C5" w:rsidRDefault="00AB50C5">
      <w:pPr>
        <w:spacing w:after="0" w:line="240" w:lineRule="auto"/>
        <w:jc w:val="both"/>
        <w:rPr>
          <w:rFonts w:ascii="Times New Roman" w:hAnsi="Times New Roman" w:cs="Times New Roman"/>
          <w:noProof/>
          <w:sz w:val="24"/>
          <w:szCs w:val="24"/>
          <w:lang w:val="en-US" w:eastAsia="en-AU"/>
        </w:rPr>
      </w:pPr>
    </w:p>
    <w:p w:rsidR="00AB50C5" w:rsidRDefault="00724275">
      <w:pPr>
        <w:spacing w:after="0" w:line="240" w:lineRule="auto"/>
        <w:jc w:val="both"/>
        <w:rPr>
          <w:rFonts w:ascii="Times New Roman" w:hAnsi="Times New Roman" w:cs="Times New Roman"/>
          <w:noProof/>
          <w:sz w:val="24"/>
          <w:szCs w:val="24"/>
          <w:lang w:val="en-US" w:eastAsia="en-AU"/>
        </w:rPr>
      </w:pPr>
      <w:r>
        <w:rPr>
          <w:rFonts w:ascii="Times New Roman" w:hAnsi="Times New Roman" w:cs="Times New Roman"/>
          <w:noProof/>
          <w:sz w:val="24"/>
          <w:szCs w:val="24"/>
          <w:lang w:val="en-US" w:eastAsia="en-AU"/>
        </w:rPr>
        <w:t xml:space="preserve">Nevertheless, the use of rotavirus has been complicated by the development and use of a rotavirus vaccine that over time will change the incidence and severity of disease outcomes from this pathogen (Gibney </w:t>
      </w:r>
      <w:r>
        <w:rPr>
          <w:rFonts w:ascii="Times New Roman" w:hAnsi="Times New Roman" w:cs="Times New Roman"/>
          <w:i/>
          <w:noProof/>
          <w:sz w:val="24"/>
          <w:szCs w:val="24"/>
          <w:lang w:val="en-US" w:eastAsia="en-AU"/>
        </w:rPr>
        <w:t>et al.</w:t>
      </w:r>
      <w:r>
        <w:rPr>
          <w:rFonts w:ascii="Times New Roman" w:hAnsi="Times New Roman" w:cs="Times New Roman"/>
          <w:noProof/>
          <w:sz w:val="24"/>
          <w:szCs w:val="24"/>
          <w:lang w:val="en-US" w:eastAsia="en-AU"/>
        </w:rPr>
        <w:t>, 20</w:t>
      </w:r>
      <w:r>
        <w:rPr>
          <w:rFonts w:ascii="Times New Roman" w:hAnsi="Times New Roman" w:cs="Times New Roman"/>
          <w:noProof/>
          <w:sz w:val="24"/>
          <w:szCs w:val="24"/>
          <w:lang w:val="en-US" w:eastAsia="en-AU"/>
        </w:rPr>
        <w:t>14). On this basis, norovirus seems that it would be selected instead of rotavirus in the future potable reuse WHO guidelines and the future new revision of the Australian guidelines as reference pathogen. A dose response model has been published for norov</w:t>
      </w:r>
      <w:r>
        <w:rPr>
          <w:rFonts w:ascii="Times New Roman" w:hAnsi="Times New Roman" w:cs="Times New Roman"/>
          <w:noProof/>
          <w:sz w:val="24"/>
          <w:szCs w:val="24"/>
          <w:lang w:val="en-US" w:eastAsia="en-AU"/>
        </w:rPr>
        <w:t xml:space="preserve">irus (Teunis </w:t>
      </w:r>
      <w:r>
        <w:rPr>
          <w:rFonts w:ascii="Times New Roman" w:hAnsi="Times New Roman" w:cs="Times New Roman"/>
          <w:i/>
          <w:noProof/>
          <w:sz w:val="24"/>
          <w:szCs w:val="24"/>
          <w:lang w:val="en-US" w:eastAsia="en-AU"/>
        </w:rPr>
        <w:t>et al.</w:t>
      </w:r>
      <w:r>
        <w:rPr>
          <w:rFonts w:ascii="Times New Roman" w:hAnsi="Times New Roman" w:cs="Times New Roman"/>
          <w:noProof/>
          <w:sz w:val="24"/>
          <w:szCs w:val="24"/>
          <w:lang w:val="en-US" w:eastAsia="en-AU"/>
        </w:rPr>
        <w:t xml:space="preserve">, 2008) and a disease burden has been determined (Gibney </w:t>
      </w:r>
      <w:r>
        <w:rPr>
          <w:rFonts w:ascii="Times New Roman" w:hAnsi="Times New Roman" w:cs="Times New Roman"/>
          <w:i/>
          <w:noProof/>
          <w:sz w:val="24"/>
          <w:szCs w:val="24"/>
          <w:lang w:val="en-US" w:eastAsia="en-AU"/>
        </w:rPr>
        <w:t>et al.</w:t>
      </w:r>
      <w:r>
        <w:rPr>
          <w:rFonts w:ascii="Times New Roman" w:hAnsi="Times New Roman" w:cs="Times New Roman"/>
          <w:noProof/>
          <w:sz w:val="24"/>
          <w:szCs w:val="24"/>
          <w:lang w:val="en-US" w:eastAsia="en-AU"/>
        </w:rPr>
        <w:t>, 2014). However, these risk assessments are not published yet and there is no evidence that these considerations would change the final log</w:t>
      </w:r>
      <w:r>
        <w:rPr>
          <w:rFonts w:ascii="Times New Roman" w:hAnsi="Times New Roman" w:cs="Times New Roman"/>
          <w:noProof/>
          <w:sz w:val="24"/>
          <w:szCs w:val="24"/>
          <w:vertAlign w:val="subscript"/>
          <w:lang w:val="en-US" w:eastAsia="en-AU"/>
        </w:rPr>
        <w:t>10</w:t>
      </w:r>
      <w:r>
        <w:rPr>
          <w:rFonts w:ascii="Times New Roman" w:hAnsi="Times New Roman" w:cs="Times New Roman"/>
          <w:noProof/>
          <w:sz w:val="24"/>
          <w:szCs w:val="24"/>
          <w:lang w:val="en-US" w:eastAsia="en-AU"/>
        </w:rPr>
        <w:t xml:space="preserve"> reduction requested for viruses</w:t>
      </w:r>
      <w:r>
        <w:rPr>
          <w:rFonts w:ascii="Times New Roman" w:hAnsi="Times New Roman" w:cs="Times New Roman"/>
          <w:noProof/>
          <w:sz w:val="24"/>
          <w:szCs w:val="24"/>
          <w:lang w:val="en-US" w:eastAsia="en-AU"/>
        </w:rPr>
        <w:t xml:space="preserve"> applied by the Australian guidelines.</w:t>
      </w:r>
    </w:p>
    <w:p w:rsidR="00AB50C5" w:rsidRDefault="00AB50C5">
      <w:pPr>
        <w:spacing w:after="0" w:line="240" w:lineRule="auto"/>
        <w:jc w:val="both"/>
        <w:rPr>
          <w:rFonts w:ascii="Times New Roman" w:hAnsi="Times New Roman" w:cs="Times New Roman"/>
          <w:noProof/>
          <w:sz w:val="24"/>
          <w:szCs w:val="24"/>
          <w:lang w:val="en-US" w:eastAsia="en-AU"/>
        </w:rPr>
      </w:pPr>
    </w:p>
    <w:p w:rsidR="00AB50C5" w:rsidRDefault="00724275">
      <w:pPr>
        <w:autoSpaceDE w:val="0"/>
        <w:autoSpaceDN w:val="0"/>
        <w:adjustRightInd w:val="0"/>
        <w:spacing w:after="0" w:line="240" w:lineRule="auto"/>
        <w:jc w:val="both"/>
        <w:rPr>
          <w:rFonts w:ascii="Times New Roman" w:hAnsi="Times New Roman" w:cs="Times New Roman"/>
          <w:noProof/>
          <w:sz w:val="24"/>
          <w:szCs w:val="24"/>
          <w:lang w:val="en-US" w:eastAsia="en-AU"/>
        </w:rPr>
      </w:pPr>
      <w:r>
        <w:rPr>
          <w:rFonts w:ascii="Times New Roman" w:hAnsi="Times New Roman" w:cs="Times New Roman"/>
          <w:i/>
          <w:iCs/>
          <w:noProof/>
          <w:sz w:val="24"/>
          <w:szCs w:val="24"/>
          <w:lang w:val="en-US"/>
        </w:rPr>
        <w:t xml:space="preserve">Cryptosporidium </w:t>
      </w:r>
      <w:r>
        <w:rPr>
          <w:rFonts w:ascii="Times New Roman" w:hAnsi="Times New Roman" w:cs="Times New Roman"/>
          <w:noProof/>
          <w:sz w:val="24"/>
          <w:szCs w:val="24"/>
          <w:lang w:val="en-US"/>
        </w:rPr>
        <w:t xml:space="preserve">is reasonably infective (Teunis </w:t>
      </w:r>
      <w:r>
        <w:rPr>
          <w:rFonts w:ascii="Times New Roman" w:hAnsi="Times New Roman" w:cs="Times New Roman"/>
          <w:i/>
          <w:noProof/>
          <w:sz w:val="24"/>
          <w:szCs w:val="24"/>
          <w:lang w:val="en-US"/>
        </w:rPr>
        <w:t>et al.</w:t>
      </w:r>
      <w:r>
        <w:rPr>
          <w:rFonts w:ascii="Times New Roman" w:hAnsi="Times New Roman" w:cs="Times New Roman"/>
          <w:noProof/>
          <w:sz w:val="24"/>
          <w:szCs w:val="24"/>
          <w:lang w:val="en-US"/>
        </w:rPr>
        <w:t>, 2002), is resistant to chlorination and is one of the most important waterborne human pathogens in developed countries (</w:t>
      </w:r>
      <w:r>
        <w:rPr>
          <w:rFonts w:ascii="Times New Roman" w:hAnsi="Times New Roman" w:cs="Times New Roman"/>
          <w:noProof/>
          <w:sz w:val="24"/>
          <w:szCs w:val="24"/>
          <w:lang w:val="en-US" w:eastAsia="en-AU"/>
        </w:rPr>
        <w:t>NRMMC–EPHC–AHMC, 2016)</w:t>
      </w:r>
      <w:r>
        <w:rPr>
          <w:rFonts w:ascii="Times New Roman" w:hAnsi="Times New Roman" w:cs="Times New Roman"/>
          <w:noProof/>
          <w:sz w:val="24"/>
          <w:szCs w:val="24"/>
          <w:lang w:val="en-US"/>
        </w:rPr>
        <w:t xml:space="preserve">. Although </w:t>
      </w:r>
      <w:r>
        <w:rPr>
          <w:rFonts w:ascii="Times New Roman" w:hAnsi="Times New Roman" w:cs="Times New Roman"/>
          <w:i/>
          <w:iCs/>
          <w:noProof/>
          <w:sz w:val="24"/>
          <w:szCs w:val="24"/>
          <w:lang w:val="en-US"/>
        </w:rPr>
        <w:t xml:space="preserve">Giardia </w:t>
      </w:r>
      <w:r>
        <w:rPr>
          <w:rFonts w:ascii="Times New Roman" w:hAnsi="Times New Roman" w:cs="Times New Roman"/>
          <w:noProof/>
          <w:sz w:val="24"/>
          <w:szCs w:val="24"/>
          <w:lang w:val="en-US"/>
        </w:rPr>
        <w:t xml:space="preserve">may be another candidate, as it is typically present in raw wastewater at some 10–100 times the concentration of </w:t>
      </w:r>
      <w:r>
        <w:rPr>
          <w:rFonts w:ascii="Times New Roman" w:hAnsi="Times New Roman" w:cs="Times New Roman"/>
          <w:i/>
          <w:iCs/>
          <w:noProof/>
          <w:sz w:val="24"/>
          <w:szCs w:val="24"/>
          <w:lang w:val="en-US"/>
        </w:rPr>
        <w:t>Cryptosporidium</w:t>
      </w:r>
      <w:r>
        <w:rPr>
          <w:rFonts w:ascii="Times New Roman" w:hAnsi="Times New Roman" w:cs="Times New Roman"/>
          <w:noProof/>
          <w:sz w:val="24"/>
          <w:szCs w:val="24"/>
          <w:lang w:val="en-US"/>
        </w:rPr>
        <w:t xml:space="preserve"> (Yates and Gerba, 1998), and may be marginally more infective (Rose </w:t>
      </w:r>
      <w:r>
        <w:rPr>
          <w:rFonts w:ascii="Times New Roman" w:hAnsi="Times New Roman" w:cs="Times New Roman"/>
          <w:i/>
          <w:noProof/>
          <w:sz w:val="24"/>
          <w:szCs w:val="24"/>
          <w:lang w:val="en-US"/>
        </w:rPr>
        <w:t>et al.</w:t>
      </w:r>
      <w:r>
        <w:rPr>
          <w:rFonts w:ascii="Times New Roman" w:hAnsi="Times New Roman" w:cs="Times New Roman"/>
          <w:noProof/>
          <w:sz w:val="24"/>
          <w:szCs w:val="24"/>
          <w:lang w:val="en-US"/>
        </w:rPr>
        <w:t>, 1991), it is more readily removed by treatm</w:t>
      </w:r>
      <w:r>
        <w:rPr>
          <w:rFonts w:ascii="Times New Roman" w:hAnsi="Times New Roman" w:cs="Times New Roman"/>
          <w:noProof/>
          <w:sz w:val="24"/>
          <w:szCs w:val="24"/>
          <w:lang w:val="en-US"/>
        </w:rPr>
        <w:t xml:space="preserve">ent processes and is more sensitive to most types of disinfection than </w:t>
      </w:r>
      <w:r>
        <w:rPr>
          <w:rFonts w:ascii="Times New Roman" w:hAnsi="Times New Roman" w:cs="Times New Roman"/>
          <w:i/>
          <w:iCs/>
          <w:noProof/>
          <w:sz w:val="24"/>
          <w:szCs w:val="24"/>
          <w:lang w:val="en-US"/>
        </w:rPr>
        <w:t>Cryptosporidium</w:t>
      </w:r>
      <w:r>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eastAsia="en-AU"/>
        </w:rPr>
        <w:t>NRMMC–EPHC–AHMC, 2016</w:t>
      </w:r>
      <w:r>
        <w:rPr>
          <w:rFonts w:ascii="Times New Roman" w:hAnsi="Times New Roman" w:cs="Times New Roman"/>
          <w:noProof/>
          <w:sz w:val="24"/>
          <w:szCs w:val="24"/>
          <w:lang w:val="en-US"/>
        </w:rPr>
        <w:t xml:space="preserve">). Therefore, </w:t>
      </w:r>
      <w:r>
        <w:rPr>
          <w:rFonts w:ascii="Times New Roman" w:hAnsi="Times New Roman" w:cs="Times New Roman"/>
          <w:i/>
          <w:iCs/>
          <w:noProof/>
          <w:sz w:val="24"/>
          <w:szCs w:val="24"/>
          <w:lang w:val="en-US"/>
        </w:rPr>
        <w:t xml:space="preserve">Cryptosporidium </w:t>
      </w:r>
      <w:r>
        <w:rPr>
          <w:rFonts w:ascii="Times New Roman" w:hAnsi="Times New Roman" w:cs="Times New Roman"/>
          <w:noProof/>
          <w:sz w:val="24"/>
          <w:szCs w:val="24"/>
          <w:lang w:val="en-US"/>
        </w:rPr>
        <w:t xml:space="preserve">is preferred as the reference pathogen for protozoa. </w:t>
      </w:r>
      <w:r>
        <w:rPr>
          <w:rFonts w:ascii="Times New Roman" w:hAnsi="Times New Roman" w:cs="Times New Roman"/>
          <w:noProof/>
          <w:sz w:val="24"/>
          <w:szCs w:val="24"/>
          <w:lang w:val="en-US" w:eastAsia="en-AU"/>
        </w:rPr>
        <w:t>This selection is also in agreement with the reference pathogens</w:t>
      </w:r>
      <w:r>
        <w:rPr>
          <w:rFonts w:ascii="Times New Roman" w:hAnsi="Times New Roman" w:cs="Times New Roman"/>
          <w:noProof/>
          <w:sz w:val="24"/>
          <w:szCs w:val="24"/>
          <w:lang w:val="en-US" w:eastAsia="en-AU"/>
        </w:rPr>
        <w:t xml:space="preserve"> selected by the Australian guidelines for water reuse and drinking water (NRMMC–EPHC–AHMC, 2006; NHMRC-NRMMC, 2011).</w:t>
      </w:r>
    </w:p>
    <w:p w:rsidR="00AB50C5" w:rsidRDefault="00AB50C5">
      <w:pPr>
        <w:autoSpaceDE w:val="0"/>
        <w:autoSpaceDN w:val="0"/>
        <w:adjustRightInd w:val="0"/>
        <w:spacing w:after="0" w:line="240" w:lineRule="auto"/>
        <w:jc w:val="both"/>
        <w:rPr>
          <w:rFonts w:ascii="Times New Roman" w:hAnsi="Times New Roman" w:cs="Times New Roman"/>
          <w:noProof/>
          <w:sz w:val="24"/>
          <w:szCs w:val="24"/>
          <w:lang w:val="en-US" w:eastAsia="en-AU"/>
        </w:rPr>
      </w:pPr>
    </w:p>
    <w:p w:rsidR="00AB50C5" w:rsidRDefault="00724275">
      <w:pPr>
        <w:autoSpaceDE w:val="0"/>
        <w:autoSpaceDN w:val="0"/>
        <w:adjustRightInd w:val="0"/>
        <w:spacing w:after="0" w:line="240" w:lineRule="auto"/>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 xml:space="preserve">It has not been selected a reference pathogen for helminths, since helminth infections are not endemic in EU countries, there is limited information on occurrence in water and there is no human dose-response model. However, for protection of human health, </w:t>
      </w:r>
      <w:r>
        <w:rPr>
          <w:rFonts w:ascii="Times New Roman" w:hAnsi="Times New Roman" w:cs="Times New Roman"/>
          <w:noProof/>
          <w:sz w:val="24"/>
          <w:szCs w:val="24"/>
          <w:lang w:val="en-US" w:eastAsia="it-IT"/>
        </w:rPr>
        <w:t>the protozoan reference pathogen can be used as a reference for helminths. Helminths are likely to be present in lower numbers than protozoa in sources of reclaimed water, and they will be removed more readily by physical treatment processes such as filtra</w:t>
      </w:r>
      <w:r>
        <w:rPr>
          <w:rFonts w:ascii="Times New Roman" w:hAnsi="Times New Roman" w:cs="Times New Roman"/>
          <w:noProof/>
          <w:sz w:val="24"/>
          <w:szCs w:val="24"/>
          <w:lang w:val="en-US" w:eastAsia="it-IT"/>
        </w:rPr>
        <w:t xml:space="preserve">tion and stabilization ponds as they are larger than protozoa (NRMMC–EPHC–AHMC, 2006).  </w:t>
      </w:r>
    </w:p>
    <w:p w:rsidR="00AB50C5" w:rsidRDefault="00724275">
      <w:pPr>
        <w:pStyle w:val="JRCLevel-3title"/>
        <w:rPr>
          <w:rFonts w:ascii="Times New Roman" w:hAnsi="Times New Roman"/>
          <w:noProof/>
          <w:sz w:val="24"/>
          <w:lang w:val="en-US"/>
        </w:rPr>
      </w:pPr>
      <w:bookmarkStart w:id="69" w:name="_Toc498695685"/>
      <w:bookmarkStart w:id="70" w:name="_Toc516234767"/>
      <w:r>
        <w:rPr>
          <w:rFonts w:ascii="Times New Roman" w:hAnsi="Times New Roman"/>
          <w:noProof/>
          <w:sz w:val="24"/>
          <w:lang w:val="en-US"/>
        </w:rPr>
        <w:t>Performance targets</w:t>
      </w:r>
      <w:bookmarkEnd w:id="69"/>
      <w:bookmarkEnd w:id="70"/>
    </w:p>
    <w:p w:rsidR="00AB50C5" w:rsidRDefault="00724275">
      <w:pPr>
        <w:autoSpaceDE w:val="0"/>
        <w:autoSpaceDN w:val="0"/>
        <w:adjustRightInd w:val="0"/>
        <w:spacing w:after="0" w:line="240" w:lineRule="auto"/>
        <w:jc w:val="both"/>
        <w:rPr>
          <w:rFonts w:ascii="Times New Roman" w:hAnsi="Times New Roman" w:cs="Times New Roman"/>
          <w:noProof/>
          <w:sz w:val="24"/>
          <w:szCs w:val="24"/>
          <w:lang w:val="en-US" w:eastAsia="en-AU"/>
        </w:rPr>
      </w:pPr>
      <w:r>
        <w:rPr>
          <w:rFonts w:ascii="Times New Roman" w:hAnsi="Times New Roman" w:cs="Times New Roman"/>
          <w:noProof/>
          <w:sz w:val="24"/>
          <w:szCs w:val="24"/>
          <w:lang w:val="en-US" w:eastAsia="en-AU"/>
        </w:rPr>
        <w:t>No risk assessment has been performed specifically for this work, therefore, the performance targets have been established following the approach u</w:t>
      </w:r>
      <w:r>
        <w:rPr>
          <w:rFonts w:ascii="Times New Roman" w:hAnsi="Times New Roman" w:cs="Times New Roman"/>
          <w:noProof/>
          <w:sz w:val="24"/>
          <w:szCs w:val="24"/>
          <w:lang w:val="en-US" w:eastAsia="en-AU"/>
        </w:rPr>
        <w:t xml:space="preserve">sed by the Australian guidelines for water reuse practices (NRMMC–EPHC–AHMC, 2006) to establish performance and water quality targets. This approach consist on </w:t>
      </w:r>
      <w:r>
        <w:rPr>
          <w:rFonts w:ascii="Times New Roman" w:hAnsi="Times New Roman" w:cs="Times New Roman"/>
          <w:noProof/>
          <w:sz w:val="24"/>
          <w:szCs w:val="24"/>
          <w:shd w:val="clear" w:color="auto" w:fill="FFFFFF"/>
          <w:lang w:val="en-US"/>
        </w:rPr>
        <w:t xml:space="preserve">the translation of a tolerable risk level to performance targets. The </w:t>
      </w:r>
      <w:r>
        <w:rPr>
          <w:rFonts w:ascii="Times New Roman" w:hAnsi="Times New Roman" w:cs="Times New Roman"/>
          <w:noProof/>
          <w:sz w:val="24"/>
          <w:szCs w:val="24"/>
          <w:lang w:val="en-US" w:eastAsia="en-AU"/>
        </w:rPr>
        <w:t>Australian guidelines have</w:t>
      </w:r>
      <w:r>
        <w:rPr>
          <w:rFonts w:ascii="Times New Roman" w:hAnsi="Times New Roman" w:cs="Times New Roman"/>
          <w:noProof/>
          <w:sz w:val="24"/>
          <w:szCs w:val="24"/>
          <w:lang w:val="en-US" w:eastAsia="en-AU"/>
        </w:rPr>
        <w:t xml:space="preserve"> been selected as the most appropriate scientific-based document to be used.</w:t>
      </w:r>
      <w:r>
        <w:rPr>
          <w:rFonts w:ascii="Times New Roman" w:hAnsi="Times New Roman" w:cs="Times New Roman"/>
          <w:noProof/>
          <w:sz w:val="24"/>
          <w:szCs w:val="24"/>
          <w:lang w:val="en-US"/>
        </w:rPr>
        <w:t xml:space="preserve"> They apply the tolerable risk of 10</w:t>
      </w:r>
      <w:r>
        <w:rPr>
          <w:rFonts w:ascii="Times New Roman" w:hAnsi="Times New Roman" w:cs="Times New Roman"/>
          <w:noProof/>
          <w:sz w:val="24"/>
          <w:szCs w:val="24"/>
          <w:vertAlign w:val="superscript"/>
          <w:lang w:val="en-US"/>
        </w:rPr>
        <w:t>-6</w:t>
      </w:r>
      <w:r>
        <w:rPr>
          <w:rFonts w:ascii="Times New Roman" w:hAnsi="Times New Roman" w:cs="Times New Roman"/>
          <w:noProof/>
          <w:sz w:val="24"/>
          <w:szCs w:val="24"/>
          <w:lang w:val="en-US"/>
        </w:rPr>
        <w:t xml:space="preserve"> DALYs pppy recommended by the WHO guidelines and considered safe enough for the development of the minimum quality requirements at EU level, </w:t>
      </w:r>
      <w:r>
        <w:rPr>
          <w:rFonts w:ascii="Times New Roman" w:hAnsi="Times New Roman" w:cs="Times New Roman"/>
          <w:noProof/>
          <w:sz w:val="24"/>
          <w:szCs w:val="24"/>
          <w:lang w:val="en-US"/>
        </w:rPr>
        <w:t>and they also deploy the risk assessment carried out to derived the performance targets (log</w:t>
      </w:r>
      <w:r>
        <w:rPr>
          <w:rFonts w:ascii="Times New Roman" w:hAnsi="Times New Roman" w:cs="Times New Roman"/>
          <w:noProof/>
          <w:sz w:val="24"/>
          <w:szCs w:val="24"/>
          <w:vertAlign w:val="subscript"/>
          <w:lang w:val="en-US"/>
        </w:rPr>
        <w:t>10</w:t>
      </w:r>
      <w:r>
        <w:rPr>
          <w:rFonts w:ascii="Times New Roman" w:hAnsi="Times New Roman" w:cs="Times New Roman"/>
          <w:noProof/>
          <w:sz w:val="24"/>
          <w:szCs w:val="24"/>
          <w:lang w:val="en-US"/>
        </w:rPr>
        <w:t xml:space="preserve"> reductions) for human health risks control. </w:t>
      </w:r>
      <w:r>
        <w:rPr>
          <w:rFonts w:ascii="Times New Roman" w:hAnsi="Times New Roman" w:cs="Times New Roman"/>
          <w:noProof/>
          <w:sz w:val="24"/>
          <w:szCs w:val="24"/>
          <w:lang w:val="en-US" w:eastAsia="en-AU"/>
        </w:rPr>
        <w:t>Although there are some similarities with the log</w:t>
      </w:r>
      <w:r>
        <w:rPr>
          <w:rFonts w:ascii="Times New Roman" w:hAnsi="Times New Roman" w:cs="Times New Roman"/>
          <w:noProof/>
          <w:sz w:val="24"/>
          <w:szCs w:val="24"/>
          <w:vertAlign w:val="subscript"/>
          <w:lang w:val="en-US"/>
        </w:rPr>
        <w:t>10</w:t>
      </w:r>
      <w:r>
        <w:rPr>
          <w:rFonts w:ascii="Times New Roman" w:hAnsi="Times New Roman" w:cs="Times New Roman"/>
          <w:noProof/>
          <w:sz w:val="24"/>
          <w:szCs w:val="24"/>
          <w:lang w:val="en-US" w:eastAsia="en-AU"/>
        </w:rPr>
        <w:t xml:space="preserve"> reductions defined by the WHO guidelines, it is considered that a</w:t>
      </w:r>
      <w:r>
        <w:rPr>
          <w:rFonts w:ascii="Times New Roman" w:hAnsi="Times New Roman" w:cs="Times New Roman"/>
          <w:noProof/>
          <w:sz w:val="24"/>
          <w:szCs w:val="24"/>
          <w:lang w:val="en-US" w:eastAsia="en-AU"/>
        </w:rPr>
        <w:t>ssumptions made by Australian guidelines reflect more accurately the situation in MS, also considering the fact that the WHO guidelines include assumptions from developing countries in the development of the risk assessment.</w:t>
      </w:r>
    </w:p>
    <w:p w:rsidR="00AB50C5" w:rsidRDefault="00AB50C5">
      <w:pPr>
        <w:autoSpaceDE w:val="0"/>
        <w:autoSpaceDN w:val="0"/>
        <w:adjustRightInd w:val="0"/>
        <w:spacing w:after="0" w:line="240" w:lineRule="auto"/>
        <w:jc w:val="both"/>
        <w:rPr>
          <w:rFonts w:ascii="Times New Roman" w:hAnsi="Times New Roman" w:cs="Times New Roman"/>
          <w:noProof/>
          <w:sz w:val="24"/>
          <w:szCs w:val="24"/>
          <w:lang w:val="en-US"/>
        </w:rPr>
      </w:pPr>
    </w:p>
    <w:p w:rsidR="00AB50C5" w:rsidRDefault="00724275">
      <w:pPr>
        <w:autoSpaceDE w:val="0"/>
        <w:autoSpaceDN w:val="0"/>
        <w:adjustRightInd w:val="0"/>
        <w:spacing w:after="0" w:line="240" w:lineRule="auto"/>
        <w:jc w:val="both"/>
        <w:rPr>
          <w:rFonts w:ascii="Times New Roman" w:hAnsi="Times New Roman" w:cs="Times New Roman"/>
          <w:noProof/>
          <w:sz w:val="24"/>
          <w:szCs w:val="24"/>
          <w:lang w:val="en-US" w:eastAsia="en-AU"/>
        </w:rPr>
      </w:pPr>
      <w:r>
        <w:rPr>
          <w:rFonts w:ascii="Times New Roman" w:hAnsi="Times New Roman" w:cs="Times New Roman"/>
          <w:noProof/>
          <w:sz w:val="24"/>
          <w:szCs w:val="24"/>
          <w:lang w:val="en-US"/>
        </w:rPr>
        <w:t xml:space="preserve">Pathogen concentration in raw </w:t>
      </w:r>
      <w:r>
        <w:rPr>
          <w:rFonts w:ascii="Times New Roman" w:hAnsi="Times New Roman" w:cs="Times New Roman"/>
          <w:noProof/>
          <w:sz w:val="24"/>
          <w:szCs w:val="24"/>
          <w:lang w:val="en-US"/>
        </w:rPr>
        <w:t xml:space="preserve">wastewater can vary over a wide range, </w:t>
      </w:r>
      <w:r>
        <w:rPr>
          <w:rFonts w:ascii="Times New Roman" w:hAnsi="Times New Roman" w:cs="Times New Roman"/>
          <w:i/>
          <w:noProof/>
          <w:sz w:val="24"/>
          <w:szCs w:val="24"/>
          <w:lang w:val="en-US"/>
        </w:rPr>
        <w:t>Campylobacter</w:t>
      </w:r>
      <w:r>
        <w:rPr>
          <w:rFonts w:ascii="Times New Roman" w:hAnsi="Times New Roman" w:cs="Times New Roman"/>
          <w:noProof/>
          <w:sz w:val="24"/>
          <w:szCs w:val="24"/>
          <w:lang w:val="en-US"/>
        </w:rPr>
        <w:t xml:space="preserve"> concentration can vary from 10</w:t>
      </w:r>
      <w:r>
        <w:rPr>
          <w:rFonts w:ascii="Times New Roman" w:hAnsi="Times New Roman" w:cs="Times New Roman"/>
          <w:noProof/>
          <w:sz w:val="24"/>
          <w:szCs w:val="24"/>
          <w:vertAlign w:val="superscript"/>
          <w:lang w:val="en-US"/>
        </w:rPr>
        <w:t>2</w:t>
      </w:r>
      <w:r>
        <w:rPr>
          <w:rFonts w:ascii="Times New Roman" w:hAnsi="Times New Roman" w:cs="Times New Roman"/>
          <w:noProof/>
          <w:sz w:val="24"/>
          <w:szCs w:val="24"/>
          <w:lang w:val="en-US"/>
        </w:rPr>
        <w:t xml:space="preserve"> to 10</w:t>
      </w:r>
      <w:r>
        <w:rPr>
          <w:rFonts w:ascii="Times New Roman" w:hAnsi="Times New Roman" w:cs="Times New Roman"/>
          <w:noProof/>
          <w:sz w:val="24"/>
          <w:szCs w:val="24"/>
          <w:vertAlign w:val="superscript"/>
          <w:lang w:val="en-US"/>
        </w:rPr>
        <w:t>5</w:t>
      </w:r>
      <w:r>
        <w:rPr>
          <w:rFonts w:ascii="Times New Roman" w:hAnsi="Times New Roman" w:cs="Times New Roman"/>
          <w:noProof/>
          <w:sz w:val="24"/>
          <w:szCs w:val="24"/>
          <w:lang w:val="en-US"/>
        </w:rPr>
        <w:t xml:space="preserve"> cfu/l, rotavirus can also vary from 10</w:t>
      </w:r>
      <w:r>
        <w:rPr>
          <w:rFonts w:ascii="Times New Roman" w:hAnsi="Times New Roman" w:cs="Times New Roman"/>
          <w:noProof/>
          <w:sz w:val="24"/>
          <w:szCs w:val="24"/>
          <w:vertAlign w:val="superscript"/>
          <w:lang w:val="en-US"/>
        </w:rPr>
        <w:t>2</w:t>
      </w:r>
      <w:r>
        <w:rPr>
          <w:rFonts w:ascii="Times New Roman" w:hAnsi="Times New Roman" w:cs="Times New Roman"/>
          <w:noProof/>
          <w:sz w:val="24"/>
          <w:szCs w:val="24"/>
          <w:lang w:val="en-US"/>
        </w:rPr>
        <w:t xml:space="preserve"> to 10</w:t>
      </w:r>
      <w:r>
        <w:rPr>
          <w:rFonts w:ascii="Times New Roman" w:hAnsi="Times New Roman" w:cs="Times New Roman"/>
          <w:noProof/>
          <w:sz w:val="24"/>
          <w:szCs w:val="24"/>
          <w:vertAlign w:val="superscript"/>
          <w:lang w:val="en-US"/>
        </w:rPr>
        <w:t>5</w:t>
      </w:r>
      <w:r>
        <w:rPr>
          <w:rFonts w:ascii="Times New Roman" w:hAnsi="Times New Roman" w:cs="Times New Roman"/>
          <w:noProof/>
          <w:sz w:val="24"/>
          <w:szCs w:val="24"/>
          <w:lang w:val="en-US"/>
        </w:rPr>
        <w:t xml:space="preserve"> pfu/l, and </w:t>
      </w:r>
      <w:r>
        <w:rPr>
          <w:rFonts w:ascii="Times New Roman" w:hAnsi="Times New Roman" w:cs="Times New Roman"/>
          <w:i/>
          <w:noProof/>
          <w:sz w:val="24"/>
          <w:szCs w:val="24"/>
          <w:lang w:val="en-US"/>
        </w:rPr>
        <w:t xml:space="preserve">Cryptosporidium </w:t>
      </w:r>
      <w:r>
        <w:rPr>
          <w:rFonts w:ascii="Times New Roman" w:hAnsi="Times New Roman" w:cs="Times New Roman"/>
          <w:noProof/>
          <w:sz w:val="24"/>
          <w:szCs w:val="24"/>
          <w:lang w:val="en-US"/>
        </w:rPr>
        <w:t>may vary between 0 and 10</w:t>
      </w:r>
      <w:r>
        <w:rPr>
          <w:rFonts w:ascii="Times New Roman" w:hAnsi="Times New Roman" w:cs="Times New Roman"/>
          <w:noProof/>
          <w:sz w:val="24"/>
          <w:szCs w:val="24"/>
          <w:vertAlign w:val="superscript"/>
          <w:lang w:val="en-US"/>
        </w:rPr>
        <w:t>4</w:t>
      </w:r>
      <w:r>
        <w:rPr>
          <w:rFonts w:ascii="Times New Roman" w:hAnsi="Times New Roman" w:cs="Times New Roman"/>
          <w:noProof/>
          <w:sz w:val="24"/>
          <w:szCs w:val="24"/>
          <w:lang w:val="en-US"/>
        </w:rPr>
        <w:t xml:space="preserve"> oocysts/l according to several sources cited in Australian guidelines (</w:t>
      </w:r>
      <w:r>
        <w:rPr>
          <w:rFonts w:ascii="Times New Roman" w:hAnsi="Times New Roman" w:cs="Times New Roman"/>
          <w:noProof/>
          <w:sz w:val="24"/>
          <w:szCs w:val="24"/>
          <w:lang w:val="en-US" w:eastAsia="en-AU"/>
        </w:rPr>
        <w:t xml:space="preserve">NRMMC–EPHC–AHMC, 2006) which are in line with concentrations reported in WHO and EPA guidelines (WHO, 2006; EPA, 2012). </w:t>
      </w:r>
      <w:r>
        <w:rPr>
          <w:rFonts w:ascii="Times New Roman" w:hAnsi="Times New Roman" w:cs="Times New Roman"/>
          <w:noProof/>
          <w:sz w:val="24"/>
          <w:szCs w:val="24"/>
          <w:lang w:val="en-US"/>
        </w:rPr>
        <w:t>Due to these variations, 95</w:t>
      </w:r>
      <w:r>
        <w:rPr>
          <w:rFonts w:ascii="Times New Roman" w:hAnsi="Times New Roman" w:cs="Times New Roman"/>
          <w:noProof/>
          <w:sz w:val="24"/>
          <w:szCs w:val="24"/>
          <w:vertAlign w:val="superscript"/>
          <w:lang w:val="en-US"/>
        </w:rPr>
        <w:t>th</w:t>
      </w:r>
      <w:r>
        <w:rPr>
          <w:rFonts w:ascii="Times New Roman" w:hAnsi="Times New Roman" w:cs="Times New Roman"/>
          <w:noProof/>
          <w:sz w:val="24"/>
          <w:szCs w:val="24"/>
          <w:lang w:val="en-US"/>
        </w:rPr>
        <w:t xml:space="preserve"> percentiles are therefore used in </w:t>
      </w:r>
      <w:r>
        <w:rPr>
          <w:rFonts w:ascii="Times New Roman" w:hAnsi="Times New Roman" w:cs="Times New Roman"/>
          <w:noProof/>
          <w:sz w:val="24"/>
          <w:szCs w:val="24"/>
          <w:lang w:val="en-US"/>
        </w:rPr>
        <w:t>determining the performance targets. The 95</w:t>
      </w:r>
      <w:r>
        <w:rPr>
          <w:rFonts w:ascii="Times New Roman" w:hAnsi="Times New Roman" w:cs="Times New Roman"/>
          <w:noProof/>
          <w:sz w:val="24"/>
          <w:szCs w:val="24"/>
          <w:vertAlign w:val="superscript"/>
          <w:lang w:val="en-US"/>
        </w:rPr>
        <w:t>th</w:t>
      </w:r>
      <w:r>
        <w:rPr>
          <w:rFonts w:ascii="Times New Roman" w:hAnsi="Times New Roman" w:cs="Times New Roman"/>
          <w:noProof/>
          <w:sz w:val="24"/>
          <w:szCs w:val="24"/>
          <w:lang w:val="en-US"/>
        </w:rPr>
        <w:t xml:space="preserve"> percentiles of organisms per litre in raw wastewater used for the reference pathogens were 7000 for </w:t>
      </w:r>
      <w:r>
        <w:rPr>
          <w:rFonts w:ascii="Times New Roman" w:hAnsi="Times New Roman" w:cs="Times New Roman"/>
          <w:i/>
          <w:noProof/>
          <w:sz w:val="24"/>
          <w:szCs w:val="24"/>
          <w:lang w:val="en-US"/>
        </w:rPr>
        <w:t>Campylobacter</w:t>
      </w:r>
      <w:r>
        <w:rPr>
          <w:rFonts w:ascii="Times New Roman" w:hAnsi="Times New Roman" w:cs="Times New Roman"/>
          <w:noProof/>
          <w:sz w:val="24"/>
          <w:szCs w:val="24"/>
          <w:lang w:val="en-US"/>
        </w:rPr>
        <w:t xml:space="preserve">, 8000 for rotavirus and 2000 for </w:t>
      </w:r>
      <w:r>
        <w:rPr>
          <w:rFonts w:ascii="Times New Roman" w:hAnsi="Times New Roman" w:cs="Times New Roman"/>
          <w:i/>
          <w:noProof/>
          <w:sz w:val="24"/>
          <w:szCs w:val="24"/>
          <w:lang w:val="en-US"/>
        </w:rPr>
        <w:t>Cryptosporidium</w:t>
      </w:r>
      <w:r>
        <w:rPr>
          <w:rFonts w:ascii="Times New Roman" w:hAnsi="Times New Roman" w:cs="Times New Roman"/>
          <w:noProof/>
          <w:sz w:val="24"/>
          <w:szCs w:val="24"/>
          <w:lang w:val="en-US"/>
        </w:rPr>
        <w:t>. These concentrations are consistent with inter</w:t>
      </w:r>
      <w:r>
        <w:rPr>
          <w:rFonts w:ascii="Times New Roman" w:hAnsi="Times New Roman" w:cs="Times New Roman"/>
          <w:noProof/>
          <w:sz w:val="24"/>
          <w:szCs w:val="24"/>
          <w:lang w:val="en-US"/>
        </w:rPr>
        <w:t xml:space="preserve">national data, according to Australian guidelines. The assumptions made to apply the risk assessment model (e.g. exposure per event, dose-response constants, ratio of desease/infection ratios, susceptibility fraction) are further detailed in Appendix 2 of </w:t>
      </w:r>
      <w:r>
        <w:rPr>
          <w:rFonts w:ascii="Times New Roman" w:hAnsi="Times New Roman" w:cs="Times New Roman"/>
          <w:noProof/>
          <w:sz w:val="24"/>
          <w:szCs w:val="24"/>
          <w:lang w:val="en-US"/>
        </w:rPr>
        <w:t>the Australian guidelines (</w:t>
      </w:r>
      <w:r>
        <w:rPr>
          <w:rFonts w:ascii="Times New Roman" w:hAnsi="Times New Roman" w:cs="Times New Roman"/>
          <w:noProof/>
          <w:sz w:val="24"/>
          <w:szCs w:val="24"/>
          <w:lang w:val="en-US" w:eastAsia="en-AU"/>
        </w:rPr>
        <w:t xml:space="preserve">NRMMC–EPHC–AHMC, 2006). </w:t>
      </w:r>
    </w:p>
    <w:p w:rsidR="00AB50C5" w:rsidRDefault="00AB50C5">
      <w:pPr>
        <w:autoSpaceDE w:val="0"/>
        <w:autoSpaceDN w:val="0"/>
        <w:adjustRightInd w:val="0"/>
        <w:spacing w:after="0" w:line="240" w:lineRule="auto"/>
        <w:jc w:val="both"/>
        <w:rPr>
          <w:rFonts w:ascii="Times New Roman" w:hAnsi="Times New Roman" w:cs="Times New Roman"/>
          <w:noProof/>
          <w:sz w:val="24"/>
          <w:szCs w:val="24"/>
          <w:lang w:val="en-US" w:eastAsia="en-AU"/>
        </w:rPr>
      </w:pPr>
    </w:p>
    <w:p w:rsidR="00AB50C5" w:rsidRDefault="00724275">
      <w:pPr>
        <w:autoSpaceDE w:val="0"/>
        <w:autoSpaceDN w:val="0"/>
        <w:adjustRightInd w:val="0"/>
        <w:spacing w:after="0" w:line="240" w:lineRule="auto"/>
        <w:jc w:val="both"/>
        <w:rPr>
          <w:rFonts w:ascii="Times New Roman" w:hAnsi="Times New Roman" w:cs="Times New Roman"/>
          <w:noProof/>
          <w:sz w:val="24"/>
          <w:szCs w:val="24"/>
          <w:lang w:val="en-US" w:eastAsia="en-AU"/>
        </w:rPr>
      </w:pPr>
      <w:r>
        <w:rPr>
          <w:rFonts w:ascii="Times New Roman" w:hAnsi="Times New Roman" w:cs="Times New Roman"/>
          <w:noProof/>
          <w:sz w:val="24"/>
          <w:szCs w:val="24"/>
          <w:lang w:val="en-US" w:eastAsia="en-AU"/>
        </w:rPr>
        <w:t>The log</w:t>
      </w:r>
      <w:r>
        <w:rPr>
          <w:rFonts w:ascii="Times New Roman" w:hAnsi="Times New Roman" w:cs="Times New Roman"/>
          <w:noProof/>
          <w:sz w:val="24"/>
          <w:szCs w:val="24"/>
          <w:vertAlign w:val="subscript"/>
          <w:lang w:val="en-US"/>
        </w:rPr>
        <w:t>10</w:t>
      </w:r>
      <w:r>
        <w:rPr>
          <w:rFonts w:ascii="Times New Roman" w:hAnsi="Times New Roman" w:cs="Times New Roman"/>
          <w:noProof/>
          <w:sz w:val="24"/>
          <w:szCs w:val="24"/>
          <w:lang w:val="en-US" w:eastAsia="en-AU"/>
        </w:rPr>
        <w:t xml:space="preserve"> reductions established have been calculated considering the worst-case scenario of the irrigation of lettuce when edible parts are in contact with reclaimed water (i.e. sprinkler irrigation) an</w:t>
      </w:r>
      <w:r>
        <w:rPr>
          <w:rFonts w:ascii="Times New Roman" w:hAnsi="Times New Roman" w:cs="Times New Roman"/>
          <w:noProof/>
          <w:sz w:val="24"/>
          <w:szCs w:val="24"/>
          <w:lang w:val="en-US" w:eastAsia="en-AU"/>
        </w:rPr>
        <w:t>d the only barrier to reduce risk to a tolerable level is the wastewater treatment (secondary treatment, filtration and disinfection). The log</w:t>
      </w:r>
      <w:r>
        <w:rPr>
          <w:rFonts w:ascii="Times New Roman" w:hAnsi="Times New Roman" w:cs="Times New Roman"/>
          <w:noProof/>
          <w:sz w:val="24"/>
          <w:szCs w:val="24"/>
          <w:vertAlign w:val="subscript"/>
          <w:lang w:val="en-US"/>
        </w:rPr>
        <w:t>10</w:t>
      </w:r>
      <w:r>
        <w:rPr>
          <w:rFonts w:ascii="Times New Roman" w:hAnsi="Times New Roman" w:cs="Times New Roman"/>
          <w:noProof/>
          <w:sz w:val="24"/>
          <w:szCs w:val="24"/>
          <w:lang w:val="en-US" w:eastAsia="en-AU"/>
        </w:rPr>
        <w:t xml:space="preserve"> defined reductions are the following:</w:t>
      </w:r>
    </w:p>
    <w:p w:rsidR="00AB50C5" w:rsidRDefault="00724275">
      <w:pPr>
        <w:pStyle w:val="JRCTextbulletedlist1"/>
        <w:rPr>
          <w:rFonts w:ascii="Times New Roman" w:hAnsi="Times New Roman"/>
          <w:noProof/>
          <w:sz w:val="24"/>
          <w:szCs w:val="24"/>
          <w:lang w:val="en-US" w:eastAsia="en-AU"/>
        </w:rPr>
      </w:pPr>
      <w:r>
        <w:rPr>
          <w:rFonts w:ascii="Times New Roman" w:hAnsi="Times New Roman"/>
          <w:i/>
          <w:noProof/>
          <w:sz w:val="24"/>
          <w:szCs w:val="24"/>
          <w:lang w:val="en-US" w:eastAsia="en-AU"/>
        </w:rPr>
        <w:t>Campylobacter</w:t>
      </w:r>
      <w:r>
        <w:rPr>
          <w:rFonts w:ascii="Times New Roman" w:hAnsi="Times New Roman"/>
          <w:noProof/>
          <w:sz w:val="24"/>
          <w:szCs w:val="24"/>
          <w:lang w:val="en-US" w:eastAsia="en-AU"/>
        </w:rPr>
        <w:t>: 5 log</w:t>
      </w:r>
      <w:r>
        <w:rPr>
          <w:rFonts w:ascii="Times New Roman" w:hAnsi="Times New Roman"/>
          <w:noProof/>
          <w:sz w:val="24"/>
          <w:szCs w:val="24"/>
          <w:vertAlign w:val="subscript"/>
          <w:lang w:val="en-US"/>
        </w:rPr>
        <w:t>10</w:t>
      </w:r>
      <w:r>
        <w:rPr>
          <w:rFonts w:ascii="Times New Roman" w:hAnsi="Times New Roman"/>
          <w:noProof/>
          <w:sz w:val="24"/>
          <w:szCs w:val="24"/>
          <w:lang w:val="en-US" w:eastAsia="en-AU"/>
        </w:rPr>
        <w:t xml:space="preserve"> reduction</w:t>
      </w:r>
    </w:p>
    <w:p w:rsidR="00AB50C5" w:rsidRDefault="00724275">
      <w:pPr>
        <w:pStyle w:val="JRCTextbulletedlist1"/>
        <w:rPr>
          <w:rFonts w:ascii="Times New Roman" w:hAnsi="Times New Roman"/>
          <w:noProof/>
          <w:sz w:val="24"/>
          <w:szCs w:val="24"/>
          <w:lang w:val="en-US" w:eastAsia="en-AU"/>
        </w:rPr>
      </w:pPr>
      <w:r>
        <w:rPr>
          <w:rFonts w:ascii="Times New Roman" w:hAnsi="Times New Roman"/>
          <w:noProof/>
          <w:sz w:val="24"/>
          <w:szCs w:val="24"/>
          <w:lang w:val="en-US" w:eastAsia="en-AU"/>
        </w:rPr>
        <w:t>Rotavirus: 6 log</w:t>
      </w:r>
      <w:r>
        <w:rPr>
          <w:rFonts w:ascii="Times New Roman" w:hAnsi="Times New Roman"/>
          <w:noProof/>
          <w:sz w:val="24"/>
          <w:szCs w:val="24"/>
          <w:vertAlign w:val="subscript"/>
          <w:lang w:val="en-US"/>
        </w:rPr>
        <w:t>10</w:t>
      </w:r>
      <w:r>
        <w:rPr>
          <w:rFonts w:ascii="Times New Roman" w:hAnsi="Times New Roman"/>
          <w:noProof/>
          <w:sz w:val="24"/>
          <w:szCs w:val="24"/>
          <w:lang w:val="en-US" w:eastAsia="en-AU"/>
        </w:rPr>
        <w:t xml:space="preserve"> reduction</w:t>
      </w:r>
    </w:p>
    <w:p w:rsidR="00AB50C5" w:rsidRDefault="00724275">
      <w:pPr>
        <w:pStyle w:val="JRCTextbulletedlist1"/>
        <w:rPr>
          <w:rFonts w:ascii="Times New Roman" w:hAnsi="Times New Roman"/>
          <w:noProof/>
          <w:sz w:val="24"/>
          <w:szCs w:val="24"/>
          <w:lang w:val="en-US" w:eastAsia="en-AU"/>
        </w:rPr>
      </w:pPr>
      <w:r>
        <w:rPr>
          <w:rFonts w:ascii="Times New Roman" w:hAnsi="Times New Roman"/>
          <w:i/>
          <w:noProof/>
          <w:sz w:val="24"/>
          <w:szCs w:val="24"/>
          <w:lang w:val="en-US" w:eastAsia="en-AU"/>
        </w:rPr>
        <w:t>Cryptosporidum</w:t>
      </w:r>
      <w:r>
        <w:rPr>
          <w:rFonts w:ascii="Times New Roman" w:hAnsi="Times New Roman"/>
          <w:noProof/>
          <w:sz w:val="24"/>
          <w:szCs w:val="24"/>
          <w:lang w:val="en-US" w:eastAsia="en-AU"/>
        </w:rPr>
        <w:t>: 5 log</w:t>
      </w:r>
      <w:r>
        <w:rPr>
          <w:rFonts w:ascii="Times New Roman" w:hAnsi="Times New Roman"/>
          <w:noProof/>
          <w:sz w:val="24"/>
          <w:szCs w:val="24"/>
          <w:vertAlign w:val="subscript"/>
          <w:lang w:val="en-US"/>
        </w:rPr>
        <w:t>10</w:t>
      </w:r>
      <w:r>
        <w:rPr>
          <w:rFonts w:ascii="Times New Roman" w:hAnsi="Times New Roman"/>
          <w:noProof/>
          <w:sz w:val="24"/>
          <w:szCs w:val="24"/>
          <w:lang w:val="en-US" w:eastAsia="en-AU"/>
        </w:rPr>
        <w:t xml:space="preserve"> reduction</w:t>
      </w:r>
    </w:p>
    <w:p w:rsidR="00AB50C5" w:rsidRDefault="00724275">
      <w:pPr>
        <w:spacing w:after="0" w:line="240" w:lineRule="auto"/>
        <w:ind w:hanging="1"/>
        <w:jc w:val="both"/>
        <w:rPr>
          <w:rFonts w:ascii="Times New Roman" w:hAnsi="Times New Roman" w:cs="Times New Roman"/>
          <w:noProof/>
          <w:sz w:val="24"/>
          <w:szCs w:val="24"/>
          <w:lang w:val="en-US" w:eastAsia="it-IT"/>
        </w:rPr>
      </w:pPr>
      <w:r>
        <w:rPr>
          <w:rFonts w:ascii="Times New Roman" w:hAnsi="Times New Roman" w:cs="Times New Roman"/>
          <w:noProof/>
          <w:sz w:val="24"/>
          <w:szCs w:val="24"/>
          <w:shd w:val="clear" w:color="auto" w:fill="FFFFFF"/>
          <w:lang w:val="en-US"/>
        </w:rPr>
        <w:t>These results are consistent with the higher disease risk for viruses relative to other enteric pathogens generally obtained when a Quantitative Microbial Risk Assessment (QMRA) is performed for different classes of pathog</w:t>
      </w:r>
      <w:r>
        <w:rPr>
          <w:rFonts w:ascii="Times New Roman" w:hAnsi="Times New Roman" w:cs="Times New Roman"/>
          <w:noProof/>
          <w:sz w:val="24"/>
          <w:szCs w:val="24"/>
          <w:shd w:val="clear" w:color="auto" w:fill="FFFFFF"/>
          <w:lang w:val="en-US"/>
        </w:rPr>
        <w:t xml:space="preserve">ens (De Keuckelarre </w:t>
      </w:r>
      <w:r>
        <w:rPr>
          <w:rFonts w:ascii="Times New Roman" w:hAnsi="Times New Roman" w:cs="Times New Roman"/>
          <w:i/>
          <w:noProof/>
          <w:sz w:val="24"/>
          <w:szCs w:val="24"/>
          <w:shd w:val="clear" w:color="auto" w:fill="FFFFFF"/>
          <w:lang w:val="en-US"/>
        </w:rPr>
        <w:t>et al.</w:t>
      </w:r>
      <w:r>
        <w:rPr>
          <w:rFonts w:ascii="Times New Roman" w:hAnsi="Times New Roman" w:cs="Times New Roman"/>
          <w:noProof/>
          <w:sz w:val="24"/>
          <w:szCs w:val="24"/>
          <w:shd w:val="clear" w:color="auto" w:fill="FFFFFF"/>
          <w:lang w:val="en-US"/>
        </w:rPr>
        <w:t>, 2015).</w:t>
      </w:r>
    </w:p>
    <w:p w:rsidR="00AB50C5" w:rsidRDefault="00724275">
      <w:pPr>
        <w:spacing w:after="0" w:line="240" w:lineRule="auto"/>
        <w:jc w:val="both"/>
        <w:rPr>
          <w:rFonts w:ascii="Times New Roman" w:hAnsi="Times New Roman" w:cs="Times New Roman"/>
          <w:noProof/>
          <w:sz w:val="24"/>
          <w:szCs w:val="24"/>
          <w:shd w:val="clear" w:color="auto" w:fill="FFFFFF"/>
          <w:lang w:val="en-US"/>
        </w:rPr>
      </w:pPr>
      <w:r>
        <w:rPr>
          <w:rFonts w:ascii="Times New Roman" w:hAnsi="Times New Roman" w:cs="Times New Roman"/>
          <w:noProof/>
          <w:sz w:val="24"/>
          <w:szCs w:val="24"/>
          <w:shd w:val="clear" w:color="auto" w:fill="FFFFFF"/>
          <w:lang w:val="en-US"/>
        </w:rPr>
        <w:t>According to the multiple-barrier approach included in the risk management framework, these log</w:t>
      </w:r>
      <w:r>
        <w:rPr>
          <w:rFonts w:ascii="Times New Roman" w:hAnsi="Times New Roman" w:cs="Times New Roman"/>
          <w:noProof/>
          <w:sz w:val="24"/>
          <w:szCs w:val="24"/>
          <w:bdr w:val="none" w:sz="0" w:space="0" w:color="auto" w:frame="1"/>
          <w:shd w:val="clear" w:color="auto" w:fill="FFFFFF"/>
          <w:vertAlign w:val="subscript"/>
          <w:lang w:val="en-US"/>
        </w:rPr>
        <w:t>10</w:t>
      </w:r>
      <w:r>
        <w:rPr>
          <w:rStyle w:val="apple-converted-space"/>
          <w:rFonts w:ascii="Times New Roman" w:hAnsi="Times New Roman" w:cs="Times New Roman"/>
          <w:noProof/>
          <w:sz w:val="24"/>
          <w:szCs w:val="24"/>
          <w:shd w:val="clear" w:color="auto" w:fill="FFFFFF"/>
          <w:lang w:val="en-US"/>
        </w:rPr>
        <w:t> </w:t>
      </w:r>
      <w:r>
        <w:rPr>
          <w:rFonts w:ascii="Times New Roman" w:hAnsi="Times New Roman" w:cs="Times New Roman"/>
          <w:noProof/>
          <w:sz w:val="24"/>
          <w:szCs w:val="24"/>
          <w:shd w:val="clear" w:color="auto" w:fill="FFFFFF"/>
          <w:lang w:val="en-US"/>
        </w:rPr>
        <w:t xml:space="preserve">reductions can be obtained using several water treatment options alone or in combination with other non-treatment options </w:t>
      </w:r>
      <w:r>
        <w:rPr>
          <w:rFonts w:ascii="Times New Roman" w:hAnsi="Times New Roman" w:cs="Times New Roman"/>
          <w:noProof/>
          <w:sz w:val="24"/>
          <w:szCs w:val="24"/>
          <w:shd w:val="clear" w:color="auto" w:fill="FFFFFF"/>
          <w:lang w:val="en-US"/>
        </w:rPr>
        <w:t>(e.g. type of crop to be irrigated, irrigation method, post-harvest processing).</w:t>
      </w:r>
    </w:p>
    <w:p w:rsidR="00AB50C5" w:rsidRDefault="00AB50C5">
      <w:pPr>
        <w:spacing w:after="0" w:line="240" w:lineRule="auto"/>
        <w:jc w:val="both"/>
        <w:rPr>
          <w:rFonts w:ascii="Times New Roman" w:hAnsi="Times New Roman" w:cs="Times New Roman"/>
          <w:noProof/>
          <w:sz w:val="24"/>
          <w:szCs w:val="24"/>
          <w:shd w:val="clear" w:color="auto" w:fill="FFFFFF"/>
          <w:lang w:val="en-US"/>
        </w:rPr>
      </w:pPr>
    </w:p>
    <w:p w:rsidR="00AB50C5" w:rsidRDefault="00724275">
      <w:pPr>
        <w:autoSpaceDE w:val="0"/>
        <w:autoSpaceDN w:val="0"/>
        <w:adjustRightInd w:val="0"/>
        <w:spacing w:after="0" w:line="240" w:lineRule="auto"/>
        <w:jc w:val="both"/>
        <w:rPr>
          <w:rFonts w:ascii="Times New Roman" w:hAnsi="Times New Roman" w:cs="Times New Roman"/>
          <w:noProof/>
          <w:sz w:val="24"/>
          <w:szCs w:val="24"/>
          <w:lang w:val="en-US" w:eastAsia="en-AU"/>
        </w:rPr>
      </w:pPr>
      <w:r>
        <w:rPr>
          <w:rFonts w:ascii="Times New Roman" w:hAnsi="Times New Roman" w:cs="Times New Roman"/>
          <w:noProof/>
          <w:sz w:val="24"/>
          <w:szCs w:val="24"/>
          <w:lang w:val="en-US" w:eastAsia="en-AU"/>
        </w:rPr>
        <w:t>These log</w:t>
      </w:r>
      <w:r>
        <w:rPr>
          <w:rFonts w:ascii="Times New Roman" w:hAnsi="Times New Roman" w:cs="Times New Roman"/>
          <w:noProof/>
          <w:sz w:val="24"/>
          <w:szCs w:val="24"/>
          <w:vertAlign w:val="subscript"/>
          <w:lang w:val="en-US" w:eastAsia="en-AU"/>
        </w:rPr>
        <w:t>10</w:t>
      </w:r>
      <w:r>
        <w:rPr>
          <w:rFonts w:ascii="Times New Roman" w:hAnsi="Times New Roman" w:cs="Times New Roman"/>
          <w:noProof/>
          <w:sz w:val="24"/>
          <w:szCs w:val="24"/>
          <w:lang w:val="en-US" w:eastAsia="en-AU"/>
        </w:rPr>
        <w:t xml:space="preserve"> reductions are then applied as log</w:t>
      </w:r>
      <w:r>
        <w:rPr>
          <w:rFonts w:ascii="Times New Roman" w:hAnsi="Times New Roman" w:cs="Times New Roman"/>
          <w:noProof/>
          <w:sz w:val="24"/>
          <w:szCs w:val="24"/>
          <w:vertAlign w:val="subscript"/>
          <w:lang w:val="en-US"/>
        </w:rPr>
        <w:t>10</w:t>
      </w:r>
      <w:r>
        <w:rPr>
          <w:rFonts w:ascii="Times New Roman" w:hAnsi="Times New Roman" w:cs="Times New Roman"/>
          <w:noProof/>
          <w:sz w:val="24"/>
          <w:szCs w:val="24"/>
          <w:lang w:val="en-US" w:eastAsia="en-AU"/>
        </w:rPr>
        <w:t xml:space="preserve"> reductions of the microbiological indicators selected for each reference pathogen (</w:t>
      </w:r>
      <w:r>
        <w:rPr>
          <w:rFonts w:ascii="Times New Roman" w:hAnsi="Times New Roman" w:cs="Times New Roman"/>
          <w:i/>
          <w:noProof/>
          <w:sz w:val="24"/>
          <w:szCs w:val="24"/>
          <w:lang w:val="en-US" w:eastAsia="en-AU"/>
        </w:rPr>
        <w:t>E. coli</w:t>
      </w:r>
      <w:r>
        <w:rPr>
          <w:rFonts w:ascii="Times New Roman" w:hAnsi="Times New Roman" w:cs="Times New Roman"/>
          <w:noProof/>
          <w:sz w:val="24"/>
          <w:szCs w:val="24"/>
          <w:lang w:val="en-US" w:eastAsia="en-AU"/>
        </w:rPr>
        <w:t xml:space="preserve">, F-specific bacteriophages and </w:t>
      </w:r>
      <w:r>
        <w:rPr>
          <w:rFonts w:ascii="Times New Roman" w:hAnsi="Times New Roman" w:cs="Times New Roman"/>
          <w:i/>
          <w:noProof/>
          <w:sz w:val="24"/>
          <w:szCs w:val="24"/>
          <w:lang w:val="en-US" w:eastAsia="en-AU"/>
        </w:rPr>
        <w:t>Clo</w:t>
      </w:r>
      <w:r>
        <w:rPr>
          <w:rFonts w:ascii="Times New Roman" w:hAnsi="Times New Roman" w:cs="Times New Roman"/>
          <w:i/>
          <w:noProof/>
          <w:sz w:val="24"/>
          <w:szCs w:val="24"/>
          <w:lang w:val="en-US" w:eastAsia="en-AU"/>
        </w:rPr>
        <w:t>stridium perfringens</w:t>
      </w:r>
      <w:r>
        <w:rPr>
          <w:rFonts w:ascii="Times New Roman" w:hAnsi="Times New Roman" w:cs="Times New Roman"/>
          <w:noProof/>
          <w:sz w:val="24"/>
          <w:szCs w:val="24"/>
          <w:lang w:val="en-US" w:eastAsia="en-AU"/>
        </w:rPr>
        <w:t xml:space="preserve"> spores) for monitoring purposes. The justification for the selection of these indicators is in Section 4.4.5.</w:t>
      </w:r>
    </w:p>
    <w:p w:rsidR="00AB50C5" w:rsidRDefault="00724275">
      <w:pPr>
        <w:pStyle w:val="JRCLevel-3title"/>
        <w:rPr>
          <w:rFonts w:ascii="Times New Roman" w:hAnsi="Times New Roman"/>
          <w:noProof/>
          <w:sz w:val="24"/>
          <w:lang w:val="en-US"/>
        </w:rPr>
      </w:pPr>
      <w:bookmarkStart w:id="71" w:name="_Toc498695686"/>
      <w:bookmarkStart w:id="72" w:name="_Toc516234768"/>
      <w:r>
        <w:rPr>
          <w:rFonts w:ascii="Times New Roman" w:hAnsi="Times New Roman"/>
          <w:noProof/>
          <w:sz w:val="24"/>
          <w:lang w:val="en-US"/>
        </w:rPr>
        <w:t>Microbiological parameters for monitoring</w:t>
      </w:r>
      <w:bookmarkEnd w:id="71"/>
      <w:bookmarkEnd w:id="72"/>
    </w:p>
    <w:p w:rsidR="00AB50C5" w:rsidRDefault="00724275">
      <w:pPr>
        <w:spacing w:line="240" w:lineRule="auto"/>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 xml:space="preserve">The justification for the microbiological parameters selected for monitoring </w:t>
      </w:r>
      <w:r>
        <w:rPr>
          <w:rFonts w:ascii="Times New Roman" w:hAnsi="Times New Roman" w:cs="Times New Roman"/>
          <w:noProof/>
          <w:sz w:val="24"/>
          <w:szCs w:val="24"/>
          <w:lang w:val="en-US" w:eastAsia="it-IT"/>
        </w:rPr>
        <w:t>purposes is presented below, for each group of microorganisms (bacteria, viruses and protozoa):</w:t>
      </w:r>
    </w:p>
    <w:p w:rsidR="00AB50C5" w:rsidRDefault="00724275">
      <w:pPr>
        <w:pStyle w:val="JRCTextbulletedlist1"/>
        <w:numPr>
          <w:ilvl w:val="0"/>
          <w:numId w:val="0"/>
        </w:numPr>
        <w:ind w:left="357"/>
        <w:rPr>
          <w:rFonts w:ascii="Times New Roman" w:hAnsi="Times New Roman"/>
          <w:noProof/>
          <w:sz w:val="24"/>
          <w:szCs w:val="24"/>
          <w:lang w:val="it-IT" w:eastAsia="it-IT"/>
        </w:rPr>
      </w:pPr>
      <w:r>
        <w:rPr>
          <w:rFonts w:ascii="Times New Roman" w:hAnsi="Times New Roman"/>
          <w:b/>
          <w:noProof/>
          <w:sz w:val="24"/>
          <w:szCs w:val="24"/>
          <w:lang w:val="it-IT" w:eastAsia="it-IT"/>
        </w:rPr>
        <w:t xml:space="preserve">Bacteria: </w:t>
      </w:r>
      <w:r>
        <w:rPr>
          <w:rFonts w:ascii="Times New Roman" w:hAnsi="Times New Roman"/>
          <w:i/>
          <w:noProof/>
          <w:sz w:val="24"/>
          <w:szCs w:val="24"/>
          <w:lang w:val="it-IT" w:eastAsia="it-IT"/>
        </w:rPr>
        <w:t>Escherichia coli</w:t>
      </w:r>
      <w:r>
        <w:rPr>
          <w:rFonts w:ascii="Times New Roman" w:hAnsi="Times New Roman"/>
          <w:noProof/>
          <w:sz w:val="24"/>
          <w:szCs w:val="24"/>
          <w:lang w:val="it-IT" w:eastAsia="it-IT"/>
        </w:rPr>
        <w:t xml:space="preserve"> (</w:t>
      </w:r>
      <w:r>
        <w:rPr>
          <w:rFonts w:ascii="Times New Roman" w:hAnsi="Times New Roman"/>
          <w:i/>
          <w:noProof/>
          <w:sz w:val="24"/>
          <w:szCs w:val="24"/>
          <w:lang w:val="it-IT" w:eastAsia="it-IT"/>
        </w:rPr>
        <w:t>E. coli</w:t>
      </w:r>
      <w:r>
        <w:rPr>
          <w:rFonts w:ascii="Times New Roman" w:hAnsi="Times New Roman"/>
          <w:noProof/>
          <w:sz w:val="24"/>
          <w:szCs w:val="24"/>
          <w:lang w:val="it-IT" w:eastAsia="it-IT"/>
        </w:rPr>
        <w:t xml:space="preserve">) and </w:t>
      </w:r>
      <w:r>
        <w:rPr>
          <w:rFonts w:ascii="Times New Roman" w:hAnsi="Times New Roman"/>
          <w:i/>
          <w:noProof/>
          <w:sz w:val="24"/>
          <w:szCs w:val="24"/>
          <w:lang w:val="it-IT" w:eastAsia="it-IT"/>
        </w:rPr>
        <w:t>Legionella</w:t>
      </w:r>
      <w:r>
        <w:rPr>
          <w:rFonts w:ascii="Times New Roman" w:hAnsi="Times New Roman"/>
          <w:noProof/>
          <w:sz w:val="24"/>
          <w:szCs w:val="24"/>
          <w:lang w:val="it-IT" w:eastAsia="it-IT"/>
        </w:rPr>
        <w:t xml:space="preserve"> spp.</w:t>
      </w:r>
    </w:p>
    <w:p w:rsidR="00AB50C5" w:rsidRDefault="00724275">
      <w:pPr>
        <w:spacing w:line="240" w:lineRule="auto"/>
        <w:ind w:left="357"/>
        <w:jc w:val="both"/>
        <w:rPr>
          <w:rFonts w:ascii="Times New Roman" w:hAnsi="Times New Roman" w:cs="Times New Roman"/>
          <w:i/>
          <w:iCs/>
          <w:noProof/>
          <w:sz w:val="24"/>
          <w:szCs w:val="24"/>
          <w:lang w:val="en-US" w:eastAsia="it-IT"/>
        </w:rPr>
      </w:pPr>
      <w:r>
        <w:rPr>
          <w:rFonts w:ascii="Times New Roman" w:hAnsi="Times New Roman" w:cs="Times New Roman"/>
          <w:i/>
          <w:iCs/>
          <w:noProof/>
          <w:sz w:val="24"/>
          <w:szCs w:val="24"/>
          <w:lang w:val="en-US" w:eastAsia="it-IT"/>
        </w:rPr>
        <w:t xml:space="preserve">E. coli </w:t>
      </w:r>
      <w:r>
        <w:rPr>
          <w:rFonts w:ascii="Times New Roman" w:hAnsi="Times New Roman" w:cs="Times New Roman"/>
          <w:noProof/>
          <w:sz w:val="24"/>
          <w:szCs w:val="24"/>
          <w:lang w:val="en-US" w:eastAsia="it-IT"/>
        </w:rPr>
        <w:t>is the most suitable indicator of faecal contamination, and it is a traditional bacterial indic</w:t>
      </w:r>
      <w:r>
        <w:rPr>
          <w:rFonts w:ascii="Times New Roman" w:hAnsi="Times New Roman" w:cs="Times New Roman"/>
          <w:noProof/>
          <w:sz w:val="24"/>
          <w:szCs w:val="24"/>
          <w:lang w:val="en-US" w:eastAsia="it-IT"/>
        </w:rPr>
        <w:t xml:space="preserve">ator for monitoring purposes in water treatment. Although some guidelines and regulations utilize thermotolerant (faecal) or total coliforms as bacterial indicators for agricultural irrigation (WHO, 2006; </w:t>
      </w:r>
      <w:r>
        <w:rPr>
          <w:rFonts w:ascii="Times New Roman" w:hAnsi="Times New Roman" w:cs="Times New Roman"/>
          <w:noProof/>
          <w:color w:val="000000"/>
          <w:sz w:val="24"/>
          <w:szCs w:val="24"/>
          <w:lang w:val="en-US"/>
        </w:rPr>
        <w:t>USEPA, 2012;</w:t>
      </w:r>
      <w:r>
        <w:rPr>
          <w:rFonts w:ascii="Times New Roman" w:hAnsi="Times New Roman" w:cs="Times New Roman"/>
          <w:noProof/>
          <w:sz w:val="24"/>
          <w:szCs w:val="24"/>
          <w:lang w:val="en-US" w:eastAsia="it-IT"/>
        </w:rPr>
        <w:t xml:space="preserve"> CDPH, 2014), </w:t>
      </w:r>
      <w:r>
        <w:rPr>
          <w:rFonts w:ascii="Times New Roman" w:hAnsi="Times New Roman" w:cs="Times New Roman"/>
          <w:i/>
          <w:noProof/>
          <w:sz w:val="24"/>
          <w:szCs w:val="24"/>
          <w:lang w:val="en-US" w:eastAsia="it-IT"/>
        </w:rPr>
        <w:t>E. coli</w:t>
      </w:r>
      <w:r>
        <w:rPr>
          <w:rFonts w:ascii="Times New Roman" w:hAnsi="Times New Roman" w:cs="Times New Roman"/>
          <w:noProof/>
          <w:sz w:val="24"/>
          <w:szCs w:val="24"/>
          <w:lang w:val="en-US" w:eastAsia="it-IT"/>
        </w:rPr>
        <w:t xml:space="preserve"> is considered mor</w:t>
      </w:r>
      <w:r>
        <w:rPr>
          <w:rFonts w:ascii="Times New Roman" w:hAnsi="Times New Roman" w:cs="Times New Roman"/>
          <w:noProof/>
          <w:sz w:val="24"/>
          <w:szCs w:val="24"/>
          <w:lang w:val="en-US" w:eastAsia="it-IT"/>
        </w:rPr>
        <w:t xml:space="preserve">e specific of fecal contamination and reflects better the behaviour of the pathogenic enteric bacteria (Ashbolt </w:t>
      </w:r>
      <w:r>
        <w:rPr>
          <w:rFonts w:ascii="Times New Roman" w:hAnsi="Times New Roman" w:cs="Times New Roman"/>
          <w:i/>
          <w:noProof/>
          <w:sz w:val="24"/>
          <w:szCs w:val="24"/>
          <w:lang w:val="en-US" w:eastAsia="it-IT"/>
        </w:rPr>
        <w:t>et al.</w:t>
      </w:r>
      <w:r>
        <w:rPr>
          <w:rFonts w:ascii="Times New Roman" w:hAnsi="Times New Roman" w:cs="Times New Roman"/>
          <w:noProof/>
          <w:sz w:val="24"/>
          <w:szCs w:val="24"/>
          <w:lang w:val="en-US" w:eastAsia="it-IT"/>
        </w:rPr>
        <w:t xml:space="preserve">, 2001; NRMMC–EPHC–AHMC, 2006). </w:t>
      </w:r>
      <w:r>
        <w:rPr>
          <w:rFonts w:ascii="Times New Roman" w:hAnsi="Times New Roman" w:cs="Times New Roman"/>
          <w:i/>
          <w:iCs/>
          <w:noProof/>
          <w:sz w:val="24"/>
          <w:szCs w:val="24"/>
          <w:lang w:val="en-US" w:eastAsia="it-IT"/>
        </w:rPr>
        <w:t xml:space="preserve">E. coli </w:t>
      </w:r>
      <w:r>
        <w:rPr>
          <w:rFonts w:ascii="Times New Roman" w:hAnsi="Times New Roman" w:cs="Times New Roman"/>
          <w:noProof/>
          <w:sz w:val="24"/>
          <w:szCs w:val="24"/>
          <w:lang w:val="en-US" w:eastAsia="it-IT"/>
        </w:rPr>
        <w:t xml:space="preserve">is the first organism of choice in monitoring programmes including surveillance of drinking-water </w:t>
      </w:r>
      <w:r>
        <w:rPr>
          <w:rFonts w:ascii="Times New Roman" w:hAnsi="Times New Roman" w:cs="Times New Roman"/>
          <w:noProof/>
          <w:sz w:val="24"/>
          <w:szCs w:val="24"/>
          <w:lang w:val="en-US" w:eastAsia="it-IT"/>
        </w:rPr>
        <w:t>quality (WHO, 2011), as well as the most commonly used bacterial indicator in national water reuse legislations of MS (JRC, 2014).</w:t>
      </w:r>
      <w:r>
        <w:rPr>
          <w:rFonts w:ascii="Times New Roman" w:hAnsi="Times New Roman" w:cs="Times New Roman"/>
          <w:i/>
          <w:iCs/>
          <w:noProof/>
          <w:sz w:val="24"/>
          <w:szCs w:val="24"/>
          <w:lang w:val="en-US"/>
        </w:rPr>
        <w:t xml:space="preserve"> </w:t>
      </w:r>
      <w:r>
        <w:rPr>
          <w:rFonts w:ascii="Times New Roman" w:hAnsi="Times New Roman" w:cs="Times New Roman"/>
          <w:iCs/>
          <w:noProof/>
          <w:sz w:val="24"/>
          <w:szCs w:val="24"/>
          <w:lang w:val="en-US" w:eastAsia="it-IT"/>
        </w:rPr>
        <w:t xml:space="preserve">In addition, </w:t>
      </w:r>
      <w:r>
        <w:rPr>
          <w:rFonts w:ascii="Times New Roman" w:hAnsi="Times New Roman" w:cs="Times New Roman"/>
          <w:i/>
          <w:iCs/>
          <w:noProof/>
          <w:sz w:val="24"/>
          <w:szCs w:val="24"/>
          <w:lang w:val="en-US" w:eastAsia="it-IT"/>
        </w:rPr>
        <w:t xml:space="preserve">E. coli </w:t>
      </w:r>
      <w:r>
        <w:rPr>
          <w:rFonts w:ascii="Times New Roman" w:hAnsi="Times New Roman" w:cs="Times New Roman"/>
          <w:iCs/>
          <w:noProof/>
          <w:sz w:val="24"/>
          <w:szCs w:val="24"/>
          <w:lang w:val="en-US" w:eastAsia="it-IT"/>
        </w:rPr>
        <w:t xml:space="preserve">is considered an appropriate indicator for the presence/absence of </w:t>
      </w:r>
      <w:r>
        <w:rPr>
          <w:rFonts w:ascii="Times New Roman" w:hAnsi="Times New Roman" w:cs="Times New Roman"/>
          <w:i/>
          <w:iCs/>
          <w:noProof/>
          <w:sz w:val="24"/>
          <w:szCs w:val="24"/>
          <w:lang w:val="en-US" w:eastAsia="it-IT"/>
        </w:rPr>
        <w:t>Campylobacter</w:t>
      </w:r>
      <w:r>
        <w:rPr>
          <w:rFonts w:ascii="Times New Roman" w:hAnsi="Times New Roman" w:cs="Times New Roman"/>
          <w:iCs/>
          <w:noProof/>
          <w:sz w:val="24"/>
          <w:szCs w:val="24"/>
          <w:lang w:val="en-US" w:eastAsia="it-IT"/>
        </w:rPr>
        <w:t xml:space="preserve"> in drinking water systems (WHO, 2016). </w:t>
      </w:r>
      <w:r>
        <w:rPr>
          <w:rFonts w:ascii="Times New Roman" w:hAnsi="Times New Roman" w:cs="Times New Roman"/>
          <w:iCs/>
          <w:noProof/>
          <w:sz w:val="24"/>
          <w:szCs w:val="24"/>
          <w:lang w:val="en-US"/>
        </w:rPr>
        <w:t xml:space="preserve">The ISO guidelines establish that </w:t>
      </w:r>
      <w:r>
        <w:rPr>
          <w:rFonts w:ascii="Times New Roman" w:hAnsi="Times New Roman" w:cs="Times New Roman"/>
          <w:i/>
          <w:noProof/>
          <w:sz w:val="24"/>
          <w:szCs w:val="24"/>
          <w:lang w:val="en-US" w:eastAsia="it-IT"/>
        </w:rPr>
        <w:t xml:space="preserve">E. coli </w:t>
      </w:r>
      <w:r>
        <w:rPr>
          <w:rFonts w:ascii="Times New Roman" w:hAnsi="Times New Roman" w:cs="Times New Roman"/>
          <w:noProof/>
          <w:sz w:val="24"/>
          <w:szCs w:val="24"/>
          <w:lang w:val="en-US" w:eastAsia="it-IT"/>
        </w:rPr>
        <w:t>and thermotolerant coliforms can be both used for water quality monitoring as the difference in values is not considered significant (ISO 16075, 2015).</w:t>
      </w:r>
      <w:r>
        <w:rPr>
          <w:rFonts w:ascii="Times New Roman" w:hAnsi="Times New Roman" w:cs="Times New Roman"/>
          <w:i/>
          <w:iCs/>
          <w:noProof/>
          <w:sz w:val="24"/>
          <w:szCs w:val="24"/>
          <w:lang w:val="en-US" w:eastAsia="it-IT"/>
        </w:rPr>
        <w:t xml:space="preserve"> </w:t>
      </w:r>
    </w:p>
    <w:p w:rsidR="00AB50C5" w:rsidRDefault="00724275">
      <w:pPr>
        <w:spacing w:line="240" w:lineRule="auto"/>
        <w:ind w:left="357"/>
        <w:jc w:val="both"/>
        <w:rPr>
          <w:rFonts w:ascii="Times New Roman" w:hAnsi="Times New Roman" w:cs="Times New Roman"/>
          <w:iCs/>
          <w:noProof/>
          <w:sz w:val="24"/>
          <w:szCs w:val="24"/>
          <w:lang w:val="en-US" w:eastAsia="it-IT"/>
        </w:rPr>
      </w:pPr>
      <w:r>
        <w:rPr>
          <w:rFonts w:ascii="Times New Roman" w:hAnsi="Times New Roman" w:cs="Times New Roman"/>
          <w:i/>
          <w:iCs/>
          <w:noProof/>
          <w:sz w:val="24"/>
          <w:szCs w:val="24"/>
          <w:lang w:val="en-US" w:eastAsia="it-IT"/>
        </w:rPr>
        <w:t>Legionella</w:t>
      </w:r>
      <w:r>
        <w:rPr>
          <w:rFonts w:ascii="Times New Roman" w:hAnsi="Times New Roman" w:cs="Times New Roman"/>
          <w:iCs/>
          <w:noProof/>
          <w:sz w:val="24"/>
          <w:szCs w:val="24"/>
          <w:lang w:val="en-US" w:eastAsia="it-IT"/>
        </w:rPr>
        <w:t xml:space="preserve"> spp. is se</w:t>
      </w:r>
      <w:r>
        <w:rPr>
          <w:rFonts w:ascii="Times New Roman" w:hAnsi="Times New Roman" w:cs="Times New Roman"/>
          <w:iCs/>
          <w:noProof/>
          <w:sz w:val="24"/>
          <w:szCs w:val="24"/>
          <w:lang w:val="en-US" w:eastAsia="it-IT"/>
        </w:rPr>
        <w:t xml:space="preserve">lected as bacterial parameter following the ISO recommendations (ISO 16075, 2015). </w:t>
      </w:r>
      <w:r>
        <w:rPr>
          <w:rFonts w:ascii="Times New Roman" w:hAnsi="Times New Roman" w:cs="Times New Roman"/>
          <w:i/>
          <w:iCs/>
          <w:noProof/>
          <w:sz w:val="24"/>
          <w:szCs w:val="24"/>
          <w:lang w:val="en-US" w:eastAsia="it-IT"/>
        </w:rPr>
        <w:t>Legionella pneumophila</w:t>
      </w:r>
      <w:r>
        <w:rPr>
          <w:rFonts w:ascii="Times New Roman" w:hAnsi="Times New Roman" w:cs="Times New Roman"/>
          <w:iCs/>
          <w:noProof/>
          <w:sz w:val="24"/>
          <w:szCs w:val="24"/>
          <w:lang w:val="en-US" w:eastAsia="it-IT"/>
        </w:rPr>
        <w:t xml:space="preserve"> is a non-conventional opportunistic waterborne pathogen, as it is not transmitted orally. Transmission is through mechanical means, which generate aer</w:t>
      </w:r>
      <w:r>
        <w:rPr>
          <w:rFonts w:ascii="Times New Roman" w:hAnsi="Times New Roman" w:cs="Times New Roman"/>
          <w:iCs/>
          <w:noProof/>
          <w:sz w:val="24"/>
          <w:szCs w:val="24"/>
          <w:lang w:val="en-US" w:eastAsia="it-IT"/>
        </w:rPr>
        <w:t xml:space="preserve">osols including sprinklers. </w:t>
      </w:r>
      <w:r>
        <w:rPr>
          <w:rFonts w:ascii="Times New Roman" w:hAnsi="Times New Roman" w:cs="Times New Roman"/>
          <w:i/>
          <w:iCs/>
          <w:noProof/>
          <w:sz w:val="24"/>
          <w:szCs w:val="24"/>
          <w:lang w:val="en-US" w:eastAsia="it-IT"/>
        </w:rPr>
        <w:t>Legionella pneumophila</w:t>
      </w:r>
      <w:r>
        <w:rPr>
          <w:rFonts w:ascii="Times New Roman" w:hAnsi="Times New Roman" w:cs="Times New Roman"/>
          <w:iCs/>
          <w:noProof/>
          <w:sz w:val="24"/>
          <w:szCs w:val="24"/>
          <w:lang w:val="en-US" w:eastAsia="it-IT"/>
        </w:rPr>
        <w:t xml:space="preserve"> is on the USEPA Candidate Contaminant List for drinking water purposes as an important pathogen. It is commonly encountered in freshwater environments and in wastewater and there is a potential of growth i</w:t>
      </w:r>
      <w:r>
        <w:rPr>
          <w:rFonts w:ascii="Times New Roman" w:hAnsi="Times New Roman" w:cs="Times New Roman"/>
          <w:iCs/>
          <w:noProof/>
          <w:sz w:val="24"/>
          <w:szCs w:val="24"/>
          <w:lang w:val="en-US" w:eastAsia="it-IT"/>
        </w:rPr>
        <w:t xml:space="preserve">n distribution systems of reclaimed water in warm climates where suitable temperatures and conditions for their multiplication may be provided (Jjemba </w:t>
      </w:r>
      <w:r>
        <w:rPr>
          <w:rFonts w:ascii="Times New Roman" w:hAnsi="Times New Roman" w:cs="Times New Roman"/>
          <w:i/>
          <w:iCs/>
          <w:noProof/>
          <w:sz w:val="24"/>
          <w:szCs w:val="24"/>
          <w:lang w:val="en-US" w:eastAsia="it-IT"/>
        </w:rPr>
        <w:t>et al.</w:t>
      </w:r>
      <w:r>
        <w:rPr>
          <w:rFonts w:ascii="Times New Roman" w:hAnsi="Times New Roman" w:cs="Times New Roman"/>
          <w:iCs/>
          <w:noProof/>
          <w:sz w:val="24"/>
          <w:szCs w:val="24"/>
          <w:lang w:val="en-US" w:eastAsia="it-IT"/>
        </w:rPr>
        <w:t>, 2015). No legionellosis outbreak has been linked to reclaimed water yet, but it is recommended as</w:t>
      </w:r>
      <w:r>
        <w:rPr>
          <w:rFonts w:ascii="Times New Roman" w:hAnsi="Times New Roman" w:cs="Times New Roman"/>
          <w:iCs/>
          <w:noProof/>
          <w:sz w:val="24"/>
          <w:szCs w:val="24"/>
          <w:lang w:val="en-US" w:eastAsia="it-IT"/>
        </w:rPr>
        <w:t xml:space="preserve"> a reference pathogen for pathogens able to grow in water distribution systems in the revision of Annex I of the </w:t>
      </w:r>
      <w:r>
        <w:rPr>
          <w:rFonts w:ascii="Times New Roman" w:hAnsi="Times New Roman" w:cs="Times New Roman"/>
          <w:noProof/>
          <w:sz w:val="24"/>
          <w:szCs w:val="24"/>
          <w:lang w:val="en-US" w:eastAsia="it-IT"/>
        </w:rPr>
        <w:t>Directive 98/83/EC on the quality of water intended for human consumption</w:t>
      </w:r>
      <w:r>
        <w:rPr>
          <w:rFonts w:ascii="Times New Roman" w:hAnsi="Times New Roman" w:cs="Times New Roman"/>
          <w:iCs/>
          <w:noProof/>
          <w:sz w:val="24"/>
          <w:szCs w:val="24"/>
          <w:lang w:val="en-US" w:eastAsia="it-IT"/>
        </w:rPr>
        <w:t xml:space="preserve"> performed by the WHO (WHO, 2016), although no recommendations for mon</w:t>
      </w:r>
      <w:r>
        <w:rPr>
          <w:rFonts w:ascii="Times New Roman" w:hAnsi="Times New Roman" w:cs="Times New Roman"/>
          <w:iCs/>
          <w:noProof/>
          <w:sz w:val="24"/>
          <w:szCs w:val="24"/>
          <w:lang w:val="en-US" w:eastAsia="it-IT"/>
        </w:rPr>
        <w:t xml:space="preserve">itoring are made. The ISO guidelines recommend monitoring of </w:t>
      </w:r>
      <w:r>
        <w:rPr>
          <w:rFonts w:ascii="Times New Roman" w:hAnsi="Times New Roman" w:cs="Times New Roman"/>
          <w:i/>
          <w:iCs/>
          <w:noProof/>
          <w:sz w:val="24"/>
          <w:szCs w:val="24"/>
          <w:lang w:val="en-US" w:eastAsia="it-IT"/>
        </w:rPr>
        <w:t>Legionella</w:t>
      </w:r>
      <w:r>
        <w:rPr>
          <w:rFonts w:ascii="Times New Roman" w:hAnsi="Times New Roman" w:cs="Times New Roman"/>
          <w:iCs/>
          <w:noProof/>
          <w:sz w:val="24"/>
          <w:szCs w:val="24"/>
          <w:lang w:val="en-US" w:eastAsia="it-IT"/>
        </w:rPr>
        <w:t xml:space="preserve"> spp. only for green houses irrigation with risk of aerosolization (ISO 16075, 2015). </w:t>
      </w:r>
      <w:r>
        <w:rPr>
          <w:rFonts w:ascii="Times New Roman" w:hAnsi="Times New Roman" w:cs="Times New Roman"/>
          <w:i/>
          <w:iCs/>
          <w:noProof/>
          <w:sz w:val="24"/>
          <w:szCs w:val="24"/>
          <w:lang w:val="en-US" w:eastAsia="it-IT"/>
        </w:rPr>
        <w:t>Legionella</w:t>
      </w:r>
      <w:r>
        <w:rPr>
          <w:rFonts w:ascii="Times New Roman" w:hAnsi="Times New Roman" w:cs="Times New Roman"/>
          <w:iCs/>
          <w:noProof/>
          <w:sz w:val="24"/>
          <w:szCs w:val="24"/>
          <w:lang w:val="en-US" w:eastAsia="it-IT"/>
        </w:rPr>
        <w:t xml:space="preserve"> spp. is only recommended for monitoring of agricultural irrigation practices in the Span</w:t>
      </w:r>
      <w:r>
        <w:rPr>
          <w:rFonts w:ascii="Times New Roman" w:hAnsi="Times New Roman" w:cs="Times New Roman"/>
          <w:iCs/>
          <w:noProof/>
          <w:sz w:val="24"/>
          <w:szCs w:val="24"/>
          <w:lang w:val="en-US" w:eastAsia="it-IT"/>
        </w:rPr>
        <w:t>ish regulations, and only when there is risk of aerosolization.</w:t>
      </w:r>
    </w:p>
    <w:p w:rsidR="00AB50C5" w:rsidRDefault="00724275">
      <w:pPr>
        <w:pStyle w:val="JRCTextbulletedlist1"/>
        <w:numPr>
          <w:ilvl w:val="0"/>
          <w:numId w:val="0"/>
        </w:numPr>
        <w:ind w:left="357"/>
        <w:rPr>
          <w:rFonts w:ascii="Times New Roman" w:hAnsi="Times New Roman"/>
          <w:noProof/>
          <w:sz w:val="24"/>
          <w:szCs w:val="24"/>
          <w:lang w:val="en-US" w:eastAsia="it-IT"/>
        </w:rPr>
      </w:pPr>
      <w:r>
        <w:rPr>
          <w:rFonts w:ascii="Times New Roman" w:hAnsi="Times New Roman"/>
          <w:b/>
          <w:noProof/>
          <w:sz w:val="24"/>
          <w:szCs w:val="24"/>
          <w:lang w:val="en-US" w:eastAsia="it-IT"/>
        </w:rPr>
        <w:t xml:space="preserve">Viruses: </w:t>
      </w:r>
      <w:r>
        <w:rPr>
          <w:rFonts w:ascii="Times New Roman" w:hAnsi="Times New Roman"/>
          <w:noProof/>
          <w:sz w:val="24"/>
          <w:szCs w:val="24"/>
          <w:lang w:val="en-US" w:eastAsia="it-IT"/>
        </w:rPr>
        <w:t>Total coliphages/F-specific coliphages/somatic coliphages</w:t>
      </w:r>
    </w:p>
    <w:p w:rsidR="00AB50C5" w:rsidRDefault="00724275">
      <w:pPr>
        <w:spacing w:line="240" w:lineRule="auto"/>
        <w:ind w:left="357"/>
        <w:jc w:val="both"/>
        <w:rPr>
          <w:rFonts w:ascii="Times New Roman" w:eastAsia="MS Mincho" w:hAnsi="Times New Roman" w:cs="Times New Roman"/>
          <w:noProof/>
          <w:sz w:val="24"/>
          <w:szCs w:val="24"/>
          <w:lang w:val="en-US"/>
        </w:rPr>
      </w:pPr>
      <w:r>
        <w:rPr>
          <w:rFonts w:ascii="Times New Roman" w:hAnsi="Times New Roman" w:cs="Times New Roman"/>
          <w:noProof/>
          <w:sz w:val="24"/>
          <w:szCs w:val="24"/>
          <w:lang w:val="en-US" w:eastAsia="it-IT"/>
        </w:rPr>
        <w:t>Generally, viruses are more resistant to environmental conditions and treatment technologies, including filtration and disinfection, than bacteria (WHO, 2011). Therefore, due to the limitations of bacterial indicators, there has been significant research i</w:t>
      </w:r>
      <w:r>
        <w:rPr>
          <w:rFonts w:ascii="Times New Roman" w:hAnsi="Times New Roman" w:cs="Times New Roman"/>
          <w:noProof/>
          <w:sz w:val="24"/>
          <w:szCs w:val="24"/>
          <w:lang w:val="en-US" w:eastAsia="it-IT"/>
        </w:rPr>
        <w:t xml:space="preserve">nto determining a viral indicator that may be adopted for water quality monitoring. Two groups of bacteriophages that infect </w:t>
      </w:r>
      <w:r>
        <w:rPr>
          <w:rFonts w:ascii="Times New Roman" w:hAnsi="Times New Roman" w:cs="Times New Roman"/>
          <w:i/>
          <w:noProof/>
          <w:sz w:val="24"/>
          <w:szCs w:val="24"/>
          <w:lang w:val="en-US" w:eastAsia="it-IT"/>
        </w:rPr>
        <w:t>E. coli</w:t>
      </w:r>
      <w:r>
        <w:rPr>
          <w:rFonts w:ascii="Times New Roman" w:hAnsi="Times New Roman" w:cs="Times New Roman"/>
          <w:noProof/>
          <w:sz w:val="24"/>
          <w:szCs w:val="24"/>
          <w:lang w:val="en-US" w:eastAsia="it-IT"/>
        </w:rPr>
        <w:t xml:space="preserve">, somatic coliphages and F-specific coliphages, </w:t>
      </w:r>
      <w:r>
        <w:rPr>
          <w:rFonts w:ascii="Times New Roman" w:eastAsia="MS Mincho" w:hAnsi="Times New Roman" w:cs="Times New Roman"/>
          <w:noProof/>
          <w:sz w:val="24"/>
          <w:szCs w:val="24"/>
          <w:lang w:val="en-US"/>
        </w:rPr>
        <w:t xml:space="preserve">are the major groups that have been used as viral indicators </w:t>
      </w:r>
      <w:r>
        <w:rPr>
          <w:rFonts w:ascii="Times New Roman" w:hAnsi="Times New Roman" w:cs="Times New Roman"/>
          <w:noProof/>
          <w:sz w:val="24"/>
          <w:szCs w:val="24"/>
          <w:lang w:val="en-US" w:eastAsia="it-IT"/>
        </w:rPr>
        <w:t>of pathogenic v</w:t>
      </w:r>
      <w:r>
        <w:rPr>
          <w:rFonts w:ascii="Times New Roman" w:hAnsi="Times New Roman" w:cs="Times New Roman"/>
          <w:noProof/>
          <w:sz w:val="24"/>
          <w:szCs w:val="24"/>
          <w:lang w:val="en-US" w:eastAsia="it-IT"/>
        </w:rPr>
        <w:t xml:space="preserve">iruses for </w:t>
      </w:r>
      <w:r>
        <w:rPr>
          <w:rFonts w:ascii="Times New Roman" w:eastAsia="MS Mincho" w:hAnsi="Times New Roman" w:cs="Times New Roman"/>
          <w:noProof/>
          <w:sz w:val="24"/>
          <w:szCs w:val="24"/>
          <w:lang w:val="en-US"/>
        </w:rPr>
        <w:t xml:space="preserve">many years, </w:t>
      </w:r>
      <w:r>
        <w:rPr>
          <w:rFonts w:ascii="Times New Roman" w:hAnsi="Times New Roman" w:cs="Times New Roman"/>
          <w:noProof/>
          <w:sz w:val="24"/>
          <w:szCs w:val="24"/>
          <w:lang w:val="en-US" w:eastAsia="it-IT"/>
        </w:rPr>
        <w:t xml:space="preserve">as they share many properties with human viruses, notably composition, morphology, structure and mode of replication </w:t>
      </w:r>
      <w:r>
        <w:rPr>
          <w:rFonts w:ascii="Times New Roman" w:eastAsia="MS Mincho" w:hAnsi="Times New Roman" w:cs="Times New Roman"/>
          <w:noProof/>
          <w:sz w:val="24"/>
          <w:szCs w:val="24"/>
          <w:lang w:val="en-US"/>
        </w:rPr>
        <w:t>(AWPRC, 1991; Armon et Kott, 1996; Grabow, 2001, Jofre, 2007).</w:t>
      </w:r>
      <w:r>
        <w:rPr>
          <w:rFonts w:ascii="Times New Roman" w:hAnsi="Times New Roman" w:cs="Times New Roman"/>
          <w:noProof/>
          <w:sz w:val="24"/>
          <w:szCs w:val="24"/>
          <w:lang w:val="en-US" w:eastAsia="it-IT"/>
        </w:rPr>
        <w:t xml:space="preserve"> </w:t>
      </w:r>
      <w:r>
        <w:rPr>
          <w:rFonts w:ascii="Times New Roman" w:eastAsia="MS Mincho" w:hAnsi="Times New Roman" w:cs="Times New Roman"/>
          <w:noProof/>
          <w:sz w:val="24"/>
          <w:szCs w:val="24"/>
          <w:lang w:val="en-US"/>
        </w:rPr>
        <w:t>Furthermore, regulatory authorities in different part</w:t>
      </w:r>
      <w:r>
        <w:rPr>
          <w:rFonts w:ascii="Times New Roman" w:eastAsia="MS Mincho" w:hAnsi="Times New Roman" w:cs="Times New Roman"/>
          <w:noProof/>
          <w:sz w:val="24"/>
          <w:szCs w:val="24"/>
          <w:lang w:val="en-US"/>
        </w:rPr>
        <w:t xml:space="preserve">s of the world are beginning to consider coliphages as viral indicators concerning reclaimed water (QEPA, 2005; NCDENC, 2011), biosolids used in agriculture (DEC, 2011) and groundwater (USEPA, 2006). </w:t>
      </w:r>
    </w:p>
    <w:p w:rsidR="00AB50C5" w:rsidRDefault="00724275">
      <w:pPr>
        <w:spacing w:line="240" w:lineRule="auto"/>
        <w:ind w:left="357"/>
        <w:jc w:val="both"/>
        <w:rPr>
          <w:rFonts w:ascii="Times New Roman" w:eastAsia="MS Mincho" w:hAnsi="Times New Roman" w:cs="Times New Roman"/>
          <w:noProof/>
          <w:sz w:val="24"/>
          <w:szCs w:val="24"/>
          <w:lang w:val="en-US"/>
        </w:rPr>
      </w:pPr>
      <w:r>
        <w:rPr>
          <w:rFonts w:ascii="Times New Roman" w:eastAsia="MS Mincho" w:hAnsi="Times New Roman" w:cs="Times New Roman"/>
          <w:noProof/>
          <w:sz w:val="24"/>
          <w:szCs w:val="24"/>
          <w:lang w:val="en-US"/>
        </w:rPr>
        <w:t xml:space="preserve">However, issues such as their potential replication in </w:t>
      </w:r>
      <w:r>
        <w:rPr>
          <w:rFonts w:ascii="Times New Roman" w:eastAsia="MS Mincho" w:hAnsi="Times New Roman" w:cs="Times New Roman"/>
          <w:noProof/>
          <w:sz w:val="24"/>
          <w:szCs w:val="24"/>
          <w:lang w:val="en-US"/>
        </w:rPr>
        <w:t>natural water environments, the cumbersome detection and enumeration methods, a lack of deﬁnition concerning which of the  two groups should be included in future regulations, and the lack of a clear correlation between coliphages and human viruses and hea</w:t>
      </w:r>
      <w:r>
        <w:rPr>
          <w:rFonts w:ascii="Times New Roman" w:eastAsia="MS Mincho" w:hAnsi="Times New Roman" w:cs="Times New Roman"/>
          <w:noProof/>
          <w:sz w:val="24"/>
          <w:szCs w:val="24"/>
          <w:lang w:val="en-US"/>
        </w:rPr>
        <w:t xml:space="preserve">lth risks in different water settings remain controversial. Jofre </w:t>
      </w:r>
      <w:r>
        <w:rPr>
          <w:rFonts w:ascii="Times New Roman" w:eastAsia="MS Mincho" w:hAnsi="Times New Roman" w:cs="Times New Roman"/>
          <w:i/>
          <w:noProof/>
          <w:sz w:val="24"/>
          <w:szCs w:val="24"/>
          <w:lang w:val="en-US"/>
        </w:rPr>
        <w:t>et al.</w:t>
      </w:r>
      <w:r>
        <w:rPr>
          <w:rFonts w:ascii="Times New Roman" w:eastAsia="MS Mincho" w:hAnsi="Times New Roman" w:cs="Times New Roman"/>
          <w:noProof/>
          <w:sz w:val="24"/>
          <w:szCs w:val="24"/>
          <w:lang w:val="en-US"/>
        </w:rPr>
        <w:t xml:space="preserve"> (2016) is a recent review article that attempts to shed some light on these contentious issues. </w:t>
      </w:r>
    </w:p>
    <w:p w:rsidR="00AB50C5" w:rsidRDefault="00724275">
      <w:pPr>
        <w:spacing w:line="240" w:lineRule="auto"/>
        <w:ind w:left="357"/>
        <w:jc w:val="both"/>
        <w:rPr>
          <w:rFonts w:ascii="Times New Roman" w:eastAsia="MS Mincho" w:hAnsi="Times New Roman" w:cs="Times New Roman"/>
          <w:noProof/>
          <w:sz w:val="24"/>
          <w:szCs w:val="24"/>
          <w:lang w:val="en-US"/>
        </w:rPr>
      </w:pPr>
      <w:r>
        <w:rPr>
          <w:rFonts w:ascii="Times New Roman" w:eastAsia="MS Mincho" w:hAnsi="Times New Roman" w:cs="Times New Roman"/>
          <w:noProof/>
          <w:sz w:val="24"/>
          <w:szCs w:val="24"/>
          <w:lang w:val="en-US"/>
        </w:rPr>
        <w:t xml:space="preserve">The conclusions of this review article are that: supposing that they can replicate in </w:t>
      </w:r>
      <w:r>
        <w:rPr>
          <w:rFonts w:ascii="Times New Roman" w:eastAsia="MS Mincho" w:hAnsi="Times New Roman" w:cs="Times New Roman"/>
          <w:noProof/>
          <w:sz w:val="24"/>
          <w:szCs w:val="24"/>
          <w:lang w:val="en-US"/>
        </w:rPr>
        <w:t>some natural water settings, the contribution of coliphages replicated outside the gut will not affect the numbers contributed by fecal pollution and detected by strains recommended for standardized methods; there are easy, fast, and cost-effective methods</w:t>
      </w:r>
      <w:r>
        <w:rPr>
          <w:rFonts w:ascii="Times New Roman" w:eastAsia="MS Mincho" w:hAnsi="Times New Roman" w:cs="Times New Roman"/>
          <w:noProof/>
          <w:sz w:val="24"/>
          <w:szCs w:val="24"/>
          <w:lang w:val="en-US"/>
        </w:rPr>
        <w:t xml:space="preserve"> that can be used in routine laboratories after a little training (Méndez </w:t>
      </w:r>
      <w:r>
        <w:rPr>
          <w:rFonts w:ascii="Times New Roman" w:eastAsia="MS Mincho" w:hAnsi="Times New Roman" w:cs="Times New Roman"/>
          <w:i/>
          <w:noProof/>
          <w:sz w:val="24"/>
          <w:szCs w:val="24"/>
          <w:lang w:val="en-US"/>
        </w:rPr>
        <w:t>et al.</w:t>
      </w:r>
      <w:r>
        <w:rPr>
          <w:rFonts w:ascii="Times New Roman" w:eastAsia="MS Mincho" w:hAnsi="Times New Roman" w:cs="Times New Roman"/>
          <w:noProof/>
          <w:sz w:val="24"/>
          <w:szCs w:val="24"/>
          <w:lang w:val="en-US"/>
        </w:rPr>
        <w:t>, 2002); the low correlation of coliphages with human viruses and health risks is no worse than the correlation between different human viruses; perhaps the best option is to d</w:t>
      </w:r>
      <w:r>
        <w:rPr>
          <w:rFonts w:ascii="Times New Roman" w:eastAsia="MS Mincho" w:hAnsi="Times New Roman" w:cs="Times New Roman"/>
          <w:noProof/>
          <w:sz w:val="24"/>
          <w:szCs w:val="24"/>
          <w:lang w:val="en-US"/>
        </w:rPr>
        <w:t xml:space="preserve">etermine both groups in a single step. A general conclusion is that coliphages are likely to be better indicators of viruses than the current bacterial indicators (i.e. </w:t>
      </w:r>
      <w:r>
        <w:rPr>
          <w:rFonts w:ascii="Times New Roman" w:eastAsia="MS Mincho" w:hAnsi="Times New Roman" w:cs="Times New Roman"/>
          <w:i/>
          <w:noProof/>
          <w:sz w:val="24"/>
          <w:szCs w:val="24"/>
          <w:lang w:val="en-US"/>
        </w:rPr>
        <w:t>E. coli</w:t>
      </w:r>
      <w:r>
        <w:rPr>
          <w:rFonts w:ascii="Times New Roman" w:eastAsia="MS Mincho" w:hAnsi="Times New Roman" w:cs="Times New Roman"/>
          <w:noProof/>
          <w:sz w:val="24"/>
          <w:szCs w:val="24"/>
          <w:lang w:val="en-US"/>
        </w:rPr>
        <w:t xml:space="preserve"> and enterococci).</w:t>
      </w:r>
    </w:p>
    <w:p w:rsidR="00AB50C5" w:rsidRDefault="00724275">
      <w:pPr>
        <w:spacing w:line="240" w:lineRule="auto"/>
        <w:ind w:left="357"/>
        <w:jc w:val="both"/>
        <w:rPr>
          <w:rFonts w:ascii="Times New Roman" w:eastAsia="MS Mincho" w:hAnsi="Times New Roman" w:cs="Times New Roman"/>
          <w:noProof/>
          <w:sz w:val="24"/>
          <w:szCs w:val="24"/>
          <w:lang w:val="en-US"/>
        </w:rPr>
      </w:pPr>
      <w:r>
        <w:rPr>
          <w:rFonts w:ascii="Times New Roman" w:eastAsia="MS Mincho" w:hAnsi="Times New Roman" w:cs="Times New Roman"/>
          <w:noProof/>
          <w:sz w:val="24"/>
          <w:szCs w:val="24"/>
          <w:lang w:val="en-US"/>
        </w:rPr>
        <w:t>In general, somatic coliphages outnumber F-specific coliphage</w:t>
      </w:r>
      <w:r>
        <w:rPr>
          <w:rFonts w:ascii="Times New Roman" w:eastAsia="MS Mincho" w:hAnsi="Times New Roman" w:cs="Times New Roman"/>
          <w:noProof/>
          <w:sz w:val="24"/>
          <w:szCs w:val="24"/>
          <w:lang w:val="en-US"/>
        </w:rPr>
        <w:t>s. However, regarding reclaimed water, F-speciﬁc coliphages have been observed to be more resistant than somatic coliphages to UV radiation, thus F-speciﬁc coliphages surpassing numbers of somatic coliphages. This trend is also observed in clayey sediments</w:t>
      </w:r>
      <w:r>
        <w:rPr>
          <w:rFonts w:ascii="Times New Roman" w:eastAsia="MS Mincho" w:hAnsi="Times New Roman" w:cs="Times New Roman"/>
          <w:noProof/>
          <w:sz w:val="24"/>
          <w:szCs w:val="24"/>
          <w:lang w:val="en-US"/>
        </w:rPr>
        <w:t xml:space="preserve">, and groundwater from certain aquifers (Jofre </w:t>
      </w:r>
      <w:r>
        <w:rPr>
          <w:rFonts w:ascii="Times New Roman" w:eastAsia="MS Mincho" w:hAnsi="Times New Roman" w:cs="Times New Roman"/>
          <w:i/>
          <w:noProof/>
          <w:sz w:val="24"/>
          <w:szCs w:val="24"/>
          <w:lang w:val="en-US"/>
        </w:rPr>
        <w:t>et al.</w:t>
      </w:r>
      <w:r>
        <w:rPr>
          <w:rFonts w:ascii="Times New Roman" w:eastAsia="MS Mincho" w:hAnsi="Times New Roman" w:cs="Times New Roman"/>
          <w:noProof/>
          <w:sz w:val="24"/>
          <w:szCs w:val="24"/>
          <w:lang w:val="en-US"/>
        </w:rPr>
        <w:t>, 2016).</w:t>
      </w:r>
    </w:p>
    <w:p w:rsidR="00AB50C5" w:rsidRDefault="00724275">
      <w:pPr>
        <w:spacing w:line="240" w:lineRule="auto"/>
        <w:ind w:left="357"/>
        <w:jc w:val="both"/>
        <w:rPr>
          <w:rFonts w:ascii="Times New Roman" w:hAnsi="Times New Roman" w:cs="Times New Roman"/>
          <w:noProof/>
          <w:sz w:val="24"/>
          <w:szCs w:val="24"/>
          <w:lang w:val="en-US"/>
        </w:rPr>
      </w:pPr>
      <w:r>
        <w:rPr>
          <w:rFonts w:ascii="Times New Roman" w:hAnsi="Times New Roman" w:cs="Times New Roman"/>
          <w:noProof/>
          <w:sz w:val="24"/>
          <w:szCs w:val="24"/>
          <w:lang w:val="en-US" w:eastAsia="it-IT"/>
        </w:rPr>
        <w:t>Coliphages (i.e. somatic coliphages) are recommended for monitoring of high-exposure water reuse schemes in the Australian guidelines, and the WHO guidelines stay that, under certain circumstanc</w:t>
      </w:r>
      <w:r>
        <w:rPr>
          <w:rFonts w:ascii="Times New Roman" w:hAnsi="Times New Roman" w:cs="Times New Roman"/>
          <w:noProof/>
          <w:sz w:val="24"/>
          <w:szCs w:val="24"/>
          <w:lang w:val="en-US" w:eastAsia="it-IT"/>
        </w:rPr>
        <w:t xml:space="preserve">es, bacteriophages may be included for monitoring to overcome </w:t>
      </w:r>
      <w:r>
        <w:rPr>
          <w:rFonts w:ascii="Times New Roman" w:hAnsi="Times New Roman" w:cs="Times New Roman"/>
          <w:i/>
          <w:noProof/>
          <w:sz w:val="24"/>
          <w:szCs w:val="24"/>
          <w:lang w:val="en-US" w:eastAsia="it-IT"/>
        </w:rPr>
        <w:t>E. coli</w:t>
      </w:r>
      <w:r>
        <w:rPr>
          <w:rFonts w:ascii="Times New Roman" w:hAnsi="Times New Roman" w:cs="Times New Roman"/>
          <w:noProof/>
          <w:sz w:val="24"/>
          <w:szCs w:val="24"/>
          <w:lang w:val="en-US" w:eastAsia="it-IT"/>
        </w:rPr>
        <w:t xml:space="preserve"> limitations as indicator (NRMMC–EPHC–AHMC, 2006; WHO, 2006).</w:t>
      </w:r>
      <w:r>
        <w:rPr>
          <w:rFonts w:ascii="Times New Roman" w:hAnsi="Times New Roman" w:cs="Times New Roman"/>
          <w:noProof/>
          <w:sz w:val="24"/>
          <w:szCs w:val="24"/>
          <w:lang w:val="en-US"/>
        </w:rPr>
        <w:t xml:space="preserve"> </w:t>
      </w:r>
    </w:p>
    <w:p w:rsidR="00AB50C5" w:rsidRDefault="00724275">
      <w:pPr>
        <w:autoSpaceDE w:val="0"/>
        <w:autoSpaceDN w:val="0"/>
        <w:adjustRightInd w:val="0"/>
        <w:spacing w:line="240" w:lineRule="auto"/>
        <w:ind w:left="357"/>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 xml:space="preserve">The USEPA guidelines recognize that alternative indicators to </w:t>
      </w:r>
      <w:r>
        <w:rPr>
          <w:rFonts w:ascii="Times New Roman" w:hAnsi="Times New Roman" w:cs="Times New Roman"/>
          <w:i/>
          <w:noProof/>
          <w:sz w:val="24"/>
          <w:szCs w:val="24"/>
          <w:lang w:val="en-US" w:eastAsia="it-IT"/>
        </w:rPr>
        <w:t>E. coli</w:t>
      </w:r>
      <w:r>
        <w:rPr>
          <w:rFonts w:ascii="Times New Roman" w:hAnsi="Times New Roman" w:cs="Times New Roman"/>
          <w:noProof/>
          <w:sz w:val="24"/>
          <w:szCs w:val="24"/>
          <w:lang w:val="en-US" w:eastAsia="it-IT"/>
        </w:rPr>
        <w:t xml:space="preserve"> may be adopted in the future for water quality monitor</w:t>
      </w:r>
      <w:r>
        <w:rPr>
          <w:rFonts w:ascii="Times New Roman" w:hAnsi="Times New Roman" w:cs="Times New Roman"/>
          <w:noProof/>
          <w:sz w:val="24"/>
          <w:szCs w:val="24"/>
          <w:lang w:val="en-US" w:eastAsia="it-IT"/>
        </w:rPr>
        <w:t>ing (e.g. bacteriophages), but they do not include any specific viral indicator in their recommendations (USEPA, 2012). However, regarding indirect potable reuse for surface spreading or direct injection, the USEPA guidelines state that log</w:t>
      </w:r>
      <w:r>
        <w:rPr>
          <w:rFonts w:ascii="Times New Roman" w:hAnsi="Times New Roman" w:cs="Times New Roman"/>
          <w:noProof/>
          <w:sz w:val="24"/>
          <w:szCs w:val="24"/>
          <w:vertAlign w:val="subscript"/>
          <w:lang w:val="en-US" w:eastAsia="it-IT"/>
        </w:rPr>
        <w:t>10</w:t>
      </w:r>
      <w:r>
        <w:rPr>
          <w:rFonts w:ascii="Times New Roman" w:hAnsi="Times New Roman" w:cs="Times New Roman"/>
          <w:noProof/>
          <w:sz w:val="24"/>
          <w:szCs w:val="24"/>
          <w:lang w:val="en-US" w:eastAsia="it-IT"/>
        </w:rPr>
        <w:t xml:space="preserve"> removal credits for viruses can be based on challenge tests (spiking) or the sum of log</w:t>
      </w:r>
      <w:r>
        <w:rPr>
          <w:rFonts w:ascii="Times New Roman" w:hAnsi="Times New Roman" w:cs="Times New Roman"/>
          <w:noProof/>
          <w:sz w:val="24"/>
          <w:szCs w:val="24"/>
          <w:vertAlign w:val="subscript"/>
          <w:lang w:val="en-US" w:eastAsia="it-IT"/>
        </w:rPr>
        <w:t>10</w:t>
      </w:r>
      <w:r>
        <w:rPr>
          <w:rFonts w:ascii="Times New Roman" w:hAnsi="Times New Roman" w:cs="Times New Roman"/>
          <w:noProof/>
          <w:sz w:val="24"/>
          <w:szCs w:val="24"/>
          <w:lang w:val="en-US" w:eastAsia="it-IT"/>
        </w:rPr>
        <w:t xml:space="preserve"> removal credits allowed for individual treatment processes, although monitoring for viruses is not required. </w:t>
      </w:r>
    </w:p>
    <w:p w:rsidR="00AB50C5" w:rsidRDefault="00724275">
      <w:pPr>
        <w:spacing w:line="240" w:lineRule="auto"/>
        <w:ind w:left="357"/>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California regulations include F-specific bacteriophage</w:t>
      </w:r>
      <w:r>
        <w:rPr>
          <w:rFonts w:ascii="Times New Roman" w:hAnsi="Times New Roman" w:cs="Times New Roman"/>
          <w:noProof/>
          <w:sz w:val="24"/>
          <w:szCs w:val="24"/>
          <w:lang w:val="en-US" w:eastAsia="it-IT"/>
        </w:rPr>
        <w:t>s as a performance target (99.999% removal/inactivation from raw wastewater) for food crops irrigation (CDPH, 2014). In addition, US state regulations of North Carolina adopt coliphages as water quality target for irrigation of food crops not processed (US</w:t>
      </w:r>
      <w:r>
        <w:rPr>
          <w:rFonts w:ascii="Times New Roman" w:hAnsi="Times New Roman" w:cs="Times New Roman"/>
          <w:noProof/>
          <w:sz w:val="24"/>
          <w:szCs w:val="24"/>
          <w:lang w:val="en-US" w:eastAsia="it-IT"/>
        </w:rPr>
        <w:t>EPA, 2012).</w:t>
      </w:r>
    </w:p>
    <w:p w:rsidR="00AB50C5" w:rsidRDefault="00724275">
      <w:pPr>
        <w:spacing w:line="240" w:lineRule="auto"/>
        <w:ind w:left="357"/>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MS regulations for agricultural irrigation do not include coliphages, or any viral indicator, for monitoring, with the exception of the French regulation that includes F-RNA coliphages as performance target for validation monitoring in agricult</w:t>
      </w:r>
      <w:r>
        <w:rPr>
          <w:rFonts w:ascii="Times New Roman" w:hAnsi="Times New Roman" w:cs="Times New Roman"/>
          <w:noProof/>
          <w:sz w:val="24"/>
          <w:szCs w:val="24"/>
          <w:lang w:val="en-US" w:eastAsia="it-IT"/>
        </w:rPr>
        <w:t>ural irrigation (JRC, 2014).</w:t>
      </w:r>
    </w:p>
    <w:p w:rsidR="00AB50C5" w:rsidRDefault="00724275">
      <w:pPr>
        <w:spacing w:line="240" w:lineRule="auto"/>
        <w:ind w:left="357"/>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 xml:space="preserve">Due to the different characteristics and behaviour of F-specific coliphages and somatic coliphages, it is recommended the use of total coliphages as viral indicators. However, if this is not feasible, at least one of them must </w:t>
      </w:r>
      <w:r>
        <w:rPr>
          <w:rFonts w:ascii="Times New Roman" w:hAnsi="Times New Roman" w:cs="Times New Roman"/>
          <w:noProof/>
          <w:sz w:val="24"/>
          <w:szCs w:val="24"/>
          <w:lang w:val="en-US" w:eastAsia="it-IT"/>
        </w:rPr>
        <w:t>be analyzed.</w:t>
      </w:r>
    </w:p>
    <w:p w:rsidR="00AB50C5" w:rsidRDefault="00724275">
      <w:pPr>
        <w:pStyle w:val="JRCTextbulletedlist1"/>
        <w:numPr>
          <w:ilvl w:val="0"/>
          <w:numId w:val="0"/>
        </w:numPr>
        <w:ind w:left="357"/>
        <w:rPr>
          <w:rFonts w:ascii="Times New Roman" w:hAnsi="Times New Roman"/>
          <w:noProof/>
          <w:sz w:val="24"/>
          <w:szCs w:val="24"/>
          <w:lang w:val="en-US" w:eastAsia="it-IT"/>
        </w:rPr>
      </w:pPr>
      <w:r>
        <w:rPr>
          <w:rFonts w:ascii="Times New Roman" w:hAnsi="Times New Roman"/>
          <w:b/>
          <w:noProof/>
          <w:sz w:val="24"/>
          <w:szCs w:val="24"/>
          <w:lang w:val="en-US" w:eastAsia="it-IT"/>
        </w:rPr>
        <w:t>Protozoa</w:t>
      </w:r>
      <w:r>
        <w:rPr>
          <w:rFonts w:ascii="Times New Roman" w:hAnsi="Times New Roman"/>
          <w:noProof/>
          <w:sz w:val="24"/>
          <w:szCs w:val="24"/>
          <w:lang w:val="en-US" w:eastAsia="it-IT"/>
        </w:rPr>
        <w:t xml:space="preserve">: </w:t>
      </w:r>
      <w:r>
        <w:rPr>
          <w:rFonts w:ascii="Times New Roman" w:hAnsi="Times New Roman"/>
          <w:i/>
          <w:noProof/>
          <w:sz w:val="24"/>
          <w:szCs w:val="24"/>
          <w:lang w:val="en-US" w:eastAsia="it-IT"/>
        </w:rPr>
        <w:t>Clostridium perfringens</w:t>
      </w:r>
      <w:r>
        <w:rPr>
          <w:rFonts w:ascii="Times New Roman" w:hAnsi="Times New Roman"/>
          <w:noProof/>
          <w:sz w:val="24"/>
          <w:szCs w:val="24"/>
          <w:lang w:val="en-US" w:eastAsia="it-IT"/>
        </w:rPr>
        <w:t xml:space="preserve"> spores/spore-forming sulfate-reducing bacteria</w:t>
      </w:r>
    </w:p>
    <w:p w:rsidR="00AB50C5" w:rsidRDefault="00724275">
      <w:pPr>
        <w:spacing w:line="240" w:lineRule="auto"/>
        <w:ind w:left="357"/>
        <w:jc w:val="both"/>
        <w:rPr>
          <w:rFonts w:ascii="Times New Roman" w:hAnsi="Times New Roman" w:cs="Times New Roman"/>
          <w:i/>
          <w:noProof/>
          <w:sz w:val="24"/>
          <w:szCs w:val="24"/>
          <w:lang w:val="en-US" w:eastAsia="it-IT"/>
        </w:rPr>
      </w:pPr>
      <w:r>
        <w:rPr>
          <w:rFonts w:ascii="Times New Roman" w:hAnsi="Times New Roman" w:cs="Times New Roman"/>
          <w:i/>
          <w:noProof/>
          <w:sz w:val="24"/>
          <w:szCs w:val="24"/>
          <w:lang w:val="en-US"/>
        </w:rPr>
        <w:t>Giardia</w:t>
      </w:r>
      <w:r>
        <w:rPr>
          <w:rFonts w:ascii="Times New Roman" w:hAnsi="Times New Roman" w:cs="Times New Roman"/>
          <w:noProof/>
          <w:sz w:val="24"/>
          <w:szCs w:val="24"/>
          <w:lang w:val="en-US"/>
        </w:rPr>
        <w:t xml:space="preserve"> cysts and </w:t>
      </w:r>
      <w:r>
        <w:rPr>
          <w:rFonts w:ascii="Times New Roman" w:hAnsi="Times New Roman" w:cs="Times New Roman"/>
          <w:i/>
          <w:noProof/>
          <w:sz w:val="24"/>
          <w:szCs w:val="24"/>
          <w:lang w:val="en-US"/>
        </w:rPr>
        <w:t>Cryptosporidium</w:t>
      </w:r>
      <w:r>
        <w:rPr>
          <w:rFonts w:ascii="Times New Roman" w:hAnsi="Times New Roman" w:cs="Times New Roman"/>
          <w:noProof/>
          <w:sz w:val="24"/>
          <w:szCs w:val="24"/>
          <w:lang w:val="en-US"/>
        </w:rPr>
        <w:t xml:space="preserve"> oocysts have been found in reclaimed water (Huffman </w:t>
      </w:r>
      <w:r>
        <w:rPr>
          <w:rFonts w:ascii="Times New Roman" w:hAnsi="Times New Roman" w:cs="Times New Roman"/>
          <w:i/>
          <w:noProof/>
          <w:sz w:val="24"/>
          <w:szCs w:val="24"/>
          <w:lang w:val="en-US"/>
        </w:rPr>
        <w:t>et al.</w:t>
      </w:r>
      <w:r>
        <w:rPr>
          <w:rFonts w:ascii="Times New Roman" w:hAnsi="Times New Roman" w:cs="Times New Roman"/>
          <w:noProof/>
          <w:sz w:val="24"/>
          <w:szCs w:val="24"/>
          <w:lang w:val="en-US"/>
        </w:rPr>
        <w:t>, 2006; USEPA, 2012).</w:t>
      </w:r>
      <w:r>
        <w:rPr>
          <w:rFonts w:ascii="Times New Roman" w:hAnsi="Times New Roman" w:cs="Times New Roman"/>
          <w:i/>
          <w:noProof/>
          <w:sz w:val="24"/>
          <w:szCs w:val="24"/>
          <w:lang w:val="en-US" w:eastAsia="it-IT"/>
        </w:rPr>
        <w:t xml:space="preserve"> </w:t>
      </w:r>
      <w:r>
        <w:rPr>
          <w:rFonts w:ascii="Times New Roman" w:hAnsi="Times New Roman" w:cs="Times New Roman"/>
          <w:noProof/>
          <w:sz w:val="24"/>
          <w:szCs w:val="24"/>
          <w:lang w:val="en-US"/>
        </w:rPr>
        <w:t xml:space="preserve">This triggered considerable concern regarding the occurrence and significance of </w:t>
      </w:r>
      <w:r>
        <w:rPr>
          <w:rFonts w:ascii="Times New Roman" w:hAnsi="Times New Roman" w:cs="Times New Roman"/>
          <w:i/>
          <w:iCs/>
          <w:noProof/>
          <w:sz w:val="24"/>
          <w:szCs w:val="24"/>
          <w:lang w:val="en-US"/>
        </w:rPr>
        <w:t xml:space="preserve">Giardia </w:t>
      </w:r>
      <w:r>
        <w:rPr>
          <w:rFonts w:ascii="Times New Roman" w:hAnsi="Times New Roman" w:cs="Times New Roman"/>
          <w:noProof/>
          <w:sz w:val="24"/>
          <w:szCs w:val="24"/>
          <w:lang w:val="en-US"/>
        </w:rPr>
        <w:t xml:space="preserve">and </w:t>
      </w:r>
      <w:r>
        <w:rPr>
          <w:rFonts w:ascii="Times New Roman" w:hAnsi="Times New Roman" w:cs="Times New Roman"/>
          <w:i/>
          <w:iCs/>
          <w:noProof/>
          <w:sz w:val="24"/>
          <w:szCs w:val="24"/>
          <w:lang w:val="en-US"/>
        </w:rPr>
        <w:t xml:space="preserve">Cryptosporidium </w:t>
      </w:r>
      <w:r>
        <w:rPr>
          <w:rFonts w:ascii="Times New Roman" w:hAnsi="Times New Roman" w:cs="Times New Roman"/>
          <w:noProof/>
          <w:sz w:val="24"/>
          <w:szCs w:val="24"/>
          <w:lang w:val="en-US"/>
        </w:rPr>
        <w:t>in water reuse schemes.</w:t>
      </w:r>
    </w:p>
    <w:p w:rsidR="00AB50C5" w:rsidRDefault="00724275">
      <w:pPr>
        <w:spacing w:line="240" w:lineRule="auto"/>
        <w:ind w:left="357"/>
        <w:jc w:val="both"/>
        <w:rPr>
          <w:rFonts w:ascii="Times New Roman" w:hAnsi="Times New Roman" w:cs="Times New Roman"/>
          <w:noProof/>
          <w:sz w:val="24"/>
          <w:szCs w:val="24"/>
          <w:lang w:val="en-US"/>
        </w:rPr>
      </w:pPr>
      <w:r>
        <w:rPr>
          <w:rFonts w:ascii="Times New Roman" w:hAnsi="Times New Roman" w:cs="Times New Roman"/>
          <w:i/>
          <w:noProof/>
          <w:sz w:val="24"/>
          <w:szCs w:val="24"/>
          <w:lang w:val="en-US" w:eastAsia="it-IT"/>
        </w:rPr>
        <w:t>E. coli</w:t>
      </w:r>
      <w:r>
        <w:rPr>
          <w:rFonts w:ascii="Times New Roman" w:hAnsi="Times New Roman" w:cs="Times New Roman"/>
          <w:noProof/>
          <w:sz w:val="24"/>
          <w:szCs w:val="24"/>
          <w:lang w:val="en-US" w:eastAsia="it-IT"/>
        </w:rPr>
        <w:t xml:space="preserve"> is more readily removed by disinfection methods than protozoa, which are mainly removed by filtration systems. Prot</w:t>
      </w:r>
      <w:r>
        <w:rPr>
          <w:rFonts w:ascii="Times New Roman" w:hAnsi="Times New Roman" w:cs="Times New Roman"/>
          <w:noProof/>
          <w:sz w:val="24"/>
          <w:szCs w:val="24"/>
          <w:lang w:val="en-US" w:eastAsia="it-IT"/>
        </w:rPr>
        <w:t>ozoa also survive longer than bacteria in groundwater</w:t>
      </w:r>
      <w:r>
        <w:rPr>
          <w:rFonts w:ascii="Times New Roman" w:hAnsi="Times New Roman" w:cs="Times New Roman"/>
          <w:i/>
          <w:noProof/>
          <w:sz w:val="24"/>
          <w:szCs w:val="24"/>
          <w:lang w:val="en-US" w:eastAsia="it-IT"/>
        </w:rPr>
        <w:t>. Clostridium perfringens</w:t>
      </w:r>
      <w:r>
        <w:rPr>
          <w:rFonts w:ascii="Times New Roman" w:hAnsi="Times New Roman" w:cs="Times New Roman"/>
          <w:noProof/>
          <w:sz w:val="24"/>
          <w:szCs w:val="24"/>
          <w:lang w:val="en-US" w:eastAsia="it-IT"/>
        </w:rPr>
        <w:t xml:space="preserve"> spores and spore-forming sulfate-reducing bacteria have been suggested as indicators of protozoan removal and effectiveness of filtration processes. </w:t>
      </w:r>
      <w:r>
        <w:rPr>
          <w:rFonts w:ascii="Times New Roman" w:hAnsi="Times New Roman" w:cs="Times New Roman"/>
          <w:i/>
          <w:noProof/>
          <w:sz w:val="24"/>
          <w:szCs w:val="24"/>
          <w:lang w:val="en-US" w:eastAsia="it-IT"/>
        </w:rPr>
        <w:t>Clostridium perfringens</w:t>
      </w:r>
      <w:r>
        <w:rPr>
          <w:rFonts w:ascii="Times New Roman" w:hAnsi="Times New Roman" w:cs="Times New Roman"/>
          <w:noProof/>
          <w:sz w:val="24"/>
          <w:szCs w:val="24"/>
          <w:lang w:val="en-US" w:eastAsia="it-IT"/>
        </w:rPr>
        <w:t xml:space="preserve"> spor</w:t>
      </w:r>
      <w:r>
        <w:rPr>
          <w:rFonts w:ascii="Times New Roman" w:hAnsi="Times New Roman" w:cs="Times New Roman"/>
          <w:noProof/>
          <w:sz w:val="24"/>
          <w:szCs w:val="24"/>
          <w:lang w:val="en-US" w:eastAsia="it-IT"/>
        </w:rPr>
        <w:t xml:space="preserve">es have an exceptional resistance to disinfection processes and other unfavourable environmental conditions, its spores are smaller than protozoan (oo) cysts, and hence more difficult to remove by physical processes (NRMMC–EPHC–AHMC, 2006; WHO, 2006; WHO, </w:t>
      </w:r>
      <w:r>
        <w:rPr>
          <w:rFonts w:ascii="Times New Roman" w:hAnsi="Times New Roman" w:cs="Times New Roman"/>
          <w:noProof/>
          <w:sz w:val="24"/>
          <w:szCs w:val="24"/>
          <w:lang w:val="en-US" w:eastAsia="it-IT"/>
        </w:rPr>
        <w:t>2011).</w:t>
      </w:r>
      <w:r>
        <w:rPr>
          <w:rFonts w:ascii="Times New Roman" w:hAnsi="Times New Roman" w:cs="Times New Roman"/>
          <w:noProof/>
          <w:sz w:val="24"/>
          <w:szCs w:val="24"/>
          <w:lang w:val="en-US"/>
        </w:rPr>
        <w:t xml:space="preserve"> </w:t>
      </w:r>
    </w:p>
    <w:p w:rsidR="00AB50C5" w:rsidRDefault="00724275">
      <w:pPr>
        <w:spacing w:line="240" w:lineRule="auto"/>
        <w:ind w:left="357"/>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Protozoan indicators (i.e. </w:t>
      </w:r>
      <w:r>
        <w:rPr>
          <w:rFonts w:ascii="Times New Roman" w:hAnsi="Times New Roman" w:cs="Times New Roman"/>
          <w:i/>
          <w:noProof/>
          <w:sz w:val="24"/>
          <w:szCs w:val="24"/>
          <w:lang w:val="en-US"/>
        </w:rPr>
        <w:t>Clostridium</w:t>
      </w:r>
      <w:r>
        <w:rPr>
          <w:rFonts w:ascii="Times New Roman" w:hAnsi="Times New Roman" w:cs="Times New Roman"/>
          <w:noProof/>
          <w:sz w:val="24"/>
          <w:szCs w:val="24"/>
          <w:lang w:val="en-US"/>
        </w:rPr>
        <w:t xml:space="preserve"> </w:t>
      </w:r>
      <w:r>
        <w:rPr>
          <w:rFonts w:ascii="Times New Roman" w:hAnsi="Times New Roman" w:cs="Times New Roman"/>
          <w:i/>
          <w:noProof/>
          <w:sz w:val="24"/>
          <w:szCs w:val="24"/>
          <w:lang w:val="en-US"/>
        </w:rPr>
        <w:t>perfringens</w:t>
      </w:r>
      <w:r>
        <w:rPr>
          <w:rFonts w:ascii="Times New Roman" w:hAnsi="Times New Roman" w:cs="Times New Roman"/>
          <w:noProof/>
          <w:sz w:val="24"/>
          <w:szCs w:val="24"/>
          <w:lang w:val="en-US"/>
        </w:rPr>
        <w:t xml:space="preserve"> spores)</w:t>
      </w:r>
      <w:r>
        <w:rPr>
          <w:rFonts w:ascii="Times New Roman" w:hAnsi="Times New Roman" w:cs="Times New Roman"/>
          <w:noProof/>
          <w:sz w:val="24"/>
          <w:szCs w:val="24"/>
          <w:lang w:val="en-US" w:eastAsia="it-IT"/>
        </w:rPr>
        <w:t xml:space="preserve"> are recommended for monitoring of high-exposure water reuse schemes in the Australian guidelines, and the WHO guidelines state that, under certain circumstances, additional indicators </w:t>
      </w:r>
      <w:r>
        <w:rPr>
          <w:rFonts w:ascii="Times New Roman" w:hAnsi="Times New Roman" w:cs="Times New Roman"/>
          <w:i/>
          <w:noProof/>
          <w:sz w:val="24"/>
          <w:szCs w:val="24"/>
          <w:lang w:val="en-US" w:eastAsia="it-IT"/>
        </w:rPr>
        <w:t>to E.</w:t>
      </w:r>
      <w:r>
        <w:rPr>
          <w:rFonts w:ascii="Times New Roman" w:hAnsi="Times New Roman" w:cs="Times New Roman"/>
          <w:i/>
          <w:noProof/>
          <w:sz w:val="24"/>
          <w:szCs w:val="24"/>
          <w:lang w:val="en-US" w:eastAsia="it-IT"/>
        </w:rPr>
        <w:t xml:space="preserve"> coli</w:t>
      </w:r>
      <w:r>
        <w:rPr>
          <w:rFonts w:ascii="Times New Roman" w:hAnsi="Times New Roman" w:cs="Times New Roman"/>
          <w:noProof/>
          <w:sz w:val="24"/>
          <w:szCs w:val="24"/>
          <w:lang w:val="en-US" w:eastAsia="it-IT"/>
        </w:rPr>
        <w:t xml:space="preserve"> may be included for monitoring (NRMMC–EPHC–AHMC, 2006; WHO, 2006).</w:t>
      </w:r>
      <w:r>
        <w:rPr>
          <w:rFonts w:ascii="Times New Roman" w:hAnsi="Times New Roman" w:cs="Times New Roman"/>
          <w:noProof/>
          <w:sz w:val="24"/>
          <w:szCs w:val="24"/>
          <w:lang w:val="en-US"/>
        </w:rPr>
        <w:t xml:space="preserve"> </w:t>
      </w:r>
      <w:r>
        <w:rPr>
          <w:rFonts w:ascii="Times New Roman" w:hAnsi="Times New Roman" w:cs="Times New Roman"/>
          <w:noProof/>
          <w:sz w:val="24"/>
          <w:szCs w:val="24"/>
          <w:lang w:val="en-US" w:eastAsia="it-IT"/>
        </w:rPr>
        <w:t xml:space="preserve">The DWD and also the draft from the WHO on the revision of Annex I of the DWD include </w:t>
      </w:r>
      <w:r>
        <w:rPr>
          <w:rFonts w:ascii="Times New Roman" w:hAnsi="Times New Roman" w:cs="Times New Roman"/>
          <w:i/>
          <w:noProof/>
          <w:sz w:val="24"/>
          <w:szCs w:val="24"/>
          <w:lang w:val="en-US" w:eastAsia="it-IT"/>
        </w:rPr>
        <w:t>Clostridium perfringens</w:t>
      </w:r>
      <w:r>
        <w:rPr>
          <w:rFonts w:ascii="Times New Roman" w:hAnsi="Times New Roman" w:cs="Times New Roman"/>
          <w:noProof/>
          <w:sz w:val="24"/>
          <w:szCs w:val="24"/>
          <w:lang w:val="en-US" w:eastAsia="it-IT"/>
        </w:rPr>
        <w:t xml:space="preserve"> spores monitoring for treatment control for disinfection-resistant pathog</w:t>
      </w:r>
      <w:r>
        <w:rPr>
          <w:rFonts w:ascii="Times New Roman" w:hAnsi="Times New Roman" w:cs="Times New Roman"/>
          <w:noProof/>
          <w:sz w:val="24"/>
          <w:szCs w:val="24"/>
          <w:lang w:val="en-US" w:eastAsia="it-IT"/>
        </w:rPr>
        <w:t xml:space="preserve">ens such as </w:t>
      </w:r>
      <w:r>
        <w:rPr>
          <w:rFonts w:ascii="Times New Roman" w:hAnsi="Times New Roman" w:cs="Times New Roman"/>
          <w:i/>
          <w:noProof/>
          <w:sz w:val="24"/>
          <w:szCs w:val="24"/>
          <w:lang w:val="en-US" w:eastAsia="it-IT"/>
        </w:rPr>
        <w:t xml:space="preserve">Cryptosporidium </w:t>
      </w:r>
      <w:r>
        <w:rPr>
          <w:rFonts w:ascii="Times New Roman" w:hAnsi="Times New Roman" w:cs="Times New Roman"/>
          <w:noProof/>
          <w:sz w:val="24"/>
          <w:szCs w:val="24"/>
          <w:lang w:val="en-US" w:eastAsia="it-IT"/>
        </w:rPr>
        <w:t>(WHO, 2016).</w:t>
      </w:r>
    </w:p>
    <w:p w:rsidR="00AB50C5" w:rsidRDefault="00724275">
      <w:pPr>
        <w:autoSpaceDE w:val="0"/>
        <w:autoSpaceDN w:val="0"/>
        <w:adjustRightInd w:val="0"/>
        <w:spacing w:line="240" w:lineRule="auto"/>
        <w:ind w:left="357"/>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The USEPA guidelines do not include any specific protozoan indicator in their recommendations (USEPA, 2012). As regards of aquifer recharge for potable uses (indirect potable reuse) using surface spreading or direct</w:t>
      </w:r>
      <w:r>
        <w:rPr>
          <w:rFonts w:ascii="Times New Roman" w:hAnsi="Times New Roman" w:cs="Times New Roman"/>
          <w:noProof/>
          <w:sz w:val="24"/>
          <w:szCs w:val="24"/>
          <w:lang w:val="en-US" w:eastAsia="it-IT"/>
        </w:rPr>
        <w:t xml:space="preserve"> injection, the USEPA guidelines state that log</w:t>
      </w:r>
      <w:r>
        <w:rPr>
          <w:rFonts w:ascii="Times New Roman" w:hAnsi="Times New Roman" w:cs="Times New Roman"/>
          <w:noProof/>
          <w:sz w:val="24"/>
          <w:szCs w:val="24"/>
          <w:vertAlign w:val="subscript"/>
          <w:lang w:val="en-US" w:eastAsia="it-IT"/>
        </w:rPr>
        <w:t>10</w:t>
      </w:r>
      <w:r>
        <w:rPr>
          <w:rFonts w:ascii="Times New Roman" w:hAnsi="Times New Roman" w:cs="Times New Roman"/>
          <w:noProof/>
          <w:sz w:val="24"/>
          <w:szCs w:val="24"/>
          <w:lang w:val="en-US" w:eastAsia="it-IT"/>
        </w:rPr>
        <w:t xml:space="preserve"> removal credits for </w:t>
      </w:r>
      <w:r>
        <w:rPr>
          <w:rFonts w:ascii="Times New Roman" w:hAnsi="Times New Roman" w:cs="Times New Roman"/>
          <w:i/>
          <w:noProof/>
          <w:sz w:val="24"/>
          <w:szCs w:val="24"/>
          <w:lang w:val="en-US" w:eastAsia="it-IT"/>
        </w:rPr>
        <w:t>Giardia</w:t>
      </w:r>
      <w:r>
        <w:rPr>
          <w:rFonts w:ascii="Times New Roman" w:hAnsi="Times New Roman" w:cs="Times New Roman"/>
          <w:noProof/>
          <w:sz w:val="24"/>
          <w:szCs w:val="24"/>
          <w:lang w:val="en-US" w:eastAsia="it-IT"/>
        </w:rPr>
        <w:t xml:space="preserve"> and </w:t>
      </w:r>
      <w:r>
        <w:rPr>
          <w:rFonts w:ascii="Times New Roman" w:hAnsi="Times New Roman" w:cs="Times New Roman"/>
          <w:i/>
          <w:noProof/>
          <w:sz w:val="24"/>
          <w:szCs w:val="24"/>
          <w:lang w:val="en-US" w:eastAsia="it-IT"/>
        </w:rPr>
        <w:t>Cryptosporidium</w:t>
      </w:r>
      <w:r>
        <w:rPr>
          <w:rFonts w:ascii="Times New Roman" w:hAnsi="Times New Roman" w:cs="Times New Roman"/>
          <w:noProof/>
          <w:sz w:val="24"/>
          <w:szCs w:val="24"/>
          <w:lang w:val="en-US" w:eastAsia="it-IT"/>
        </w:rPr>
        <w:t xml:space="preserve"> can be based on challenge tests (spiking) or the sum of log</w:t>
      </w:r>
      <w:r>
        <w:rPr>
          <w:rFonts w:ascii="Times New Roman" w:hAnsi="Times New Roman" w:cs="Times New Roman"/>
          <w:noProof/>
          <w:sz w:val="24"/>
          <w:szCs w:val="24"/>
          <w:vertAlign w:val="subscript"/>
          <w:lang w:val="en-US" w:eastAsia="it-IT"/>
        </w:rPr>
        <w:t>10</w:t>
      </w:r>
      <w:r>
        <w:rPr>
          <w:rFonts w:ascii="Times New Roman" w:hAnsi="Times New Roman" w:cs="Times New Roman"/>
          <w:noProof/>
          <w:sz w:val="24"/>
          <w:szCs w:val="24"/>
          <w:lang w:val="en-US" w:eastAsia="it-IT"/>
        </w:rPr>
        <w:t xml:space="preserve"> removal credits allowed for individual treatment processes, although monitoring for these pathog</w:t>
      </w:r>
      <w:r>
        <w:rPr>
          <w:rFonts w:ascii="Times New Roman" w:hAnsi="Times New Roman" w:cs="Times New Roman"/>
          <w:noProof/>
          <w:sz w:val="24"/>
          <w:szCs w:val="24"/>
          <w:lang w:val="en-US" w:eastAsia="it-IT"/>
        </w:rPr>
        <w:t xml:space="preserve">ens is not required (USEPA, 2012). </w:t>
      </w:r>
    </w:p>
    <w:p w:rsidR="00AB50C5" w:rsidRDefault="00724275">
      <w:pPr>
        <w:spacing w:line="240" w:lineRule="auto"/>
        <w:ind w:left="357"/>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 xml:space="preserve">State regulations of North Carolina have specific water quality limits for </w:t>
      </w:r>
      <w:r>
        <w:rPr>
          <w:rFonts w:ascii="Times New Roman" w:hAnsi="Times New Roman" w:cs="Times New Roman"/>
          <w:i/>
          <w:noProof/>
          <w:sz w:val="24"/>
          <w:szCs w:val="24"/>
          <w:lang w:val="en-US" w:eastAsia="it-IT"/>
        </w:rPr>
        <w:t>Clostridium</w:t>
      </w:r>
      <w:r>
        <w:rPr>
          <w:rFonts w:ascii="Times New Roman" w:hAnsi="Times New Roman" w:cs="Times New Roman"/>
          <w:noProof/>
          <w:sz w:val="24"/>
          <w:szCs w:val="24"/>
          <w:lang w:val="en-US" w:eastAsia="it-IT"/>
        </w:rPr>
        <w:t xml:space="preserve"> for non-processed food crops, and Florida requires monitoring of </w:t>
      </w:r>
      <w:r>
        <w:rPr>
          <w:rFonts w:ascii="Times New Roman" w:hAnsi="Times New Roman" w:cs="Times New Roman"/>
          <w:i/>
          <w:noProof/>
          <w:sz w:val="24"/>
          <w:szCs w:val="24"/>
          <w:lang w:val="en-US" w:eastAsia="it-IT"/>
        </w:rPr>
        <w:t>Giardia</w:t>
      </w:r>
      <w:r>
        <w:rPr>
          <w:rFonts w:ascii="Times New Roman" w:hAnsi="Times New Roman" w:cs="Times New Roman"/>
          <w:noProof/>
          <w:sz w:val="24"/>
          <w:szCs w:val="24"/>
          <w:lang w:val="en-US" w:eastAsia="it-IT"/>
        </w:rPr>
        <w:t xml:space="preserve"> and </w:t>
      </w:r>
      <w:r>
        <w:rPr>
          <w:rFonts w:ascii="Times New Roman" w:hAnsi="Times New Roman" w:cs="Times New Roman"/>
          <w:i/>
          <w:noProof/>
          <w:sz w:val="24"/>
          <w:szCs w:val="24"/>
          <w:lang w:val="en-US" w:eastAsia="it-IT"/>
        </w:rPr>
        <w:t>Cryptosporidium</w:t>
      </w:r>
      <w:r>
        <w:rPr>
          <w:rFonts w:ascii="Times New Roman" w:hAnsi="Times New Roman" w:cs="Times New Roman"/>
          <w:noProof/>
          <w:sz w:val="24"/>
          <w:szCs w:val="24"/>
          <w:lang w:val="en-US" w:eastAsia="it-IT"/>
        </w:rPr>
        <w:t xml:space="preserve"> for food crops irrigation (USEPA, 2012).</w:t>
      </w:r>
    </w:p>
    <w:p w:rsidR="00AB50C5" w:rsidRDefault="00724275">
      <w:pPr>
        <w:autoSpaceDE w:val="0"/>
        <w:autoSpaceDN w:val="0"/>
        <w:adjustRightInd w:val="0"/>
        <w:spacing w:line="240" w:lineRule="auto"/>
        <w:ind w:left="357"/>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 xml:space="preserve">MS regulations for agricultural irrigation do not include protozoan indicator for monitoring, with the exception of the French regulation that requests monitoring of </w:t>
      </w:r>
      <w:r>
        <w:rPr>
          <w:rFonts w:ascii="Times New Roman" w:hAnsi="Times New Roman" w:cs="Times New Roman"/>
          <w:noProof/>
          <w:sz w:val="24"/>
          <w:szCs w:val="24"/>
          <w:lang w:val="en-US"/>
        </w:rPr>
        <w:t>spores of sulphite-reducing bacteria</w:t>
      </w:r>
      <w:r>
        <w:rPr>
          <w:rFonts w:ascii="Times New Roman" w:hAnsi="Times New Roman" w:cs="Times New Roman"/>
          <w:noProof/>
          <w:sz w:val="24"/>
          <w:szCs w:val="24"/>
          <w:lang w:val="en-US" w:eastAsia="it-IT"/>
        </w:rPr>
        <w:t xml:space="preserve"> as performance target for validation in agricultural</w:t>
      </w:r>
      <w:r>
        <w:rPr>
          <w:rFonts w:ascii="Times New Roman" w:hAnsi="Times New Roman" w:cs="Times New Roman"/>
          <w:noProof/>
          <w:sz w:val="24"/>
          <w:szCs w:val="24"/>
          <w:lang w:val="en-US" w:eastAsia="it-IT"/>
        </w:rPr>
        <w:t xml:space="preserve"> irrigation, but this indicator was selected because it was more abundant in wastewater than spores of </w:t>
      </w:r>
      <w:r>
        <w:rPr>
          <w:rFonts w:ascii="Times New Roman" w:hAnsi="Times New Roman" w:cs="Times New Roman"/>
          <w:i/>
          <w:noProof/>
          <w:sz w:val="24"/>
          <w:szCs w:val="24"/>
          <w:lang w:val="en-US" w:eastAsia="it-IT"/>
        </w:rPr>
        <w:t>Clostridium</w:t>
      </w:r>
      <w:r>
        <w:rPr>
          <w:rFonts w:ascii="Times New Roman" w:hAnsi="Times New Roman" w:cs="Times New Roman"/>
          <w:noProof/>
          <w:sz w:val="24"/>
          <w:szCs w:val="24"/>
          <w:lang w:val="en-US" w:eastAsia="it-IT"/>
        </w:rPr>
        <w:t xml:space="preserve"> (JRC, 2014).</w:t>
      </w:r>
    </w:p>
    <w:p w:rsidR="00AB50C5" w:rsidRDefault="00724275">
      <w:pPr>
        <w:autoSpaceDE w:val="0"/>
        <w:autoSpaceDN w:val="0"/>
        <w:adjustRightInd w:val="0"/>
        <w:spacing w:line="240" w:lineRule="auto"/>
        <w:ind w:left="357"/>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 xml:space="preserve">It is recommended to use </w:t>
      </w:r>
      <w:r>
        <w:rPr>
          <w:rFonts w:ascii="Times New Roman" w:hAnsi="Times New Roman" w:cs="Times New Roman"/>
          <w:i/>
          <w:noProof/>
          <w:sz w:val="24"/>
          <w:szCs w:val="24"/>
          <w:lang w:val="en-US" w:eastAsia="it-IT"/>
        </w:rPr>
        <w:t>Clostridium perfringens</w:t>
      </w:r>
      <w:r>
        <w:rPr>
          <w:rFonts w:ascii="Times New Roman" w:hAnsi="Times New Roman" w:cs="Times New Roman"/>
          <w:noProof/>
          <w:sz w:val="24"/>
          <w:szCs w:val="24"/>
          <w:lang w:val="en-US" w:eastAsia="it-IT"/>
        </w:rPr>
        <w:t xml:space="preserve"> spores as indicator, although spore-forming sulfate-reducing bacteria may be an</w:t>
      </w:r>
      <w:r>
        <w:rPr>
          <w:rFonts w:ascii="Times New Roman" w:hAnsi="Times New Roman" w:cs="Times New Roman"/>
          <w:noProof/>
          <w:sz w:val="24"/>
          <w:szCs w:val="24"/>
          <w:lang w:val="en-US" w:eastAsia="it-IT"/>
        </w:rPr>
        <w:t xml:space="preserve"> alternative if the concentration of </w:t>
      </w:r>
      <w:r>
        <w:rPr>
          <w:rFonts w:ascii="Times New Roman" w:hAnsi="Times New Roman" w:cs="Times New Roman"/>
          <w:i/>
          <w:noProof/>
          <w:sz w:val="24"/>
          <w:szCs w:val="24"/>
          <w:lang w:val="en-US" w:eastAsia="it-IT"/>
        </w:rPr>
        <w:t>Clostridium perfringens</w:t>
      </w:r>
      <w:r>
        <w:rPr>
          <w:rFonts w:ascii="Times New Roman" w:hAnsi="Times New Roman" w:cs="Times New Roman"/>
          <w:noProof/>
          <w:sz w:val="24"/>
          <w:szCs w:val="24"/>
          <w:lang w:val="en-US" w:eastAsia="it-IT"/>
        </w:rPr>
        <w:t xml:space="preserve"> spores does not allow to validate the requested log</w:t>
      </w:r>
      <w:r>
        <w:rPr>
          <w:rFonts w:ascii="Times New Roman" w:hAnsi="Times New Roman" w:cs="Times New Roman"/>
          <w:noProof/>
          <w:sz w:val="24"/>
          <w:szCs w:val="24"/>
          <w:vertAlign w:val="subscript"/>
          <w:lang w:val="en-US" w:eastAsia="it-IT"/>
        </w:rPr>
        <w:t>10</w:t>
      </w:r>
      <w:r>
        <w:rPr>
          <w:rFonts w:ascii="Times New Roman" w:hAnsi="Times New Roman" w:cs="Times New Roman"/>
          <w:noProof/>
          <w:sz w:val="24"/>
          <w:szCs w:val="24"/>
          <w:lang w:val="en-US" w:eastAsia="it-IT"/>
        </w:rPr>
        <w:t xml:space="preserve"> removal.</w:t>
      </w:r>
    </w:p>
    <w:p w:rsidR="00AB50C5" w:rsidRDefault="00724275">
      <w:pPr>
        <w:spacing w:line="240" w:lineRule="auto"/>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Helminth eggs, intestinal nematodes specifically, are selected to be monitored when reclaimed water is used to irrigate crops to fee</w:t>
      </w:r>
      <w:r>
        <w:rPr>
          <w:rFonts w:ascii="Times New Roman" w:hAnsi="Times New Roman" w:cs="Times New Roman"/>
          <w:noProof/>
          <w:sz w:val="24"/>
          <w:szCs w:val="24"/>
          <w:lang w:val="en-US" w:eastAsia="it-IT"/>
        </w:rPr>
        <w:t xml:space="preserve">d livestock in order to control animal health risks. These pathogens are included in </w:t>
      </w:r>
      <w:r>
        <w:rPr>
          <w:rFonts w:ascii="Times New Roman" w:hAnsi="Times New Roman" w:cs="Times New Roman"/>
          <w:noProof/>
          <w:sz w:val="24"/>
          <w:szCs w:val="24"/>
          <w:lang w:val="en-US" w:eastAsia="it-IT"/>
        </w:rPr>
        <w:fldChar w:fldCharType="begin"/>
      </w:r>
      <w:r>
        <w:rPr>
          <w:rFonts w:ascii="Times New Roman" w:hAnsi="Times New Roman" w:cs="Times New Roman"/>
          <w:noProof/>
          <w:sz w:val="24"/>
          <w:szCs w:val="24"/>
          <w:lang w:val="en-US" w:eastAsia="it-IT"/>
        </w:rPr>
        <w:instrText xml:space="preserve"> REF _Ref494113432 \h  \* MERGEFORMAT </w:instrText>
      </w:r>
      <w:r>
        <w:rPr>
          <w:rFonts w:ascii="Times New Roman" w:hAnsi="Times New Roman" w:cs="Times New Roman"/>
          <w:noProof/>
          <w:sz w:val="24"/>
          <w:szCs w:val="24"/>
          <w:lang w:val="en-US" w:eastAsia="it-IT"/>
        </w:rPr>
      </w:r>
      <w:r>
        <w:rPr>
          <w:rFonts w:ascii="Times New Roman" w:hAnsi="Times New Roman" w:cs="Times New Roman"/>
          <w:noProof/>
          <w:sz w:val="24"/>
          <w:szCs w:val="24"/>
          <w:lang w:val="en-US" w:eastAsia="it-IT"/>
        </w:rPr>
        <w:fldChar w:fldCharType="separate"/>
      </w:r>
      <w:r>
        <w:rPr>
          <w:rFonts w:ascii="Times New Roman" w:hAnsi="Times New Roman" w:cs="Times New Roman"/>
          <w:noProof/>
          <w:sz w:val="24"/>
          <w:szCs w:val="24"/>
        </w:rPr>
        <w:t>Table 2</w:t>
      </w:r>
      <w:r>
        <w:rPr>
          <w:rFonts w:ascii="Times New Roman" w:hAnsi="Times New Roman" w:cs="Times New Roman"/>
          <w:noProof/>
          <w:sz w:val="24"/>
          <w:szCs w:val="24"/>
          <w:lang w:val="en-US" w:eastAsia="it-IT"/>
        </w:rPr>
        <w:fldChar w:fldCharType="end"/>
      </w:r>
      <w:r>
        <w:rPr>
          <w:rFonts w:ascii="Times New Roman" w:hAnsi="Times New Roman" w:cs="Times New Roman"/>
          <w:noProof/>
          <w:sz w:val="24"/>
          <w:szCs w:val="24"/>
          <w:lang w:val="en-US" w:eastAsia="it-IT"/>
        </w:rPr>
        <w:t>, and the associated justification is shown in Section 4.4</w:t>
      </w:r>
      <w:r>
        <w:rPr>
          <w:rFonts w:ascii="Times New Roman" w:hAnsi="Times New Roman" w:cs="Times New Roman"/>
          <w:noProof/>
          <w:sz w:val="24"/>
          <w:szCs w:val="24"/>
          <w:lang w:val="en-US" w:eastAsia="it-IT"/>
        </w:rPr>
        <w:t>.6.</w:t>
      </w:r>
    </w:p>
    <w:p w:rsidR="00AB50C5" w:rsidRDefault="00724275">
      <w:pPr>
        <w:pStyle w:val="JRCLevel-3title"/>
        <w:rPr>
          <w:rFonts w:ascii="Times New Roman" w:hAnsi="Times New Roman"/>
          <w:noProof/>
          <w:sz w:val="24"/>
          <w:shd w:val="clear" w:color="auto" w:fill="FFFFFF"/>
          <w:lang w:val="en-US"/>
        </w:rPr>
      </w:pPr>
      <w:bookmarkStart w:id="73" w:name="_Toc498695687"/>
      <w:bookmarkStart w:id="74" w:name="_Toc516234769"/>
      <w:r>
        <w:rPr>
          <w:rFonts w:ascii="Times New Roman" w:hAnsi="Times New Roman"/>
          <w:noProof/>
          <w:sz w:val="24"/>
          <w:shd w:val="clear" w:color="auto" w:fill="FFFFFF"/>
          <w:lang w:val="en-US"/>
        </w:rPr>
        <w:t>Water quality criteria</w:t>
      </w:r>
      <w:bookmarkEnd w:id="73"/>
      <w:bookmarkEnd w:id="74"/>
    </w:p>
    <w:p w:rsidR="00AB50C5" w:rsidRDefault="00724275">
      <w:pPr>
        <w:spacing w:after="0" w:line="240" w:lineRule="auto"/>
        <w:contextualSpacing/>
        <w:jc w:val="both"/>
        <w:rPr>
          <w:rFonts w:ascii="Times New Roman" w:hAnsi="Times New Roman" w:cs="Times New Roman"/>
          <w:noProof/>
          <w:sz w:val="24"/>
          <w:szCs w:val="24"/>
          <w:lang w:val="en-US" w:eastAsia="en-AU"/>
        </w:rPr>
      </w:pPr>
      <w:r>
        <w:rPr>
          <w:rFonts w:ascii="Times New Roman" w:hAnsi="Times New Roman" w:cs="Times New Roman"/>
          <w:noProof/>
          <w:sz w:val="24"/>
          <w:szCs w:val="24"/>
          <w:lang w:val="en-US" w:eastAsia="en-AU"/>
        </w:rPr>
        <w:t xml:space="preserve">The </w:t>
      </w:r>
      <w:r>
        <w:rPr>
          <w:rFonts w:ascii="Times New Roman" w:hAnsi="Times New Roman" w:cs="Times New Roman"/>
          <w:i/>
          <w:noProof/>
          <w:sz w:val="24"/>
          <w:szCs w:val="24"/>
          <w:lang w:val="en-US" w:eastAsia="en-AU"/>
        </w:rPr>
        <w:t>E. coli</w:t>
      </w:r>
      <w:r>
        <w:rPr>
          <w:rFonts w:ascii="Times New Roman" w:hAnsi="Times New Roman" w:cs="Times New Roman"/>
          <w:noProof/>
          <w:sz w:val="24"/>
          <w:szCs w:val="24"/>
          <w:lang w:val="en-US" w:eastAsia="en-AU"/>
        </w:rPr>
        <w:t xml:space="preserve"> concentrations to be complied with by the reclaimed water effluent for monitoring (</w:t>
      </w:r>
      <w:r>
        <w:rPr>
          <w:rFonts w:ascii="Times New Roman" w:hAnsi="Times New Roman" w:cs="Times New Roman"/>
          <w:noProof/>
          <w:sz w:val="24"/>
          <w:szCs w:val="24"/>
          <w:lang w:val="en-US" w:eastAsia="en-AU"/>
        </w:rPr>
        <w:fldChar w:fldCharType="begin"/>
      </w:r>
      <w:r>
        <w:rPr>
          <w:rFonts w:ascii="Times New Roman" w:hAnsi="Times New Roman" w:cs="Times New Roman"/>
          <w:noProof/>
          <w:sz w:val="24"/>
          <w:szCs w:val="24"/>
          <w:lang w:val="en-US" w:eastAsia="en-AU"/>
        </w:rPr>
        <w:instrText xml:space="preserve"> REF _Ref494113432 \h  \* MERGEFORMAT </w:instrText>
      </w:r>
      <w:r>
        <w:rPr>
          <w:rFonts w:ascii="Times New Roman" w:hAnsi="Times New Roman" w:cs="Times New Roman"/>
          <w:noProof/>
          <w:sz w:val="24"/>
          <w:szCs w:val="24"/>
          <w:lang w:val="en-US" w:eastAsia="en-AU"/>
        </w:rPr>
      </w:r>
      <w:r>
        <w:rPr>
          <w:rFonts w:ascii="Times New Roman" w:hAnsi="Times New Roman" w:cs="Times New Roman"/>
          <w:noProof/>
          <w:sz w:val="24"/>
          <w:szCs w:val="24"/>
          <w:lang w:val="en-US" w:eastAsia="en-AU"/>
        </w:rPr>
        <w:fldChar w:fldCharType="separate"/>
      </w:r>
      <w:r>
        <w:rPr>
          <w:rFonts w:ascii="Times New Roman" w:hAnsi="Times New Roman" w:cs="Times New Roman"/>
          <w:noProof/>
          <w:sz w:val="24"/>
          <w:szCs w:val="24"/>
        </w:rPr>
        <w:t>Table 2</w:t>
      </w:r>
      <w:r>
        <w:rPr>
          <w:rFonts w:ascii="Times New Roman" w:hAnsi="Times New Roman" w:cs="Times New Roman"/>
          <w:noProof/>
          <w:sz w:val="24"/>
          <w:szCs w:val="24"/>
          <w:lang w:val="en-US" w:eastAsia="en-AU"/>
        </w:rPr>
        <w:fldChar w:fldCharType="end"/>
      </w:r>
      <w:r>
        <w:rPr>
          <w:rFonts w:ascii="Times New Roman" w:hAnsi="Times New Roman" w:cs="Times New Roman"/>
          <w:noProof/>
          <w:sz w:val="24"/>
          <w:szCs w:val="24"/>
          <w:lang w:val="en-US" w:eastAsia="en-AU"/>
        </w:rPr>
        <w:t xml:space="preserve">) are established considering the concentration of </w:t>
      </w:r>
      <w:r>
        <w:rPr>
          <w:rFonts w:ascii="Times New Roman" w:hAnsi="Times New Roman" w:cs="Times New Roman"/>
          <w:i/>
          <w:noProof/>
          <w:sz w:val="24"/>
          <w:szCs w:val="24"/>
          <w:lang w:val="en-US" w:eastAsia="en-AU"/>
        </w:rPr>
        <w:t>E. coli</w:t>
      </w:r>
      <w:r>
        <w:rPr>
          <w:rFonts w:ascii="Times New Roman" w:hAnsi="Times New Roman" w:cs="Times New Roman"/>
          <w:noProof/>
          <w:sz w:val="24"/>
          <w:szCs w:val="24"/>
          <w:lang w:val="en-US" w:eastAsia="en-AU"/>
        </w:rPr>
        <w:t xml:space="preserve"> present in raw wastewater and the log</w:t>
      </w:r>
      <w:r>
        <w:rPr>
          <w:rFonts w:ascii="Times New Roman" w:hAnsi="Times New Roman" w:cs="Times New Roman"/>
          <w:noProof/>
          <w:sz w:val="24"/>
          <w:szCs w:val="24"/>
          <w:vertAlign w:val="subscript"/>
          <w:lang w:val="en-US"/>
        </w:rPr>
        <w:t>10</w:t>
      </w:r>
      <w:r>
        <w:rPr>
          <w:rFonts w:ascii="Times New Roman" w:hAnsi="Times New Roman" w:cs="Times New Roman"/>
          <w:noProof/>
          <w:sz w:val="24"/>
          <w:szCs w:val="24"/>
          <w:lang w:val="en-US" w:eastAsia="en-AU"/>
        </w:rPr>
        <w:t xml:space="preserve"> reduction to be achieved by the microbiological indicator, taking into account the log</w:t>
      </w:r>
      <w:r>
        <w:rPr>
          <w:rFonts w:ascii="Times New Roman" w:hAnsi="Times New Roman" w:cs="Times New Roman"/>
          <w:noProof/>
          <w:sz w:val="24"/>
          <w:szCs w:val="24"/>
          <w:vertAlign w:val="subscript"/>
          <w:lang w:val="en-US"/>
        </w:rPr>
        <w:t>10</w:t>
      </w:r>
      <w:r>
        <w:rPr>
          <w:rFonts w:ascii="Times New Roman" w:hAnsi="Times New Roman" w:cs="Times New Roman"/>
          <w:noProof/>
          <w:sz w:val="24"/>
          <w:szCs w:val="24"/>
          <w:lang w:val="en-US" w:eastAsia="en-AU"/>
        </w:rPr>
        <w:t xml:space="preserve"> redu</w:t>
      </w:r>
      <w:r>
        <w:rPr>
          <w:rFonts w:ascii="Times New Roman" w:hAnsi="Times New Roman" w:cs="Times New Roman"/>
          <w:noProof/>
          <w:sz w:val="24"/>
          <w:szCs w:val="24"/>
          <w:lang w:val="en-US" w:eastAsia="en-AU"/>
        </w:rPr>
        <w:t>ctions to be achieved by the treatment train and by the type of crop to be irrigated, and the reduction achieved by applying different irrigation systems and withholding periods(Table 2). The log</w:t>
      </w:r>
      <w:r>
        <w:rPr>
          <w:rFonts w:ascii="Times New Roman" w:hAnsi="Times New Roman" w:cs="Times New Roman"/>
          <w:noProof/>
          <w:sz w:val="24"/>
          <w:szCs w:val="24"/>
          <w:vertAlign w:val="subscript"/>
          <w:lang w:val="en-US"/>
        </w:rPr>
        <w:t>10</w:t>
      </w:r>
      <w:r>
        <w:rPr>
          <w:rFonts w:ascii="Times New Roman" w:hAnsi="Times New Roman" w:cs="Times New Roman"/>
          <w:noProof/>
          <w:sz w:val="24"/>
          <w:szCs w:val="24"/>
          <w:lang w:val="en-US" w:eastAsia="en-AU"/>
        </w:rPr>
        <w:t xml:space="preserve"> reductions effectiveness of this barriers is established b</w:t>
      </w:r>
      <w:r>
        <w:rPr>
          <w:rFonts w:ascii="Times New Roman" w:hAnsi="Times New Roman" w:cs="Times New Roman"/>
          <w:noProof/>
          <w:sz w:val="24"/>
          <w:szCs w:val="24"/>
          <w:lang w:val="en-US" w:eastAsia="en-AU"/>
        </w:rPr>
        <w:t>y several guidelines (NRMMC–EPHC–AHMC, 2006; WHO, 2006; USEPA, 2012; ISO 16075, 2015).</w:t>
      </w:r>
    </w:p>
    <w:p w:rsidR="00AB50C5" w:rsidRDefault="00AB50C5">
      <w:pPr>
        <w:spacing w:after="0" w:line="240" w:lineRule="auto"/>
        <w:contextualSpacing/>
        <w:jc w:val="both"/>
        <w:rPr>
          <w:rFonts w:ascii="Times New Roman" w:hAnsi="Times New Roman" w:cs="Times New Roman"/>
          <w:noProof/>
          <w:sz w:val="24"/>
          <w:szCs w:val="24"/>
          <w:lang w:val="en-US" w:eastAsia="it-IT"/>
        </w:rPr>
      </w:pPr>
    </w:p>
    <w:p w:rsidR="00AB50C5" w:rsidRDefault="00724275">
      <w:pPr>
        <w:autoSpaceDE w:val="0"/>
        <w:autoSpaceDN w:val="0"/>
        <w:adjustRightInd w:val="0"/>
        <w:spacing w:after="0" w:line="240" w:lineRule="auto"/>
        <w:jc w:val="both"/>
        <w:rPr>
          <w:rFonts w:ascii="Times New Roman" w:hAnsi="Times New Roman" w:cs="Times New Roman"/>
          <w:noProof/>
          <w:sz w:val="24"/>
          <w:szCs w:val="24"/>
          <w:lang w:val="en-US" w:eastAsia="en-AU"/>
        </w:rPr>
      </w:pPr>
      <w:r>
        <w:rPr>
          <w:rFonts w:ascii="Times New Roman" w:hAnsi="Times New Roman" w:cs="Times New Roman"/>
          <w:noProof/>
          <w:sz w:val="24"/>
          <w:szCs w:val="24"/>
          <w:lang w:val="en-US" w:eastAsia="en-AU"/>
        </w:rPr>
        <w:t xml:space="preserve">Class A has been defined to be able to be applied on the highest health risks which consist on irrigation of crops eaten raw when reclaimed water comes into direct </w:t>
      </w:r>
      <w:r>
        <w:rPr>
          <w:rFonts w:ascii="Times New Roman" w:hAnsi="Times New Roman" w:cs="Times New Roman"/>
          <w:noProof/>
          <w:sz w:val="24"/>
          <w:szCs w:val="24"/>
          <w:lang w:val="en-US" w:eastAsia="en-AU"/>
        </w:rPr>
        <w:t xml:space="preserve">contact with edible parts of the crop, and irrigation of root crops (WHO, 2006). This worst-case scenario only considers the treatment technologies in place as a preventive measure (barrier). Thus, the natural pathogen die-off on crop surfaces that may be </w:t>
      </w:r>
      <w:r>
        <w:rPr>
          <w:rFonts w:ascii="Times New Roman" w:hAnsi="Times New Roman" w:cs="Times New Roman"/>
          <w:noProof/>
          <w:sz w:val="24"/>
          <w:szCs w:val="24"/>
          <w:lang w:val="en-US" w:eastAsia="en-AU"/>
        </w:rPr>
        <w:t>from 0.5 to 2 log</w:t>
      </w:r>
      <w:r>
        <w:rPr>
          <w:rFonts w:ascii="Times New Roman" w:hAnsi="Times New Roman" w:cs="Times New Roman"/>
          <w:noProof/>
          <w:sz w:val="24"/>
          <w:szCs w:val="24"/>
          <w:vertAlign w:val="subscript"/>
          <w:lang w:val="en-US"/>
        </w:rPr>
        <w:t>10</w:t>
      </w:r>
      <w:r>
        <w:rPr>
          <w:rFonts w:ascii="Times New Roman" w:hAnsi="Times New Roman" w:cs="Times New Roman"/>
          <w:noProof/>
          <w:sz w:val="24"/>
          <w:szCs w:val="24"/>
          <w:lang w:val="en-US" w:eastAsia="en-AU"/>
        </w:rPr>
        <w:t xml:space="preserve"> unit reduction per day (NRMMC–EPHC–AHMC, 2006; WHO, 2006) is not considered, as this reduction depends on several variables like type of pathogen, climate conditions (i.e. temperature, sunlight intensity, humidity), time interval, and t</w:t>
      </w:r>
      <w:r>
        <w:rPr>
          <w:rFonts w:ascii="Times New Roman" w:hAnsi="Times New Roman" w:cs="Times New Roman"/>
          <w:noProof/>
          <w:sz w:val="24"/>
          <w:szCs w:val="24"/>
          <w:lang w:val="en-US" w:eastAsia="en-AU"/>
        </w:rPr>
        <w:t xml:space="preserve">ype of crop. </w:t>
      </w:r>
    </w:p>
    <w:p w:rsidR="00AB50C5" w:rsidRDefault="00AB50C5">
      <w:pPr>
        <w:autoSpaceDE w:val="0"/>
        <w:autoSpaceDN w:val="0"/>
        <w:adjustRightInd w:val="0"/>
        <w:spacing w:after="0" w:line="240" w:lineRule="auto"/>
        <w:jc w:val="both"/>
        <w:rPr>
          <w:rFonts w:ascii="Times New Roman" w:hAnsi="Times New Roman" w:cs="Times New Roman"/>
          <w:noProof/>
          <w:sz w:val="24"/>
          <w:szCs w:val="24"/>
          <w:lang w:val="en-US" w:eastAsia="en-AU"/>
        </w:rPr>
      </w:pPr>
    </w:p>
    <w:p w:rsidR="00AB50C5" w:rsidRDefault="00724275">
      <w:pPr>
        <w:autoSpaceDE w:val="0"/>
        <w:autoSpaceDN w:val="0"/>
        <w:adjustRightInd w:val="0"/>
        <w:spacing w:after="0" w:line="240" w:lineRule="auto"/>
        <w:jc w:val="both"/>
        <w:rPr>
          <w:rFonts w:ascii="Times New Roman" w:hAnsi="Times New Roman" w:cs="Times New Roman"/>
          <w:noProof/>
          <w:sz w:val="24"/>
          <w:szCs w:val="24"/>
          <w:lang w:val="en-US" w:eastAsia="en-AU"/>
        </w:rPr>
      </w:pPr>
      <w:r>
        <w:rPr>
          <w:rFonts w:ascii="Times New Roman" w:hAnsi="Times New Roman" w:cs="Times New Roman"/>
          <w:noProof/>
          <w:sz w:val="24"/>
          <w:szCs w:val="24"/>
          <w:lang w:val="en-US" w:eastAsia="en-AU"/>
        </w:rPr>
        <w:t>The reduction of 1 log</w:t>
      </w:r>
      <w:r>
        <w:rPr>
          <w:rFonts w:ascii="Times New Roman" w:hAnsi="Times New Roman" w:cs="Times New Roman"/>
          <w:noProof/>
          <w:sz w:val="24"/>
          <w:szCs w:val="24"/>
          <w:vertAlign w:val="subscript"/>
          <w:lang w:val="en-US"/>
        </w:rPr>
        <w:t>10</w:t>
      </w:r>
      <w:r>
        <w:rPr>
          <w:rFonts w:ascii="Times New Roman" w:hAnsi="Times New Roman" w:cs="Times New Roman"/>
          <w:noProof/>
          <w:sz w:val="24"/>
          <w:szCs w:val="24"/>
          <w:lang w:val="en-US" w:eastAsia="en-AU"/>
        </w:rPr>
        <w:t xml:space="preserve"> unit that may be achieved when crops are washed with clean water has not been taken into account to define the water quality targets in this document as this is a process that cannot be controlled by the responsible </w:t>
      </w:r>
      <w:r>
        <w:rPr>
          <w:rFonts w:ascii="Times New Roman" w:hAnsi="Times New Roman" w:cs="Times New Roman"/>
          <w:noProof/>
          <w:sz w:val="24"/>
          <w:szCs w:val="24"/>
          <w:lang w:val="en-US" w:eastAsia="en-AU"/>
        </w:rPr>
        <w:t>managers.</w:t>
      </w:r>
    </w:p>
    <w:p w:rsidR="00AB50C5" w:rsidRDefault="00724275">
      <w:pPr>
        <w:autoSpaceDE w:val="0"/>
        <w:autoSpaceDN w:val="0"/>
        <w:adjustRightInd w:val="0"/>
        <w:spacing w:after="0" w:line="240" w:lineRule="auto"/>
        <w:jc w:val="both"/>
        <w:rPr>
          <w:rFonts w:ascii="Times New Roman" w:hAnsi="Times New Roman" w:cs="Times New Roman"/>
          <w:noProof/>
          <w:sz w:val="24"/>
          <w:szCs w:val="24"/>
          <w:lang w:val="en-US" w:eastAsia="en-AU"/>
        </w:rPr>
      </w:pPr>
      <w:r>
        <w:rPr>
          <w:rFonts w:ascii="Times New Roman" w:hAnsi="Times New Roman" w:cs="Times New Roman"/>
          <w:noProof/>
          <w:sz w:val="24"/>
          <w:szCs w:val="24"/>
          <w:lang w:val="en-US" w:eastAsia="en-AU"/>
        </w:rPr>
        <w:t xml:space="preserve"> </w:t>
      </w:r>
    </w:p>
    <w:p w:rsidR="00AB50C5" w:rsidRDefault="00724275">
      <w:pPr>
        <w:autoSpaceDE w:val="0"/>
        <w:autoSpaceDN w:val="0"/>
        <w:adjustRightInd w:val="0"/>
        <w:spacing w:after="0" w:line="240" w:lineRule="auto"/>
        <w:jc w:val="both"/>
        <w:rPr>
          <w:rFonts w:ascii="Times New Roman" w:hAnsi="Times New Roman" w:cs="Times New Roman"/>
          <w:noProof/>
          <w:sz w:val="24"/>
          <w:szCs w:val="24"/>
          <w:lang w:val="en-US" w:eastAsia="en-AU"/>
        </w:rPr>
      </w:pPr>
      <w:r>
        <w:rPr>
          <w:rFonts w:ascii="Times New Roman" w:hAnsi="Times New Roman" w:cs="Times New Roman"/>
          <w:noProof/>
          <w:sz w:val="24"/>
          <w:szCs w:val="24"/>
          <w:lang w:val="en-US" w:eastAsia="en-AU"/>
        </w:rPr>
        <w:t>Class B, C and D consider the characteristics of the type of crop to be irrigated as a barrier, and also the possibility of using irrigation methods that provide exposure reductions, thus allowing the use of less stringent water quality targets</w:t>
      </w:r>
      <w:r>
        <w:rPr>
          <w:rFonts w:ascii="Times New Roman" w:hAnsi="Times New Roman" w:cs="Times New Roman"/>
          <w:noProof/>
          <w:sz w:val="24"/>
          <w:szCs w:val="24"/>
          <w:lang w:val="en-US" w:eastAsia="en-AU"/>
        </w:rPr>
        <w:t xml:space="preserve">. </w:t>
      </w:r>
    </w:p>
    <w:p w:rsidR="00AB50C5" w:rsidRDefault="00AB50C5">
      <w:pPr>
        <w:autoSpaceDE w:val="0"/>
        <w:autoSpaceDN w:val="0"/>
        <w:adjustRightInd w:val="0"/>
        <w:spacing w:after="0" w:line="240" w:lineRule="auto"/>
        <w:jc w:val="both"/>
        <w:rPr>
          <w:rFonts w:ascii="Times New Roman" w:hAnsi="Times New Roman" w:cs="Times New Roman"/>
          <w:noProof/>
          <w:sz w:val="24"/>
          <w:szCs w:val="24"/>
          <w:lang w:val="en-US" w:eastAsia="en-AU"/>
        </w:rPr>
      </w:pPr>
    </w:p>
    <w:p w:rsidR="00AB50C5" w:rsidRDefault="00724275">
      <w:pPr>
        <w:autoSpaceDE w:val="0"/>
        <w:autoSpaceDN w:val="0"/>
        <w:adjustRightInd w:val="0"/>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eastAsia="en-AU"/>
        </w:rPr>
        <w:t xml:space="preserve">The irrigation of pastures and fodder crops with reclaimed water may potentially pose a risk to the health of both livestock and humans </w:t>
      </w:r>
      <w:r>
        <w:rPr>
          <w:rFonts w:ascii="Times New Roman" w:hAnsi="Times New Roman" w:cs="Times New Roman"/>
          <w:noProof/>
          <w:color w:val="000000"/>
          <w:sz w:val="24"/>
          <w:szCs w:val="24"/>
          <w:shd w:val="clear" w:color="auto" w:fill="FFFFFF"/>
          <w:lang w:val="en-US"/>
        </w:rPr>
        <w:t>through the consumption of animal products</w:t>
      </w:r>
      <w:r>
        <w:rPr>
          <w:rFonts w:ascii="Times New Roman" w:hAnsi="Times New Roman" w:cs="Times New Roman"/>
          <w:noProof/>
          <w:sz w:val="24"/>
          <w:szCs w:val="24"/>
          <w:lang w:val="en-US" w:eastAsia="en-AU"/>
        </w:rPr>
        <w:t>.</w:t>
      </w:r>
      <w:r>
        <w:rPr>
          <w:rFonts w:ascii="Times New Roman" w:hAnsi="Times New Roman" w:cs="Times New Roman"/>
          <w:noProof/>
          <w:sz w:val="24"/>
          <w:szCs w:val="24"/>
          <w:lang w:val="en-US"/>
        </w:rPr>
        <w:t xml:space="preserve"> The “species barrier” means that many human pathogens, including human enteric viruses, are not of significant concern for livestock health and, in addition, reduction of bacteria, viruses and protozoa includes also reduction of pathogens for livestock. H</w:t>
      </w:r>
      <w:r>
        <w:rPr>
          <w:rFonts w:ascii="Times New Roman" w:hAnsi="Times New Roman" w:cs="Times New Roman"/>
          <w:noProof/>
          <w:sz w:val="24"/>
          <w:szCs w:val="24"/>
          <w:lang w:val="en-US"/>
        </w:rPr>
        <w:t xml:space="preserve">owever, pathogens like helminth parasites eggs such as those of </w:t>
      </w:r>
      <w:r>
        <w:rPr>
          <w:rFonts w:ascii="Times New Roman" w:hAnsi="Times New Roman" w:cs="Times New Roman"/>
          <w:i/>
          <w:noProof/>
          <w:sz w:val="24"/>
          <w:szCs w:val="24"/>
          <w:lang w:val="en-US"/>
        </w:rPr>
        <w:t>Taenia saginata</w:t>
      </w:r>
      <w:r>
        <w:rPr>
          <w:rFonts w:ascii="Times New Roman" w:hAnsi="Times New Roman" w:cs="Times New Roman"/>
          <w:noProof/>
          <w:sz w:val="24"/>
          <w:szCs w:val="24"/>
          <w:lang w:val="en-US"/>
        </w:rPr>
        <w:t xml:space="preserve"> and </w:t>
      </w:r>
      <w:r>
        <w:rPr>
          <w:rFonts w:ascii="Times New Roman" w:hAnsi="Times New Roman" w:cs="Times New Roman"/>
          <w:i/>
          <w:noProof/>
          <w:sz w:val="24"/>
          <w:szCs w:val="24"/>
          <w:lang w:val="en-US"/>
        </w:rPr>
        <w:t>Taenia solium</w:t>
      </w:r>
      <w:r>
        <w:rPr>
          <w:rFonts w:ascii="Times New Roman" w:hAnsi="Times New Roman" w:cs="Times New Roman"/>
          <w:noProof/>
          <w:sz w:val="24"/>
          <w:szCs w:val="24"/>
          <w:lang w:val="en-US"/>
        </w:rPr>
        <w:t xml:space="preserve"> may be present in raw wastewater, especially if slaughterhouses wastewater is present in the urban wastewater treatment plant, although this type of wastewate</w:t>
      </w:r>
      <w:r>
        <w:rPr>
          <w:rFonts w:ascii="Times New Roman" w:hAnsi="Times New Roman" w:cs="Times New Roman"/>
          <w:noProof/>
          <w:sz w:val="24"/>
          <w:szCs w:val="24"/>
          <w:lang w:val="en-US"/>
        </w:rPr>
        <w:t xml:space="preserve">r usually undergoes a treatment before arriving to a WWTP. </w:t>
      </w:r>
    </w:p>
    <w:p w:rsidR="00AB50C5" w:rsidRDefault="00AB50C5">
      <w:pPr>
        <w:autoSpaceDE w:val="0"/>
        <w:autoSpaceDN w:val="0"/>
        <w:adjustRightInd w:val="0"/>
        <w:spacing w:after="0" w:line="240" w:lineRule="auto"/>
        <w:jc w:val="both"/>
        <w:rPr>
          <w:rFonts w:ascii="Times New Roman" w:hAnsi="Times New Roman" w:cs="Times New Roman"/>
          <w:noProof/>
          <w:sz w:val="24"/>
          <w:szCs w:val="24"/>
          <w:lang w:val="en-US"/>
        </w:rPr>
      </w:pPr>
    </w:p>
    <w:p w:rsidR="00AB50C5" w:rsidRDefault="00724275">
      <w:pPr>
        <w:autoSpaceDE w:val="0"/>
        <w:autoSpaceDN w:val="0"/>
        <w:adjustRightInd w:val="0"/>
        <w:spacing w:after="0" w:line="240" w:lineRule="auto"/>
        <w:jc w:val="both"/>
        <w:rPr>
          <w:rFonts w:ascii="Times New Roman" w:hAnsi="Times New Roman" w:cs="Times New Roman"/>
          <w:noProof/>
          <w:sz w:val="24"/>
          <w:szCs w:val="24"/>
          <w:lang w:val="en-US" w:eastAsia="en-AU"/>
        </w:rPr>
      </w:pPr>
      <w:r>
        <w:rPr>
          <w:rFonts w:ascii="Times New Roman" w:hAnsi="Times New Roman" w:cs="Times New Roman"/>
          <w:noProof/>
          <w:sz w:val="24"/>
          <w:szCs w:val="24"/>
          <w:lang w:val="en-US"/>
        </w:rPr>
        <w:t>A limitation in approaching the livestock health risks associated with reclaimed water is that virtually no dose-response models are available for infection in animals, therefore, water quality t</w:t>
      </w:r>
      <w:r>
        <w:rPr>
          <w:rFonts w:ascii="Times New Roman" w:hAnsi="Times New Roman" w:cs="Times New Roman"/>
          <w:noProof/>
          <w:sz w:val="24"/>
          <w:szCs w:val="24"/>
          <w:lang w:val="en-US"/>
        </w:rPr>
        <w:t>argets cannot be derived using a QMRA</w:t>
      </w:r>
      <w:r>
        <w:rPr>
          <w:rFonts w:ascii="Times New Roman" w:hAnsi="Times New Roman" w:cs="Times New Roman"/>
          <w:noProof/>
          <w:sz w:val="24"/>
          <w:szCs w:val="24"/>
          <w:lang w:val="en-US" w:eastAsia="en-AU"/>
        </w:rPr>
        <w:t>. Therefore, a practical approach has been proposed following recommendations from the Australian guidelines (NRMMC–EPHC–AHMC, 2006).</w:t>
      </w:r>
    </w:p>
    <w:p w:rsidR="00AB50C5" w:rsidRDefault="00AB50C5">
      <w:pPr>
        <w:autoSpaceDE w:val="0"/>
        <w:autoSpaceDN w:val="0"/>
        <w:adjustRightInd w:val="0"/>
        <w:spacing w:after="0" w:line="240" w:lineRule="auto"/>
        <w:jc w:val="both"/>
        <w:rPr>
          <w:rFonts w:ascii="Times New Roman" w:hAnsi="Times New Roman" w:cs="Times New Roman"/>
          <w:noProof/>
          <w:sz w:val="24"/>
          <w:szCs w:val="24"/>
          <w:lang w:val="en-US" w:eastAsia="en-AU"/>
        </w:rPr>
      </w:pPr>
    </w:p>
    <w:p w:rsidR="00AB50C5" w:rsidRDefault="00724275">
      <w:pPr>
        <w:spacing w:after="0" w:line="240" w:lineRule="auto"/>
        <w:jc w:val="both"/>
        <w:rPr>
          <w:rFonts w:ascii="Times New Roman" w:hAnsi="Times New Roman" w:cs="Times New Roman"/>
          <w:noProof/>
          <w:color w:val="000000"/>
          <w:sz w:val="24"/>
          <w:szCs w:val="24"/>
          <w:shd w:val="clear" w:color="auto" w:fill="FFFFFF"/>
          <w:lang w:val="en-US"/>
        </w:rPr>
      </w:pPr>
      <w:r>
        <w:rPr>
          <w:rFonts w:ascii="Times New Roman" w:hAnsi="Times New Roman" w:cs="Times New Roman"/>
          <w:noProof/>
          <w:sz w:val="24"/>
          <w:szCs w:val="24"/>
          <w:lang w:val="en-US" w:eastAsia="en-AU"/>
        </w:rPr>
        <w:t xml:space="preserve">The control of </w:t>
      </w:r>
      <w:r>
        <w:rPr>
          <w:rFonts w:ascii="Times New Roman" w:hAnsi="Times New Roman" w:cs="Times New Roman"/>
          <w:i/>
          <w:noProof/>
          <w:sz w:val="24"/>
          <w:szCs w:val="24"/>
          <w:lang w:val="en-US" w:eastAsia="en-AU"/>
        </w:rPr>
        <w:t>Taenia saginata</w:t>
      </w:r>
      <w:r>
        <w:rPr>
          <w:rFonts w:ascii="Times New Roman" w:hAnsi="Times New Roman" w:cs="Times New Roman"/>
          <w:noProof/>
          <w:sz w:val="24"/>
          <w:szCs w:val="24"/>
          <w:lang w:val="en-US" w:eastAsia="en-AU"/>
        </w:rPr>
        <w:t xml:space="preserve"> in reclaimed water that is to be used in contact with</w:t>
      </w:r>
      <w:r>
        <w:rPr>
          <w:rFonts w:ascii="Times New Roman" w:hAnsi="Times New Roman" w:cs="Times New Roman"/>
          <w:noProof/>
          <w:sz w:val="24"/>
          <w:szCs w:val="24"/>
          <w:lang w:val="en-US" w:eastAsia="en-AU"/>
        </w:rPr>
        <w:t xml:space="preserve"> livestock has previously been prescribed through either 25 days of hydraulic retention time in waste stabilization ponds or equivalent treatment (NHMRC and ARMCANZ, 2000). This has been effective management of the risk posed by </w:t>
      </w:r>
      <w:r>
        <w:rPr>
          <w:rFonts w:ascii="Times New Roman" w:hAnsi="Times New Roman" w:cs="Times New Roman"/>
          <w:i/>
          <w:noProof/>
          <w:sz w:val="24"/>
          <w:szCs w:val="24"/>
          <w:lang w:val="en-US" w:eastAsia="en-AU"/>
        </w:rPr>
        <w:t>T. saginata</w:t>
      </w:r>
      <w:r>
        <w:rPr>
          <w:rFonts w:ascii="Times New Roman" w:hAnsi="Times New Roman" w:cs="Times New Roman"/>
          <w:noProof/>
          <w:sz w:val="24"/>
          <w:szCs w:val="24"/>
          <w:lang w:val="en-US" w:eastAsia="en-AU"/>
        </w:rPr>
        <w:t>. However, there</w:t>
      </w:r>
      <w:r>
        <w:rPr>
          <w:rFonts w:ascii="Times New Roman" w:hAnsi="Times New Roman" w:cs="Times New Roman"/>
          <w:noProof/>
          <w:sz w:val="24"/>
          <w:szCs w:val="24"/>
          <w:lang w:val="en-US" w:eastAsia="en-AU"/>
        </w:rPr>
        <w:t xml:space="preserve"> is no guidance on what constitutes an “equivalent treatment”. Using the empirical model described by Ayres </w:t>
      </w:r>
      <w:r>
        <w:rPr>
          <w:rFonts w:ascii="Times New Roman" w:hAnsi="Times New Roman" w:cs="Times New Roman"/>
          <w:i/>
          <w:noProof/>
          <w:sz w:val="24"/>
          <w:szCs w:val="24"/>
          <w:lang w:val="en-US" w:eastAsia="en-AU"/>
        </w:rPr>
        <w:t>et al.</w:t>
      </w:r>
      <w:r>
        <w:rPr>
          <w:rFonts w:ascii="Times New Roman" w:hAnsi="Times New Roman" w:cs="Times New Roman"/>
          <w:noProof/>
          <w:sz w:val="24"/>
          <w:szCs w:val="24"/>
          <w:lang w:val="en-US" w:eastAsia="en-AU"/>
        </w:rPr>
        <w:t xml:space="preserve"> (1992), relating the percentage removal of helminth eggs with detention time in days, a mean hydraulic retention time of 25 days is equal to </w:t>
      </w:r>
      <w:r>
        <w:rPr>
          <w:rFonts w:ascii="Times New Roman" w:hAnsi="Times New Roman" w:cs="Times New Roman"/>
          <w:noProof/>
          <w:sz w:val="24"/>
          <w:szCs w:val="24"/>
          <w:lang w:val="en-US" w:eastAsia="en-AU"/>
        </w:rPr>
        <w:t>approximately 4 log</w:t>
      </w:r>
      <w:r>
        <w:rPr>
          <w:rFonts w:ascii="Times New Roman" w:hAnsi="Times New Roman" w:cs="Times New Roman"/>
          <w:noProof/>
          <w:sz w:val="24"/>
          <w:szCs w:val="24"/>
          <w:vertAlign w:val="subscript"/>
          <w:lang w:val="en-US" w:eastAsia="en-AU"/>
        </w:rPr>
        <w:t>10</w:t>
      </w:r>
      <w:r>
        <w:rPr>
          <w:rFonts w:ascii="Times New Roman" w:hAnsi="Times New Roman" w:cs="Times New Roman"/>
          <w:noProof/>
          <w:sz w:val="24"/>
          <w:szCs w:val="24"/>
          <w:lang w:val="en-US" w:eastAsia="en-AU"/>
        </w:rPr>
        <w:t xml:space="preserve"> reduction of helminth eggs. This is the target that alternative treatment processes to stabilization ponds should meet if </w:t>
      </w:r>
      <w:r>
        <w:rPr>
          <w:rFonts w:ascii="Times New Roman" w:hAnsi="Times New Roman" w:cs="Times New Roman"/>
          <w:i/>
          <w:noProof/>
          <w:sz w:val="24"/>
          <w:szCs w:val="24"/>
          <w:lang w:val="en-US" w:eastAsia="en-AU"/>
        </w:rPr>
        <w:t>Taenia saginata</w:t>
      </w:r>
      <w:r>
        <w:rPr>
          <w:rFonts w:ascii="Times New Roman" w:hAnsi="Times New Roman" w:cs="Times New Roman"/>
          <w:noProof/>
          <w:sz w:val="24"/>
          <w:szCs w:val="24"/>
          <w:lang w:val="en-US" w:eastAsia="en-AU"/>
        </w:rPr>
        <w:t xml:space="preserve"> requires specific management. The concentration of helminth eggs in raw wastewater is in a range</w:t>
      </w:r>
      <w:r>
        <w:rPr>
          <w:rFonts w:ascii="Times New Roman" w:hAnsi="Times New Roman" w:cs="Times New Roman"/>
          <w:noProof/>
          <w:sz w:val="24"/>
          <w:szCs w:val="24"/>
          <w:lang w:val="en-US" w:eastAsia="en-AU"/>
        </w:rPr>
        <w:t xml:space="preserve"> of 0 to 10</w:t>
      </w:r>
      <w:r>
        <w:rPr>
          <w:rFonts w:ascii="Times New Roman" w:hAnsi="Times New Roman" w:cs="Times New Roman"/>
          <w:noProof/>
          <w:sz w:val="24"/>
          <w:szCs w:val="24"/>
          <w:vertAlign w:val="superscript"/>
          <w:lang w:val="en-US" w:eastAsia="en-AU"/>
        </w:rPr>
        <w:t>4</w:t>
      </w:r>
      <w:r>
        <w:rPr>
          <w:rFonts w:ascii="Times New Roman" w:hAnsi="Times New Roman" w:cs="Times New Roman"/>
          <w:noProof/>
          <w:sz w:val="24"/>
          <w:szCs w:val="24"/>
          <w:lang w:val="en-US" w:eastAsia="en-AU"/>
        </w:rPr>
        <w:t xml:space="preserve"> eggs per litre, therefore a limit values of 1 egg/l is selected to be achieved when reclaimed water is used to irrigate pastures or fodder crops. This limit value is also recommended by the WHO to protect human health, considering epidemiological data as </w:t>
      </w:r>
      <w:r>
        <w:rPr>
          <w:rFonts w:ascii="Times New Roman" w:hAnsi="Times New Roman" w:cs="Times New Roman"/>
          <w:noProof/>
          <w:sz w:val="24"/>
          <w:szCs w:val="24"/>
          <w:lang w:val="en-US" w:eastAsia="en-AU"/>
        </w:rPr>
        <w:t xml:space="preserve">there is not sufficient data available to perform a QMRA. In addition, when health risks for livestock were evaluated in a recent study, using reclaimed water for irrigation that complied with the WHO recommendations for water quality </w:t>
      </w:r>
      <w:r>
        <w:rPr>
          <w:rFonts w:ascii="Times New Roman" w:hAnsi="Times New Roman" w:cs="Times New Roman"/>
          <w:noProof/>
          <w:color w:val="000000"/>
          <w:sz w:val="24"/>
          <w:szCs w:val="24"/>
          <w:lang w:val="en-US"/>
        </w:rPr>
        <w:t>none of the animals s</w:t>
      </w:r>
      <w:r>
        <w:rPr>
          <w:rFonts w:ascii="Times New Roman" w:hAnsi="Times New Roman" w:cs="Times New Roman"/>
          <w:noProof/>
          <w:color w:val="000000"/>
          <w:sz w:val="24"/>
          <w:szCs w:val="24"/>
          <w:lang w:val="en-US"/>
        </w:rPr>
        <w:t xml:space="preserve">howed signs of infection or of disease </w:t>
      </w:r>
      <w:r>
        <w:rPr>
          <w:rFonts w:ascii="Times New Roman" w:hAnsi="Times New Roman" w:cs="Times New Roman"/>
          <w:noProof/>
          <w:sz w:val="24"/>
          <w:szCs w:val="24"/>
          <w:lang w:val="en-US" w:eastAsia="en-AU"/>
        </w:rPr>
        <w:t xml:space="preserve">(Bevilacqua </w:t>
      </w:r>
      <w:r>
        <w:rPr>
          <w:rFonts w:ascii="Times New Roman" w:hAnsi="Times New Roman" w:cs="Times New Roman"/>
          <w:i/>
          <w:noProof/>
          <w:sz w:val="24"/>
          <w:szCs w:val="24"/>
          <w:lang w:val="en-US" w:eastAsia="en-AU"/>
        </w:rPr>
        <w:t>et al.</w:t>
      </w:r>
      <w:r>
        <w:rPr>
          <w:rFonts w:ascii="Times New Roman" w:hAnsi="Times New Roman" w:cs="Times New Roman"/>
          <w:noProof/>
          <w:sz w:val="24"/>
          <w:szCs w:val="24"/>
          <w:lang w:val="en-US" w:eastAsia="en-AU"/>
        </w:rPr>
        <w:t>, 2014). T</w:t>
      </w:r>
      <w:r>
        <w:rPr>
          <w:rFonts w:ascii="Times New Roman" w:hAnsi="Times New Roman" w:cs="Times New Roman"/>
          <w:noProof/>
          <w:color w:val="000000"/>
          <w:sz w:val="24"/>
          <w:szCs w:val="24"/>
          <w:shd w:val="clear" w:color="auto" w:fill="FFFFFF"/>
          <w:lang w:val="en-US"/>
        </w:rPr>
        <w:t xml:space="preserve">here was also no evidence to suggest any resulting health risk to humans from the consumption of milk from animals fed with reclaimed-water-irrigated forage crops. </w:t>
      </w:r>
    </w:p>
    <w:p w:rsidR="00AB50C5" w:rsidRDefault="00AB50C5">
      <w:pPr>
        <w:spacing w:after="0" w:line="240" w:lineRule="auto"/>
        <w:jc w:val="both"/>
        <w:rPr>
          <w:rFonts w:ascii="Times New Roman" w:hAnsi="Times New Roman" w:cs="Times New Roman"/>
          <w:noProof/>
          <w:color w:val="000000"/>
          <w:sz w:val="24"/>
          <w:szCs w:val="24"/>
          <w:shd w:val="clear" w:color="auto" w:fill="FFFFFF"/>
          <w:lang w:val="en-US"/>
        </w:rPr>
      </w:pPr>
    </w:p>
    <w:p w:rsidR="00AB50C5" w:rsidRDefault="00724275">
      <w:pPr>
        <w:autoSpaceDE w:val="0"/>
        <w:autoSpaceDN w:val="0"/>
        <w:adjustRightInd w:val="0"/>
        <w:spacing w:after="0" w:line="240" w:lineRule="auto"/>
        <w:jc w:val="both"/>
        <w:rPr>
          <w:rFonts w:ascii="Times New Roman" w:hAnsi="Times New Roman" w:cs="Times New Roman"/>
          <w:noProof/>
          <w:sz w:val="24"/>
          <w:szCs w:val="24"/>
          <w:lang w:val="en-US" w:eastAsia="en-AU"/>
        </w:rPr>
      </w:pPr>
      <w:r>
        <w:rPr>
          <w:rFonts w:ascii="Times New Roman" w:hAnsi="Times New Roman" w:cs="Times New Roman"/>
          <w:noProof/>
          <w:sz w:val="24"/>
          <w:szCs w:val="24"/>
          <w:lang w:val="en-US" w:eastAsia="en-AU"/>
        </w:rPr>
        <w:t>This limit value is sim</w:t>
      </w:r>
      <w:r>
        <w:rPr>
          <w:rFonts w:ascii="Times New Roman" w:hAnsi="Times New Roman" w:cs="Times New Roman"/>
          <w:noProof/>
          <w:sz w:val="24"/>
          <w:szCs w:val="24"/>
          <w:lang w:val="en-US" w:eastAsia="en-AU"/>
        </w:rPr>
        <w:t xml:space="preserve">ilar to the value recommended by the ISO standards and is in agreement with the Spanish regulation that includes the same limit values for </w:t>
      </w:r>
      <w:r>
        <w:rPr>
          <w:rFonts w:ascii="Times New Roman" w:hAnsi="Times New Roman" w:cs="Times New Roman"/>
          <w:i/>
          <w:noProof/>
          <w:sz w:val="24"/>
          <w:szCs w:val="24"/>
          <w:lang w:val="en-US" w:eastAsia="en-AU"/>
        </w:rPr>
        <w:t>Taenia saginata</w:t>
      </w:r>
      <w:r>
        <w:rPr>
          <w:rFonts w:ascii="Times New Roman" w:hAnsi="Times New Roman" w:cs="Times New Roman"/>
          <w:noProof/>
          <w:sz w:val="24"/>
          <w:szCs w:val="24"/>
          <w:lang w:val="en-US" w:eastAsia="en-AU"/>
        </w:rPr>
        <w:t xml:space="preserve"> and </w:t>
      </w:r>
      <w:r>
        <w:rPr>
          <w:rFonts w:ascii="Times New Roman" w:hAnsi="Times New Roman" w:cs="Times New Roman"/>
          <w:i/>
          <w:noProof/>
          <w:sz w:val="24"/>
          <w:szCs w:val="24"/>
          <w:lang w:val="en-US" w:eastAsia="en-AU"/>
        </w:rPr>
        <w:t>Taenia solium</w:t>
      </w:r>
      <w:r>
        <w:rPr>
          <w:rFonts w:ascii="Times New Roman" w:hAnsi="Times New Roman" w:cs="Times New Roman"/>
          <w:noProof/>
          <w:sz w:val="24"/>
          <w:szCs w:val="24"/>
          <w:lang w:val="en-US" w:eastAsia="en-AU"/>
        </w:rPr>
        <w:t xml:space="preserve"> when milk- or meat-producing animals are to be fed with pastures irrigated with rec</w:t>
      </w:r>
      <w:r>
        <w:rPr>
          <w:rFonts w:ascii="Times New Roman" w:hAnsi="Times New Roman" w:cs="Times New Roman"/>
          <w:noProof/>
          <w:sz w:val="24"/>
          <w:szCs w:val="24"/>
          <w:lang w:val="en-US" w:eastAsia="en-AU"/>
        </w:rPr>
        <w:t>laimed water.</w:t>
      </w:r>
    </w:p>
    <w:p w:rsidR="00AB50C5" w:rsidRDefault="00AB50C5">
      <w:pPr>
        <w:autoSpaceDE w:val="0"/>
        <w:autoSpaceDN w:val="0"/>
        <w:adjustRightInd w:val="0"/>
        <w:spacing w:after="0" w:line="240" w:lineRule="auto"/>
        <w:jc w:val="both"/>
        <w:rPr>
          <w:rFonts w:ascii="Times New Roman" w:hAnsi="Times New Roman" w:cs="Times New Roman"/>
          <w:noProof/>
          <w:sz w:val="24"/>
          <w:szCs w:val="24"/>
          <w:lang w:val="en-US" w:eastAsia="en-AU"/>
        </w:rPr>
      </w:pPr>
    </w:p>
    <w:p w:rsidR="00AB50C5" w:rsidRDefault="00724275">
      <w:pPr>
        <w:autoSpaceDE w:val="0"/>
        <w:autoSpaceDN w:val="0"/>
        <w:adjustRightInd w:val="0"/>
        <w:spacing w:after="0" w:line="240" w:lineRule="auto"/>
        <w:jc w:val="both"/>
        <w:rPr>
          <w:rFonts w:ascii="Times New Roman" w:hAnsi="Times New Roman" w:cs="Times New Roman"/>
          <w:noProof/>
          <w:sz w:val="24"/>
          <w:szCs w:val="24"/>
          <w:lang w:val="en-US" w:eastAsia="en-AU"/>
        </w:rPr>
      </w:pPr>
      <w:r>
        <w:rPr>
          <w:rFonts w:ascii="Times New Roman" w:hAnsi="Times New Roman" w:cs="Times New Roman"/>
          <w:i/>
          <w:noProof/>
          <w:sz w:val="24"/>
          <w:szCs w:val="24"/>
          <w:lang w:val="en-US" w:eastAsia="en-AU"/>
        </w:rPr>
        <w:t>Taenia solium</w:t>
      </w:r>
      <w:r>
        <w:rPr>
          <w:rFonts w:ascii="Times New Roman" w:hAnsi="Times New Roman" w:cs="Times New Roman"/>
          <w:noProof/>
          <w:sz w:val="24"/>
          <w:szCs w:val="24"/>
          <w:lang w:val="en-US" w:eastAsia="en-AU"/>
        </w:rPr>
        <w:t xml:space="preserve"> ova can infect pigs, causing cysticercus, which may result in human infection with the pig tapeworm if undercooked meat is consumed. </w:t>
      </w:r>
      <w:r>
        <w:rPr>
          <w:rFonts w:ascii="Times New Roman" w:hAnsi="Times New Roman" w:cs="Times New Roman"/>
          <w:i/>
          <w:noProof/>
          <w:sz w:val="24"/>
          <w:szCs w:val="24"/>
          <w:lang w:val="en-US" w:eastAsia="en-AU"/>
        </w:rPr>
        <w:t>T. solium</w:t>
      </w:r>
      <w:r>
        <w:rPr>
          <w:rFonts w:ascii="Times New Roman" w:hAnsi="Times New Roman" w:cs="Times New Roman"/>
          <w:noProof/>
          <w:sz w:val="24"/>
          <w:szCs w:val="24"/>
          <w:lang w:val="en-US" w:eastAsia="en-AU"/>
        </w:rPr>
        <w:t xml:space="preserve"> infection can cause a severe neurological disease in humans (neurocysticercosis), th</w:t>
      </w:r>
      <w:r>
        <w:rPr>
          <w:rFonts w:ascii="Times New Roman" w:hAnsi="Times New Roman" w:cs="Times New Roman"/>
          <w:noProof/>
          <w:sz w:val="24"/>
          <w:szCs w:val="24"/>
          <w:lang w:val="en-US" w:eastAsia="en-AU"/>
        </w:rPr>
        <w:t xml:space="preserve">erefore it has been recommended in Australian guidelines  a prohibition of use of reclaimed water for pig fodder due to the severity of the disease, unless there is sufficient data to indicate the risks for a specific case can be managed (NRMMC–EPHC–AHMC, </w:t>
      </w:r>
      <w:r>
        <w:rPr>
          <w:rFonts w:ascii="Times New Roman" w:hAnsi="Times New Roman" w:cs="Times New Roman"/>
          <w:noProof/>
          <w:sz w:val="24"/>
          <w:szCs w:val="24"/>
          <w:lang w:val="en-US" w:eastAsia="en-AU"/>
        </w:rPr>
        <w:t>2006).</w:t>
      </w:r>
    </w:p>
    <w:p w:rsidR="00AB50C5" w:rsidRDefault="00AB50C5">
      <w:pPr>
        <w:autoSpaceDE w:val="0"/>
        <w:autoSpaceDN w:val="0"/>
        <w:adjustRightInd w:val="0"/>
        <w:spacing w:after="0" w:line="240" w:lineRule="auto"/>
        <w:jc w:val="both"/>
        <w:rPr>
          <w:rFonts w:ascii="Times New Roman" w:hAnsi="Times New Roman" w:cs="Times New Roman"/>
          <w:noProof/>
          <w:sz w:val="24"/>
          <w:szCs w:val="24"/>
          <w:lang w:val="en-US" w:eastAsia="en-AU"/>
        </w:rPr>
      </w:pPr>
    </w:p>
    <w:p w:rsidR="00AB50C5" w:rsidRDefault="00724275">
      <w:pPr>
        <w:autoSpaceDE w:val="0"/>
        <w:autoSpaceDN w:val="0"/>
        <w:adjustRightInd w:val="0"/>
        <w:spacing w:after="0" w:line="240" w:lineRule="auto"/>
        <w:jc w:val="both"/>
        <w:rPr>
          <w:rFonts w:ascii="Times New Roman" w:hAnsi="Times New Roman" w:cs="Times New Roman"/>
          <w:noProof/>
          <w:sz w:val="24"/>
          <w:szCs w:val="24"/>
          <w:lang w:val="en-US" w:eastAsia="en-AU"/>
        </w:rPr>
      </w:pPr>
      <w:r>
        <w:rPr>
          <w:rFonts w:ascii="Times New Roman" w:hAnsi="Times New Roman" w:cs="Times New Roman"/>
          <w:noProof/>
          <w:sz w:val="24"/>
          <w:szCs w:val="24"/>
          <w:lang w:val="en-US" w:eastAsia="en-AU"/>
        </w:rPr>
        <w:t xml:space="preserve">The use of reclaimed water can potentially contaminate milk and pose risk to human health when used for dairy cattle. Therefore, a withholding period should be implemented for lactating dairy cattle when pastures are irrigated with reclaimed water </w:t>
      </w:r>
      <w:r>
        <w:rPr>
          <w:rFonts w:ascii="Times New Roman" w:hAnsi="Times New Roman" w:cs="Times New Roman"/>
          <w:noProof/>
          <w:sz w:val="24"/>
          <w:szCs w:val="24"/>
          <w:lang w:val="en-US" w:eastAsia="en-AU"/>
        </w:rPr>
        <w:t>(NRMMC–EPHC–AHMC, 2006).</w:t>
      </w:r>
    </w:p>
    <w:p w:rsidR="00AB50C5" w:rsidRDefault="00AB50C5">
      <w:pPr>
        <w:autoSpaceDE w:val="0"/>
        <w:autoSpaceDN w:val="0"/>
        <w:adjustRightInd w:val="0"/>
        <w:spacing w:after="0" w:line="240" w:lineRule="auto"/>
        <w:jc w:val="both"/>
        <w:rPr>
          <w:rFonts w:ascii="Times New Roman" w:hAnsi="Times New Roman" w:cs="Times New Roman"/>
          <w:noProof/>
          <w:sz w:val="24"/>
          <w:szCs w:val="24"/>
          <w:lang w:val="en-US" w:eastAsia="en-AU"/>
        </w:rPr>
      </w:pPr>
    </w:p>
    <w:p w:rsidR="00AB50C5" w:rsidRDefault="00724275">
      <w:pPr>
        <w:spacing w:line="240" w:lineRule="auto"/>
        <w:jc w:val="both"/>
        <w:rPr>
          <w:rFonts w:ascii="Times New Roman" w:hAnsi="Times New Roman" w:cs="Times New Roman"/>
          <w:noProof/>
          <w:sz w:val="24"/>
          <w:szCs w:val="24"/>
          <w:lang w:val="en-US" w:eastAsia="en-AU"/>
        </w:rPr>
      </w:pPr>
      <w:r>
        <w:rPr>
          <w:rFonts w:ascii="Times New Roman" w:hAnsi="Times New Roman" w:cs="Times New Roman"/>
          <w:noProof/>
          <w:sz w:val="24"/>
          <w:szCs w:val="24"/>
          <w:lang w:val="en-US" w:eastAsia="en-AU"/>
        </w:rPr>
        <w:t>Dermal exposure to microorganisms is also possible, but there is a lack of evidence of health impacts through this route and it is considered unlikely to cause significant levels of infection or illness in the normal population (N</w:t>
      </w:r>
      <w:r>
        <w:rPr>
          <w:rFonts w:ascii="Times New Roman" w:hAnsi="Times New Roman" w:cs="Times New Roman"/>
          <w:noProof/>
          <w:sz w:val="24"/>
          <w:szCs w:val="24"/>
          <w:lang w:val="en-US" w:eastAsia="en-AU"/>
        </w:rPr>
        <w:t>RMMC–EPHC–AHMC, 2006). Accidental ingestion of soil particles by agricultural workers or children is a route of exposure that has been considered to be under the tolerable risk applying the WHO limit values recommended, thus for a more stringent values the</w:t>
      </w:r>
      <w:r>
        <w:rPr>
          <w:rFonts w:ascii="Times New Roman" w:hAnsi="Times New Roman" w:cs="Times New Roman"/>
          <w:noProof/>
          <w:sz w:val="24"/>
          <w:szCs w:val="24"/>
          <w:lang w:val="en-US" w:eastAsia="en-AU"/>
        </w:rPr>
        <w:t xml:space="preserve"> risk should be also defined as tolerable (WHO, 2006; Mara </w:t>
      </w:r>
      <w:r>
        <w:rPr>
          <w:rFonts w:ascii="Times New Roman" w:hAnsi="Times New Roman" w:cs="Times New Roman"/>
          <w:i/>
          <w:noProof/>
          <w:sz w:val="24"/>
          <w:szCs w:val="24"/>
          <w:lang w:val="en-US" w:eastAsia="en-AU"/>
        </w:rPr>
        <w:t>et al.</w:t>
      </w:r>
      <w:r>
        <w:rPr>
          <w:rFonts w:ascii="Times New Roman" w:hAnsi="Times New Roman" w:cs="Times New Roman"/>
          <w:noProof/>
          <w:sz w:val="24"/>
          <w:szCs w:val="24"/>
          <w:lang w:val="en-US" w:eastAsia="en-AU"/>
        </w:rPr>
        <w:t>, 2007).</w:t>
      </w:r>
    </w:p>
    <w:p w:rsidR="00AB50C5" w:rsidRDefault="00724275">
      <w:pPr>
        <w:spacing w:line="240" w:lineRule="auto"/>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 xml:space="preserve">The limit values for </w:t>
      </w:r>
      <w:r>
        <w:rPr>
          <w:rFonts w:ascii="Times New Roman" w:hAnsi="Times New Roman" w:cs="Times New Roman"/>
          <w:i/>
          <w:noProof/>
          <w:sz w:val="24"/>
          <w:szCs w:val="24"/>
          <w:lang w:val="en-US" w:eastAsia="it-IT"/>
        </w:rPr>
        <w:t>E. coli</w:t>
      </w:r>
      <w:r>
        <w:rPr>
          <w:rFonts w:ascii="Times New Roman" w:hAnsi="Times New Roman" w:cs="Times New Roman"/>
          <w:noProof/>
          <w:sz w:val="24"/>
          <w:szCs w:val="24"/>
          <w:lang w:val="en-US" w:eastAsia="it-IT"/>
        </w:rPr>
        <w:t xml:space="preserve"> are in line with the values established by the ISO guidelines for water reuse in irrigation, which are based on the WHO and USEPA guidelines (ISO 16075, 2015). MS regulations present differences regarding the </w:t>
      </w:r>
      <w:r>
        <w:rPr>
          <w:rFonts w:ascii="Times New Roman" w:hAnsi="Times New Roman" w:cs="Times New Roman"/>
          <w:i/>
          <w:noProof/>
          <w:sz w:val="24"/>
          <w:szCs w:val="24"/>
          <w:lang w:val="en-US" w:eastAsia="it-IT"/>
        </w:rPr>
        <w:t>E. coli</w:t>
      </w:r>
      <w:r>
        <w:rPr>
          <w:rFonts w:ascii="Times New Roman" w:hAnsi="Times New Roman" w:cs="Times New Roman"/>
          <w:noProof/>
          <w:sz w:val="24"/>
          <w:szCs w:val="24"/>
          <w:lang w:val="en-US" w:eastAsia="it-IT"/>
        </w:rPr>
        <w:t xml:space="preserve"> limit value, and only the Spanish regu</w:t>
      </w:r>
      <w:r>
        <w:rPr>
          <w:rFonts w:ascii="Times New Roman" w:hAnsi="Times New Roman" w:cs="Times New Roman"/>
          <w:noProof/>
          <w:sz w:val="24"/>
          <w:szCs w:val="24"/>
          <w:lang w:val="en-US" w:eastAsia="it-IT"/>
        </w:rPr>
        <w:t xml:space="preserve">lation is similar. </w:t>
      </w:r>
    </w:p>
    <w:p w:rsidR="00AB50C5" w:rsidRDefault="00724275">
      <w:pPr>
        <w:spacing w:line="240" w:lineRule="auto"/>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Validation monitoring (Table 5) is required only for the most stringent reclaimed water quality criteria, Class A, as this class allows irrigation of food crops consumed raw with edible parts in contact with reclaimed water (using sprin</w:t>
      </w:r>
      <w:r>
        <w:rPr>
          <w:rFonts w:ascii="Times New Roman" w:hAnsi="Times New Roman" w:cs="Times New Roman"/>
          <w:noProof/>
          <w:sz w:val="24"/>
          <w:szCs w:val="24"/>
          <w:lang w:val="en-US" w:eastAsia="it-IT"/>
        </w:rPr>
        <w:t>kler irrigation), and without relying on the pathogen die-off due to time interval between last irrigation and harvesting, which is the highest exposure risk scenario. The California regulations also include a log</w:t>
      </w:r>
      <w:r>
        <w:rPr>
          <w:rFonts w:ascii="Times New Roman" w:hAnsi="Times New Roman" w:cs="Times New Roman"/>
          <w:noProof/>
          <w:sz w:val="24"/>
          <w:szCs w:val="24"/>
          <w:vertAlign w:val="subscript"/>
          <w:lang w:val="en-US" w:eastAsia="it-IT"/>
        </w:rPr>
        <w:t>10</w:t>
      </w:r>
      <w:r>
        <w:rPr>
          <w:rFonts w:ascii="Times New Roman" w:hAnsi="Times New Roman" w:cs="Times New Roman"/>
          <w:noProof/>
          <w:sz w:val="24"/>
          <w:szCs w:val="24"/>
          <w:lang w:val="en-US" w:eastAsia="it-IT"/>
        </w:rPr>
        <w:t xml:space="preserve"> reduction to be complied with by F-speci</w:t>
      </w:r>
      <w:r>
        <w:rPr>
          <w:rFonts w:ascii="Times New Roman" w:hAnsi="Times New Roman" w:cs="Times New Roman"/>
          <w:noProof/>
          <w:sz w:val="24"/>
          <w:szCs w:val="24"/>
          <w:lang w:val="en-US" w:eastAsia="it-IT"/>
        </w:rPr>
        <w:t>fic coliphages for irrigation of food crops eaten raw when reclaimed water comes into contact with edible parts of the crop (CDPH, 2014).</w:t>
      </w:r>
    </w:p>
    <w:p w:rsidR="00AB50C5" w:rsidRDefault="00724275">
      <w:pPr>
        <w:spacing w:line="240" w:lineRule="auto"/>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The frequencies for water quality criteria monitoring are based on the monitoring frequencies for similar quality clas</w:t>
      </w:r>
      <w:r>
        <w:rPr>
          <w:rFonts w:ascii="Times New Roman" w:hAnsi="Times New Roman" w:cs="Times New Roman"/>
          <w:noProof/>
          <w:sz w:val="24"/>
          <w:szCs w:val="24"/>
          <w:lang w:val="en-US" w:eastAsia="it-IT"/>
        </w:rPr>
        <w:t>ses recommended by Australian guidelines and are also in line with the monitoring frequencies recommended by the ISO guidelines. However, it has to be noted that the ISO guidelines recommend a range of frequencies, stating that the monitoring programme sho</w:t>
      </w:r>
      <w:r>
        <w:rPr>
          <w:rFonts w:ascii="Times New Roman" w:hAnsi="Times New Roman" w:cs="Times New Roman"/>
          <w:noProof/>
          <w:sz w:val="24"/>
          <w:szCs w:val="24"/>
          <w:lang w:val="en-US" w:eastAsia="it-IT"/>
        </w:rPr>
        <w:t xml:space="preserve">uld be adapted to local conditions. MS regulations that apply similar requirements have similar monitoring frequencies (e.g. Spain). </w:t>
      </w:r>
    </w:p>
    <w:p w:rsidR="00AB50C5" w:rsidRDefault="00724275">
      <w:pPr>
        <w:spacing w:line="240" w:lineRule="auto"/>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 xml:space="preserve">Health outcome targets are based on a defined tolerable burden of disease or level of risk that is considered acceptable. </w:t>
      </w:r>
      <w:r>
        <w:rPr>
          <w:rFonts w:ascii="Times New Roman" w:hAnsi="Times New Roman" w:cs="Times New Roman"/>
          <w:noProof/>
          <w:sz w:val="24"/>
          <w:szCs w:val="24"/>
          <w:lang w:val="en-US" w:eastAsia="it-IT"/>
        </w:rPr>
        <w:t>Disability Adjusted Life Years (DALYs) are a measure of burden of disease that is used mainly for microbiological hazards. For chemical hazards, the health outcome target is based on no-observed-adverse-effect levels derived from international chemical ris</w:t>
      </w:r>
      <w:r>
        <w:rPr>
          <w:rFonts w:ascii="Times New Roman" w:hAnsi="Times New Roman" w:cs="Times New Roman"/>
          <w:noProof/>
          <w:sz w:val="24"/>
          <w:szCs w:val="24"/>
          <w:lang w:val="en-US" w:eastAsia="it-IT"/>
        </w:rPr>
        <w:t xml:space="preserve">k assessments. Although the application of DALYs to chemical parameters is likely to expand, however, unlike pathogens, there are insufficient data to develop DALYs for most chemical hazards, thus expressing health-based targets for chemical hazards using </w:t>
      </w:r>
      <w:r>
        <w:rPr>
          <w:rFonts w:ascii="Times New Roman" w:hAnsi="Times New Roman" w:cs="Times New Roman"/>
          <w:noProof/>
          <w:sz w:val="24"/>
          <w:szCs w:val="24"/>
          <w:lang w:val="en-US" w:eastAsia="it-IT"/>
        </w:rPr>
        <w:t>the DALYs approach has been limited in practice (WHO, 2011).</w:t>
      </w:r>
    </w:p>
    <w:p w:rsidR="00AB50C5" w:rsidRDefault="00724275">
      <w:pPr>
        <w:spacing w:line="240" w:lineRule="auto"/>
        <w:jc w:val="both"/>
        <w:rPr>
          <w:rFonts w:ascii="Times New Roman" w:hAnsi="Times New Roman" w:cs="Times New Roman"/>
          <w:noProof/>
          <w:sz w:val="24"/>
          <w:szCs w:val="24"/>
          <w:shd w:val="clear" w:color="auto" w:fill="FFFFFF"/>
          <w:lang w:val="en-US"/>
        </w:rPr>
      </w:pPr>
      <w:r>
        <w:rPr>
          <w:rFonts w:ascii="Times New Roman" w:hAnsi="Times New Roman" w:cs="Times New Roman"/>
          <w:noProof/>
          <w:sz w:val="24"/>
          <w:szCs w:val="24"/>
          <w:shd w:val="clear" w:color="auto" w:fill="FFFFFF"/>
          <w:lang w:val="en-US"/>
        </w:rPr>
        <w:t xml:space="preserve">Regarding chemical compounds in wastewater, the document considers that wastewater from UWWTP that comply with the Directive 91/271/EEC. Therefore, wastewater from industries not included in the </w:t>
      </w:r>
      <w:r>
        <w:rPr>
          <w:rFonts w:ascii="Times New Roman" w:hAnsi="Times New Roman" w:cs="Times New Roman"/>
          <w:noProof/>
          <w:sz w:val="24"/>
          <w:szCs w:val="24"/>
          <w:shd w:val="clear" w:color="auto" w:fill="FFFFFF"/>
          <w:lang w:val="en-US"/>
        </w:rPr>
        <w:t>UWWTD are not considered. This limits the potential concentration of toxic chemicals in reclaimed water. The evidence of direct health impacts from chemical compounds associated with water reuse in agriculture is very limited (WHO, 2006) probably due to th</w:t>
      </w:r>
      <w:r>
        <w:rPr>
          <w:rFonts w:ascii="Times New Roman" w:hAnsi="Times New Roman" w:cs="Times New Roman"/>
          <w:noProof/>
          <w:sz w:val="24"/>
          <w:szCs w:val="24"/>
          <w:shd w:val="clear" w:color="auto" w:fill="FFFFFF"/>
          <w:lang w:val="en-US"/>
        </w:rPr>
        <w:t xml:space="preserve">e nature of chemical toxicity. The concentrations of most chemicals in reclaimed water or reclaimed water irrigated products will almost never be high enough to result in acute health effects. Chronic health effects that may be associated with exposure to </w:t>
      </w:r>
      <w:r>
        <w:rPr>
          <w:rFonts w:ascii="Times New Roman" w:hAnsi="Times New Roman" w:cs="Times New Roman"/>
          <w:noProof/>
          <w:sz w:val="24"/>
          <w:szCs w:val="24"/>
          <w:shd w:val="clear" w:color="auto" w:fill="FFFFFF"/>
          <w:lang w:val="en-US"/>
        </w:rPr>
        <w:t xml:space="preserve">chemicals (e.g. cancer) usually occur only after many years of exposure and may also result from a variety of other exposures not related to the agricultural use of reclaimed water (WHO, 2006). The use of reclaimed water for irrigation may introduce toxic </w:t>
      </w:r>
      <w:r>
        <w:rPr>
          <w:rFonts w:ascii="Times New Roman" w:hAnsi="Times New Roman" w:cs="Times New Roman"/>
          <w:noProof/>
          <w:sz w:val="24"/>
          <w:szCs w:val="24"/>
          <w:shd w:val="clear" w:color="auto" w:fill="FFFFFF"/>
          <w:lang w:val="en-US"/>
        </w:rPr>
        <w:t>chemical compounds into soils, and pollutants accumulated in the soils may subsequently be uptaken by crops and pose health risks to humans and animals. A major health concern is due to metals as they can be found in any municipal wastewater effluent. Many</w:t>
      </w:r>
      <w:r>
        <w:rPr>
          <w:rFonts w:ascii="Times New Roman" w:hAnsi="Times New Roman" w:cs="Times New Roman"/>
          <w:noProof/>
          <w:sz w:val="24"/>
          <w:szCs w:val="24"/>
          <w:shd w:val="clear" w:color="auto" w:fill="FFFFFF"/>
          <w:lang w:val="en-US"/>
        </w:rPr>
        <w:t xml:space="preserve"> of them are biologically beneficial in small quantities but become harmful at high levels of exposure. Plant uptake of heavy metals is highly dependent on soil conditions. Cobalt, copper, and zinc are not likely to be absorbed by irrigated crops in suffic</w:t>
      </w:r>
      <w:r>
        <w:rPr>
          <w:rFonts w:ascii="Times New Roman" w:hAnsi="Times New Roman" w:cs="Times New Roman"/>
          <w:noProof/>
          <w:sz w:val="24"/>
          <w:szCs w:val="24"/>
          <w:shd w:val="clear" w:color="auto" w:fill="FFFFFF"/>
          <w:lang w:val="en-US"/>
        </w:rPr>
        <w:t>ient quantities to prove harmful to consumers and are toxic to plants far before reaching a content that is toxic to humans. However, there WHO guidelines recommend a maximum concentration limit for hexavalent chromium, because it is rapidly reduced to tri</w:t>
      </w:r>
      <w:r>
        <w:rPr>
          <w:rFonts w:ascii="Times New Roman" w:hAnsi="Times New Roman" w:cs="Times New Roman"/>
          <w:noProof/>
          <w:sz w:val="24"/>
          <w:szCs w:val="24"/>
          <w:shd w:val="clear" w:color="auto" w:fill="FFFFFF"/>
          <w:lang w:val="en-US"/>
        </w:rPr>
        <w:t>valent chromium, which forms a less soluble solid phase in wastewater or soils. Cadmium is the metal that causes the largest risk. Its uptake can increase with time, depending on soil concentration, and is toxic to humans and animals in doses much lower th</w:t>
      </w:r>
      <w:r>
        <w:rPr>
          <w:rFonts w:ascii="Times New Roman" w:hAnsi="Times New Roman" w:cs="Times New Roman"/>
          <w:noProof/>
          <w:sz w:val="24"/>
          <w:szCs w:val="24"/>
          <w:shd w:val="clear" w:color="auto" w:fill="FFFFFF"/>
          <w:lang w:val="en-US"/>
        </w:rPr>
        <w:t>an those that visibly affect plants (WHO, 2006).</w:t>
      </w:r>
    </w:p>
    <w:p w:rsidR="00AB50C5" w:rsidRDefault="00724275">
      <w:pPr>
        <w:spacing w:line="240" w:lineRule="auto"/>
        <w:jc w:val="both"/>
        <w:rPr>
          <w:rFonts w:ascii="Times New Roman" w:hAnsi="Times New Roman" w:cs="Times New Roman"/>
          <w:noProof/>
          <w:sz w:val="24"/>
          <w:szCs w:val="24"/>
          <w:lang w:val="en-US" w:eastAsia="it-IT"/>
        </w:rPr>
      </w:pPr>
      <w:r>
        <w:rPr>
          <w:rFonts w:ascii="Times New Roman" w:hAnsi="Times New Roman" w:cs="Times New Roman"/>
          <w:noProof/>
          <w:sz w:val="24"/>
          <w:szCs w:val="24"/>
          <w:shd w:val="clear" w:color="auto" w:fill="FFFFFF"/>
          <w:lang w:val="en-US"/>
        </w:rPr>
        <w:t>Specific considerations on health risks from compounds of emerging concern (CECs) are shown in Section 6.</w:t>
      </w:r>
    </w:p>
    <w:p w:rsidR="00AB50C5" w:rsidRDefault="00724275">
      <w:pPr>
        <w:pStyle w:val="JRCLevel-3title"/>
        <w:rPr>
          <w:rFonts w:ascii="Times New Roman" w:hAnsi="Times New Roman"/>
          <w:noProof/>
          <w:sz w:val="24"/>
          <w:lang w:val="en-US"/>
        </w:rPr>
      </w:pPr>
      <w:bookmarkStart w:id="75" w:name="_Toc498695688"/>
      <w:bookmarkStart w:id="76" w:name="_Toc516234770"/>
      <w:r>
        <w:rPr>
          <w:rFonts w:ascii="Times New Roman" w:hAnsi="Times New Roman"/>
          <w:noProof/>
          <w:sz w:val="24"/>
          <w:lang w:val="en-US"/>
        </w:rPr>
        <w:t>Physico-chemical parameters for monitoring</w:t>
      </w:r>
      <w:bookmarkEnd w:id="75"/>
      <w:bookmarkEnd w:id="76"/>
    </w:p>
    <w:p w:rsidR="00AB50C5" w:rsidRDefault="00724275">
      <w:pPr>
        <w:spacing w:after="0" w:line="240" w:lineRule="auto"/>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 xml:space="preserve">The justification for the physico-chemical parameters </w:t>
      </w:r>
      <w:r>
        <w:rPr>
          <w:rFonts w:ascii="Times New Roman" w:hAnsi="Times New Roman" w:cs="Times New Roman"/>
          <w:noProof/>
          <w:sz w:val="24"/>
          <w:szCs w:val="24"/>
          <w:lang w:val="en-US" w:eastAsia="it-IT"/>
        </w:rPr>
        <w:t>selected for monitoring purposes is presented below:</w:t>
      </w:r>
    </w:p>
    <w:p w:rsidR="00AB50C5" w:rsidRDefault="00724275">
      <w:pPr>
        <w:spacing w:after="0" w:line="240" w:lineRule="auto"/>
        <w:ind w:left="547"/>
        <w:jc w:val="both"/>
        <w:rPr>
          <w:rFonts w:ascii="Times New Roman" w:hAnsi="Times New Roman" w:cs="Times New Roman"/>
          <w:noProof/>
          <w:sz w:val="24"/>
          <w:szCs w:val="24"/>
          <w:lang w:val="en-US"/>
        </w:rPr>
      </w:pPr>
      <w:r>
        <w:rPr>
          <w:rFonts w:ascii="Times New Roman" w:hAnsi="Times New Roman" w:cs="Times New Roman"/>
          <w:b/>
          <w:noProof/>
          <w:sz w:val="24"/>
          <w:szCs w:val="24"/>
          <w:lang w:val="en-US"/>
        </w:rPr>
        <w:t>Biochemical Oxygen Demand</w:t>
      </w:r>
      <w:r>
        <w:rPr>
          <w:rFonts w:ascii="Times New Roman" w:hAnsi="Times New Roman" w:cs="Times New Roman"/>
          <w:noProof/>
          <w:sz w:val="24"/>
          <w:szCs w:val="24"/>
          <w:lang w:val="en-US"/>
        </w:rPr>
        <w:t xml:space="preserve"> </w:t>
      </w:r>
      <w:r>
        <w:rPr>
          <w:rFonts w:ascii="Times New Roman" w:hAnsi="Times New Roman" w:cs="Times New Roman"/>
          <w:b/>
          <w:noProof/>
          <w:sz w:val="24"/>
          <w:szCs w:val="24"/>
          <w:lang w:val="en-US"/>
        </w:rPr>
        <w:t>(BOD</w:t>
      </w:r>
      <w:r>
        <w:rPr>
          <w:rFonts w:ascii="Times New Roman" w:hAnsi="Times New Roman" w:cs="Times New Roman"/>
          <w:b/>
          <w:noProof/>
          <w:sz w:val="24"/>
          <w:szCs w:val="24"/>
          <w:vertAlign w:val="subscript"/>
          <w:lang w:val="en-US"/>
        </w:rPr>
        <w:t>5</w:t>
      </w:r>
      <w:r>
        <w:rPr>
          <w:rFonts w:ascii="Times New Roman" w:hAnsi="Times New Roman" w:cs="Times New Roman"/>
          <w:b/>
          <w:noProof/>
          <w:sz w:val="24"/>
          <w:szCs w:val="24"/>
          <w:lang w:val="en-US"/>
        </w:rPr>
        <w:t>)</w:t>
      </w:r>
      <w:r>
        <w:rPr>
          <w:rFonts w:ascii="Times New Roman" w:hAnsi="Times New Roman" w:cs="Times New Roman"/>
          <w:noProof/>
          <w:sz w:val="24"/>
          <w:szCs w:val="24"/>
          <w:lang w:val="en-US"/>
        </w:rPr>
        <w:t>: this parameter acts as an indication of biological treatment effectiveness and indirect potential for bacterial regrowth in distribution systems. BOD</w:t>
      </w:r>
      <w:r>
        <w:rPr>
          <w:rFonts w:ascii="Times New Roman" w:hAnsi="Times New Roman" w:cs="Times New Roman"/>
          <w:noProof/>
          <w:sz w:val="24"/>
          <w:szCs w:val="24"/>
          <w:vertAlign w:val="subscript"/>
          <w:lang w:val="en-US"/>
        </w:rPr>
        <w:t>5</w:t>
      </w:r>
      <w:r>
        <w:rPr>
          <w:rFonts w:ascii="Times New Roman" w:hAnsi="Times New Roman" w:cs="Times New Roman"/>
          <w:noProof/>
          <w:sz w:val="24"/>
          <w:szCs w:val="24"/>
          <w:lang w:val="en-US"/>
        </w:rPr>
        <w:t xml:space="preserve"> can be considered a surrogate for performance related to pathogen reduction (NRMMC–EPHC–AHMC, 2006).</w:t>
      </w:r>
    </w:p>
    <w:p w:rsidR="00AB50C5" w:rsidRDefault="00724275">
      <w:pPr>
        <w:spacing w:after="0" w:line="240" w:lineRule="auto"/>
        <w:ind w:left="547"/>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BOD</w:t>
      </w:r>
      <w:r>
        <w:rPr>
          <w:rFonts w:ascii="Times New Roman" w:hAnsi="Times New Roman" w:cs="Times New Roman"/>
          <w:noProof/>
          <w:sz w:val="24"/>
          <w:szCs w:val="24"/>
          <w:vertAlign w:val="subscript"/>
          <w:lang w:val="en-US" w:eastAsia="it-IT"/>
        </w:rPr>
        <w:t>5</w:t>
      </w:r>
      <w:r>
        <w:rPr>
          <w:rFonts w:ascii="Times New Roman" w:hAnsi="Times New Roman" w:cs="Times New Roman"/>
          <w:noProof/>
          <w:sz w:val="24"/>
          <w:szCs w:val="24"/>
          <w:lang w:val="en-US" w:eastAsia="it-IT"/>
        </w:rPr>
        <w:t xml:space="preserve"> appears in the Australian and USEPA guidelines for agricultural irrigation, as well as in other guidelines (NRMMC–EPHC–AHMC, 2006; </w:t>
      </w:r>
      <w:r>
        <w:rPr>
          <w:rFonts w:ascii="Times New Roman" w:hAnsi="Times New Roman" w:cs="Times New Roman"/>
          <w:noProof/>
          <w:color w:val="000000"/>
          <w:sz w:val="24"/>
          <w:szCs w:val="24"/>
          <w:lang w:val="en-US"/>
        </w:rPr>
        <w:t xml:space="preserve">USEPA, 2012; </w:t>
      </w:r>
      <w:r>
        <w:rPr>
          <w:rFonts w:ascii="Times New Roman" w:hAnsi="Times New Roman" w:cs="Times New Roman"/>
          <w:noProof/>
          <w:sz w:val="24"/>
          <w:szCs w:val="24"/>
          <w:lang w:val="en-US" w:eastAsia="it-IT"/>
        </w:rPr>
        <w:t>ISO 1</w:t>
      </w:r>
      <w:r>
        <w:rPr>
          <w:rFonts w:ascii="Times New Roman" w:hAnsi="Times New Roman" w:cs="Times New Roman"/>
          <w:noProof/>
          <w:sz w:val="24"/>
          <w:szCs w:val="24"/>
          <w:lang w:val="en-US" w:eastAsia="it-IT"/>
        </w:rPr>
        <w:t>6075, 2015). Some MS include BOD</w:t>
      </w:r>
      <w:r>
        <w:rPr>
          <w:rFonts w:ascii="Times New Roman" w:hAnsi="Times New Roman" w:cs="Times New Roman"/>
          <w:noProof/>
          <w:sz w:val="24"/>
          <w:szCs w:val="24"/>
          <w:vertAlign w:val="subscript"/>
          <w:lang w:val="en-US" w:eastAsia="it-IT"/>
        </w:rPr>
        <w:t>5</w:t>
      </w:r>
      <w:r>
        <w:rPr>
          <w:rFonts w:ascii="Times New Roman" w:hAnsi="Times New Roman" w:cs="Times New Roman"/>
          <w:noProof/>
          <w:sz w:val="24"/>
          <w:szCs w:val="24"/>
          <w:lang w:val="en-US" w:eastAsia="it-IT"/>
        </w:rPr>
        <w:t xml:space="preserve"> in their water reuse legislations for agricultural irrigation (Cyprus, Greece and Italy). </w:t>
      </w:r>
    </w:p>
    <w:p w:rsidR="00AB50C5" w:rsidRDefault="00724275">
      <w:pPr>
        <w:tabs>
          <w:tab w:val="left" w:pos="9018"/>
        </w:tabs>
        <w:autoSpaceDE w:val="0"/>
        <w:autoSpaceDN w:val="0"/>
        <w:adjustRightInd w:val="0"/>
        <w:spacing w:after="0" w:line="240" w:lineRule="auto"/>
        <w:ind w:left="540"/>
        <w:jc w:val="both"/>
        <w:rPr>
          <w:rFonts w:ascii="Times New Roman" w:hAnsi="Times New Roman" w:cs="Times New Roman"/>
          <w:noProof/>
          <w:sz w:val="24"/>
          <w:szCs w:val="24"/>
          <w:lang w:val="en-US"/>
        </w:rPr>
      </w:pPr>
      <w:r>
        <w:rPr>
          <w:rFonts w:ascii="Times New Roman" w:hAnsi="Times New Roman" w:cs="Times New Roman"/>
          <w:b/>
          <w:noProof/>
          <w:sz w:val="24"/>
          <w:szCs w:val="24"/>
          <w:lang w:val="en-US"/>
        </w:rPr>
        <w:t>Total suspended solids</w:t>
      </w:r>
      <w:r>
        <w:rPr>
          <w:rFonts w:ascii="Times New Roman" w:hAnsi="Times New Roman" w:cs="Times New Roman"/>
          <w:noProof/>
          <w:sz w:val="24"/>
          <w:szCs w:val="24"/>
          <w:lang w:val="en-US"/>
        </w:rPr>
        <w:t xml:space="preserve"> </w:t>
      </w:r>
      <w:r>
        <w:rPr>
          <w:rFonts w:ascii="Times New Roman" w:hAnsi="Times New Roman" w:cs="Times New Roman"/>
          <w:b/>
          <w:noProof/>
          <w:sz w:val="24"/>
          <w:szCs w:val="24"/>
          <w:lang w:val="en-US"/>
        </w:rPr>
        <w:t>(TSS)</w:t>
      </w:r>
      <w:r>
        <w:rPr>
          <w:rFonts w:ascii="Times New Roman" w:hAnsi="Times New Roman" w:cs="Times New Roman"/>
          <w:noProof/>
          <w:sz w:val="24"/>
          <w:szCs w:val="24"/>
          <w:lang w:val="en-US"/>
        </w:rPr>
        <w:t>: this parameter indicates effectiveness of sedimentation and it is also related with filtration and di</w:t>
      </w:r>
      <w:r>
        <w:rPr>
          <w:rFonts w:ascii="Times New Roman" w:hAnsi="Times New Roman" w:cs="Times New Roman"/>
          <w:noProof/>
          <w:sz w:val="24"/>
          <w:szCs w:val="24"/>
          <w:lang w:val="en-US"/>
        </w:rPr>
        <w:t>sinfection efficacy. The removal of suspended matter is linked to pathogen removal, as many pathogens are particulate-associated, and both bacteria and viruses can be shielded from disinfectants such as chlorine and UV. Furthermore, materials in suspension</w:t>
      </w:r>
      <w:r>
        <w:rPr>
          <w:rFonts w:ascii="Times New Roman" w:hAnsi="Times New Roman" w:cs="Times New Roman"/>
          <w:noProof/>
          <w:sz w:val="24"/>
          <w:szCs w:val="24"/>
          <w:lang w:val="en-US"/>
        </w:rPr>
        <w:t xml:space="preserve"> are listed as pollutants which input has to be limited in Annex VIII of the WFD.</w:t>
      </w:r>
    </w:p>
    <w:p w:rsidR="00AB50C5" w:rsidRDefault="00724275">
      <w:pPr>
        <w:tabs>
          <w:tab w:val="left" w:pos="9018"/>
        </w:tabs>
        <w:autoSpaceDE w:val="0"/>
        <w:autoSpaceDN w:val="0"/>
        <w:adjustRightInd w:val="0"/>
        <w:spacing w:after="0" w:line="240" w:lineRule="auto"/>
        <w:ind w:left="54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TSS is included in the USEPA guidelines for monitoring of processed food crops and non-food crops irrigation (USEPA, 2012). The Australian guidelines follow a similar pattern</w:t>
      </w:r>
      <w:r>
        <w:rPr>
          <w:rFonts w:ascii="Times New Roman" w:hAnsi="Times New Roman" w:cs="Times New Roman"/>
          <w:noProof/>
          <w:sz w:val="24"/>
          <w:szCs w:val="24"/>
          <w:lang w:val="en-US"/>
        </w:rPr>
        <w:t xml:space="preserve"> (NRMMC–EPHC–AHMC, 2006). The ISO guidelines include TSS for agricultural irrigation monitoring (ISO 16075, 2015).</w:t>
      </w:r>
    </w:p>
    <w:p w:rsidR="00AB50C5" w:rsidRDefault="00724275">
      <w:pPr>
        <w:tabs>
          <w:tab w:val="left" w:pos="9018"/>
        </w:tabs>
        <w:autoSpaceDE w:val="0"/>
        <w:autoSpaceDN w:val="0"/>
        <w:adjustRightInd w:val="0"/>
        <w:spacing w:after="0" w:line="240" w:lineRule="auto"/>
        <w:ind w:left="54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MS regulations include TSS for agricultural irrigation (JRC, 2014). </w:t>
      </w:r>
    </w:p>
    <w:p w:rsidR="00AB50C5" w:rsidRDefault="00724275">
      <w:pPr>
        <w:tabs>
          <w:tab w:val="left" w:pos="9018"/>
        </w:tabs>
        <w:autoSpaceDE w:val="0"/>
        <w:autoSpaceDN w:val="0"/>
        <w:adjustRightInd w:val="0"/>
        <w:spacing w:after="0" w:line="240" w:lineRule="auto"/>
        <w:ind w:left="540"/>
        <w:jc w:val="both"/>
        <w:rPr>
          <w:rFonts w:ascii="Times New Roman" w:hAnsi="Times New Roman" w:cs="Times New Roman"/>
          <w:b/>
          <w:noProof/>
          <w:sz w:val="24"/>
          <w:szCs w:val="24"/>
          <w:lang w:val="en-US"/>
        </w:rPr>
      </w:pPr>
      <w:r>
        <w:rPr>
          <w:rFonts w:ascii="Times New Roman" w:hAnsi="Times New Roman" w:cs="Times New Roman"/>
          <w:b/>
          <w:noProof/>
          <w:sz w:val="24"/>
          <w:szCs w:val="24"/>
          <w:lang w:val="en-US"/>
        </w:rPr>
        <w:t>Turbidity</w:t>
      </w:r>
      <w:r>
        <w:rPr>
          <w:rFonts w:ascii="Times New Roman" w:hAnsi="Times New Roman" w:cs="Times New Roman"/>
          <w:noProof/>
          <w:sz w:val="24"/>
          <w:szCs w:val="24"/>
          <w:lang w:val="en-US"/>
        </w:rPr>
        <w:t>: it is a traditionally used parameter to indicate filtration e</w:t>
      </w:r>
      <w:r>
        <w:rPr>
          <w:rFonts w:ascii="Times New Roman" w:hAnsi="Times New Roman" w:cs="Times New Roman"/>
          <w:noProof/>
          <w:sz w:val="24"/>
          <w:szCs w:val="24"/>
          <w:lang w:val="en-US"/>
        </w:rPr>
        <w:t>ffectiveness and suitability for disinfection, and can be a surrogate for protozoa removal, and viruses. Turbidity is an important factor both as parameter reflecting the potential of breakthrough of small particles, including pathogens, and because partic</w:t>
      </w:r>
      <w:r>
        <w:rPr>
          <w:rFonts w:ascii="Times New Roman" w:hAnsi="Times New Roman" w:cs="Times New Roman"/>
          <w:noProof/>
          <w:sz w:val="24"/>
          <w:szCs w:val="24"/>
          <w:lang w:val="en-US"/>
        </w:rPr>
        <w:t xml:space="preserve">ulate matter in water may shield pathogens from disinfectants, rendering disinfection less effective.     </w:t>
      </w:r>
    </w:p>
    <w:p w:rsidR="00AB50C5" w:rsidRDefault="00724275">
      <w:pPr>
        <w:tabs>
          <w:tab w:val="left" w:pos="9018"/>
        </w:tabs>
        <w:autoSpaceDE w:val="0"/>
        <w:autoSpaceDN w:val="0"/>
        <w:adjustRightInd w:val="0"/>
        <w:spacing w:after="0" w:line="240" w:lineRule="auto"/>
        <w:ind w:left="54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Turbidity appears in the USEPA guidelines for food crops eaten raw and aquifer recharge, similarly to the Australian guidelines (NRMMC–EPHC–AHMC, 200</w:t>
      </w:r>
      <w:r>
        <w:rPr>
          <w:rFonts w:ascii="Times New Roman" w:hAnsi="Times New Roman" w:cs="Times New Roman"/>
          <w:noProof/>
          <w:sz w:val="24"/>
          <w:szCs w:val="24"/>
          <w:lang w:val="en-US"/>
        </w:rPr>
        <w:t>6; USEPA, 2012). The ISO guidelines include turbidity for irrigation of food crops eaten raw (ISO 16075, 2015). Turbidity is included in the Greek and Spanish water reuse legislations for specific categories of use for agricultural irrigation.</w:t>
      </w:r>
    </w:p>
    <w:p w:rsidR="00AB50C5" w:rsidRDefault="00724275">
      <w:pPr>
        <w:tabs>
          <w:tab w:val="left" w:pos="9018"/>
        </w:tabs>
        <w:autoSpaceDE w:val="0"/>
        <w:autoSpaceDN w:val="0"/>
        <w:adjustRightInd w:val="0"/>
        <w:spacing w:after="0" w:line="240" w:lineRule="auto"/>
        <w:ind w:left="54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Monitoring of these parameters is compulsory in order to control environmental risks to soils, plants, surface waters and groundwaters associated with reclaimed water use for agricultural irrigation (e.g. salinity, phytoxicity). </w:t>
      </w:r>
    </w:p>
    <w:p w:rsidR="00AB50C5" w:rsidRDefault="00724275">
      <w:pPr>
        <w:autoSpaceDE w:val="0"/>
        <w:autoSpaceDN w:val="0"/>
        <w:adjustRightInd w:val="0"/>
        <w:spacing w:after="0" w:line="240" w:lineRule="auto"/>
        <w:ind w:left="54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Agronomic parameters are i</w:t>
      </w:r>
      <w:r>
        <w:rPr>
          <w:rFonts w:ascii="Times New Roman" w:hAnsi="Times New Roman" w:cs="Times New Roman"/>
          <w:noProof/>
          <w:sz w:val="24"/>
          <w:szCs w:val="24"/>
          <w:lang w:val="en-US"/>
        </w:rPr>
        <w:t>ncluded in all guidelines for water reuse (WHO, 2006; NRMMC–EPHC–AHMC, 2006; USEPA, 2012; ISO 16075, 2015) and also in water reuse regulations from MS. The specific agronomic parameters and the associated limit values comprised in guidelines and regulation</w:t>
      </w:r>
      <w:r>
        <w:rPr>
          <w:rFonts w:ascii="Times New Roman" w:hAnsi="Times New Roman" w:cs="Times New Roman"/>
          <w:noProof/>
          <w:sz w:val="24"/>
          <w:szCs w:val="24"/>
          <w:lang w:val="en-US"/>
        </w:rPr>
        <w:t>s are adapted from the recommendations made by the Food and Agriculture Organization of the United Nations (FAO) (FAO, 1985). The FAO recommendations are a worldwide reference document that provides a guide to making an initial assessment of agronomic para</w:t>
      </w:r>
      <w:r>
        <w:rPr>
          <w:rFonts w:ascii="Times New Roman" w:hAnsi="Times New Roman" w:cs="Times New Roman"/>
          <w:noProof/>
          <w:sz w:val="24"/>
          <w:szCs w:val="24"/>
          <w:lang w:val="en-US"/>
        </w:rPr>
        <w:t xml:space="preserve">meters for application of reclaimed water in agriculture. They emphasize the long-term influence of water quality on crop production, soil properties and farm management. </w:t>
      </w:r>
    </w:p>
    <w:p w:rsidR="00AB50C5" w:rsidRDefault="00724275">
      <w:pPr>
        <w:autoSpaceDE w:val="0"/>
        <w:autoSpaceDN w:val="0"/>
        <w:adjustRightInd w:val="0"/>
        <w:spacing w:after="0" w:line="240" w:lineRule="auto"/>
        <w:ind w:left="54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However, almost all water reuse guidelines and regulations have applied some modific</w:t>
      </w:r>
      <w:r>
        <w:rPr>
          <w:rFonts w:ascii="Times New Roman" w:hAnsi="Times New Roman" w:cs="Times New Roman"/>
          <w:noProof/>
          <w:sz w:val="24"/>
          <w:szCs w:val="24"/>
          <w:lang w:val="en-US"/>
        </w:rPr>
        <w:t>ations to the FAO recommendations due to their basic assumptions and comments and the number of variables that are site specific when establishing agronomic parameters and values (e.g. soil characteristics, climate conditions, crop variety, cultivation pra</w:t>
      </w:r>
      <w:r>
        <w:rPr>
          <w:rFonts w:ascii="Times New Roman" w:hAnsi="Times New Roman" w:cs="Times New Roman"/>
          <w:noProof/>
          <w:sz w:val="24"/>
          <w:szCs w:val="24"/>
          <w:lang w:val="en-US"/>
        </w:rPr>
        <w:t xml:space="preserve">ctices like the irrigation method and the hydraulic loading). </w:t>
      </w:r>
    </w:p>
    <w:p w:rsidR="00AB50C5" w:rsidRDefault="00724275">
      <w:pPr>
        <w:autoSpaceDE w:val="0"/>
        <w:autoSpaceDN w:val="0"/>
        <w:adjustRightInd w:val="0"/>
        <w:spacing w:after="0" w:line="240" w:lineRule="auto"/>
        <w:ind w:left="54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MS have to specify minimum quality requirements on a case-by-case basis taking into account site specific conditions, to be complied with by reclaimed water effluent and to be included for moni</w:t>
      </w:r>
      <w:r>
        <w:rPr>
          <w:rFonts w:ascii="Times New Roman" w:hAnsi="Times New Roman" w:cs="Times New Roman"/>
          <w:noProof/>
          <w:sz w:val="24"/>
          <w:szCs w:val="24"/>
          <w:lang w:val="en-US"/>
        </w:rPr>
        <w:t xml:space="preserve">toring. </w:t>
      </w:r>
    </w:p>
    <w:p w:rsidR="00AB50C5" w:rsidRDefault="00724275">
      <w:pPr>
        <w:autoSpaceDE w:val="0"/>
        <w:autoSpaceDN w:val="0"/>
        <w:adjustRightInd w:val="0"/>
        <w:spacing w:after="0" w:line="240" w:lineRule="auto"/>
        <w:ind w:left="540"/>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Physico-chemical parameters from related EU Directives, some of them included also in the FAO guidelines, are to be complied with by the reclaimed water effluent. As regards MS legislations, the Spanish water reuse legislation states that the use </w:t>
      </w:r>
      <w:r>
        <w:rPr>
          <w:rFonts w:ascii="Times New Roman" w:hAnsi="Times New Roman" w:cs="Times New Roman"/>
          <w:noProof/>
          <w:sz w:val="24"/>
          <w:szCs w:val="24"/>
          <w:lang w:val="en-US"/>
        </w:rPr>
        <w:t>of reclaimed water for agricultural irrigation must respect the EQSD, and the Italian legislation includes some organic contaminants for monitoring in reclaimed water. The Greek regulation for water reuse includes a list of the priority substances from the</w:t>
      </w:r>
      <w:r>
        <w:rPr>
          <w:rFonts w:ascii="Times New Roman" w:hAnsi="Times New Roman" w:cs="Times New Roman"/>
          <w:noProof/>
          <w:sz w:val="24"/>
          <w:szCs w:val="24"/>
          <w:lang w:val="en-US"/>
        </w:rPr>
        <w:t xml:space="preserve"> EQSD, with some modifications, that has to be complied with for reclaimed water quality for all categories of use.</w:t>
      </w:r>
    </w:p>
    <w:p w:rsidR="00AB50C5" w:rsidRDefault="00AB50C5">
      <w:pPr>
        <w:spacing w:after="0" w:line="240" w:lineRule="auto"/>
        <w:jc w:val="both"/>
        <w:rPr>
          <w:rFonts w:ascii="Times New Roman" w:hAnsi="Times New Roman" w:cs="Times New Roman"/>
          <w:noProof/>
          <w:sz w:val="24"/>
          <w:szCs w:val="24"/>
          <w:lang w:val="en-US" w:eastAsia="it-IT"/>
        </w:rPr>
      </w:pPr>
    </w:p>
    <w:p w:rsidR="00AB50C5" w:rsidRDefault="00724275">
      <w:pPr>
        <w:spacing w:after="0" w:line="240" w:lineRule="auto"/>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According to the qualitative and quantitative environmental risk assessments described in several guidelines (FAO, 1985; NRMMC–EPHC–AHMC, 2</w:t>
      </w:r>
      <w:r>
        <w:rPr>
          <w:rFonts w:ascii="Times New Roman" w:hAnsi="Times New Roman" w:cs="Times New Roman"/>
          <w:noProof/>
          <w:sz w:val="24"/>
          <w:szCs w:val="24"/>
          <w:lang w:val="en-US" w:eastAsia="it-IT"/>
        </w:rPr>
        <w:t xml:space="preserve">006; WHO, 2006; USEPA, 2012; ISO 16075, 2015), and the experience gathered by MS on agricultural irrigation with reclaimed water, there are key environmental hazards associated to environmental risks that are identified (mostly agronomic adverse impacts), </w:t>
      </w:r>
      <w:r>
        <w:rPr>
          <w:rFonts w:ascii="Times New Roman" w:hAnsi="Times New Roman" w:cs="Times New Roman"/>
          <w:noProof/>
          <w:sz w:val="24"/>
          <w:szCs w:val="24"/>
          <w:lang w:val="en-US" w:eastAsia="it-IT"/>
        </w:rPr>
        <w:t>which are salinization, sodicity, toxicity, and nutrient imbalance.</w:t>
      </w:r>
    </w:p>
    <w:p w:rsidR="00AB50C5" w:rsidRDefault="00AB50C5">
      <w:pPr>
        <w:spacing w:after="0" w:line="240" w:lineRule="auto"/>
        <w:jc w:val="both"/>
        <w:rPr>
          <w:rFonts w:ascii="Times New Roman" w:hAnsi="Times New Roman" w:cs="Times New Roman"/>
          <w:noProof/>
          <w:sz w:val="24"/>
          <w:szCs w:val="24"/>
          <w:lang w:val="en-US" w:eastAsia="it-IT"/>
        </w:rPr>
      </w:pPr>
    </w:p>
    <w:p w:rsidR="00AB50C5" w:rsidRDefault="00724275">
      <w:pPr>
        <w:spacing w:line="240" w:lineRule="auto"/>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Salinization of soils irrigated with reclaimed water is one of the most important risks. The presence of soluble salts in reclaimed water may lead to accumulation of salts in soils (espec</w:t>
      </w:r>
      <w:r>
        <w:rPr>
          <w:rFonts w:ascii="Times New Roman" w:hAnsi="Times New Roman" w:cs="Times New Roman"/>
          <w:noProof/>
          <w:sz w:val="24"/>
          <w:szCs w:val="24"/>
          <w:lang w:val="en-US" w:eastAsia="it-IT"/>
        </w:rPr>
        <w:t>ially in dry climates), the release of cadmium from soils due to increased chlorine content, reduced rates of plant growth and productivity, water stress due to plants' susceptibility to osmotic effects, changes in native vegetation, groundwater salinizati</w:t>
      </w:r>
      <w:r>
        <w:rPr>
          <w:rFonts w:ascii="Times New Roman" w:hAnsi="Times New Roman" w:cs="Times New Roman"/>
          <w:noProof/>
          <w:sz w:val="24"/>
          <w:szCs w:val="24"/>
          <w:lang w:val="en-US" w:eastAsia="it-IT"/>
        </w:rPr>
        <w:t>on affecting dependent ecosystems, and increased salinity in surface water aquatic systems.</w:t>
      </w:r>
    </w:p>
    <w:p w:rsidR="00AB50C5" w:rsidRDefault="00724275">
      <w:pPr>
        <w:spacing w:line="240" w:lineRule="auto"/>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A high proportion of sodium (Na</w:t>
      </w:r>
      <w:r>
        <w:rPr>
          <w:rFonts w:ascii="Times New Roman" w:hAnsi="Times New Roman" w:cs="Times New Roman"/>
          <w:noProof/>
          <w:sz w:val="24"/>
          <w:szCs w:val="24"/>
          <w:vertAlign w:val="superscript"/>
          <w:lang w:val="en-US" w:eastAsia="it-IT"/>
        </w:rPr>
        <w:t>+</w:t>
      </w:r>
      <w:r>
        <w:rPr>
          <w:rFonts w:ascii="Times New Roman" w:hAnsi="Times New Roman" w:cs="Times New Roman"/>
          <w:noProof/>
          <w:sz w:val="24"/>
          <w:szCs w:val="24"/>
          <w:lang w:val="en-US" w:eastAsia="it-IT"/>
        </w:rPr>
        <w:t>) ions relative to calcium (Ca</w:t>
      </w:r>
      <w:r>
        <w:rPr>
          <w:rFonts w:ascii="Times New Roman" w:hAnsi="Times New Roman" w:cs="Times New Roman"/>
          <w:noProof/>
          <w:sz w:val="24"/>
          <w:szCs w:val="24"/>
          <w:vertAlign w:val="superscript"/>
          <w:lang w:val="en-US" w:eastAsia="it-IT"/>
        </w:rPr>
        <w:t>2+</w:t>
      </w:r>
      <w:r>
        <w:rPr>
          <w:rFonts w:ascii="Times New Roman" w:hAnsi="Times New Roman" w:cs="Times New Roman"/>
          <w:noProof/>
          <w:sz w:val="24"/>
          <w:szCs w:val="24"/>
          <w:lang w:val="en-US" w:eastAsia="it-IT"/>
        </w:rPr>
        <w:t>) and magnesium (Mg</w:t>
      </w:r>
      <w:r>
        <w:rPr>
          <w:rFonts w:ascii="Times New Roman" w:hAnsi="Times New Roman" w:cs="Times New Roman"/>
          <w:noProof/>
          <w:sz w:val="24"/>
          <w:szCs w:val="24"/>
          <w:vertAlign w:val="superscript"/>
          <w:lang w:val="en-US" w:eastAsia="it-IT"/>
        </w:rPr>
        <w:t>2+</w:t>
      </w:r>
      <w:r>
        <w:rPr>
          <w:rFonts w:ascii="Times New Roman" w:hAnsi="Times New Roman" w:cs="Times New Roman"/>
          <w:noProof/>
          <w:sz w:val="24"/>
          <w:szCs w:val="24"/>
          <w:lang w:val="en-US" w:eastAsia="it-IT"/>
        </w:rPr>
        <w:t>) ions in soil or water (sodicity) could degrade soil structure by breaking dow</w:t>
      </w:r>
      <w:r>
        <w:rPr>
          <w:rFonts w:ascii="Times New Roman" w:hAnsi="Times New Roman" w:cs="Times New Roman"/>
          <w:noProof/>
          <w:sz w:val="24"/>
          <w:szCs w:val="24"/>
          <w:lang w:val="en-US" w:eastAsia="it-IT"/>
        </w:rPr>
        <w:t xml:space="preserve">n clay aggregates, which makes the soil more erodible, causing surface sealing and preventing the movement of water (permeability) and air (anoxia) through the soil, thus reducing plant growth. </w:t>
      </w:r>
    </w:p>
    <w:p w:rsidR="00AB50C5" w:rsidRDefault="00724275">
      <w:pPr>
        <w:spacing w:line="240" w:lineRule="auto"/>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The effect of specific toxicity of certain ions to plants (e.</w:t>
      </w:r>
      <w:r>
        <w:rPr>
          <w:rFonts w:ascii="Times New Roman" w:hAnsi="Times New Roman" w:cs="Times New Roman"/>
          <w:noProof/>
          <w:sz w:val="24"/>
          <w:szCs w:val="24"/>
          <w:lang w:val="en-US" w:eastAsia="it-IT"/>
        </w:rPr>
        <w:t xml:space="preserve">g. chloride, boron, sodium, and some trace elements) may lead to reduced crop yields. </w:t>
      </w:r>
      <w:r>
        <w:rPr>
          <w:rFonts w:ascii="Times New Roman" w:hAnsi="Times New Roman" w:cs="Times New Roman"/>
          <w:noProof/>
          <w:sz w:val="24"/>
          <w:szCs w:val="24"/>
          <w:lang w:val="en-US"/>
        </w:rPr>
        <w:t>Some ions may prejudice the microbial activity of the soil, and aquatic biota.</w:t>
      </w:r>
      <w:r>
        <w:rPr>
          <w:rFonts w:ascii="Times New Roman" w:hAnsi="Times New Roman" w:cs="Times New Roman"/>
          <w:noProof/>
          <w:sz w:val="24"/>
          <w:szCs w:val="24"/>
          <w:lang w:val="en-US" w:eastAsia="it-IT"/>
        </w:rPr>
        <w:t xml:space="preserve"> In addition, heavy metals and other toxic compounds present in reclaimed water can accumula</w:t>
      </w:r>
      <w:r>
        <w:rPr>
          <w:rFonts w:ascii="Times New Roman" w:hAnsi="Times New Roman" w:cs="Times New Roman"/>
          <w:noProof/>
          <w:sz w:val="24"/>
          <w:szCs w:val="24"/>
          <w:lang w:val="en-US" w:eastAsia="it-IT"/>
        </w:rPr>
        <w:t xml:space="preserve">te in soils or/and in crops, and may reach groundwater or surface water bodies causing their deterioration. </w:t>
      </w:r>
    </w:p>
    <w:p w:rsidR="00AB50C5" w:rsidRDefault="00724275">
      <w:pPr>
        <w:spacing w:line="240" w:lineRule="auto"/>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 xml:space="preserve">Unbalanced supply of nutrients may result in crop deficiencies and toxicities. Macronutrients like nitrogen, phosphorus and potassium in reclaimed </w:t>
      </w:r>
      <w:r>
        <w:rPr>
          <w:rFonts w:ascii="Times New Roman" w:hAnsi="Times New Roman" w:cs="Times New Roman"/>
          <w:noProof/>
          <w:sz w:val="24"/>
          <w:szCs w:val="24"/>
          <w:lang w:val="en-US" w:eastAsia="it-IT"/>
        </w:rPr>
        <w:t>water may be higher than the needs of the crop, or not supplied at an optimal rate for the crop. Excess of nutrients may lead to groundwater deterioration, and surface waters eutrophication.</w:t>
      </w:r>
    </w:p>
    <w:p w:rsidR="00AB50C5" w:rsidRDefault="00724275">
      <w:pPr>
        <w:tabs>
          <w:tab w:val="left" w:pos="9018"/>
        </w:tabs>
        <w:autoSpaceDE w:val="0"/>
        <w:autoSpaceDN w:val="0"/>
        <w:adjustRightInd w:val="0"/>
        <w:spacing w:line="240" w:lineRule="auto"/>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rPr>
        <w:t>The limit values for BOD</w:t>
      </w:r>
      <w:r>
        <w:rPr>
          <w:rFonts w:ascii="Times New Roman" w:hAnsi="Times New Roman" w:cs="Times New Roman"/>
          <w:noProof/>
          <w:sz w:val="24"/>
          <w:szCs w:val="24"/>
          <w:vertAlign w:val="subscript"/>
          <w:lang w:val="en-US"/>
        </w:rPr>
        <w:t>5</w:t>
      </w:r>
      <w:r>
        <w:rPr>
          <w:rFonts w:ascii="Times New Roman" w:hAnsi="Times New Roman" w:cs="Times New Roman"/>
          <w:noProof/>
          <w:sz w:val="24"/>
          <w:szCs w:val="24"/>
          <w:lang w:val="en-US"/>
        </w:rPr>
        <w:t xml:space="preserve">, TSS and turbidity established for </w:t>
      </w:r>
      <w:r>
        <w:rPr>
          <w:rFonts w:ascii="Times New Roman" w:hAnsi="Times New Roman" w:cs="Times New Roman"/>
          <w:noProof/>
          <w:sz w:val="24"/>
          <w:szCs w:val="24"/>
          <w:lang w:val="en-US"/>
        </w:rPr>
        <w:t>Class A are based on the ISO guidelines as the most stringent class. This is in line with the water reuse guidelines and MS regulations that apply BOD</w:t>
      </w:r>
      <w:r>
        <w:rPr>
          <w:rFonts w:ascii="Times New Roman" w:hAnsi="Times New Roman" w:cs="Times New Roman"/>
          <w:noProof/>
          <w:sz w:val="24"/>
          <w:szCs w:val="24"/>
          <w:vertAlign w:val="subscript"/>
          <w:lang w:val="en-US"/>
        </w:rPr>
        <w:t>5</w:t>
      </w:r>
      <w:r>
        <w:rPr>
          <w:rFonts w:ascii="Times New Roman" w:hAnsi="Times New Roman" w:cs="Times New Roman"/>
          <w:noProof/>
          <w:sz w:val="24"/>
          <w:szCs w:val="24"/>
          <w:lang w:val="en-US"/>
        </w:rPr>
        <w:t xml:space="preserve"> and TSS values usually in the range of the requirements of the UWWTD, with more stringent requirements o</w:t>
      </w:r>
      <w:r>
        <w:rPr>
          <w:rFonts w:ascii="Times New Roman" w:hAnsi="Times New Roman" w:cs="Times New Roman"/>
          <w:noProof/>
          <w:sz w:val="24"/>
          <w:szCs w:val="24"/>
          <w:lang w:val="en-US"/>
        </w:rPr>
        <w:t>nly for some uses, like irrigation of food crops eaten raw (</w:t>
      </w:r>
      <w:r>
        <w:rPr>
          <w:rFonts w:ascii="Times New Roman" w:hAnsi="Times New Roman" w:cs="Times New Roman"/>
          <w:noProof/>
          <w:sz w:val="24"/>
          <w:szCs w:val="24"/>
          <w:lang w:val="en-US" w:eastAsia="it-IT"/>
        </w:rPr>
        <w:t>NRMMC-EPHC-AHMC, 2006; USEPA, 2012; JRC, 2014)</w:t>
      </w:r>
      <w:r>
        <w:rPr>
          <w:rFonts w:ascii="Times New Roman" w:hAnsi="Times New Roman" w:cs="Times New Roman"/>
          <w:noProof/>
          <w:sz w:val="24"/>
          <w:szCs w:val="24"/>
          <w:lang w:val="en-US"/>
        </w:rPr>
        <w:t>.</w:t>
      </w:r>
      <w:r>
        <w:rPr>
          <w:rFonts w:ascii="Times New Roman" w:hAnsi="Times New Roman" w:cs="Times New Roman"/>
          <w:noProof/>
          <w:sz w:val="24"/>
          <w:szCs w:val="24"/>
          <w:lang w:val="en-US" w:eastAsia="it-IT"/>
        </w:rPr>
        <w:t xml:space="preserve"> Frequencies defined for all classes are based on Australian and ISO guidelines recommendations. </w:t>
      </w:r>
    </w:p>
    <w:p w:rsidR="00AB50C5" w:rsidRDefault="00724275">
      <w:pPr>
        <w:pStyle w:val="JRCLevel-1title"/>
        <w:jc w:val="both"/>
        <w:rPr>
          <w:rFonts w:ascii="Times New Roman" w:hAnsi="Times New Roman"/>
          <w:noProof/>
          <w:sz w:val="24"/>
          <w:lang w:val="en-US"/>
        </w:rPr>
      </w:pPr>
      <w:bookmarkStart w:id="77" w:name="_Toc498695689"/>
      <w:bookmarkStart w:id="78" w:name="_Toc516234771"/>
      <w:r>
        <w:rPr>
          <w:rFonts w:ascii="Times New Roman" w:hAnsi="Times New Roman"/>
          <w:noProof/>
          <w:sz w:val="24"/>
          <w:lang w:val="en-US"/>
        </w:rPr>
        <w:t>Management of health and environmental risks for wa</w:t>
      </w:r>
      <w:r>
        <w:rPr>
          <w:rFonts w:ascii="Times New Roman" w:hAnsi="Times New Roman"/>
          <w:noProof/>
          <w:sz w:val="24"/>
          <w:lang w:val="en-US"/>
        </w:rPr>
        <w:t>ter reuse in aquifer recharge</w:t>
      </w:r>
      <w:bookmarkEnd w:id="77"/>
      <w:bookmarkEnd w:id="78"/>
    </w:p>
    <w:p w:rsidR="00AB50C5" w:rsidRDefault="00724275">
      <w:pPr>
        <w:spacing w:line="240" w:lineRule="auto"/>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This section includes the definition of the requirements to manage health and environmental risks when reclaimed water is used IN aquifer recharge, following a risk management approach, and the associated justification.</w:t>
      </w:r>
    </w:p>
    <w:p w:rsidR="00AB50C5" w:rsidRDefault="00724275">
      <w:pPr>
        <w:spacing w:after="0" w:line="240" w:lineRule="auto"/>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Regard</w:t>
      </w:r>
      <w:r>
        <w:rPr>
          <w:rFonts w:ascii="Times New Roman" w:hAnsi="Times New Roman" w:cs="Times New Roman"/>
          <w:noProof/>
          <w:sz w:val="24"/>
          <w:szCs w:val="24"/>
          <w:lang w:val="en-US" w:eastAsia="it-IT"/>
        </w:rPr>
        <w:t>ing the source of wastewater to be reclaimed, as a minimum requirement, it has to be stressed that, as for agricultural irrigation, the Directive 91/271/EEC (UWWTD) that concerns the collection, treatment and discharge of urban wastewater, establishes qual</w:t>
      </w:r>
      <w:r>
        <w:rPr>
          <w:rFonts w:ascii="Times New Roman" w:hAnsi="Times New Roman" w:cs="Times New Roman"/>
          <w:noProof/>
          <w:sz w:val="24"/>
          <w:szCs w:val="24"/>
          <w:lang w:val="en-US" w:eastAsia="it-IT"/>
        </w:rPr>
        <w:t xml:space="preserve">ity requirements that have to be satisfied by discharges from urban wastewater treatment plants (UWWTP) including also specific requirements for discharges in sensitive areas (Annex I of UWWTD). Water from wastewater treatment plants destined for reuse is </w:t>
      </w:r>
      <w:r>
        <w:rPr>
          <w:rFonts w:ascii="Times New Roman" w:hAnsi="Times New Roman" w:cs="Times New Roman"/>
          <w:noProof/>
          <w:sz w:val="24"/>
          <w:szCs w:val="24"/>
          <w:lang w:val="en-US" w:eastAsia="it-IT"/>
        </w:rPr>
        <w:t>considered a discharge under the UWWTD at the point where it leaves the water treatment plant (after treatment) (EC, 2016). Therefore, as t</w:t>
      </w:r>
      <w:r>
        <w:rPr>
          <w:rFonts w:ascii="Times New Roman" w:hAnsi="Times New Roman" w:cs="Times New Roman"/>
          <w:noProof/>
          <w:sz w:val="24"/>
          <w:szCs w:val="24"/>
          <w:lang w:val="en-US"/>
        </w:rPr>
        <w:t xml:space="preserve">he only source of wastewater considered in this document is the wastewater covered by the UWWTD, </w:t>
      </w:r>
      <w:r>
        <w:rPr>
          <w:rFonts w:ascii="Times New Roman" w:hAnsi="Times New Roman" w:cs="Times New Roman"/>
          <w:noProof/>
          <w:sz w:val="24"/>
          <w:szCs w:val="24"/>
          <w:lang w:val="en-US" w:eastAsia="it-IT"/>
        </w:rPr>
        <w:t>all treated wastewat</w:t>
      </w:r>
      <w:r>
        <w:rPr>
          <w:rFonts w:ascii="Times New Roman" w:hAnsi="Times New Roman" w:cs="Times New Roman"/>
          <w:noProof/>
          <w:sz w:val="24"/>
          <w:szCs w:val="24"/>
          <w:lang w:val="en-US" w:eastAsia="it-IT"/>
        </w:rPr>
        <w:t xml:space="preserve">er potentially considered for reclamation and reuse (i.e. wastewater coming from an UWWTP) has to comply, </w:t>
      </w:r>
      <w:r>
        <w:rPr>
          <w:rFonts w:ascii="Times New Roman" w:hAnsi="Times New Roman" w:cs="Times New Roman"/>
          <w:b/>
          <w:noProof/>
          <w:sz w:val="24"/>
          <w:szCs w:val="24"/>
          <w:lang w:val="en-US" w:eastAsia="it-IT"/>
        </w:rPr>
        <w:t>at least</w:t>
      </w:r>
      <w:r>
        <w:rPr>
          <w:rFonts w:ascii="Times New Roman" w:hAnsi="Times New Roman" w:cs="Times New Roman"/>
          <w:noProof/>
          <w:sz w:val="24"/>
          <w:szCs w:val="24"/>
          <w:lang w:val="en-US" w:eastAsia="it-IT"/>
        </w:rPr>
        <w:t xml:space="preserve">, with the quality requirements specified in the UWWTD Annex I, table 1 and, when applicable, with the requirements from Annex I, table 2 for </w:t>
      </w:r>
      <w:r>
        <w:rPr>
          <w:rFonts w:ascii="Times New Roman" w:hAnsi="Times New Roman" w:cs="Times New Roman"/>
          <w:noProof/>
          <w:sz w:val="24"/>
          <w:szCs w:val="24"/>
          <w:lang w:val="en-US" w:eastAsia="it-IT"/>
        </w:rPr>
        <w:t>sensitive areas.</w:t>
      </w:r>
    </w:p>
    <w:p w:rsidR="00AB50C5" w:rsidRDefault="00AB50C5">
      <w:pPr>
        <w:spacing w:after="0" w:line="240" w:lineRule="auto"/>
        <w:jc w:val="both"/>
        <w:rPr>
          <w:rFonts w:ascii="Times New Roman" w:hAnsi="Times New Roman" w:cs="Times New Roman"/>
          <w:noProof/>
          <w:sz w:val="24"/>
          <w:szCs w:val="24"/>
          <w:lang w:val="en-US" w:eastAsia="it-IT"/>
        </w:rPr>
      </w:pPr>
    </w:p>
    <w:p w:rsidR="00AB50C5" w:rsidRDefault="00724275">
      <w:pPr>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In order to assure that wastewater that enter a UWWTP is included in the Annex III of the Directive 91/271/EEC, thus, it is necessary to establish source control programs and oversight of industrial and commercial discharges to the sewer </w:t>
      </w:r>
      <w:r>
        <w:rPr>
          <w:rFonts w:ascii="Times New Roman" w:hAnsi="Times New Roman" w:cs="Times New Roman"/>
          <w:noProof/>
          <w:sz w:val="24"/>
          <w:szCs w:val="24"/>
          <w:lang w:val="en-US"/>
        </w:rPr>
        <w:t xml:space="preserve">systems connected to a wastewater treatment plant. </w:t>
      </w:r>
    </w:p>
    <w:p w:rsidR="00AB50C5" w:rsidRDefault="00724275">
      <w:pPr>
        <w:pStyle w:val="JRCLevel-2title"/>
        <w:rPr>
          <w:rFonts w:ascii="Times New Roman" w:hAnsi="Times New Roman"/>
          <w:noProof/>
          <w:szCs w:val="24"/>
          <w:lang w:val="en-US"/>
        </w:rPr>
      </w:pPr>
      <w:bookmarkStart w:id="79" w:name="_Toc498695690"/>
      <w:bookmarkStart w:id="80" w:name="_Toc516234772"/>
      <w:r>
        <w:rPr>
          <w:rFonts w:ascii="Times New Roman" w:hAnsi="Times New Roman"/>
          <w:noProof/>
          <w:szCs w:val="24"/>
          <w:lang w:val="en-US"/>
        </w:rPr>
        <w:t>Aquifer recharge uses</w:t>
      </w:r>
      <w:bookmarkEnd w:id="79"/>
      <w:bookmarkEnd w:id="80"/>
    </w:p>
    <w:p w:rsidR="00AB50C5" w:rsidRDefault="00724275">
      <w:pPr>
        <w:spacing w:after="0" w:line="240" w:lineRule="auto"/>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 xml:space="preserve">Aquifer recharge refers, in the present document, to managed aquifer recharge, leaving incidental aquifer recharge out of the scope of this document. </w:t>
      </w:r>
    </w:p>
    <w:p w:rsidR="00AB50C5" w:rsidRDefault="00AB50C5">
      <w:pPr>
        <w:spacing w:after="0" w:line="240" w:lineRule="auto"/>
        <w:jc w:val="both"/>
        <w:rPr>
          <w:rFonts w:ascii="Times New Roman" w:hAnsi="Times New Roman" w:cs="Times New Roman"/>
          <w:noProof/>
          <w:sz w:val="24"/>
          <w:szCs w:val="24"/>
          <w:lang w:val="en-US" w:eastAsia="it-IT"/>
        </w:rPr>
      </w:pPr>
    </w:p>
    <w:p w:rsidR="00AB50C5" w:rsidRDefault="00724275">
      <w:pPr>
        <w:spacing w:after="0" w:line="240" w:lineRule="auto"/>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There is no definition at EU l</w:t>
      </w:r>
      <w:r>
        <w:rPr>
          <w:rFonts w:ascii="Times New Roman" w:hAnsi="Times New Roman" w:cs="Times New Roman"/>
          <w:noProof/>
          <w:sz w:val="24"/>
          <w:szCs w:val="24"/>
          <w:lang w:val="en-US" w:eastAsia="it-IT"/>
        </w:rPr>
        <w:t>evel of managed aquifer recharge (MAR), thus, a common definition of MAR at EU level is needed. In this regard, the definition considered is the one included in the Australian Guidelines for Water Recycling: Managed Aquifer Recharge (NRMMC–EPHC–NHMRC 2009)</w:t>
      </w:r>
      <w:r>
        <w:rPr>
          <w:rFonts w:ascii="Times New Roman" w:hAnsi="Times New Roman" w:cs="Times New Roman"/>
          <w:noProof/>
          <w:sz w:val="24"/>
          <w:szCs w:val="24"/>
          <w:lang w:val="en-US" w:eastAsia="it-IT"/>
        </w:rPr>
        <w:t>. Managed aquifer recharge (MAR) is defined as the intentional recharge of water (reclaimed water in this document) to aquifers for subsequent recovery or environmental benefit.</w:t>
      </w:r>
    </w:p>
    <w:p w:rsidR="00AB50C5" w:rsidRDefault="00AB50C5">
      <w:pPr>
        <w:spacing w:after="0" w:line="240" w:lineRule="auto"/>
        <w:jc w:val="both"/>
        <w:rPr>
          <w:rFonts w:ascii="Times New Roman" w:hAnsi="Times New Roman" w:cs="Times New Roman"/>
          <w:noProof/>
          <w:sz w:val="24"/>
          <w:szCs w:val="24"/>
          <w:lang w:val="en-US" w:eastAsia="it-IT"/>
        </w:rPr>
      </w:pPr>
    </w:p>
    <w:p w:rsidR="00AB50C5" w:rsidRDefault="00724275">
      <w:pPr>
        <w:spacing w:after="0" w:line="240" w:lineRule="auto"/>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rPr>
        <w:t>Although the WFD provides a definition for “aquifer” that applies to this doc</w:t>
      </w:r>
      <w:r>
        <w:rPr>
          <w:rFonts w:ascii="Times New Roman" w:hAnsi="Times New Roman" w:cs="Times New Roman"/>
          <w:noProof/>
          <w:sz w:val="24"/>
          <w:szCs w:val="24"/>
          <w:lang w:val="en-US"/>
        </w:rPr>
        <w:t>ument, t</w:t>
      </w:r>
      <w:r>
        <w:rPr>
          <w:rFonts w:ascii="Times New Roman" w:hAnsi="Times New Roman" w:cs="Times New Roman"/>
          <w:noProof/>
          <w:sz w:val="24"/>
          <w:szCs w:val="24"/>
          <w:lang w:val="en-US" w:eastAsia="it-IT"/>
        </w:rPr>
        <w:t>he difficulties in physically delimiting an aquifer, especially in the case of fractured karstic subsoil should be acknowledged.</w:t>
      </w:r>
    </w:p>
    <w:p w:rsidR="00AB50C5" w:rsidRDefault="00AB50C5">
      <w:pPr>
        <w:spacing w:after="0" w:line="240" w:lineRule="auto"/>
        <w:jc w:val="both"/>
        <w:rPr>
          <w:rFonts w:ascii="Times New Roman" w:hAnsi="Times New Roman" w:cs="Times New Roman"/>
          <w:noProof/>
          <w:sz w:val="24"/>
          <w:szCs w:val="24"/>
          <w:lang w:val="en-US" w:eastAsia="it-IT"/>
        </w:rPr>
      </w:pPr>
    </w:p>
    <w:p w:rsidR="00AB50C5" w:rsidRDefault="00724275">
      <w:pPr>
        <w:spacing w:after="0" w:line="240" w:lineRule="auto"/>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The purposes for managed aquifer recharge considered in this document are the following:</w:t>
      </w:r>
    </w:p>
    <w:p w:rsidR="00AB50C5" w:rsidRDefault="00724275">
      <w:pPr>
        <w:pStyle w:val="JRCTextbulletedlist1"/>
        <w:rPr>
          <w:rFonts w:ascii="Times New Roman" w:hAnsi="Times New Roman"/>
          <w:noProof/>
          <w:sz w:val="24"/>
          <w:szCs w:val="24"/>
          <w:lang w:val="en-US" w:eastAsia="it-IT"/>
        </w:rPr>
      </w:pPr>
      <w:r>
        <w:rPr>
          <w:rFonts w:ascii="Times New Roman" w:hAnsi="Times New Roman"/>
          <w:noProof/>
          <w:sz w:val="24"/>
          <w:szCs w:val="24"/>
          <w:lang w:val="en-US" w:eastAsia="it-IT"/>
        </w:rPr>
        <w:t>Establish saltwater intrusion</w:t>
      </w:r>
      <w:r>
        <w:rPr>
          <w:rFonts w:ascii="Times New Roman" w:hAnsi="Times New Roman"/>
          <w:noProof/>
          <w:sz w:val="24"/>
          <w:szCs w:val="24"/>
          <w:lang w:val="en-US" w:eastAsia="it-IT"/>
        </w:rPr>
        <w:t xml:space="preserve"> barriers in coastal aquifers.</w:t>
      </w:r>
    </w:p>
    <w:p w:rsidR="00AB50C5" w:rsidRDefault="00724275">
      <w:pPr>
        <w:pStyle w:val="JRCTextbulletedlist1"/>
        <w:rPr>
          <w:rFonts w:ascii="Times New Roman" w:hAnsi="Times New Roman"/>
          <w:noProof/>
          <w:sz w:val="24"/>
          <w:szCs w:val="24"/>
          <w:lang w:val="en-US" w:eastAsia="it-IT"/>
        </w:rPr>
      </w:pPr>
      <w:r>
        <w:rPr>
          <w:rFonts w:ascii="Times New Roman" w:hAnsi="Times New Roman"/>
          <w:noProof/>
          <w:sz w:val="24"/>
          <w:szCs w:val="24"/>
          <w:lang w:val="en-US" w:eastAsia="it-IT"/>
        </w:rPr>
        <w:t>Provide storage for the recharged water for subsequent retrieval and reuse.</w:t>
      </w:r>
    </w:p>
    <w:p w:rsidR="00AB50C5" w:rsidRDefault="00724275">
      <w:pPr>
        <w:pStyle w:val="JRCTextbulletedlist1"/>
        <w:rPr>
          <w:rFonts w:ascii="Times New Roman" w:hAnsi="Times New Roman"/>
          <w:noProof/>
          <w:sz w:val="24"/>
          <w:szCs w:val="24"/>
          <w:lang w:val="en-US" w:eastAsia="it-IT"/>
        </w:rPr>
      </w:pPr>
      <w:r>
        <w:rPr>
          <w:rFonts w:ascii="Times New Roman" w:hAnsi="Times New Roman"/>
          <w:noProof/>
          <w:sz w:val="24"/>
          <w:szCs w:val="24"/>
          <w:lang w:val="en-US" w:eastAsia="it-IT"/>
        </w:rPr>
        <w:t>Maintain groundwater dependent terrestrial and aquatic ecosystems.</w:t>
      </w:r>
    </w:p>
    <w:p w:rsidR="00AB50C5" w:rsidRDefault="00724275">
      <w:pPr>
        <w:pStyle w:val="JRCTextbulletedlist1"/>
        <w:rPr>
          <w:rFonts w:ascii="Times New Roman" w:hAnsi="Times New Roman"/>
          <w:noProof/>
          <w:sz w:val="24"/>
          <w:szCs w:val="24"/>
          <w:lang w:val="en-US" w:eastAsia="it-IT"/>
        </w:rPr>
      </w:pPr>
      <w:r>
        <w:rPr>
          <w:rFonts w:ascii="Times New Roman" w:hAnsi="Times New Roman"/>
          <w:noProof/>
          <w:sz w:val="24"/>
          <w:szCs w:val="24"/>
          <w:lang w:val="en-US" w:eastAsia="it-IT"/>
        </w:rPr>
        <w:t xml:space="preserve">Dilute saline or polluted aquifers.  </w:t>
      </w:r>
    </w:p>
    <w:p w:rsidR="00AB50C5" w:rsidRDefault="00724275">
      <w:pPr>
        <w:pStyle w:val="JRCTextbulletedlist1"/>
        <w:rPr>
          <w:rFonts w:ascii="Times New Roman" w:hAnsi="Times New Roman"/>
          <w:noProof/>
          <w:sz w:val="24"/>
          <w:szCs w:val="24"/>
          <w:lang w:val="en-US" w:eastAsia="it-IT"/>
        </w:rPr>
      </w:pPr>
      <w:r>
        <w:rPr>
          <w:rFonts w:ascii="Times New Roman" w:hAnsi="Times New Roman"/>
          <w:noProof/>
          <w:sz w:val="24"/>
          <w:szCs w:val="24"/>
          <w:lang w:val="en-US" w:eastAsia="it-IT"/>
        </w:rPr>
        <w:t>Control or prevent ground subsidence.</w:t>
      </w:r>
    </w:p>
    <w:p w:rsidR="00AB50C5" w:rsidRDefault="00724275">
      <w:pPr>
        <w:spacing w:after="0" w:line="240" w:lineRule="auto"/>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All ty</w:t>
      </w:r>
      <w:r>
        <w:rPr>
          <w:rFonts w:ascii="Times New Roman" w:hAnsi="Times New Roman" w:cs="Times New Roman"/>
          <w:noProof/>
          <w:sz w:val="24"/>
          <w:szCs w:val="24"/>
          <w:lang w:val="en-US" w:eastAsia="it-IT"/>
        </w:rPr>
        <w:t xml:space="preserve">pes of aquifers are contemplated in this document for potentially being recharged with reclaimed water. This document considers that all freshwater aquifers are potentially exploitable as potable water source. Furthermore, </w:t>
      </w:r>
      <w:r>
        <w:rPr>
          <w:rFonts w:ascii="Times New Roman" w:eastAsia="Calibri" w:hAnsi="Times New Roman" w:cs="Times New Roman"/>
          <w:noProof/>
          <w:sz w:val="24"/>
          <w:szCs w:val="24"/>
          <w:lang w:val="en-US" w:eastAsia="it-IT"/>
        </w:rPr>
        <w:t>different aquifers may be connect</w:t>
      </w:r>
      <w:r>
        <w:rPr>
          <w:rFonts w:ascii="Times New Roman" w:eastAsia="Calibri" w:hAnsi="Times New Roman" w:cs="Times New Roman"/>
          <w:noProof/>
          <w:sz w:val="24"/>
          <w:szCs w:val="24"/>
          <w:lang w:val="en-US" w:eastAsia="it-IT"/>
        </w:rPr>
        <w:t>ed, especially in karstic areas. T</w:t>
      </w:r>
      <w:r>
        <w:rPr>
          <w:rFonts w:ascii="Times New Roman" w:hAnsi="Times New Roman" w:cs="Times New Roman"/>
          <w:noProof/>
          <w:sz w:val="24"/>
          <w:szCs w:val="24"/>
          <w:lang w:val="en-US" w:eastAsia="it-IT"/>
        </w:rPr>
        <w:t>herefore, the present document doesn't differentiate quality requirements according to the present or future use of the aquifer but only according to its present quality and environmental objective under the WFD.</w:t>
      </w:r>
    </w:p>
    <w:p w:rsidR="00AB50C5" w:rsidRDefault="00724275">
      <w:pPr>
        <w:spacing w:after="0" w:line="240" w:lineRule="auto"/>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 xml:space="preserve"> </w:t>
      </w:r>
    </w:p>
    <w:p w:rsidR="00AB50C5" w:rsidRDefault="00724275">
      <w:pPr>
        <w:spacing w:after="0" w:line="240" w:lineRule="auto"/>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 xml:space="preserve">It is </w:t>
      </w:r>
      <w:r>
        <w:rPr>
          <w:rFonts w:ascii="Times New Roman" w:hAnsi="Times New Roman" w:cs="Times New Roman"/>
          <w:noProof/>
          <w:sz w:val="24"/>
          <w:szCs w:val="24"/>
          <w:lang w:val="en-US" w:eastAsia="it-IT"/>
        </w:rPr>
        <w:t>to be noted that the present document includes indirect potable reuse as a potential use of managed aquifer recharge. However, this document does not intend to promote water reuse for direct drinking water purposes.</w:t>
      </w:r>
    </w:p>
    <w:p w:rsidR="00AB50C5" w:rsidRDefault="00AB50C5">
      <w:pPr>
        <w:spacing w:after="0" w:line="240" w:lineRule="auto"/>
        <w:jc w:val="both"/>
        <w:rPr>
          <w:rFonts w:ascii="Times New Roman" w:hAnsi="Times New Roman" w:cs="Times New Roman"/>
          <w:noProof/>
          <w:sz w:val="24"/>
          <w:szCs w:val="24"/>
          <w:lang w:val="en-US" w:eastAsia="it-IT"/>
        </w:rPr>
      </w:pPr>
    </w:p>
    <w:p w:rsidR="00AB50C5" w:rsidRDefault="00724275">
      <w:pPr>
        <w:spacing w:after="0" w:line="240" w:lineRule="auto"/>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All existing recharge methods for manag</w:t>
      </w:r>
      <w:r>
        <w:rPr>
          <w:rFonts w:ascii="Times New Roman" w:hAnsi="Times New Roman" w:cs="Times New Roman"/>
          <w:noProof/>
          <w:sz w:val="24"/>
          <w:szCs w:val="24"/>
          <w:lang w:val="en-US" w:eastAsia="it-IT"/>
        </w:rPr>
        <w:t>ed aquifer recharge are allowed when using reclaimed water. Recharge methods can be grouped in two main categories: surface spreading and direct injection (NRMMC-EPHC–NHMRC, 2009; USEPA, 2012; CDPH, 2014). MS water reuse regulations that include aquifer re</w:t>
      </w:r>
      <w:r>
        <w:rPr>
          <w:rFonts w:ascii="Times New Roman" w:hAnsi="Times New Roman" w:cs="Times New Roman"/>
          <w:noProof/>
          <w:sz w:val="24"/>
          <w:szCs w:val="24"/>
          <w:lang w:val="en-US" w:eastAsia="it-IT"/>
        </w:rPr>
        <w:t>charge with reclaimed water apply this distinction between surface spreading and direct injection (JRC, 2014).</w:t>
      </w:r>
    </w:p>
    <w:p w:rsidR="00AB50C5" w:rsidRDefault="00724275">
      <w:pPr>
        <w:spacing w:after="0" w:line="240" w:lineRule="auto"/>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 xml:space="preserve"> </w:t>
      </w:r>
    </w:p>
    <w:p w:rsidR="00AB50C5" w:rsidRDefault="00724275">
      <w:pPr>
        <w:spacing w:after="0" w:line="240" w:lineRule="auto"/>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 xml:space="preserve">Surface spreading is a method of recharge whereby the water moves from the land surface to the aquifer by infiltration and percolation through the vadose zone (Regnery </w:t>
      </w:r>
      <w:r>
        <w:rPr>
          <w:rFonts w:ascii="Times New Roman" w:hAnsi="Times New Roman" w:cs="Times New Roman"/>
          <w:i/>
          <w:noProof/>
          <w:sz w:val="24"/>
          <w:szCs w:val="24"/>
          <w:lang w:val="en-US" w:eastAsia="it-IT"/>
        </w:rPr>
        <w:t>et al.</w:t>
      </w:r>
      <w:r>
        <w:rPr>
          <w:rFonts w:ascii="Times New Roman" w:hAnsi="Times New Roman" w:cs="Times New Roman"/>
          <w:noProof/>
          <w:sz w:val="24"/>
          <w:szCs w:val="24"/>
          <w:lang w:val="en-US" w:eastAsia="it-IT"/>
        </w:rPr>
        <w:t xml:space="preserve">, 2013). Direct injection recharge is achieved when water is pumped directly into </w:t>
      </w:r>
      <w:r>
        <w:rPr>
          <w:rFonts w:ascii="Times New Roman" w:hAnsi="Times New Roman" w:cs="Times New Roman"/>
          <w:noProof/>
          <w:sz w:val="24"/>
          <w:szCs w:val="24"/>
          <w:lang w:val="en-US" w:eastAsia="it-IT"/>
        </w:rPr>
        <w:t xml:space="preserve">the groundwater zone (i.e. saturated zone), usually into a well-confined aquifer (USEPA, 2012). </w:t>
      </w:r>
    </w:p>
    <w:p w:rsidR="00AB50C5" w:rsidRDefault="00AB50C5">
      <w:pPr>
        <w:spacing w:after="0" w:line="240" w:lineRule="auto"/>
        <w:jc w:val="both"/>
        <w:rPr>
          <w:rFonts w:ascii="Times New Roman" w:hAnsi="Times New Roman" w:cs="Times New Roman"/>
          <w:noProof/>
          <w:sz w:val="24"/>
          <w:szCs w:val="24"/>
          <w:lang w:val="en-US" w:eastAsia="it-IT"/>
        </w:rPr>
      </w:pPr>
    </w:p>
    <w:p w:rsidR="00AB50C5" w:rsidRDefault="00724275">
      <w:pPr>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eastAsia="it-IT"/>
        </w:rPr>
        <w:t>Article 11.3(j) of the WFD includes a ‘prohibition of direct discharges of pollutants into groundwater’ as a basic measure. Water reuse schemes, therefore, sh</w:t>
      </w:r>
      <w:r>
        <w:rPr>
          <w:rFonts w:ascii="Times New Roman" w:hAnsi="Times New Roman" w:cs="Times New Roman"/>
          <w:noProof/>
          <w:sz w:val="24"/>
          <w:szCs w:val="24"/>
          <w:lang w:eastAsia="it-IT"/>
        </w:rPr>
        <w:t>ould be designed so as not to allow direct discharges of pollutants into groundwater. This prohibition should be seen as complementary to the above mentioned controls imposed by Article 11.3(f) and the requirements of Article 6 of the Groundwater Directive</w:t>
      </w:r>
      <w:r>
        <w:rPr>
          <w:rFonts w:ascii="Times New Roman" w:hAnsi="Times New Roman" w:cs="Times New Roman"/>
          <w:noProof/>
          <w:sz w:val="24"/>
          <w:szCs w:val="24"/>
          <w:lang w:eastAsia="it-IT"/>
        </w:rPr>
        <w:t>.</w:t>
      </w:r>
      <w:r>
        <w:rPr>
          <w:rFonts w:ascii="Times New Roman" w:hAnsi="Times New Roman" w:cs="Times New Roman"/>
          <w:noProof/>
          <w:sz w:val="24"/>
          <w:szCs w:val="24"/>
          <w:lang w:val="sk-SK" w:eastAsia="it-IT"/>
        </w:rPr>
        <w:t xml:space="preserve"> </w:t>
      </w:r>
      <w:r>
        <w:rPr>
          <w:rFonts w:ascii="Times New Roman" w:hAnsi="Times New Roman" w:cs="Times New Roman"/>
          <w:noProof/>
          <w:sz w:val="24"/>
          <w:szCs w:val="24"/>
          <w:lang w:eastAsia="it-IT"/>
        </w:rPr>
        <w:t>It follows that reuse of treated wastewater for recharge of aquifers can contribute to the achievement of WFD objectives, as long as the water is of sufficient quality. It follows that neither the WFD nor the GWD excludes, in principle, a direct injectio</w:t>
      </w:r>
      <w:r>
        <w:rPr>
          <w:rFonts w:ascii="Times New Roman" w:hAnsi="Times New Roman" w:cs="Times New Roman"/>
          <w:noProof/>
          <w:sz w:val="24"/>
          <w:szCs w:val="24"/>
          <w:lang w:eastAsia="it-IT"/>
        </w:rPr>
        <w:t>n of treated wastewater for managed aquifer recharge which is permitted in accordance with Article 11.3(f) of the WFD.</w:t>
      </w:r>
    </w:p>
    <w:p w:rsidR="00AB50C5" w:rsidRDefault="00724275">
      <w:pPr>
        <w:pStyle w:val="JRCLevel-2title"/>
        <w:rPr>
          <w:rFonts w:ascii="Times New Roman" w:hAnsi="Times New Roman"/>
          <w:noProof/>
          <w:szCs w:val="24"/>
          <w:lang w:val="en-US"/>
        </w:rPr>
      </w:pPr>
      <w:bookmarkStart w:id="81" w:name="_Toc498695691"/>
      <w:bookmarkStart w:id="82" w:name="_Toc516234773"/>
      <w:r>
        <w:rPr>
          <w:rFonts w:ascii="Times New Roman" w:hAnsi="Times New Roman"/>
          <w:noProof/>
          <w:szCs w:val="24"/>
          <w:lang w:val="en-US"/>
        </w:rPr>
        <w:t>Risk management framework for managed aquifer recharge</w:t>
      </w:r>
      <w:bookmarkEnd w:id="81"/>
      <w:bookmarkEnd w:id="82"/>
      <w:r>
        <w:rPr>
          <w:rFonts w:ascii="Times New Roman" w:hAnsi="Times New Roman"/>
          <w:noProof/>
          <w:szCs w:val="24"/>
          <w:lang w:val="en-US"/>
        </w:rPr>
        <w:tab/>
      </w:r>
    </w:p>
    <w:p w:rsidR="00AB50C5" w:rsidRDefault="00724275">
      <w:pPr>
        <w:spacing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MS have to apply the elements of a risk management framework described in Section</w:t>
      </w:r>
      <w:r>
        <w:rPr>
          <w:rFonts w:ascii="Times New Roman" w:hAnsi="Times New Roman" w:cs="Times New Roman"/>
          <w:noProof/>
          <w:sz w:val="24"/>
          <w:szCs w:val="24"/>
          <w:lang w:val="en-US"/>
        </w:rPr>
        <w:t xml:space="preserve"> 4.2 to manage health and environmental risks derived from the use of reclaimed water for managed aquifer recharge. </w:t>
      </w:r>
    </w:p>
    <w:p w:rsidR="00AB50C5" w:rsidRDefault="00724275">
      <w:pPr>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The required reclaimed water quality criteria for managed aquifer recharge has to be defined on a case-by-case basis because it is consider</w:t>
      </w:r>
      <w:r>
        <w:rPr>
          <w:rFonts w:ascii="Times New Roman" w:hAnsi="Times New Roman" w:cs="Times New Roman"/>
          <w:noProof/>
          <w:sz w:val="24"/>
          <w:szCs w:val="24"/>
          <w:lang w:val="en-US"/>
        </w:rPr>
        <w:t>ed site specific. As stated above, quality requirements, for managed aquifer recharge are only differentiated, in this document, according to the existing groundwater quality and the environmental objectives under the WFD. Therefore, a site-by-site approac</w:t>
      </w:r>
      <w:r>
        <w:rPr>
          <w:rFonts w:ascii="Times New Roman" w:hAnsi="Times New Roman" w:cs="Times New Roman"/>
          <w:noProof/>
          <w:sz w:val="24"/>
          <w:szCs w:val="24"/>
          <w:lang w:val="en-US"/>
        </w:rPr>
        <w:t>h is necessary. In addition, due to the range of aquifer characteristics that come into play, it is difficult to use performance at one aquifer recharge site to predict performance at another.</w:t>
      </w:r>
    </w:p>
    <w:p w:rsidR="00AB50C5" w:rsidRDefault="00AB50C5">
      <w:pPr>
        <w:spacing w:after="0" w:line="240" w:lineRule="auto"/>
        <w:jc w:val="both"/>
        <w:rPr>
          <w:rFonts w:ascii="Times New Roman" w:hAnsi="Times New Roman" w:cs="Times New Roman"/>
          <w:noProof/>
          <w:sz w:val="24"/>
          <w:szCs w:val="24"/>
          <w:lang w:val="en-US"/>
        </w:rPr>
      </w:pPr>
    </w:p>
    <w:p w:rsidR="00AB50C5" w:rsidRDefault="00724275">
      <w:pPr>
        <w:autoSpaceDE w:val="0"/>
        <w:autoSpaceDN w:val="0"/>
        <w:adjustRightInd w:val="0"/>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Groundwater protection is the overarching aspect when aquifer </w:t>
      </w:r>
      <w:r>
        <w:rPr>
          <w:rFonts w:ascii="Times New Roman" w:hAnsi="Times New Roman" w:cs="Times New Roman"/>
          <w:noProof/>
          <w:sz w:val="24"/>
          <w:szCs w:val="24"/>
          <w:lang w:val="en-US"/>
        </w:rPr>
        <w:t>recharge is performed. In this regard, t</w:t>
      </w:r>
      <w:r>
        <w:rPr>
          <w:rFonts w:ascii="Times New Roman" w:hAnsi="Times New Roman" w:cs="Times New Roman"/>
          <w:noProof/>
          <w:sz w:val="24"/>
          <w:szCs w:val="24"/>
          <w:lang w:val="en-US" w:eastAsia="it-IT"/>
        </w:rPr>
        <w:t xml:space="preserve">he </w:t>
      </w:r>
      <w:r>
        <w:rPr>
          <w:rFonts w:ascii="Times New Roman" w:hAnsi="Times New Roman" w:cs="Times New Roman"/>
          <w:noProof/>
          <w:sz w:val="24"/>
          <w:szCs w:val="24"/>
          <w:lang w:val="en-US"/>
        </w:rPr>
        <w:t xml:space="preserve">Directive 2006/118/EC amended by Directive 2014/80/EU (Groundwater Directive (GWD)) </w:t>
      </w:r>
      <w:r>
        <w:rPr>
          <w:rFonts w:ascii="Times New Roman" w:hAnsi="Times New Roman" w:cs="Times New Roman"/>
          <w:noProof/>
          <w:sz w:val="24"/>
          <w:szCs w:val="24"/>
          <w:lang w:val="en-US" w:eastAsia="it-IT"/>
        </w:rPr>
        <w:t xml:space="preserve">complements the WFD and the </w:t>
      </w:r>
      <w:r>
        <w:rPr>
          <w:rFonts w:ascii="Times New Roman" w:hAnsi="Times New Roman" w:cs="Times New Roman"/>
          <w:noProof/>
          <w:color w:val="000000"/>
          <w:sz w:val="24"/>
          <w:szCs w:val="24"/>
          <w:lang w:val="en-US" w:eastAsia="it-IT"/>
        </w:rPr>
        <w:t>objective of the GWD is to protect groundwater against pollution and deterioration through the establ</w:t>
      </w:r>
      <w:r>
        <w:rPr>
          <w:rFonts w:ascii="Times New Roman" w:hAnsi="Times New Roman" w:cs="Times New Roman"/>
          <w:noProof/>
          <w:color w:val="000000"/>
          <w:sz w:val="24"/>
          <w:szCs w:val="24"/>
          <w:lang w:val="en-US" w:eastAsia="it-IT"/>
        </w:rPr>
        <w:t xml:space="preserve">ishment of specific measures to prevent and control groundwater pollution. </w:t>
      </w:r>
      <w:r>
        <w:rPr>
          <w:rFonts w:ascii="Times New Roman" w:hAnsi="Times New Roman" w:cs="Times New Roman"/>
          <w:noProof/>
          <w:sz w:val="24"/>
          <w:szCs w:val="24"/>
          <w:lang w:val="en-US" w:eastAsia="it-IT"/>
        </w:rPr>
        <w:t>MS must</w:t>
      </w:r>
      <w:r>
        <w:rPr>
          <w:rFonts w:ascii="Times New Roman" w:hAnsi="Times New Roman" w:cs="Times New Roman"/>
          <w:noProof/>
          <w:sz w:val="24"/>
          <w:szCs w:val="24"/>
          <w:lang w:val="en-US"/>
        </w:rPr>
        <w:t xml:space="preserve"> assure that the quality</w:t>
      </w:r>
      <w:r>
        <w:rPr>
          <w:rFonts w:ascii="Times New Roman" w:hAnsi="Times New Roman" w:cs="Times New Roman"/>
          <w:noProof/>
          <w:sz w:val="24"/>
          <w:szCs w:val="24"/>
          <w:lang w:val="en-US" w:eastAsia="it-IT"/>
        </w:rPr>
        <w:t xml:space="preserve"> of reclaimed water for managed aquifer recharge does not compromise the objectiv</w:t>
      </w:r>
      <w:r>
        <w:rPr>
          <w:rFonts w:ascii="Times New Roman" w:hAnsi="Times New Roman" w:cs="Times New Roman"/>
          <w:noProof/>
          <w:sz w:val="24"/>
          <w:szCs w:val="24"/>
          <w:lang w:val="en-US"/>
        </w:rPr>
        <w:t>es of the GWD and related Directives. MS have to establish, if necess</w:t>
      </w:r>
      <w:r>
        <w:rPr>
          <w:rFonts w:ascii="Times New Roman" w:hAnsi="Times New Roman" w:cs="Times New Roman"/>
          <w:noProof/>
          <w:sz w:val="24"/>
          <w:szCs w:val="24"/>
          <w:lang w:val="en-US"/>
        </w:rPr>
        <w:t>ary, minimum quality requirements for the parameters included in the related EU directives on a case-by-case basis to be complied with by the reclaimed water effluent and to be included for reclaimed water criteria in the verification monitoring.</w:t>
      </w:r>
    </w:p>
    <w:p w:rsidR="00AB50C5" w:rsidRDefault="00724275">
      <w:pPr>
        <w:autoSpaceDE w:val="0"/>
        <w:autoSpaceDN w:val="0"/>
        <w:adjustRightInd w:val="0"/>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eastAsia="it-IT"/>
        </w:rPr>
        <w:t xml:space="preserve"> </w:t>
      </w:r>
    </w:p>
    <w:p w:rsidR="00AB50C5" w:rsidRDefault="00724275">
      <w:pPr>
        <w:pStyle w:val="ListParagraph"/>
        <w:ind w:left="0"/>
        <w:jc w:val="both"/>
        <w:rPr>
          <w:rFonts w:ascii="Times New Roman" w:hAnsi="Times New Roman" w:cs="Times New Roman"/>
          <w:noProof/>
          <w:sz w:val="24"/>
          <w:szCs w:val="24"/>
          <w:lang w:val="en-US"/>
        </w:rPr>
      </w:pPr>
      <w:r>
        <w:rPr>
          <w:rFonts w:ascii="Times New Roman" w:hAnsi="Times New Roman" w:cs="Times New Roman"/>
          <w:noProof/>
          <w:sz w:val="24"/>
          <w:szCs w:val="24"/>
          <w:lang w:val="en-US" w:eastAsia="en-GB"/>
        </w:rPr>
        <w:t xml:space="preserve">An </w:t>
      </w:r>
      <w:r>
        <w:rPr>
          <w:rFonts w:ascii="Times New Roman" w:hAnsi="Times New Roman" w:cs="Times New Roman"/>
          <w:noProof/>
          <w:sz w:val="24"/>
          <w:szCs w:val="24"/>
          <w:lang w:val="en-US" w:eastAsia="en-GB"/>
        </w:rPr>
        <w:t>aquifer characterization has to be performed following the requirements established in the GWD in accordance with Article 5 of the WFD. Advanced modelling tools are advised to be used.</w:t>
      </w:r>
      <w:r>
        <w:rPr>
          <w:rFonts w:ascii="Times New Roman" w:hAnsi="Times New Roman" w:cs="Times New Roman"/>
          <w:noProof/>
          <w:sz w:val="24"/>
          <w:szCs w:val="24"/>
          <w:lang w:val="en" w:eastAsia="en-GB"/>
        </w:rPr>
        <w:t xml:space="preserve"> Guidance documents and technical reports have been produced by the Comm</w:t>
      </w:r>
      <w:r>
        <w:rPr>
          <w:rFonts w:ascii="Times New Roman" w:hAnsi="Times New Roman" w:cs="Times New Roman"/>
          <w:noProof/>
          <w:sz w:val="24"/>
          <w:szCs w:val="24"/>
          <w:lang w:val="en" w:eastAsia="en-GB"/>
        </w:rPr>
        <w:t xml:space="preserve">on Implementation Strategy (CIS) of the WFD to assist MS to implement the WFD, and some of them are tools to support </w:t>
      </w:r>
      <w:r>
        <w:rPr>
          <w:rFonts w:ascii="Times New Roman" w:hAnsi="Times New Roman" w:cs="Times New Roman"/>
          <w:noProof/>
          <w:sz w:val="24"/>
          <w:szCs w:val="24"/>
          <w:lang w:val="en-US" w:eastAsia="en-GB"/>
        </w:rPr>
        <w:t>aquifer characterisation as they provide guidance on, for instance, establishing groundwater monitoring programmes for status and trend ass</w:t>
      </w:r>
      <w:r>
        <w:rPr>
          <w:rFonts w:ascii="Times New Roman" w:hAnsi="Times New Roman" w:cs="Times New Roman"/>
          <w:noProof/>
          <w:sz w:val="24"/>
          <w:szCs w:val="24"/>
          <w:lang w:val="en-US" w:eastAsia="en-GB"/>
        </w:rPr>
        <w:t xml:space="preserve">essment (EC, 2007a; EC, 2007b; EC, 2009). </w:t>
      </w:r>
      <w:r>
        <w:rPr>
          <w:rFonts w:ascii="Times New Roman" w:hAnsi="Times New Roman" w:cs="Times New Roman"/>
          <w:noProof/>
          <w:sz w:val="24"/>
          <w:szCs w:val="24"/>
          <w:lang w:val="en" w:eastAsia="en-GB"/>
        </w:rPr>
        <w:t>Guidance documents are intended to provide an overall methodological approach, but these will need to be tailored to specific conditions of each case.</w:t>
      </w:r>
      <w:r>
        <w:rPr>
          <w:rFonts w:ascii="Times New Roman" w:eastAsia="Times New Roman" w:hAnsi="Times New Roman" w:cs="Times New Roman"/>
          <w:noProof/>
          <w:sz w:val="24"/>
          <w:szCs w:val="24"/>
          <w:lang w:val="en-US" w:eastAsia="en-GB"/>
        </w:rPr>
        <w:t xml:space="preserve"> </w:t>
      </w:r>
      <w:r>
        <w:rPr>
          <w:rFonts w:ascii="Times New Roman" w:eastAsia="MS Mincho" w:hAnsi="Times New Roman" w:cs="Times New Roman"/>
          <w:noProof/>
          <w:color w:val="000000"/>
          <w:sz w:val="24"/>
          <w:szCs w:val="24"/>
          <w:lang w:val="en-US" w:eastAsia="en-GB"/>
        </w:rPr>
        <w:t>Furthermore, the Environmental Impact Assessment Directive (201</w:t>
      </w:r>
      <w:r>
        <w:rPr>
          <w:rFonts w:ascii="Times New Roman" w:eastAsia="MS Mincho" w:hAnsi="Times New Roman" w:cs="Times New Roman"/>
          <w:noProof/>
          <w:color w:val="000000"/>
          <w:sz w:val="24"/>
          <w:szCs w:val="24"/>
          <w:lang w:val="en-US" w:eastAsia="en-GB"/>
        </w:rPr>
        <w:t xml:space="preserve">4/52/EU) (amending Directive 2011/92/EU) requires that managed aquifer recharge schemes </w:t>
      </w:r>
      <w:r>
        <w:rPr>
          <w:rFonts w:ascii="Times New Roman" w:eastAsia="MS Mincho" w:hAnsi="Times New Roman" w:cs="Times New Roman"/>
          <w:noProof/>
          <w:sz w:val="24"/>
          <w:szCs w:val="24"/>
          <w:lang w:val="en-US" w:eastAsia="en-GB"/>
        </w:rPr>
        <w:t>where the annual volume of water recharged is equivalent to or exceeds 10 million m</w:t>
      </w:r>
      <w:r>
        <w:rPr>
          <w:rFonts w:ascii="Times New Roman" w:eastAsia="MS Mincho" w:hAnsi="Times New Roman" w:cs="Times New Roman"/>
          <w:noProof/>
          <w:sz w:val="24"/>
          <w:szCs w:val="24"/>
          <w:vertAlign w:val="superscript"/>
          <w:lang w:val="en-US" w:eastAsia="en-GB"/>
        </w:rPr>
        <w:t>3</w:t>
      </w:r>
      <w:r>
        <w:rPr>
          <w:rFonts w:ascii="Times New Roman" w:eastAsia="MS Mincho" w:hAnsi="Times New Roman" w:cs="Times New Roman"/>
          <w:noProof/>
          <w:sz w:val="24"/>
          <w:szCs w:val="24"/>
          <w:lang w:val="en-US" w:eastAsia="en-GB"/>
        </w:rPr>
        <w:t xml:space="preserve"> have to undergo an environmental impact assessment.</w:t>
      </w:r>
      <w:r>
        <w:rPr>
          <w:rFonts w:ascii="Times New Roman" w:hAnsi="Times New Roman" w:cs="Times New Roman"/>
          <w:noProof/>
          <w:sz w:val="24"/>
          <w:szCs w:val="24"/>
          <w:lang w:val="en-US"/>
        </w:rPr>
        <w:t xml:space="preserve"> </w:t>
      </w:r>
    </w:p>
    <w:p w:rsidR="00AB50C5" w:rsidRDefault="00AB50C5">
      <w:pPr>
        <w:pStyle w:val="ListParagraph"/>
        <w:ind w:left="0"/>
        <w:jc w:val="both"/>
        <w:rPr>
          <w:rFonts w:ascii="Times New Roman" w:hAnsi="Times New Roman" w:cs="Times New Roman"/>
          <w:noProof/>
          <w:sz w:val="24"/>
          <w:szCs w:val="24"/>
          <w:lang w:val="en-US"/>
        </w:rPr>
      </w:pPr>
    </w:p>
    <w:p w:rsidR="00AB50C5" w:rsidRDefault="00724275">
      <w:pPr>
        <w:autoSpaceDE w:val="0"/>
        <w:autoSpaceDN w:val="0"/>
        <w:adjustRightInd w:val="0"/>
        <w:spacing w:after="0" w:line="240" w:lineRule="auto"/>
        <w:jc w:val="both"/>
        <w:rPr>
          <w:rFonts w:ascii="Times New Roman" w:hAnsi="Times New Roman" w:cs="Times New Roman"/>
          <w:noProof/>
          <w:color w:val="000000"/>
          <w:sz w:val="24"/>
          <w:szCs w:val="24"/>
          <w:lang w:val="en-US" w:eastAsia="it-IT"/>
        </w:rPr>
      </w:pPr>
      <w:r>
        <w:rPr>
          <w:rFonts w:ascii="Times New Roman" w:hAnsi="Times New Roman" w:cs="Times New Roman"/>
          <w:noProof/>
          <w:sz w:val="24"/>
          <w:szCs w:val="24"/>
          <w:lang w:val="en-US" w:eastAsia="it-IT"/>
        </w:rPr>
        <w:t>Considering the risks from ch</w:t>
      </w:r>
      <w:r>
        <w:rPr>
          <w:rFonts w:ascii="Times New Roman" w:hAnsi="Times New Roman" w:cs="Times New Roman"/>
          <w:noProof/>
          <w:sz w:val="24"/>
          <w:szCs w:val="24"/>
          <w:lang w:val="en-US" w:eastAsia="it-IT"/>
        </w:rPr>
        <w:t>emical substances, the GWD (Article 6) demands establishment of measures to prevent or limit inputs of pollutants into groundwater. These measures have to prevent inputs of any hazardous substances, in particular taking into account hazardous substances be</w:t>
      </w:r>
      <w:r>
        <w:rPr>
          <w:rFonts w:ascii="Times New Roman" w:hAnsi="Times New Roman" w:cs="Times New Roman"/>
          <w:noProof/>
          <w:sz w:val="24"/>
          <w:szCs w:val="24"/>
          <w:lang w:val="en-US" w:eastAsia="it-IT"/>
        </w:rPr>
        <w:t>longing to the families or groups of pollutants referred to in points 1 to 9 of Annex VIII of the WFD, where these are considered to be hazardous (including priority hazardous substances of the EQSD). The measures also have to limit inputs of pollutants fr</w:t>
      </w:r>
      <w:r>
        <w:rPr>
          <w:rFonts w:ascii="Times New Roman" w:hAnsi="Times New Roman" w:cs="Times New Roman"/>
          <w:noProof/>
          <w:sz w:val="24"/>
          <w:szCs w:val="24"/>
          <w:lang w:val="en-US" w:eastAsia="it-IT"/>
        </w:rPr>
        <w:t>om Annex VIII of the WFD which are not considered hazardous and any other non-hazardous substances not listed in Annex VIII considered to present an existing or potential risk of pollution, so as to ensure that such inputs do not cause deterioration or sig</w:t>
      </w:r>
      <w:r>
        <w:rPr>
          <w:rFonts w:ascii="Times New Roman" w:hAnsi="Times New Roman" w:cs="Times New Roman"/>
          <w:noProof/>
          <w:sz w:val="24"/>
          <w:szCs w:val="24"/>
          <w:lang w:val="en-US" w:eastAsia="it-IT"/>
        </w:rPr>
        <w:t>nificant and sustained upward trend in the concentration of pollutants in groundwater.</w:t>
      </w:r>
      <w:r>
        <w:rPr>
          <w:rFonts w:ascii="Times New Roman" w:hAnsi="Times New Roman" w:cs="Times New Roman"/>
          <w:noProof/>
          <w:color w:val="000000"/>
          <w:sz w:val="24"/>
          <w:szCs w:val="24"/>
          <w:lang w:val="en-US" w:eastAsia="it-IT"/>
        </w:rPr>
        <w:t xml:space="preserve"> According to the </w:t>
      </w:r>
      <w:r>
        <w:rPr>
          <w:rFonts w:ascii="Times New Roman" w:hAnsi="Times New Roman" w:cs="Times New Roman"/>
          <w:noProof/>
          <w:sz w:val="24"/>
          <w:szCs w:val="24"/>
          <w:lang w:val="en-US" w:eastAsia="it-IT"/>
        </w:rPr>
        <w:t xml:space="preserve">GWD </w:t>
      </w:r>
      <w:r>
        <w:rPr>
          <w:rFonts w:ascii="Times New Roman" w:hAnsi="Times New Roman" w:cs="Times New Roman"/>
          <w:noProof/>
          <w:color w:val="000000"/>
          <w:sz w:val="24"/>
          <w:szCs w:val="24"/>
          <w:lang w:val="en-US" w:eastAsia="it-IT"/>
        </w:rPr>
        <w:t xml:space="preserve">(amended by Directive 2014/80/EU) </w:t>
      </w:r>
      <w:r>
        <w:rPr>
          <w:rFonts w:ascii="Times New Roman" w:hAnsi="Times New Roman" w:cs="Times New Roman"/>
          <w:noProof/>
          <w:sz w:val="24"/>
          <w:szCs w:val="24"/>
          <w:lang w:val="en-US" w:eastAsia="it-IT"/>
        </w:rPr>
        <w:t>MS</w:t>
      </w:r>
      <w:r>
        <w:rPr>
          <w:rFonts w:ascii="Times New Roman" w:hAnsi="Times New Roman" w:cs="Times New Roman"/>
          <w:noProof/>
          <w:color w:val="000000"/>
          <w:sz w:val="24"/>
          <w:szCs w:val="24"/>
          <w:lang w:val="en-US" w:eastAsia="it-IT"/>
        </w:rPr>
        <w:t xml:space="preserve"> have to establish threshold values for groundwater pollutants and indicators of pollution on a national, river basin district or other appropriate level having regard dependent ecosystems and regional or even local conditions.</w:t>
      </w:r>
    </w:p>
    <w:p w:rsidR="00AB50C5" w:rsidRDefault="00AB50C5">
      <w:pPr>
        <w:autoSpaceDE w:val="0"/>
        <w:autoSpaceDN w:val="0"/>
        <w:adjustRightInd w:val="0"/>
        <w:spacing w:after="0" w:line="240" w:lineRule="auto"/>
        <w:jc w:val="both"/>
        <w:rPr>
          <w:rFonts w:ascii="Times New Roman" w:hAnsi="Times New Roman" w:cs="Times New Roman"/>
          <w:noProof/>
          <w:color w:val="000000"/>
          <w:sz w:val="24"/>
          <w:szCs w:val="24"/>
          <w:lang w:val="en-US" w:eastAsia="it-IT"/>
        </w:rPr>
      </w:pPr>
    </w:p>
    <w:p w:rsidR="00AB50C5" w:rsidRDefault="00724275">
      <w:pPr>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Besides the parameters of t</w:t>
      </w:r>
      <w:r>
        <w:rPr>
          <w:rFonts w:ascii="Times New Roman" w:hAnsi="Times New Roman" w:cs="Times New Roman"/>
          <w:noProof/>
          <w:sz w:val="24"/>
          <w:szCs w:val="24"/>
          <w:lang w:val="en-US"/>
        </w:rPr>
        <w:t>he GWD, additional hazards may also affect groundwater, and dependent ecosystems according to the potential hazards of the wastewater effluent to be treated for reuse and site specific conditions. In addition, when surface spreading is used as a recharge m</w:t>
      </w:r>
      <w:r>
        <w:rPr>
          <w:rFonts w:ascii="Times New Roman" w:hAnsi="Times New Roman" w:cs="Times New Roman"/>
          <w:noProof/>
          <w:sz w:val="24"/>
          <w:szCs w:val="24"/>
          <w:lang w:val="en-US"/>
        </w:rPr>
        <w:t>ethod, MS have to avoid adverse effects to the soil and related dependent ecosystems where reclaimed water is spread. Therefore, following</w:t>
      </w:r>
      <w:r>
        <w:rPr>
          <w:rFonts w:ascii="Times New Roman" w:hAnsi="Times New Roman" w:cs="Times New Roman"/>
          <w:bCs/>
          <w:iCs/>
          <w:noProof/>
          <w:sz w:val="24"/>
          <w:szCs w:val="24"/>
          <w:lang w:val="en-US"/>
        </w:rPr>
        <w:t xml:space="preserve"> an environmental risk assessment, </w:t>
      </w:r>
      <w:r>
        <w:rPr>
          <w:rFonts w:ascii="Times New Roman" w:hAnsi="Times New Roman" w:cs="Times New Roman"/>
          <w:noProof/>
          <w:sz w:val="24"/>
          <w:szCs w:val="24"/>
          <w:lang w:val="en-US"/>
        </w:rPr>
        <w:t>MS have to establish, if necessary, minimum quality requirements for additional par</w:t>
      </w:r>
      <w:r>
        <w:rPr>
          <w:rFonts w:ascii="Times New Roman" w:hAnsi="Times New Roman" w:cs="Times New Roman"/>
          <w:noProof/>
          <w:sz w:val="24"/>
          <w:szCs w:val="24"/>
          <w:lang w:val="en-US"/>
        </w:rPr>
        <w:t xml:space="preserve">ameters not included in the GWD to be complied with by the reclaimed water effluent </w:t>
      </w:r>
      <w:r>
        <w:rPr>
          <w:rFonts w:ascii="Times New Roman" w:hAnsi="Times New Roman" w:cs="Times New Roman"/>
          <w:noProof/>
          <w:sz w:val="24"/>
          <w:szCs w:val="24"/>
          <w:lang w:val="en-US" w:eastAsia="it-IT"/>
        </w:rPr>
        <w:t xml:space="preserve">and </w:t>
      </w:r>
      <w:r>
        <w:rPr>
          <w:rFonts w:ascii="Times New Roman" w:hAnsi="Times New Roman" w:cs="Times New Roman"/>
          <w:noProof/>
          <w:sz w:val="24"/>
          <w:szCs w:val="24"/>
          <w:lang w:val="en-US"/>
        </w:rPr>
        <w:t xml:space="preserve">to be included </w:t>
      </w:r>
      <w:r>
        <w:rPr>
          <w:rFonts w:ascii="Times New Roman" w:hAnsi="Times New Roman" w:cs="Times New Roman"/>
          <w:noProof/>
          <w:sz w:val="24"/>
          <w:szCs w:val="24"/>
          <w:lang w:val="en-US" w:eastAsia="it-IT"/>
        </w:rPr>
        <w:t>in the reclaimed water quality criteria in order to avoid adverse effects on groundwater and soils and related dependent ecosystems</w:t>
      </w:r>
      <w:r>
        <w:rPr>
          <w:rFonts w:ascii="Times New Roman" w:hAnsi="Times New Roman" w:cs="Times New Roman"/>
          <w:noProof/>
          <w:sz w:val="24"/>
          <w:szCs w:val="24"/>
          <w:lang w:val="en-US"/>
        </w:rPr>
        <w:t>.</w:t>
      </w:r>
    </w:p>
    <w:p w:rsidR="00AB50C5" w:rsidRDefault="00AB50C5">
      <w:pPr>
        <w:spacing w:after="0" w:line="240" w:lineRule="auto"/>
        <w:jc w:val="both"/>
        <w:rPr>
          <w:rFonts w:ascii="Times New Roman" w:hAnsi="Times New Roman" w:cs="Times New Roman"/>
          <w:noProof/>
          <w:sz w:val="24"/>
          <w:szCs w:val="24"/>
          <w:lang w:val="en-US"/>
        </w:rPr>
      </w:pPr>
    </w:p>
    <w:p w:rsidR="00AB50C5" w:rsidRDefault="00724275">
      <w:pPr>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MS have to implemen</w:t>
      </w:r>
      <w:r>
        <w:rPr>
          <w:rFonts w:ascii="Times New Roman" w:hAnsi="Times New Roman" w:cs="Times New Roman"/>
          <w:noProof/>
          <w:sz w:val="24"/>
          <w:szCs w:val="24"/>
          <w:lang w:val="en-US"/>
        </w:rPr>
        <w:t>t monitoring programs of the environmental matrices at risk to control the effect of managed aquifer recharge with reclaimed water irrigation as part of the verification monitoring. A monitoring program has to be established, on a case-by-case basis, accor</w:t>
      </w:r>
      <w:r>
        <w:rPr>
          <w:rFonts w:ascii="Times New Roman" w:hAnsi="Times New Roman" w:cs="Times New Roman"/>
          <w:noProof/>
          <w:sz w:val="24"/>
          <w:szCs w:val="24"/>
          <w:lang w:val="en-US"/>
        </w:rPr>
        <w:t xml:space="preserve">ding to the identified risks. </w:t>
      </w:r>
    </w:p>
    <w:p w:rsidR="00AB50C5" w:rsidRDefault="00AB50C5">
      <w:pPr>
        <w:spacing w:after="0" w:line="240" w:lineRule="auto"/>
        <w:jc w:val="both"/>
        <w:rPr>
          <w:rFonts w:ascii="Times New Roman" w:hAnsi="Times New Roman" w:cs="Times New Roman"/>
          <w:noProof/>
          <w:sz w:val="24"/>
          <w:szCs w:val="24"/>
          <w:lang w:val="en-US" w:eastAsia="en-AU"/>
        </w:rPr>
      </w:pPr>
    </w:p>
    <w:p w:rsidR="00AB50C5" w:rsidRDefault="00724275">
      <w:pPr>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Considering risks from health hazards (i.e. pathogens) these have to be prevented or limited from entering the aquifer considering the existing groundwater quality following the principle of no deterioration. No additional t</w:t>
      </w:r>
      <w:r>
        <w:rPr>
          <w:rFonts w:ascii="Times New Roman" w:hAnsi="Times New Roman" w:cs="Times New Roman"/>
          <w:noProof/>
          <w:sz w:val="24"/>
          <w:szCs w:val="24"/>
          <w:lang w:val="en-US"/>
        </w:rPr>
        <w:t>reatment has to be applied to the recovered water to comply with the water quality required for the intended use compare to the groundwater quality before recharge.</w:t>
      </w:r>
      <w:r>
        <w:rPr>
          <w:rFonts w:ascii="Times New Roman" w:hAnsi="Times New Roman" w:cs="Times New Roman"/>
          <w:noProof/>
          <w:sz w:val="24"/>
          <w:szCs w:val="24"/>
        </w:rPr>
        <w:t xml:space="preserve"> </w:t>
      </w:r>
      <w:r>
        <w:rPr>
          <w:rFonts w:ascii="Times New Roman" w:hAnsi="Times New Roman" w:cs="Times New Roman"/>
          <w:noProof/>
          <w:sz w:val="24"/>
          <w:szCs w:val="24"/>
          <w:lang w:val="en-US"/>
        </w:rPr>
        <w:t>Since the indirect potable use is always to be considered, a Quantitative Microbial Risk As</w:t>
      </w:r>
      <w:r>
        <w:rPr>
          <w:rFonts w:ascii="Times New Roman" w:hAnsi="Times New Roman" w:cs="Times New Roman"/>
          <w:noProof/>
          <w:sz w:val="24"/>
          <w:szCs w:val="24"/>
          <w:lang w:val="en-US"/>
        </w:rPr>
        <w:t>sessment (QMRA) is always needed.</w:t>
      </w:r>
    </w:p>
    <w:p w:rsidR="00AB50C5" w:rsidRDefault="00AB50C5">
      <w:pPr>
        <w:spacing w:after="0" w:line="240" w:lineRule="auto"/>
        <w:jc w:val="both"/>
        <w:rPr>
          <w:rFonts w:ascii="Times New Roman" w:hAnsi="Times New Roman" w:cs="Times New Roman"/>
          <w:noProof/>
          <w:sz w:val="24"/>
          <w:szCs w:val="24"/>
          <w:lang w:val="en-US"/>
        </w:rPr>
      </w:pPr>
    </w:p>
    <w:p w:rsidR="00AB50C5" w:rsidRDefault="00724275">
      <w:pPr>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When establishing reclaimed water quality parameters for managed aquifer recharge, it has to be considered the recharge method. Managed aquifer recharge by surface spreading will provide added benefits to reclaimed water </w:t>
      </w:r>
      <w:r>
        <w:rPr>
          <w:rFonts w:ascii="Times New Roman" w:hAnsi="Times New Roman" w:cs="Times New Roman"/>
          <w:noProof/>
          <w:sz w:val="24"/>
          <w:szCs w:val="24"/>
          <w:lang w:val="en-US"/>
        </w:rPr>
        <w:t xml:space="preserve">quality that direct injection is unable to, due to the natural attenuation capacity of the </w:t>
      </w:r>
      <w:r>
        <w:rPr>
          <w:rFonts w:ascii="Times New Roman" w:hAnsi="Times New Roman" w:cs="Times New Roman"/>
          <w:b/>
          <w:noProof/>
          <w:sz w:val="24"/>
          <w:szCs w:val="24"/>
          <w:lang w:val="en-US"/>
        </w:rPr>
        <w:t>vadose zone</w:t>
      </w:r>
      <w:r>
        <w:rPr>
          <w:rFonts w:ascii="Times New Roman" w:hAnsi="Times New Roman" w:cs="Times New Roman"/>
          <w:noProof/>
          <w:sz w:val="24"/>
          <w:szCs w:val="24"/>
          <w:lang w:val="en-US"/>
        </w:rPr>
        <w:t>. Surface spreading makes reclaimed water to pass through the vadose zone (i.e. unsaturated zone), hence allowing mechanisms that may result in attenuatio</w:t>
      </w:r>
      <w:r>
        <w:rPr>
          <w:rFonts w:ascii="Times New Roman" w:hAnsi="Times New Roman" w:cs="Times New Roman"/>
          <w:noProof/>
          <w:sz w:val="24"/>
          <w:szCs w:val="24"/>
          <w:lang w:val="en-US"/>
        </w:rPr>
        <w:t>n or degradation of substances and microorganisms content, as filtration, adsorption, precipitation, volatilisation, biodegradation, and microbial assimilation to take place (Van Houtte and Verbauwhede, 2008, NRMMC-EPHC–NHMRC, 2009). The GWD states that pr</w:t>
      </w:r>
      <w:r>
        <w:rPr>
          <w:rFonts w:ascii="Times New Roman" w:hAnsi="Times New Roman" w:cs="Times New Roman"/>
          <w:noProof/>
          <w:sz w:val="24"/>
          <w:szCs w:val="24"/>
          <w:lang w:val="en-US"/>
        </w:rPr>
        <w:t>ocesses in the vadose zone that result in attenuation or degradation of substances may be taken into account when considering measures to prevent or limit input into groundwater. It also indicates that the natural attenuation capacity of the unsaturated zo</w:t>
      </w:r>
      <w:r>
        <w:rPr>
          <w:rFonts w:ascii="Times New Roman" w:hAnsi="Times New Roman" w:cs="Times New Roman"/>
          <w:noProof/>
          <w:sz w:val="24"/>
          <w:szCs w:val="24"/>
          <w:lang w:val="en-US"/>
        </w:rPr>
        <w:t xml:space="preserve">ne may be taken into account when defining measures for both the </w:t>
      </w:r>
      <w:r>
        <w:rPr>
          <w:rFonts w:ascii="Times New Roman" w:hAnsi="Times New Roman" w:cs="Times New Roman"/>
          <w:i/>
          <w:iCs/>
          <w:noProof/>
          <w:sz w:val="24"/>
          <w:szCs w:val="24"/>
          <w:lang w:val="en-US"/>
        </w:rPr>
        <w:t xml:space="preserve">preventing </w:t>
      </w:r>
      <w:r>
        <w:rPr>
          <w:rFonts w:ascii="Times New Roman" w:hAnsi="Times New Roman" w:cs="Times New Roman"/>
          <w:noProof/>
          <w:sz w:val="24"/>
          <w:szCs w:val="24"/>
          <w:lang w:val="en-US"/>
        </w:rPr>
        <w:t xml:space="preserve">and </w:t>
      </w:r>
      <w:r>
        <w:rPr>
          <w:rFonts w:ascii="Times New Roman" w:hAnsi="Times New Roman" w:cs="Times New Roman"/>
          <w:i/>
          <w:iCs/>
          <w:noProof/>
          <w:sz w:val="24"/>
          <w:szCs w:val="24"/>
          <w:lang w:val="en-US"/>
        </w:rPr>
        <w:t xml:space="preserve">limiting </w:t>
      </w:r>
      <w:r>
        <w:rPr>
          <w:rFonts w:ascii="Times New Roman" w:hAnsi="Times New Roman" w:cs="Times New Roman"/>
          <w:noProof/>
          <w:sz w:val="24"/>
          <w:szCs w:val="24"/>
          <w:lang w:val="en-US"/>
        </w:rPr>
        <w:t xml:space="preserve">objective. For </w:t>
      </w:r>
      <w:r>
        <w:rPr>
          <w:rFonts w:ascii="Times New Roman" w:hAnsi="Times New Roman" w:cs="Times New Roman"/>
          <w:i/>
          <w:iCs/>
          <w:noProof/>
          <w:sz w:val="24"/>
          <w:szCs w:val="24"/>
          <w:lang w:val="en-US"/>
        </w:rPr>
        <w:t xml:space="preserve">limiting </w:t>
      </w:r>
      <w:r>
        <w:rPr>
          <w:rFonts w:ascii="Times New Roman" w:hAnsi="Times New Roman" w:cs="Times New Roman"/>
          <w:noProof/>
          <w:sz w:val="24"/>
          <w:szCs w:val="24"/>
          <w:lang w:val="en-US"/>
        </w:rPr>
        <w:t xml:space="preserve">even processes taking place in the saturated zone may be considered. </w:t>
      </w:r>
    </w:p>
    <w:p w:rsidR="00AB50C5" w:rsidRDefault="00724275">
      <w:pPr>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MS must assess the removal capacity of the vadose zone, on a case-by-case</w:t>
      </w:r>
      <w:r>
        <w:rPr>
          <w:rFonts w:ascii="Times New Roman" w:hAnsi="Times New Roman" w:cs="Times New Roman"/>
          <w:noProof/>
          <w:sz w:val="24"/>
          <w:szCs w:val="24"/>
          <w:lang w:val="en-US"/>
        </w:rPr>
        <w:t xml:space="preserve"> basis, in order to establish less stringent reclaimed water quality requirements for managed aquifer recharge by surface spreading, if applicable. However, as stated above, the adverse effects on soils and dependent ecosystems over the time have to be ass</w:t>
      </w:r>
      <w:r>
        <w:rPr>
          <w:rFonts w:ascii="Times New Roman" w:hAnsi="Times New Roman" w:cs="Times New Roman"/>
          <w:noProof/>
          <w:sz w:val="24"/>
          <w:szCs w:val="24"/>
          <w:lang w:val="en-US"/>
        </w:rPr>
        <w:t>ess.</w:t>
      </w:r>
    </w:p>
    <w:p w:rsidR="00AB50C5" w:rsidRDefault="00AB50C5">
      <w:pPr>
        <w:spacing w:after="0" w:line="240" w:lineRule="auto"/>
        <w:jc w:val="both"/>
        <w:rPr>
          <w:rFonts w:ascii="Times New Roman" w:hAnsi="Times New Roman" w:cs="Times New Roman"/>
          <w:noProof/>
          <w:sz w:val="24"/>
          <w:szCs w:val="24"/>
          <w:lang w:val="en-US"/>
        </w:rPr>
      </w:pPr>
    </w:p>
    <w:p w:rsidR="00AB50C5" w:rsidRDefault="00724275">
      <w:pPr>
        <w:spacing w:after="0" w:line="240" w:lineRule="auto"/>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rPr>
        <w:t>Removals in aquifers are primarily related to the residence time of the recharge water, the activity of the indigenous groundwater microorganisms, the redox state of the aquifer, and the temperature. Residence time in the aquifer induce an attenuatio</w:t>
      </w:r>
      <w:r>
        <w:rPr>
          <w:rFonts w:ascii="Times New Roman" w:hAnsi="Times New Roman" w:cs="Times New Roman"/>
          <w:noProof/>
          <w:sz w:val="24"/>
          <w:szCs w:val="24"/>
          <w:lang w:val="en-US"/>
        </w:rPr>
        <w:t xml:space="preserve">n of human pathogens and selected organic chemicals. MS have to evaluate the variables that may contribute to the removal of hazards. </w:t>
      </w:r>
      <w:r>
        <w:rPr>
          <w:rFonts w:ascii="Times New Roman" w:hAnsi="Times New Roman" w:cs="Times New Roman"/>
          <w:noProof/>
          <w:sz w:val="24"/>
          <w:szCs w:val="24"/>
          <w:lang w:val="en-US" w:eastAsia="it-IT"/>
        </w:rPr>
        <w:t>However, there are considerable challenges in validating and continually demonstrating the attenuation of pathogens in aqu</w:t>
      </w:r>
      <w:r>
        <w:rPr>
          <w:rFonts w:ascii="Times New Roman" w:hAnsi="Times New Roman" w:cs="Times New Roman"/>
          <w:noProof/>
          <w:sz w:val="24"/>
          <w:szCs w:val="24"/>
          <w:lang w:val="en-US" w:eastAsia="it-IT"/>
        </w:rPr>
        <w:t>ifers. The scientific literature demonstrating the removal of pathogens in managed aquifer recharge is limited, only a few pathogens have been studied, and in many cases these are not the worst-case target pathogen (NRMMC-EPHC–NHMRC, 2009; USEPA, 2012).</w:t>
      </w:r>
    </w:p>
    <w:p w:rsidR="00AB50C5" w:rsidRDefault="00AB50C5">
      <w:pPr>
        <w:spacing w:after="0" w:line="240" w:lineRule="auto"/>
        <w:jc w:val="both"/>
        <w:rPr>
          <w:rFonts w:ascii="Times New Roman" w:hAnsi="Times New Roman" w:cs="Times New Roman"/>
          <w:noProof/>
          <w:sz w:val="24"/>
          <w:szCs w:val="24"/>
          <w:lang w:val="en-US" w:eastAsia="it-IT"/>
        </w:rPr>
      </w:pPr>
    </w:p>
    <w:p w:rsidR="00AB50C5" w:rsidRDefault="00724275">
      <w:pPr>
        <w:spacing w:after="0" w:line="240" w:lineRule="auto"/>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rPr>
        <w:t>Re</w:t>
      </w:r>
      <w:r>
        <w:rPr>
          <w:rFonts w:ascii="Times New Roman" w:hAnsi="Times New Roman" w:cs="Times New Roman"/>
          <w:noProof/>
          <w:sz w:val="24"/>
          <w:szCs w:val="24"/>
          <w:lang w:val="en-US" w:eastAsia="it-IT"/>
        </w:rPr>
        <w:t xml:space="preserve">claimed water must comply with the quality criteria established by MS at the outlet of the treatment plant. </w:t>
      </w:r>
    </w:p>
    <w:p w:rsidR="00AB50C5" w:rsidRDefault="00AB50C5">
      <w:pPr>
        <w:spacing w:after="0" w:line="240" w:lineRule="auto"/>
        <w:jc w:val="both"/>
        <w:rPr>
          <w:rFonts w:ascii="Times New Roman" w:hAnsi="Times New Roman" w:cs="Times New Roman"/>
          <w:noProof/>
          <w:sz w:val="24"/>
          <w:szCs w:val="24"/>
          <w:lang w:val="en-US" w:eastAsia="it-IT"/>
        </w:rPr>
      </w:pPr>
    </w:p>
    <w:p w:rsidR="00AB50C5" w:rsidRDefault="00724275">
      <w:pPr>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Analytical methods used for monitoring shall comply with the requirements included in the related Directives (i.e. WFD (2000/60/EC), DWD (98/83/</w:t>
      </w:r>
      <w:r>
        <w:rPr>
          <w:rFonts w:ascii="Times New Roman" w:hAnsi="Times New Roman" w:cs="Times New Roman"/>
          <w:noProof/>
          <w:sz w:val="24"/>
          <w:szCs w:val="24"/>
          <w:lang w:val="en-US"/>
        </w:rPr>
        <w:t>EC), GWD (2006/118/EC) to conform to the quality control principles, including, if relevant, ISO/CEN or national standardized methods, to ensure the provision of data of an equivalent scientific quality and comparability.</w:t>
      </w:r>
    </w:p>
    <w:p w:rsidR="00AB50C5" w:rsidRDefault="00724275">
      <w:pPr>
        <w:spacing w:after="0" w:line="240" w:lineRule="auto"/>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rPr>
        <w:t>MS may use the Australian guidelin</w:t>
      </w:r>
      <w:r>
        <w:rPr>
          <w:rFonts w:ascii="Times New Roman" w:hAnsi="Times New Roman" w:cs="Times New Roman"/>
          <w:noProof/>
          <w:sz w:val="24"/>
          <w:szCs w:val="24"/>
          <w:lang w:val="en-US"/>
        </w:rPr>
        <w:t>es for managed aquifer recharge (</w:t>
      </w:r>
      <w:r>
        <w:rPr>
          <w:rFonts w:ascii="Times New Roman" w:hAnsi="Times New Roman" w:cs="Times New Roman"/>
          <w:noProof/>
          <w:sz w:val="24"/>
          <w:szCs w:val="24"/>
          <w:lang w:val="en-US" w:eastAsia="it-IT"/>
        </w:rPr>
        <w:t>NRMMC-EPHC–NHMRC, 2009) as a guidance to assess and manage environmental risks for managed aquifer recharge, as the risk management framework is applied in that guidelines.</w:t>
      </w:r>
    </w:p>
    <w:p w:rsidR="00AB50C5" w:rsidRDefault="00AB50C5">
      <w:pPr>
        <w:spacing w:after="0" w:line="240" w:lineRule="auto"/>
        <w:jc w:val="both"/>
        <w:rPr>
          <w:rFonts w:ascii="Times New Roman" w:hAnsi="Times New Roman" w:cs="Times New Roman"/>
          <w:noProof/>
          <w:sz w:val="24"/>
          <w:szCs w:val="24"/>
          <w:lang w:val="en-US"/>
        </w:rPr>
      </w:pPr>
    </w:p>
    <w:p w:rsidR="00AB50C5" w:rsidRDefault="00724275">
      <w:pPr>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Following the same approach as for agricultural i</w:t>
      </w:r>
      <w:r>
        <w:rPr>
          <w:rFonts w:ascii="Times New Roman" w:hAnsi="Times New Roman" w:cs="Times New Roman"/>
          <w:noProof/>
          <w:sz w:val="24"/>
          <w:szCs w:val="24"/>
          <w:lang w:val="en-US"/>
        </w:rPr>
        <w:t xml:space="preserve">rrigation, MS have to develop an operational monitoring protocol to </w:t>
      </w:r>
      <w:r>
        <w:rPr>
          <w:rFonts w:ascii="Times New Roman" w:hAnsi="Times New Roman" w:cs="Times New Roman"/>
          <w:noProof/>
          <w:sz w:val="24"/>
          <w:szCs w:val="24"/>
          <w:lang w:val="en-US" w:eastAsia="it-IT"/>
        </w:rPr>
        <w:t>assess and confirm that the performance of preventive measures of the water reuse system ensures reclaimed water of an appropriate quality to be consistently provided</w:t>
      </w:r>
      <w:r>
        <w:rPr>
          <w:rFonts w:ascii="Times New Roman" w:hAnsi="Times New Roman" w:cs="Times New Roman"/>
          <w:noProof/>
          <w:sz w:val="24"/>
          <w:szCs w:val="24"/>
          <w:lang w:val="en-US"/>
        </w:rPr>
        <w:t>. Examples of operatio</w:t>
      </w:r>
      <w:r>
        <w:rPr>
          <w:rFonts w:ascii="Times New Roman" w:hAnsi="Times New Roman" w:cs="Times New Roman"/>
          <w:noProof/>
          <w:sz w:val="24"/>
          <w:szCs w:val="24"/>
          <w:lang w:val="en-US"/>
        </w:rPr>
        <w:t xml:space="preserve">nal monitoring requirements for the preventive measure of wastewater treatment processes are shown in </w:t>
      </w:r>
      <w:r>
        <w:rPr>
          <w:rFonts w:ascii="Times New Roman" w:hAnsi="Times New Roman" w:cs="Times New Roman"/>
          <w:noProof/>
          <w:sz w:val="24"/>
          <w:szCs w:val="24"/>
          <w:lang w:val="en-US"/>
        </w:rPr>
        <w:fldChar w:fldCharType="begin"/>
      </w:r>
      <w:r>
        <w:rPr>
          <w:rFonts w:ascii="Times New Roman" w:hAnsi="Times New Roman" w:cs="Times New Roman"/>
          <w:noProof/>
          <w:sz w:val="24"/>
          <w:szCs w:val="24"/>
          <w:lang w:val="en-US"/>
        </w:rPr>
        <w:instrText xml:space="preserve"> REF _Ref494113220 \h  \* MERGEFORMAT </w:instrText>
      </w:r>
      <w:r>
        <w:rPr>
          <w:rFonts w:ascii="Times New Roman" w:hAnsi="Times New Roman" w:cs="Times New Roman"/>
          <w:noProof/>
          <w:sz w:val="24"/>
          <w:szCs w:val="24"/>
          <w:lang w:val="en-US"/>
        </w:rPr>
      </w:r>
      <w:r>
        <w:rPr>
          <w:rFonts w:ascii="Times New Roman" w:hAnsi="Times New Roman" w:cs="Times New Roman"/>
          <w:noProof/>
          <w:sz w:val="24"/>
          <w:szCs w:val="24"/>
          <w:lang w:val="en-US"/>
        </w:rPr>
        <w:fldChar w:fldCharType="separate"/>
      </w:r>
      <w:r>
        <w:rPr>
          <w:rFonts w:ascii="Times New Roman" w:hAnsi="Times New Roman" w:cs="Times New Roman"/>
          <w:noProof/>
          <w:sz w:val="24"/>
          <w:szCs w:val="24"/>
        </w:rPr>
        <w:t>Table 1</w:t>
      </w:r>
      <w:r>
        <w:rPr>
          <w:rFonts w:ascii="Times New Roman" w:hAnsi="Times New Roman" w:cs="Times New Roman"/>
          <w:noProof/>
          <w:sz w:val="24"/>
          <w:szCs w:val="24"/>
          <w:lang w:val="en-US"/>
        </w:rPr>
        <w:fldChar w:fldCharType="end"/>
      </w:r>
      <w:r>
        <w:rPr>
          <w:rFonts w:ascii="Times New Roman" w:hAnsi="Times New Roman" w:cs="Times New Roman"/>
          <w:noProof/>
          <w:sz w:val="24"/>
          <w:szCs w:val="24"/>
          <w:lang w:val="en-US"/>
        </w:rPr>
        <w:t xml:space="preserve"> and are described in the Australian guide</w:t>
      </w:r>
      <w:r>
        <w:rPr>
          <w:rFonts w:ascii="Times New Roman" w:hAnsi="Times New Roman" w:cs="Times New Roman"/>
          <w:noProof/>
          <w:sz w:val="24"/>
          <w:szCs w:val="24"/>
          <w:lang w:val="en-US"/>
        </w:rPr>
        <w:t>lines for managed aquifer recharge (NRMMC-EPHC–NHMRC, 2009).</w:t>
      </w:r>
    </w:p>
    <w:p w:rsidR="00AB50C5" w:rsidRDefault="00724275">
      <w:pPr>
        <w:pStyle w:val="JRCLevel-2title"/>
        <w:rPr>
          <w:rFonts w:ascii="Times New Roman" w:hAnsi="Times New Roman"/>
          <w:noProof/>
          <w:szCs w:val="24"/>
          <w:lang w:val="en-US"/>
        </w:rPr>
      </w:pPr>
      <w:bookmarkStart w:id="83" w:name="_Toc498695692"/>
      <w:bookmarkStart w:id="84" w:name="_Toc516234774"/>
      <w:r>
        <w:rPr>
          <w:rFonts w:ascii="Times New Roman" w:hAnsi="Times New Roman"/>
          <w:noProof/>
          <w:szCs w:val="24"/>
          <w:lang w:val="en-US"/>
        </w:rPr>
        <w:t>Justification for the selected requirements</w:t>
      </w:r>
      <w:bookmarkEnd w:id="83"/>
      <w:bookmarkEnd w:id="84"/>
    </w:p>
    <w:p w:rsidR="00AB50C5" w:rsidRDefault="00724275">
      <w:pPr>
        <w:autoSpaceDE w:val="0"/>
        <w:autoSpaceDN w:val="0"/>
        <w:adjustRightInd w:val="0"/>
        <w:spacing w:after="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The case-by case approach selected for managed aquifer recharge quality requirements is recommended by the Australian guidelines for managed aquifer re</w:t>
      </w:r>
      <w:r>
        <w:rPr>
          <w:rFonts w:ascii="Times New Roman" w:hAnsi="Times New Roman" w:cs="Times New Roman"/>
          <w:noProof/>
          <w:sz w:val="24"/>
          <w:szCs w:val="24"/>
          <w:lang w:val="en-US"/>
        </w:rPr>
        <w:t>charge (</w:t>
      </w:r>
      <w:r>
        <w:rPr>
          <w:rFonts w:ascii="Times New Roman" w:hAnsi="Times New Roman" w:cs="Times New Roman"/>
          <w:noProof/>
          <w:sz w:val="24"/>
          <w:szCs w:val="24"/>
          <w:lang w:val="en-US" w:eastAsia="it-IT"/>
        </w:rPr>
        <w:t xml:space="preserve">NRMMC-EPHC–NHMRC, 2009), </w:t>
      </w:r>
      <w:r>
        <w:rPr>
          <w:rFonts w:ascii="Times New Roman" w:hAnsi="Times New Roman" w:cs="Times New Roman"/>
          <w:noProof/>
          <w:sz w:val="24"/>
          <w:szCs w:val="24"/>
          <w:lang w:val="en-US"/>
        </w:rPr>
        <w:t xml:space="preserve">the USEPA guidelines (USEPA, 2012) </w:t>
      </w:r>
      <w:r>
        <w:rPr>
          <w:rFonts w:ascii="Times New Roman" w:hAnsi="Times New Roman" w:cs="Times New Roman"/>
          <w:noProof/>
          <w:sz w:val="24"/>
          <w:szCs w:val="24"/>
          <w:lang w:val="en-US" w:eastAsia="it-IT"/>
        </w:rPr>
        <w:t>and the California regulations (CDPH, 2014). The USEPA guidelines and the California regulations establish specific quality requirements for indirect potable reuse through</w:t>
      </w:r>
      <w:r>
        <w:rPr>
          <w:rFonts w:ascii="Times New Roman" w:hAnsi="Times New Roman" w:cs="Times New Roman"/>
          <w:noProof/>
          <w:sz w:val="24"/>
          <w:szCs w:val="24"/>
          <w:lang w:val="en-US"/>
        </w:rPr>
        <w:t xml:space="preserve"> managed aquifer recharge, similar to drinking water quality requirements, as they differentiate between potable and non-potable aquifers.</w:t>
      </w:r>
    </w:p>
    <w:p w:rsidR="00AB50C5" w:rsidRDefault="00AB50C5">
      <w:pPr>
        <w:autoSpaceDE w:val="0"/>
        <w:autoSpaceDN w:val="0"/>
        <w:adjustRightInd w:val="0"/>
        <w:spacing w:after="0" w:line="240" w:lineRule="auto"/>
        <w:jc w:val="both"/>
        <w:rPr>
          <w:rFonts w:ascii="Times New Roman" w:hAnsi="Times New Roman" w:cs="Times New Roman"/>
          <w:noProof/>
          <w:sz w:val="24"/>
          <w:szCs w:val="24"/>
          <w:lang w:val="en-US"/>
        </w:rPr>
      </w:pPr>
    </w:p>
    <w:p w:rsidR="00AB50C5" w:rsidRDefault="00724275">
      <w:pPr>
        <w:autoSpaceDE w:val="0"/>
        <w:autoSpaceDN w:val="0"/>
        <w:adjustRightInd w:val="0"/>
        <w:spacing w:after="0" w:line="240" w:lineRule="auto"/>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rPr>
        <w:t>The GWD is the EU Directive most directly related to managed aquifer recharge. Considering the hazards potentially p</w:t>
      </w:r>
      <w:r>
        <w:rPr>
          <w:rFonts w:ascii="Times New Roman" w:hAnsi="Times New Roman" w:cs="Times New Roman"/>
          <w:noProof/>
          <w:sz w:val="24"/>
          <w:szCs w:val="24"/>
          <w:lang w:val="en-US"/>
        </w:rPr>
        <w:t>resent in wastewater, microbiological and chemical hazards, a risk assessment is to be performed to assess additional hazards not contemplated in the GWD that may represent a health or environmental risk. This is also in line with guidelines and regulation</w:t>
      </w:r>
      <w:r>
        <w:rPr>
          <w:rFonts w:ascii="Times New Roman" w:hAnsi="Times New Roman" w:cs="Times New Roman"/>
          <w:noProof/>
          <w:sz w:val="24"/>
          <w:szCs w:val="24"/>
          <w:lang w:val="en-US"/>
        </w:rPr>
        <w:t>s that include managed aquifer recharge</w:t>
      </w:r>
      <w:r>
        <w:rPr>
          <w:rFonts w:ascii="Times New Roman" w:hAnsi="Times New Roman" w:cs="Times New Roman"/>
          <w:noProof/>
          <w:sz w:val="24"/>
          <w:szCs w:val="24"/>
          <w:lang w:val="en-US" w:eastAsia="it-IT"/>
        </w:rPr>
        <w:t xml:space="preserve"> with reclaimed water as site specific for managing risks (NRMMC-EPHC–NHMRC, 2009; </w:t>
      </w:r>
      <w:r>
        <w:rPr>
          <w:rFonts w:ascii="Times New Roman" w:hAnsi="Times New Roman" w:cs="Times New Roman"/>
          <w:noProof/>
          <w:sz w:val="24"/>
          <w:szCs w:val="24"/>
          <w:lang w:val="en-US"/>
        </w:rPr>
        <w:t xml:space="preserve">USEPA, 2012; </w:t>
      </w:r>
      <w:r>
        <w:rPr>
          <w:rFonts w:ascii="Times New Roman" w:hAnsi="Times New Roman" w:cs="Times New Roman"/>
          <w:noProof/>
          <w:sz w:val="24"/>
          <w:szCs w:val="24"/>
          <w:lang w:val="en-US" w:eastAsia="it-IT"/>
        </w:rPr>
        <w:t>CDPH, 2014).</w:t>
      </w:r>
    </w:p>
    <w:p w:rsidR="00AB50C5" w:rsidRDefault="00AB50C5">
      <w:pPr>
        <w:autoSpaceDE w:val="0"/>
        <w:autoSpaceDN w:val="0"/>
        <w:adjustRightInd w:val="0"/>
        <w:spacing w:after="0" w:line="240" w:lineRule="auto"/>
        <w:jc w:val="both"/>
        <w:rPr>
          <w:rFonts w:ascii="Times New Roman" w:hAnsi="Times New Roman" w:cs="Times New Roman"/>
          <w:noProof/>
          <w:sz w:val="24"/>
          <w:szCs w:val="24"/>
          <w:lang w:val="en-US" w:eastAsia="it-IT"/>
        </w:rPr>
      </w:pPr>
    </w:p>
    <w:p w:rsidR="00AB50C5" w:rsidRDefault="00724275">
      <w:pPr>
        <w:autoSpaceDE w:val="0"/>
        <w:autoSpaceDN w:val="0"/>
        <w:adjustRightInd w:val="0"/>
        <w:spacing w:after="0" w:line="240" w:lineRule="auto"/>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This situation of a highly site-specific framework of boundary conditions to be considered for aquifers mak</w:t>
      </w:r>
      <w:r>
        <w:rPr>
          <w:rFonts w:ascii="Times New Roman" w:hAnsi="Times New Roman" w:cs="Times New Roman"/>
          <w:noProof/>
          <w:sz w:val="24"/>
          <w:szCs w:val="24"/>
          <w:lang w:val="en-US" w:eastAsia="it-IT"/>
        </w:rPr>
        <w:t>es it very challenging to establish EU-wide parametric values to be implemented.</w:t>
      </w:r>
    </w:p>
    <w:p w:rsidR="00AB50C5" w:rsidRDefault="00AB50C5">
      <w:pPr>
        <w:autoSpaceDE w:val="0"/>
        <w:autoSpaceDN w:val="0"/>
        <w:adjustRightInd w:val="0"/>
        <w:spacing w:after="0" w:line="240" w:lineRule="auto"/>
        <w:jc w:val="both"/>
        <w:rPr>
          <w:rFonts w:ascii="Times New Roman" w:hAnsi="Times New Roman" w:cs="Times New Roman"/>
          <w:noProof/>
          <w:sz w:val="24"/>
          <w:szCs w:val="24"/>
          <w:lang w:val="en-US" w:eastAsia="it-IT"/>
        </w:rPr>
      </w:pPr>
    </w:p>
    <w:p w:rsidR="00AB50C5" w:rsidRDefault="00724275">
      <w:pPr>
        <w:pStyle w:val="JRCLevel-1title"/>
        <w:jc w:val="both"/>
        <w:rPr>
          <w:rFonts w:ascii="Times New Roman" w:hAnsi="Times New Roman"/>
          <w:noProof/>
          <w:sz w:val="24"/>
        </w:rPr>
      </w:pPr>
      <w:bookmarkStart w:id="85" w:name="_Toc498695693"/>
      <w:bookmarkStart w:id="86" w:name="_Toc516234775"/>
      <w:r>
        <w:rPr>
          <w:rFonts w:ascii="Times New Roman" w:hAnsi="Times New Roman"/>
          <w:noProof/>
          <w:sz w:val="24"/>
        </w:rPr>
        <w:t>Compounds of emerging concern</w:t>
      </w:r>
      <w:bookmarkEnd w:id="85"/>
      <w:bookmarkEnd w:id="86"/>
    </w:p>
    <w:p w:rsidR="00AB50C5" w:rsidRDefault="00724275">
      <w:pPr>
        <w:pStyle w:val="JRCText"/>
        <w:rPr>
          <w:rFonts w:ascii="Times New Roman" w:hAnsi="Times New Roman"/>
          <w:noProof/>
          <w:sz w:val="24"/>
          <w:szCs w:val="24"/>
        </w:rPr>
      </w:pPr>
      <w:r>
        <w:rPr>
          <w:rFonts w:ascii="Times New Roman" w:hAnsi="Times New Roman"/>
          <w:noProof/>
          <w:sz w:val="24"/>
          <w:szCs w:val="24"/>
        </w:rPr>
        <w:t>This section addresses the subject of the compounds of emerging concern related to the use of reclaimed water for agricultural irrigation and aq</w:t>
      </w:r>
      <w:r>
        <w:rPr>
          <w:rFonts w:ascii="Times New Roman" w:hAnsi="Times New Roman"/>
          <w:noProof/>
          <w:sz w:val="24"/>
          <w:szCs w:val="24"/>
        </w:rPr>
        <w:t>uifer recharge.</w:t>
      </w:r>
    </w:p>
    <w:p w:rsidR="00AB50C5" w:rsidRDefault="00724275">
      <w:pPr>
        <w:pStyle w:val="JRCLevel-2title"/>
        <w:rPr>
          <w:rFonts w:ascii="Times New Roman" w:hAnsi="Times New Roman"/>
          <w:noProof/>
          <w:szCs w:val="24"/>
        </w:rPr>
      </w:pPr>
      <w:bookmarkStart w:id="87" w:name="_Toc498695694"/>
      <w:bookmarkStart w:id="88" w:name="_Toc516234776"/>
      <w:r>
        <w:rPr>
          <w:rFonts w:ascii="Times New Roman" w:hAnsi="Times New Roman"/>
          <w:noProof/>
          <w:szCs w:val="24"/>
        </w:rPr>
        <w:t>Knowledge and gaps</w:t>
      </w:r>
      <w:bookmarkEnd w:id="87"/>
      <w:bookmarkEnd w:id="88"/>
    </w:p>
    <w:p w:rsidR="00AB50C5" w:rsidRDefault="00724275">
      <w:pPr>
        <w:spacing w:line="240" w:lineRule="auto"/>
        <w:jc w:val="both"/>
        <w:rPr>
          <w:rFonts w:ascii="Times New Roman" w:hAnsi="Times New Roman" w:cs="Times New Roman"/>
          <w:noProof/>
          <w:sz w:val="24"/>
          <w:szCs w:val="24"/>
          <w:lang w:val="en-AU" w:eastAsia="it-IT"/>
        </w:rPr>
      </w:pPr>
      <w:r>
        <w:rPr>
          <w:rFonts w:ascii="Times New Roman" w:hAnsi="Times New Roman" w:cs="Times New Roman"/>
          <w:noProof/>
          <w:sz w:val="24"/>
          <w:szCs w:val="24"/>
          <w:lang w:val="en-AU" w:eastAsia="it-IT"/>
        </w:rPr>
        <w:t xml:space="preserve">With the advance of analytical techniques a number of chemical compounds, which are not commonly regulated, have been detected in drinking water, wastewater, or the aquatic environment, generally at very low levels. This </w:t>
      </w:r>
      <w:r>
        <w:rPr>
          <w:rFonts w:ascii="Times New Roman" w:hAnsi="Times New Roman" w:cs="Times New Roman"/>
          <w:noProof/>
          <w:sz w:val="24"/>
          <w:szCs w:val="24"/>
          <w:lang w:val="en-AU" w:eastAsia="it-IT"/>
        </w:rPr>
        <w:t>broad and growing group of chemicals is termed Compounds of Emerging Concern (CECs) (or sometimes in a misleading way emerging pollutants). The concern is due to either a knowledge gap about the relationship of the substances' concentrations and possible (</w:t>
      </w:r>
      <w:r>
        <w:rPr>
          <w:rFonts w:ascii="Times New Roman" w:hAnsi="Times New Roman" w:cs="Times New Roman"/>
          <w:noProof/>
          <w:sz w:val="24"/>
          <w:szCs w:val="24"/>
          <w:lang w:val="en-AU" w:eastAsia="it-IT"/>
        </w:rPr>
        <w:t>eco)toxicological effects – usually due to chronic exposure, or the lack of understanding how such substances interact as chemical mixture. CECs are not necessarily new compounds and might have been present in the environment for a longer time, while their</w:t>
      </w:r>
      <w:r>
        <w:rPr>
          <w:rFonts w:ascii="Times New Roman" w:hAnsi="Times New Roman" w:cs="Times New Roman"/>
          <w:noProof/>
          <w:sz w:val="24"/>
          <w:szCs w:val="24"/>
          <w:lang w:val="en-AU" w:eastAsia="it-IT"/>
        </w:rPr>
        <w:t xml:space="preserve"> presence and significance are only recognised now. While the Water Framework Directive addresses the issue through a process of structured prioritization, no precises relationship is established between the occurrences and levels of CECs in (treated) wast</w:t>
      </w:r>
      <w:r>
        <w:rPr>
          <w:rFonts w:ascii="Times New Roman" w:hAnsi="Times New Roman" w:cs="Times New Roman"/>
          <w:noProof/>
          <w:sz w:val="24"/>
          <w:szCs w:val="24"/>
          <w:lang w:val="en-AU" w:eastAsia="it-IT"/>
        </w:rPr>
        <w:t>ewater and the acceptable level in the aquatic environment.</w:t>
      </w:r>
    </w:p>
    <w:p w:rsidR="00AB50C5" w:rsidRDefault="00724275">
      <w:pPr>
        <w:spacing w:line="240" w:lineRule="auto"/>
        <w:jc w:val="both"/>
        <w:rPr>
          <w:rFonts w:ascii="Times New Roman" w:hAnsi="Times New Roman" w:cs="Times New Roman"/>
          <w:noProof/>
          <w:sz w:val="24"/>
          <w:szCs w:val="24"/>
          <w:lang w:eastAsia="it-IT"/>
        </w:rPr>
      </w:pPr>
      <w:r>
        <w:rPr>
          <w:rFonts w:ascii="Times New Roman" w:hAnsi="Times New Roman" w:cs="Times New Roman"/>
          <w:noProof/>
          <w:sz w:val="24"/>
          <w:szCs w:val="24"/>
          <w:lang w:eastAsia="it-IT"/>
        </w:rPr>
        <w:t xml:space="preserve">CECs include groups of compounds categorized usually by end use (e.g. pharmaceuticals, non-prescription drugs, personal care products, household chemicals, food additives, flame retardants, </w:t>
      </w:r>
      <w:r>
        <w:rPr>
          <w:rFonts w:ascii="Times New Roman" w:hAnsi="Times New Roman" w:cs="Times New Roman"/>
          <w:noProof/>
          <w:sz w:val="24"/>
          <w:szCs w:val="24"/>
          <w:lang w:eastAsia="it-IT"/>
        </w:rPr>
        <w:t xml:space="preserve">plasticizers, disinfection-by-products, and biocides), by environmental and human health effects (e.g. hormonally active agents, endocrine disrupting compounds [EDCs]), or by type of compound (e.g. chemical vs. microbiological, antibiotic resistance gens, </w:t>
      </w:r>
      <w:r>
        <w:rPr>
          <w:rFonts w:ascii="Times New Roman" w:hAnsi="Times New Roman" w:cs="Times New Roman"/>
          <w:noProof/>
          <w:sz w:val="24"/>
          <w:szCs w:val="24"/>
          <w:lang w:eastAsia="it-IT"/>
        </w:rPr>
        <w:t>phenolic vs. polycyclic aromatic hydrocarbons), as well as transformation products resulting from various biotic and abiotic processes, and mixtures of chemicals (WHO, 2011; USEPA, 2012).</w:t>
      </w:r>
    </w:p>
    <w:p w:rsidR="00AB50C5" w:rsidRDefault="00724275">
      <w:pPr>
        <w:spacing w:line="240" w:lineRule="auto"/>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It is commonly accepted that today a frequent monitoring for every p</w:t>
      </w:r>
      <w:r>
        <w:rPr>
          <w:rFonts w:ascii="Times New Roman" w:hAnsi="Times New Roman" w:cs="Times New Roman"/>
          <w:noProof/>
          <w:sz w:val="24"/>
          <w:szCs w:val="24"/>
          <w:lang w:val="en-US" w:eastAsia="it-IT"/>
        </w:rPr>
        <w:t>otential chemical substance is neither feasible nor plausible. Research is focusing on the development of a science-based framework to guide the identification of CECs that should be monitored or otherwise regulated, including the context of reclaimed wate</w:t>
      </w:r>
      <w:r>
        <w:rPr>
          <w:rFonts w:ascii="Times New Roman" w:hAnsi="Times New Roman" w:cs="Times New Roman"/>
          <w:noProof/>
          <w:sz w:val="24"/>
          <w:szCs w:val="24"/>
          <w:lang w:val="en-US" w:eastAsia="it-IT"/>
        </w:rPr>
        <w:t xml:space="preserve">r use, especially for potable use (Drewes </w:t>
      </w:r>
      <w:r>
        <w:rPr>
          <w:rFonts w:ascii="Times New Roman" w:hAnsi="Times New Roman" w:cs="Times New Roman"/>
          <w:i/>
          <w:noProof/>
          <w:sz w:val="24"/>
          <w:szCs w:val="24"/>
          <w:lang w:val="en-US" w:eastAsia="it-IT"/>
        </w:rPr>
        <w:t>et al.</w:t>
      </w:r>
      <w:r>
        <w:rPr>
          <w:rFonts w:ascii="Times New Roman" w:hAnsi="Times New Roman" w:cs="Times New Roman"/>
          <w:noProof/>
          <w:sz w:val="24"/>
          <w:szCs w:val="24"/>
          <w:lang w:val="en-US" w:eastAsia="it-IT"/>
        </w:rPr>
        <w:t>, 2013). A sound selection framework is needed that can provide a short list of meaningful indicator measurements that can address both human health relevance and assurance of proper performance of water trea</w:t>
      </w:r>
      <w:r>
        <w:rPr>
          <w:rFonts w:ascii="Times New Roman" w:hAnsi="Times New Roman" w:cs="Times New Roman"/>
          <w:noProof/>
          <w:sz w:val="24"/>
          <w:szCs w:val="24"/>
          <w:lang w:val="en-US" w:eastAsia="it-IT"/>
        </w:rPr>
        <w:t>tment processes in addition to routine monitoring for compliance with guidelines and/or regulations.</w:t>
      </w:r>
    </w:p>
    <w:p w:rsidR="00AB50C5" w:rsidRDefault="00724275">
      <w:pPr>
        <w:spacing w:line="240" w:lineRule="auto"/>
        <w:jc w:val="both"/>
        <w:rPr>
          <w:rFonts w:ascii="Times New Roman" w:hAnsi="Times New Roman" w:cs="Times New Roman"/>
          <w:noProof/>
          <w:sz w:val="24"/>
          <w:szCs w:val="24"/>
          <w:lang w:eastAsia="it-IT"/>
        </w:rPr>
      </w:pPr>
      <w:r>
        <w:rPr>
          <w:rFonts w:ascii="Times New Roman" w:hAnsi="Times New Roman" w:cs="Times New Roman"/>
          <w:noProof/>
          <w:sz w:val="24"/>
          <w:szCs w:val="24"/>
          <w:lang w:eastAsia="it-IT"/>
        </w:rPr>
        <w:t xml:space="preserve">As presented by Paranychianakis </w:t>
      </w:r>
      <w:r>
        <w:rPr>
          <w:rFonts w:ascii="Times New Roman" w:hAnsi="Times New Roman" w:cs="Times New Roman"/>
          <w:i/>
          <w:noProof/>
          <w:sz w:val="24"/>
          <w:szCs w:val="24"/>
          <w:lang w:eastAsia="it-IT"/>
        </w:rPr>
        <w:t>et al.</w:t>
      </w:r>
      <w:r>
        <w:rPr>
          <w:rFonts w:ascii="Times New Roman" w:hAnsi="Times New Roman" w:cs="Times New Roman"/>
          <w:noProof/>
          <w:sz w:val="24"/>
          <w:szCs w:val="24"/>
          <w:lang w:eastAsia="it-IT"/>
        </w:rPr>
        <w:t xml:space="preserve"> (2014) in a review paper, a few studies have shown that the uptake, translocation and the accumulation of a wide ran</w:t>
      </w:r>
      <w:r>
        <w:rPr>
          <w:rFonts w:ascii="Times New Roman" w:hAnsi="Times New Roman" w:cs="Times New Roman"/>
          <w:noProof/>
          <w:sz w:val="24"/>
          <w:szCs w:val="24"/>
          <w:lang w:eastAsia="it-IT"/>
        </w:rPr>
        <w:t xml:space="preserve">ge of emerging chemicals in crop tissues is in overall low and does not pose signiﬁcant risks for public health. </w:t>
      </w:r>
      <w:r>
        <w:rPr>
          <w:rFonts w:ascii="Times New Roman" w:hAnsi="Times New Roman" w:cs="Times New Roman"/>
          <w:noProof/>
          <w:sz w:val="24"/>
          <w:szCs w:val="24"/>
          <w:lang w:val="en-US" w:eastAsia="it-IT"/>
        </w:rPr>
        <w:t>Moreover, plants possess metabolic pathways that might transform and degrade organic pollutants further decreasing the potential risks.</w:t>
      </w:r>
      <w:r>
        <w:rPr>
          <w:rFonts w:ascii="Times New Roman" w:hAnsi="Times New Roman" w:cs="Times New Roman"/>
          <w:noProof/>
          <w:sz w:val="24"/>
          <w:szCs w:val="24"/>
          <w:lang w:eastAsia="it-IT"/>
        </w:rPr>
        <w:t>The heal</w:t>
      </w:r>
      <w:r>
        <w:rPr>
          <w:rFonts w:ascii="Times New Roman" w:hAnsi="Times New Roman" w:cs="Times New Roman"/>
          <w:noProof/>
          <w:sz w:val="24"/>
          <w:szCs w:val="24"/>
          <w:lang w:eastAsia="it-IT"/>
        </w:rPr>
        <w:t xml:space="preserve">th risks resulting from the ingestion of food exposed to 22 chemicals revealed a safety margin greater than 100 for all the substances identiﬁed in the irrigation water, except gemﬁbrozil. The risks related to the direct use of pesticides applied to crops </w:t>
      </w:r>
      <w:r>
        <w:rPr>
          <w:rFonts w:ascii="Times New Roman" w:hAnsi="Times New Roman" w:cs="Times New Roman"/>
          <w:noProof/>
          <w:sz w:val="24"/>
          <w:szCs w:val="24"/>
          <w:lang w:eastAsia="it-IT"/>
        </w:rPr>
        <w:t xml:space="preserve">appear to be of greater importance. Paranychianakis </w:t>
      </w:r>
      <w:r>
        <w:rPr>
          <w:rFonts w:ascii="Times New Roman" w:hAnsi="Times New Roman" w:cs="Times New Roman"/>
          <w:i/>
          <w:noProof/>
          <w:sz w:val="24"/>
          <w:szCs w:val="24"/>
          <w:lang w:eastAsia="it-IT"/>
        </w:rPr>
        <w:t>et al.</w:t>
      </w:r>
      <w:r>
        <w:rPr>
          <w:rFonts w:ascii="Times New Roman" w:hAnsi="Times New Roman" w:cs="Times New Roman"/>
          <w:noProof/>
          <w:sz w:val="24"/>
          <w:szCs w:val="24"/>
          <w:lang w:eastAsia="it-IT"/>
        </w:rPr>
        <w:t xml:space="preserve">, 2014 continues hence that the concern regarding CECs focuses on potable reuse applications. </w:t>
      </w:r>
      <w:r>
        <w:rPr>
          <w:rFonts w:ascii="Times New Roman" w:hAnsi="Times New Roman" w:cs="Times New Roman"/>
          <w:noProof/>
          <w:sz w:val="24"/>
          <w:szCs w:val="24"/>
          <w:lang w:val="en-US" w:eastAsia="it-IT"/>
        </w:rPr>
        <w:t>Considering the wide diversity of organic chemical structure, some are relatively easy to attenuate, whi</w:t>
      </w:r>
      <w:r>
        <w:rPr>
          <w:rFonts w:ascii="Times New Roman" w:hAnsi="Times New Roman" w:cs="Times New Roman"/>
          <w:noProof/>
          <w:sz w:val="24"/>
          <w:szCs w:val="24"/>
          <w:lang w:val="en-US" w:eastAsia="it-IT"/>
        </w:rPr>
        <w:t>le others are more recalcitrant (</w:t>
      </w:r>
      <w:r>
        <w:rPr>
          <w:rFonts w:ascii="Times New Roman" w:hAnsi="Times New Roman" w:cs="Times New Roman"/>
          <w:noProof/>
          <w:sz w:val="24"/>
          <w:szCs w:val="24"/>
          <w:lang w:eastAsia="it-IT"/>
        </w:rPr>
        <w:t xml:space="preserve">Paranychianakis </w:t>
      </w:r>
      <w:r>
        <w:rPr>
          <w:rFonts w:ascii="Times New Roman" w:hAnsi="Times New Roman" w:cs="Times New Roman"/>
          <w:i/>
          <w:noProof/>
          <w:sz w:val="24"/>
          <w:szCs w:val="24"/>
          <w:lang w:eastAsia="it-IT"/>
        </w:rPr>
        <w:t>et al.</w:t>
      </w:r>
      <w:r>
        <w:rPr>
          <w:rFonts w:ascii="Times New Roman" w:hAnsi="Times New Roman" w:cs="Times New Roman"/>
          <w:noProof/>
          <w:sz w:val="24"/>
          <w:szCs w:val="24"/>
          <w:lang w:eastAsia="it-IT"/>
        </w:rPr>
        <w:t>, 2014)</w:t>
      </w:r>
      <w:r>
        <w:rPr>
          <w:rFonts w:ascii="Times New Roman" w:hAnsi="Times New Roman" w:cs="Times New Roman"/>
          <w:noProof/>
          <w:sz w:val="24"/>
          <w:szCs w:val="24"/>
          <w:lang w:val="en-US" w:eastAsia="it-IT"/>
        </w:rPr>
        <w:t>. A</w:t>
      </w:r>
      <w:r>
        <w:rPr>
          <w:rFonts w:ascii="Times New Roman" w:hAnsi="Times New Roman" w:cs="Times New Roman"/>
          <w:noProof/>
          <w:sz w:val="24"/>
          <w:szCs w:val="24"/>
          <w:lang w:eastAsia="it-IT"/>
        </w:rPr>
        <w:t xml:space="preserve">quifer recharge through inﬁltration can be highly effective in the removal of many contaminants, though some can persist into the underlying groundwater (Laws </w:t>
      </w:r>
      <w:r>
        <w:rPr>
          <w:rFonts w:ascii="Times New Roman" w:hAnsi="Times New Roman" w:cs="Times New Roman"/>
          <w:i/>
          <w:noProof/>
          <w:sz w:val="24"/>
          <w:szCs w:val="24"/>
          <w:lang w:eastAsia="it-IT"/>
        </w:rPr>
        <w:t>et al.</w:t>
      </w:r>
      <w:r>
        <w:rPr>
          <w:rFonts w:ascii="Times New Roman" w:hAnsi="Times New Roman" w:cs="Times New Roman"/>
          <w:noProof/>
          <w:sz w:val="24"/>
          <w:szCs w:val="24"/>
          <w:lang w:eastAsia="it-IT"/>
        </w:rPr>
        <w:t>, 2011).</w:t>
      </w:r>
    </w:p>
    <w:p w:rsidR="00AB50C5" w:rsidRDefault="00724275">
      <w:pPr>
        <w:spacing w:line="240" w:lineRule="auto"/>
        <w:jc w:val="both"/>
        <w:rPr>
          <w:rFonts w:ascii="Times New Roman" w:hAnsi="Times New Roman" w:cs="Times New Roman"/>
          <w:noProof/>
          <w:sz w:val="24"/>
          <w:szCs w:val="24"/>
          <w:lang w:eastAsia="it-IT"/>
        </w:rPr>
      </w:pPr>
      <w:r>
        <w:rPr>
          <w:rFonts w:ascii="Times New Roman" w:hAnsi="Times New Roman" w:cs="Times New Roman"/>
          <w:noProof/>
          <w:sz w:val="24"/>
          <w:szCs w:val="24"/>
          <w:lang w:eastAsia="it-IT"/>
        </w:rPr>
        <w:t>While a broad ran</w:t>
      </w:r>
      <w:r>
        <w:rPr>
          <w:rFonts w:ascii="Times New Roman" w:hAnsi="Times New Roman" w:cs="Times New Roman"/>
          <w:noProof/>
          <w:sz w:val="24"/>
          <w:szCs w:val="24"/>
          <w:lang w:eastAsia="it-IT"/>
        </w:rPr>
        <w:t xml:space="preserve">ge of publications have investigated the occurrence of CECs, the role of CECs in agricultural systems is poor, reason for which the Organisation for Economic Cooperation and Development (OECD) investigated the issue through a high-level expert team (OECD, </w:t>
      </w:r>
      <w:r>
        <w:rPr>
          <w:rFonts w:ascii="Times New Roman" w:hAnsi="Times New Roman" w:cs="Times New Roman"/>
          <w:noProof/>
          <w:sz w:val="24"/>
          <w:szCs w:val="24"/>
          <w:lang w:eastAsia="it-IT"/>
        </w:rPr>
        <w:t>2012). The report carefully assesses the state-of-the-art and identifies and suggests measures for risk mitigation. It is noteworthy that the report does not identify or mention the use of treated wastewater for agricultural irrigation as a significant ent</w:t>
      </w:r>
      <w:r>
        <w:rPr>
          <w:rFonts w:ascii="Times New Roman" w:hAnsi="Times New Roman" w:cs="Times New Roman"/>
          <w:noProof/>
          <w:sz w:val="24"/>
          <w:szCs w:val="24"/>
          <w:lang w:eastAsia="it-IT"/>
        </w:rPr>
        <w:t>ry pathway. However, it also states that it is possible that important pathways would have been overlooked and identifies a list of priority actions to fill knowledge gaps.</w:t>
      </w:r>
    </w:p>
    <w:p w:rsidR="00AB50C5" w:rsidRDefault="00724275">
      <w:pPr>
        <w:spacing w:line="240" w:lineRule="auto"/>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Among, these the lack of long-term exposure data to trace organics constrains the a</w:t>
      </w:r>
      <w:r>
        <w:rPr>
          <w:rFonts w:ascii="Times New Roman" w:hAnsi="Times New Roman" w:cs="Times New Roman"/>
          <w:noProof/>
          <w:sz w:val="24"/>
          <w:szCs w:val="24"/>
          <w:lang w:val="en-US" w:eastAsia="it-IT"/>
        </w:rPr>
        <w:t xml:space="preserve">ccurate quantiﬁcation of the health risks (Paranychianakis </w:t>
      </w:r>
      <w:r>
        <w:rPr>
          <w:rFonts w:ascii="Times New Roman" w:hAnsi="Times New Roman" w:cs="Times New Roman"/>
          <w:i/>
          <w:noProof/>
          <w:sz w:val="24"/>
          <w:szCs w:val="24"/>
          <w:lang w:val="en-US" w:eastAsia="it-IT"/>
        </w:rPr>
        <w:t>et al.</w:t>
      </w:r>
      <w:r>
        <w:rPr>
          <w:rFonts w:ascii="Times New Roman" w:hAnsi="Times New Roman" w:cs="Times New Roman"/>
          <w:noProof/>
          <w:sz w:val="24"/>
          <w:szCs w:val="24"/>
          <w:lang w:val="en-US" w:eastAsia="it-IT"/>
        </w:rPr>
        <w:t>, 2014). The available data show great temporal and spatial variations in the concentration of organics as a result of the source concentrations and treatment processes.</w:t>
      </w:r>
    </w:p>
    <w:p w:rsidR="00AB50C5" w:rsidRDefault="00724275">
      <w:pPr>
        <w:spacing w:line="240" w:lineRule="auto"/>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It should be noted th</w:t>
      </w:r>
      <w:r>
        <w:rPr>
          <w:rFonts w:ascii="Times New Roman" w:hAnsi="Times New Roman" w:cs="Times New Roman"/>
          <w:noProof/>
          <w:sz w:val="24"/>
          <w:szCs w:val="24"/>
          <w:lang w:val="en-US" w:eastAsia="it-IT"/>
        </w:rPr>
        <w:t>at the existing data are not sufﬁcient to set ecological limits for most organics. Critical information is required for many disciplines to obtain a better understanding of the ecological impacts of water reuse on aquatic organisms of CECs and their mixtur</w:t>
      </w:r>
      <w:r>
        <w:rPr>
          <w:rFonts w:ascii="Times New Roman" w:hAnsi="Times New Roman" w:cs="Times New Roman"/>
          <w:noProof/>
          <w:sz w:val="24"/>
          <w:szCs w:val="24"/>
          <w:lang w:val="en-US" w:eastAsia="it-IT"/>
        </w:rPr>
        <w:t xml:space="preserve">es on biodiversity, biogeochemical cycles of nutrients, ecosystems functions and services, and their resilience to environmental stressors (Paranychianakis </w:t>
      </w:r>
      <w:r>
        <w:rPr>
          <w:rFonts w:ascii="Times New Roman" w:hAnsi="Times New Roman" w:cs="Times New Roman"/>
          <w:i/>
          <w:noProof/>
          <w:sz w:val="24"/>
          <w:szCs w:val="24"/>
          <w:lang w:val="en-US" w:eastAsia="it-IT"/>
        </w:rPr>
        <w:t>et al.</w:t>
      </w:r>
      <w:r>
        <w:rPr>
          <w:rFonts w:ascii="Times New Roman" w:hAnsi="Times New Roman" w:cs="Times New Roman"/>
          <w:noProof/>
          <w:sz w:val="24"/>
          <w:szCs w:val="24"/>
          <w:lang w:val="en-US" w:eastAsia="it-IT"/>
        </w:rPr>
        <w:t>, 2014).</w:t>
      </w:r>
    </w:p>
    <w:p w:rsidR="00AB50C5" w:rsidRDefault="00724275">
      <w:pPr>
        <w:spacing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Most of the scientific literature regarding the assessment of CECs' uptake by plants is focused on experiments on plant uptake and bioavailability in artificially amended soils or contaminated growing media and biosolids (Fatta-Kassinos </w:t>
      </w:r>
      <w:r>
        <w:rPr>
          <w:rFonts w:ascii="Times New Roman" w:hAnsi="Times New Roman" w:cs="Times New Roman"/>
          <w:i/>
          <w:noProof/>
          <w:sz w:val="24"/>
          <w:szCs w:val="24"/>
          <w:lang w:val="en-US"/>
        </w:rPr>
        <w:t>et al.</w:t>
      </w:r>
      <w:r>
        <w:rPr>
          <w:rFonts w:ascii="Times New Roman" w:hAnsi="Times New Roman" w:cs="Times New Roman"/>
          <w:noProof/>
          <w:sz w:val="24"/>
          <w:szCs w:val="24"/>
          <w:lang w:val="en-US"/>
        </w:rPr>
        <w:t xml:space="preserve">, 2016). The </w:t>
      </w:r>
      <w:r>
        <w:rPr>
          <w:rFonts w:ascii="Times New Roman" w:hAnsi="Times New Roman" w:cs="Times New Roman"/>
          <w:noProof/>
          <w:sz w:val="24"/>
          <w:szCs w:val="24"/>
          <w:lang w:val="en-US"/>
        </w:rPr>
        <w:t xml:space="preserve">same authors conclude that the agricultural use of biosolids is a significantly greater reservoir for plant uptake of CECs than irrigation with treated wastewater. </w:t>
      </w:r>
    </w:p>
    <w:p w:rsidR="00AB50C5" w:rsidRDefault="00724275">
      <w:pPr>
        <w:spacing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Prosser and Sibley (2015) carried out an assessment that indicates that the majority of ind</w:t>
      </w:r>
      <w:r>
        <w:rPr>
          <w:rFonts w:ascii="Times New Roman" w:hAnsi="Times New Roman" w:cs="Times New Roman"/>
          <w:noProof/>
          <w:sz w:val="24"/>
          <w:szCs w:val="24"/>
          <w:lang w:val="en-US"/>
        </w:rPr>
        <w:t xml:space="preserve">ividual pharmaceuticals and personal care products (PPCPs) in the edible tissue of plants due to biosolids or manure amendment or wastewater irrigation represent a </w:t>
      </w:r>
      <w:r>
        <w:rPr>
          <w:rFonts w:ascii="Times New Roman" w:hAnsi="Times New Roman" w:cs="Times New Roman"/>
          <w:i/>
          <w:noProof/>
          <w:sz w:val="24"/>
          <w:szCs w:val="24"/>
          <w:lang w:val="en-US"/>
        </w:rPr>
        <w:t>de minimis</w:t>
      </w:r>
      <w:r>
        <w:rPr>
          <w:rFonts w:ascii="Times New Roman" w:hAnsi="Times New Roman" w:cs="Times New Roman"/>
          <w:noProof/>
          <w:sz w:val="24"/>
          <w:szCs w:val="24"/>
          <w:lang w:val="en-US"/>
        </w:rPr>
        <w:t xml:space="preserve"> risk to human health. Assuming additivity, the mixture of PPCPs could potentially present a hazard. Further work needs to be done to assess the risk of the mixture of PPCPs that may be present in edible tissue of plants grown under these three amendment p</w:t>
      </w:r>
      <w:r>
        <w:rPr>
          <w:rFonts w:ascii="Times New Roman" w:hAnsi="Times New Roman" w:cs="Times New Roman"/>
          <w:noProof/>
          <w:sz w:val="24"/>
          <w:szCs w:val="24"/>
          <w:lang w:val="en-US"/>
        </w:rPr>
        <w:t>ractices (Prosser and Sibley, 2015).</w:t>
      </w:r>
    </w:p>
    <w:p w:rsidR="00AB50C5" w:rsidRDefault="00724275">
      <w:pPr>
        <w:pStyle w:val="JRCLevel-2title"/>
        <w:rPr>
          <w:rFonts w:ascii="Times New Roman" w:hAnsi="Times New Roman"/>
          <w:noProof/>
          <w:szCs w:val="24"/>
          <w:lang w:val="en-US"/>
        </w:rPr>
      </w:pPr>
      <w:bookmarkStart w:id="89" w:name="_Toc498695695"/>
      <w:bookmarkStart w:id="90" w:name="_Toc516234777"/>
      <w:r>
        <w:rPr>
          <w:rFonts w:ascii="Times New Roman" w:hAnsi="Times New Roman"/>
          <w:noProof/>
          <w:szCs w:val="24"/>
          <w:lang w:val="en-US"/>
        </w:rPr>
        <w:t>Anti-microbial resistances</w:t>
      </w:r>
      <w:bookmarkEnd w:id="89"/>
      <w:bookmarkEnd w:id="90"/>
    </w:p>
    <w:p w:rsidR="00AB50C5" w:rsidRDefault="00724275">
      <w:pPr>
        <w:spacing w:line="240" w:lineRule="auto"/>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Among the CECs the issue of antimicrobial resistance (AMR) is of growing concern. AMR threatens the effective prevention and treatment of an ever-increasing range of infections caused by bacte</w:t>
      </w:r>
      <w:r>
        <w:rPr>
          <w:rFonts w:ascii="Times New Roman" w:hAnsi="Times New Roman" w:cs="Times New Roman"/>
          <w:noProof/>
          <w:sz w:val="24"/>
          <w:szCs w:val="24"/>
          <w:lang w:val="en-US" w:eastAsia="it-IT"/>
        </w:rPr>
        <w:t>ria, parasites, viruses and fungi. In 2014, WHO has published a first global assessment on the current status of surveillance and information on AMR, in particular antibacterial resistance (ABR), at country level worldwide (WHO, 2014). In a joint report, t</w:t>
      </w:r>
      <w:r>
        <w:rPr>
          <w:rFonts w:ascii="Times New Roman" w:hAnsi="Times New Roman" w:cs="Times New Roman"/>
          <w:noProof/>
          <w:sz w:val="24"/>
          <w:szCs w:val="24"/>
          <w:lang w:val="en-US" w:eastAsia="it-IT"/>
        </w:rPr>
        <w:t xml:space="preserve">he European Food Safety Authority and the European Centre for Disease Prevention and Control (EFSA and ECDC, 2015) looked into the antimicrobial resistance data on zoonotic and indicator bacteria in 2013, submitted by 28 EU MS. Resistance in zoonotic </w:t>
      </w:r>
      <w:r>
        <w:rPr>
          <w:rFonts w:ascii="Times New Roman" w:hAnsi="Times New Roman" w:cs="Times New Roman"/>
          <w:i/>
          <w:noProof/>
          <w:sz w:val="24"/>
          <w:szCs w:val="24"/>
          <w:lang w:val="en-US" w:eastAsia="it-IT"/>
        </w:rPr>
        <w:t>Salmo</w:t>
      </w:r>
      <w:r>
        <w:rPr>
          <w:rFonts w:ascii="Times New Roman" w:hAnsi="Times New Roman" w:cs="Times New Roman"/>
          <w:i/>
          <w:noProof/>
          <w:sz w:val="24"/>
          <w:szCs w:val="24"/>
          <w:lang w:val="en-US" w:eastAsia="it-IT"/>
        </w:rPr>
        <w:t>nella</w:t>
      </w:r>
      <w:r>
        <w:rPr>
          <w:rFonts w:ascii="Times New Roman" w:hAnsi="Times New Roman" w:cs="Times New Roman"/>
          <w:noProof/>
          <w:sz w:val="24"/>
          <w:szCs w:val="24"/>
          <w:lang w:val="en-US" w:eastAsia="it-IT"/>
        </w:rPr>
        <w:t xml:space="preserve"> and </w:t>
      </w:r>
      <w:r>
        <w:rPr>
          <w:rFonts w:ascii="Times New Roman" w:hAnsi="Times New Roman" w:cs="Times New Roman"/>
          <w:i/>
          <w:noProof/>
          <w:sz w:val="24"/>
          <w:szCs w:val="24"/>
          <w:lang w:val="en-US" w:eastAsia="it-IT"/>
        </w:rPr>
        <w:t>Campylobacter</w:t>
      </w:r>
      <w:r>
        <w:rPr>
          <w:rFonts w:ascii="Times New Roman" w:hAnsi="Times New Roman" w:cs="Times New Roman"/>
          <w:noProof/>
          <w:sz w:val="24"/>
          <w:szCs w:val="24"/>
          <w:lang w:val="en-US" w:eastAsia="it-IT"/>
        </w:rPr>
        <w:t xml:space="preserve"> species from humans, animals and food, and resistance in indicator </w:t>
      </w:r>
      <w:r>
        <w:rPr>
          <w:rFonts w:ascii="Times New Roman" w:hAnsi="Times New Roman" w:cs="Times New Roman"/>
          <w:i/>
          <w:noProof/>
          <w:sz w:val="24"/>
          <w:szCs w:val="24"/>
          <w:lang w:val="en-US" w:eastAsia="it-IT"/>
        </w:rPr>
        <w:t>Escherichia coli</w:t>
      </w:r>
      <w:r>
        <w:rPr>
          <w:rFonts w:ascii="Times New Roman" w:hAnsi="Times New Roman" w:cs="Times New Roman"/>
          <w:noProof/>
          <w:sz w:val="24"/>
          <w:szCs w:val="24"/>
          <w:lang w:val="en-US" w:eastAsia="it-IT"/>
        </w:rPr>
        <w:t xml:space="preserve"> and enterococci, as well as data on meticillin-resistant </w:t>
      </w:r>
      <w:r>
        <w:rPr>
          <w:rFonts w:ascii="Times New Roman" w:hAnsi="Times New Roman" w:cs="Times New Roman"/>
          <w:i/>
          <w:noProof/>
          <w:sz w:val="24"/>
          <w:szCs w:val="24"/>
          <w:lang w:val="en-US" w:eastAsia="it-IT"/>
        </w:rPr>
        <w:t>Staphylococcus aureus</w:t>
      </w:r>
      <w:r>
        <w:rPr>
          <w:rFonts w:ascii="Times New Roman" w:hAnsi="Times New Roman" w:cs="Times New Roman"/>
          <w:noProof/>
          <w:sz w:val="24"/>
          <w:szCs w:val="24"/>
          <w:lang w:val="en-US" w:eastAsia="it-IT"/>
        </w:rPr>
        <w:t>, in animals and food were addressed. Although mentioning that the bac</w:t>
      </w:r>
      <w:r>
        <w:rPr>
          <w:rFonts w:ascii="Times New Roman" w:hAnsi="Times New Roman" w:cs="Times New Roman"/>
          <w:noProof/>
          <w:sz w:val="24"/>
          <w:szCs w:val="24"/>
          <w:lang w:val="en-US" w:eastAsia="it-IT"/>
        </w:rPr>
        <w:t>terial resistance to antimicrobials occurring in food-producing animals can spread to people not only via food-borne routes, but also by routes such as water or environmental contamination (e.g. at slaughter) no further information is provided on the relev</w:t>
      </w:r>
      <w:r>
        <w:rPr>
          <w:rFonts w:ascii="Times New Roman" w:hAnsi="Times New Roman" w:cs="Times New Roman"/>
          <w:noProof/>
          <w:sz w:val="24"/>
          <w:szCs w:val="24"/>
          <w:lang w:val="en-US" w:eastAsia="it-IT"/>
        </w:rPr>
        <w:t>ance of treated wastewater use as a possible pathway.</w:t>
      </w:r>
    </w:p>
    <w:p w:rsidR="00AB50C5" w:rsidRDefault="00724275">
      <w:pPr>
        <w:spacing w:line="240" w:lineRule="auto"/>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However, the spreading of antibiotic resistance genes (ARG) due to water reuse practices such as irrigation of crops and landscapes, and augmentation, conservation or restoration of surface water bodies</w:t>
      </w:r>
      <w:r>
        <w:rPr>
          <w:rFonts w:ascii="Times New Roman" w:hAnsi="Times New Roman" w:cs="Times New Roman"/>
          <w:noProof/>
          <w:sz w:val="24"/>
          <w:szCs w:val="24"/>
          <w:lang w:val="en-US" w:eastAsia="it-IT"/>
        </w:rPr>
        <w:t xml:space="preserve"> has being received particular concern in the last years. Since the discovery of antibiotics and their wide spread use in medicine, stockbreeding and aquaculture, the occurrence of ARG in the environment has been increasing. Thanner </w:t>
      </w:r>
      <w:r>
        <w:rPr>
          <w:rFonts w:ascii="Times New Roman" w:hAnsi="Times New Roman" w:cs="Times New Roman"/>
          <w:i/>
          <w:noProof/>
          <w:sz w:val="24"/>
          <w:szCs w:val="24"/>
          <w:lang w:val="en-US" w:eastAsia="it-IT"/>
        </w:rPr>
        <w:t>et al.</w:t>
      </w:r>
      <w:r>
        <w:rPr>
          <w:rFonts w:ascii="Times New Roman" w:hAnsi="Times New Roman" w:cs="Times New Roman"/>
          <w:noProof/>
          <w:sz w:val="24"/>
          <w:szCs w:val="24"/>
          <w:lang w:val="en-US" w:eastAsia="it-IT"/>
        </w:rPr>
        <w:t xml:space="preserve"> (2016) looked mo</w:t>
      </w:r>
      <w:r>
        <w:rPr>
          <w:rFonts w:ascii="Times New Roman" w:hAnsi="Times New Roman" w:cs="Times New Roman"/>
          <w:noProof/>
          <w:sz w:val="24"/>
          <w:szCs w:val="24"/>
          <w:lang w:val="en-US" w:eastAsia="it-IT"/>
        </w:rPr>
        <w:t>re specifically into the issue of AMR in agriculture and clearly state that a proper risk analyses regarding ARB "</w:t>
      </w:r>
      <w:r>
        <w:rPr>
          <w:rFonts w:ascii="Times New Roman" w:hAnsi="Times New Roman" w:cs="Times New Roman"/>
          <w:i/>
          <w:noProof/>
          <w:sz w:val="24"/>
          <w:szCs w:val="24"/>
          <w:lang w:val="en-US" w:eastAsia="it-IT"/>
        </w:rPr>
        <w:t>require comparable data across different biomes: soil, plant, animal, humans, water</w:t>
      </w:r>
      <w:r>
        <w:rPr>
          <w:rFonts w:ascii="Times New Roman" w:hAnsi="Times New Roman" w:cs="Times New Roman"/>
          <w:noProof/>
          <w:sz w:val="24"/>
          <w:szCs w:val="24"/>
          <w:lang w:val="en-US" w:eastAsia="it-IT"/>
        </w:rPr>
        <w:t>". A conclusive risk assessment is currently virtually impo</w:t>
      </w:r>
      <w:r>
        <w:rPr>
          <w:rFonts w:ascii="Times New Roman" w:hAnsi="Times New Roman" w:cs="Times New Roman"/>
          <w:noProof/>
          <w:sz w:val="24"/>
          <w:szCs w:val="24"/>
          <w:lang w:val="en-US" w:eastAsia="it-IT"/>
        </w:rPr>
        <w:t>ssible, a situation which according to the same authors has created great differences within the scientific community.</w:t>
      </w:r>
    </w:p>
    <w:p w:rsidR="00AB50C5" w:rsidRDefault="00724275">
      <w:pPr>
        <w:spacing w:line="240" w:lineRule="auto"/>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It appears also that more information is required to obtain a clear picture of the risks associated with water reuse applications. The ad</w:t>
      </w:r>
      <w:r>
        <w:rPr>
          <w:rFonts w:ascii="Times New Roman" w:hAnsi="Times New Roman" w:cs="Times New Roman"/>
          <w:noProof/>
          <w:sz w:val="24"/>
          <w:szCs w:val="24"/>
          <w:lang w:val="en-US" w:eastAsia="it-IT"/>
        </w:rPr>
        <w:t>option of (meta)genomic approaches which provide information on the whole microbial community and not only to the culturable portion of microorganisms will improve our understanding on the mechanisms responsible for the induction of ARG, their spreading an</w:t>
      </w:r>
      <w:r>
        <w:rPr>
          <w:rFonts w:ascii="Times New Roman" w:hAnsi="Times New Roman" w:cs="Times New Roman"/>
          <w:noProof/>
          <w:sz w:val="24"/>
          <w:szCs w:val="24"/>
          <w:lang w:val="en-US" w:eastAsia="it-IT"/>
        </w:rPr>
        <w:t>d how they differ among the different taxa.</w:t>
      </w:r>
    </w:p>
    <w:p w:rsidR="00AB50C5" w:rsidRDefault="00724275">
      <w:pPr>
        <w:spacing w:line="240" w:lineRule="auto"/>
        <w:jc w:val="both"/>
        <w:rPr>
          <w:rFonts w:ascii="Times New Roman" w:hAnsi="Times New Roman" w:cs="Times New Roman"/>
          <w:noProof/>
          <w:sz w:val="24"/>
          <w:szCs w:val="24"/>
          <w:lang w:eastAsia="it-IT"/>
        </w:rPr>
      </w:pPr>
      <w:r>
        <w:rPr>
          <w:rFonts w:ascii="Times New Roman" w:hAnsi="Times New Roman" w:cs="Times New Roman"/>
          <w:noProof/>
          <w:sz w:val="24"/>
          <w:szCs w:val="24"/>
          <w:lang w:val="en-US" w:eastAsia="it-IT"/>
        </w:rPr>
        <w:t xml:space="preserve">On the other hand, no difference in the abundance of ARG among fresh and recycled water irrigated soils was detected in a study carried out in Israel (Negreanu </w:t>
      </w:r>
      <w:r>
        <w:rPr>
          <w:rFonts w:ascii="Times New Roman" w:hAnsi="Times New Roman" w:cs="Times New Roman"/>
          <w:i/>
          <w:noProof/>
          <w:sz w:val="24"/>
          <w:szCs w:val="24"/>
          <w:lang w:val="en-US" w:eastAsia="it-IT"/>
        </w:rPr>
        <w:t>et al.</w:t>
      </w:r>
      <w:r>
        <w:rPr>
          <w:rFonts w:ascii="Times New Roman" w:hAnsi="Times New Roman" w:cs="Times New Roman"/>
          <w:noProof/>
          <w:sz w:val="24"/>
          <w:szCs w:val="24"/>
          <w:lang w:val="en-US" w:eastAsia="it-IT"/>
        </w:rPr>
        <w:t>, 2012) suggesting that the majority of resist</w:t>
      </w:r>
      <w:r>
        <w:rPr>
          <w:rFonts w:ascii="Times New Roman" w:hAnsi="Times New Roman" w:cs="Times New Roman"/>
          <w:noProof/>
          <w:sz w:val="24"/>
          <w:szCs w:val="24"/>
          <w:lang w:val="en-US" w:eastAsia="it-IT"/>
        </w:rPr>
        <w:t xml:space="preserve">ant to antibiotics bacteria entering the soils cannot survive. The high abundance of ARGs in the soil reported often is probably indicative of native antibiotic resistance associated with the soil microbiome (Negreanu </w:t>
      </w:r>
      <w:r>
        <w:rPr>
          <w:rFonts w:ascii="Times New Roman" w:hAnsi="Times New Roman" w:cs="Times New Roman"/>
          <w:i/>
          <w:noProof/>
          <w:sz w:val="24"/>
          <w:szCs w:val="24"/>
          <w:lang w:val="en-US" w:eastAsia="it-IT"/>
        </w:rPr>
        <w:t>et al.</w:t>
      </w:r>
      <w:r>
        <w:rPr>
          <w:rFonts w:ascii="Times New Roman" w:hAnsi="Times New Roman" w:cs="Times New Roman"/>
          <w:noProof/>
          <w:sz w:val="24"/>
          <w:szCs w:val="24"/>
          <w:lang w:val="en-US" w:eastAsia="it-IT"/>
        </w:rPr>
        <w:t>, 2012). This argument finds con</w:t>
      </w:r>
      <w:r>
        <w:rPr>
          <w:rFonts w:ascii="Times New Roman" w:hAnsi="Times New Roman" w:cs="Times New Roman"/>
          <w:noProof/>
          <w:sz w:val="24"/>
          <w:szCs w:val="24"/>
          <w:lang w:val="en-US" w:eastAsia="it-IT"/>
        </w:rPr>
        <w:t xml:space="preserve">firmation in other ﬁndings emphasizing the importance of natural environment in antibiotic resistance (Wellington </w:t>
      </w:r>
      <w:r>
        <w:rPr>
          <w:rFonts w:ascii="Times New Roman" w:hAnsi="Times New Roman" w:cs="Times New Roman"/>
          <w:i/>
          <w:noProof/>
          <w:sz w:val="24"/>
          <w:szCs w:val="24"/>
          <w:lang w:val="en-US" w:eastAsia="it-IT"/>
        </w:rPr>
        <w:t>et al.</w:t>
      </w:r>
      <w:r>
        <w:rPr>
          <w:rFonts w:ascii="Times New Roman" w:hAnsi="Times New Roman" w:cs="Times New Roman"/>
          <w:noProof/>
          <w:sz w:val="24"/>
          <w:szCs w:val="24"/>
          <w:lang w:val="en-US" w:eastAsia="it-IT"/>
        </w:rPr>
        <w:t xml:space="preserve"> 2013, </w:t>
      </w:r>
      <w:r>
        <w:rPr>
          <w:rFonts w:ascii="Times New Roman" w:hAnsi="Times New Roman" w:cs="Times New Roman"/>
          <w:noProof/>
          <w:sz w:val="24"/>
          <w:szCs w:val="24"/>
          <w:lang w:eastAsia="it-IT"/>
        </w:rPr>
        <w:t xml:space="preserve">Paranychianakis </w:t>
      </w:r>
      <w:r>
        <w:rPr>
          <w:rFonts w:ascii="Times New Roman" w:hAnsi="Times New Roman" w:cs="Times New Roman"/>
          <w:i/>
          <w:noProof/>
          <w:sz w:val="24"/>
          <w:szCs w:val="24"/>
          <w:lang w:eastAsia="it-IT"/>
        </w:rPr>
        <w:t>et al.</w:t>
      </w:r>
      <w:r>
        <w:rPr>
          <w:rFonts w:ascii="Times New Roman" w:hAnsi="Times New Roman" w:cs="Times New Roman"/>
          <w:noProof/>
          <w:sz w:val="24"/>
          <w:szCs w:val="24"/>
          <w:lang w:eastAsia="it-IT"/>
        </w:rPr>
        <w:t xml:space="preserve">, 2014). </w:t>
      </w:r>
    </w:p>
    <w:p w:rsidR="00AB50C5" w:rsidRDefault="00724275">
      <w:pPr>
        <w:spacing w:line="240" w:lineRule="auto"/>
        <w:jc w:val="both"/>
        <w:rPr>
          <w:rFonts w:ascii="Times New Roman" w:hAnsi="Times New Roman" w:cs="Times New Roman"/>
          <w:noProof/>
          <w:sz w:val="24"/>
          <w:szCs w:val="24"/>
          <w:lang w:eastAsia="it-IT"/>
        </w:rPr>
      </w:pPr>
      <w:r>
        <w:rPr>
          <w:rFonts w:ascii="Times New Roman" w:hAnsi="Times New Roman" w:cs="Times New Roman"/>
          <w:noProof/>
          <w:sz w:val="24"/>
          <w:szCs w:val="24"/>
          <w:lang w:eastAsia="it-IT"/>
        </w:rPr>
        <w:t>Although a great deal of information, amongst others compiled by the COST NEREUS action, indicate</w:t>
      </w:r>
      <w:r>
        <w:rPr>
          <w:rFonts w:ascii="Times New Roman" w:hAnsi="Times New Roman" w:cs="Times New Roman"/>
          <w:noProof/>
          <w:sz w:val="24"/>
          <w:szCs w:val="24"/>
          <w:lang w:eastAsia="it-IT"/>
        </w:rPr>
        <w:t xml:space="preserve"> that domestic wastewater is amongst a likely major environmental reservoirs, the issue of antimicrobial resistance (AMR) has to be addressed in a general context of wastewater sanitation rather than specifically for reuse schemes. Evidence seems actually </w:t>
      </w:r>
      <w:r>
        <w:rPr>
          <w:rFonts w:ascii="Times New Roman" w:hAnsi="Times New Roman" w:cs="Times New Roman"/>
          <w:noProof/>
          <w:sz w:val="24"/>
          <w:szCs w:val="24"/>
          <w:lang w:eastAsia="it-IT"/>
        </w:rPr>
        <w:t>to indicate that a reuse for irrigation leads to a removal of AMR, since most of the resistant bacteria cannot survive in the receiving soils. A respective minimum requirement for AMR is hence neither justified, nor feasible to the lack of inconclusive and</w:t>
      </w:r>
      <w:r>
        <w:rPr>
          <w:rFonts w:ascii="Times New Roman" w:hAnsi="Times New Roman" w:cs="Times New Roman"/>
          <w:noProof/>
          <w:sz w:val="24"/>
          <w:szCs w:val="24"/>
          <w:lang w:eastAsia="it-IT"/>
        </w:rPr>
        <w:t xml:space="preserve"> comparable data.</w:t>
      </w:r>
    </w:p>
    <w:p w:rsidR="00AB50C5" w:rsidRDefault="00724275">
      <w:pPr>
        <w:pStyle w:val="JRCLevel-2title"/>
        <w:rPr>
          <w:rFonts w:ascii="Times New Roman" w:hAnsi="Times New Roman"/>
          <w:noProof/>
          <w:szCs w:val="24"/>
        </w:rPr>
      </w:pPr>
      <w:bookmarkStart w:id="91" w:name="_Toc498695696"/>
      <w:bookmarkStart w:id="92" w:name="_Toc516234778"/>
      <w:r>
        <w:rPr>
          <w:rFonts w:ascii="Times New Roman" w:hAnsi="Times New Roman"/>
          <w:noProof/>
          <w:szCs w:val="24"/>
        </w:rPr>
        <w:t>Measurements and testing</w:t>
      </w:r>
      <w:bookmarkEnd w:id="91"/>
      <w:bookmarkEnd w:id="92"/>
    </w:p>
    <w:p w:rsidR="00AB50C5" w:rsidRDefault="00724275">
      <w:pPr>
        <w:spacing w:line="240" w:lineRule="auto"/>
        <w:jc w:val="both"/>
        <w:rPr>
          <w:rFonts w:ascii="Times New Roman" w:hAnsi="Times New Roman" w:cs="Times New Roman"/>
          <w:noProof/>
          <w:sz w:val="24"/>
          <w:szCs w:val="24"/>
          <w:lang w:eastAsia="it-IT"/>
        </w:rPr>
      </w:pPr>
      <w:r>
        <w:rPr>
          <w:rFonts w:ascii="Times New Roman" w:hAnsi="Times New Roman" w:cs="Times New Roman"/>
          <w:noProof/>
          <w:sz w:val="24"/>
          <w:szCs w:val="24"/>
          <w:lang w:eastAsia="it-IT"/>
        </w:rPr>
        <w:t xml:space="preserve">Although great progress has been made in developing novel tools and approaches to "grasp" better CECs including AMR through their (eco) toxicological effects, these tools remain at a pre-market level or have not </w:t>
      </w:r>
      <w:r>
        <w:rPr>
          <w:rFonts w:ascii="Times New Roman" w:hAnsi="Times New Roman" w:cs="Times New Roman"/>
          <w:noProof/>
          <w:sz w:val="24"/>
          <w:szCs w:val="24"/>
          <w:lang w:eastAsia="it-IT"/>
        </w:rPr>
        <w:t>even reached such a maturity. This vicious circle of "not-being-measured", "no limit value" and "not-inclusion in legislation" can only be broken by further targeted research.</w:t>
      </w:r>
    </w:p>
    <w:p w:rsidR="00AB50C5" w:rsidRDefault="00724275">
      <w:pPr>
        <w:spacing w:line="240" w:lineRule="auto"/>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The EU Technical Report on aquatic effect-based monitoring tools (EC, 2014b) pre</w:t>
      </w:r>
      <w:r>
        <w:rPr>
          <w:rFonts w:ascii="Times New Roman" w:hAnsi="Times New Roman" w:cs="Times New Roman"/>
          <w:noProof/>
          <w:sz w:val="24"/>
          <w:szCs w:val="24"/>
          <w:lang w:val="en-US" w:eastAsia="it-IT"/>
        </w:rPr>
        <w:t xml:space="preserve">sents, in the context of the WFD, </w:t>
      </w:r>
      <w:r>
        <w:rPr>
          <w:rFonts w:ascii="Times New Roman" w:hAnsi="Times New Roman" w:cs="Times New Roman"/>
          <w:iCs/>
          <w:noProof/>
          <w:sz w:val="24"/>
          <w:szCs w:val="24"/>
          <w:lang w:val="en-US" w:eastAsia="it-IT"/>
        </w:rPr>
        <w:t>a range of effect-based tools (e.g. biomarkers, bioassays) that could be used in the context of different monitoring programmes, and that might be able to take account of the presence of several known and unknown compounds</w:t>
      </w:r>
      <w:r>
        <w:rPr>
          <w:rFonts w:ascii="Times New Roman" w:hAnsi="Times New Roman" w:cs="Times New Roman"/>
          <w:iCs/>
          <w:noProof/>
          <w:sz w:val="24"/>
          <w:szCs w:val="24"/>
          <w:lang w:val="en-US" w:eastAsia="it-IT"/>
        </w:rPr>
        <w:t xml:space="preserve"> with similar effects</w:t>
      </w:r>
      <w:r>
        <w:rPr>
          <w:rFonts w:ascii="Times New Roman" w:hAnsi="Times New Roman" w:cs="Times New Roman"/>
          <w:noProof/>
          <w:sz w:val="24"/>
          <w:szCs w:val="24"/>
          <w:lang w:val="en-US" w:eastAsia="it-IT"/>
        </w:rPr>
        <w:t xml:space="preserve">. </w:t>
      </w:r>
    </w:p>
    <w:p w:rsidR="00AB50C5" w:rsidRDefault="00724275">
      <w:pPr>
        <w:spacing w:line="240" w:lineRule="auto"/>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Effect-based tools could be used as a screening and prioritisation tool for subsequent chemical analysis. Nevertheless, there is still significant uncertainty regarding the role of effect-based tools in a regulatory context and deve</w:t>
      </w:r>
      <w:r>
        <w:rPr>
          <w:rFonts w:ascii="Times New Roman" w:hAnsi="Times New Roman" w:cs="Times New Roman"/>
          <w:noProof/>
          <w:sz w:val="24"/>
          <w:szCs w:val="24"/>
          <w:lang w:val="en-US" w:eastAsia="it-IT"/>
        </w:rPr>
        <w:t>lopments in bioanalytical science should be examined to identify validated bioassay candidates.</w:t>
      </w:r>
    </w:p>
    <w:p w:rsidR="00AB50C5" w:rsidRDefault="00724275">
      <w:pPr>
        <w:spacing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Similar considerations apply for AMR/ARG dimension, where the scientific community is far from having reached a consensus on reference and indicator resistances</w:t>
      </w:r>
      <w:r>
        <w:rPr>
          <w:rFonts w:ascii="Times New Roman" w:hAnsi="Times New Roman" w:cs="Times New Roman"/>
          <w:noProof/>
          <w:sz w:val="24"/>
          <w:szCs w:val="24"/>
          <w:lang w:val="en-US"/>
        </w:rPr>
        <w:t xml:space="preserve"> and a (commercially viable) way to quantify them.</w:t>
      </w:r>
    </w:p>
    <w:p w:rsidR="00AB50C5" w:rsidRDefault="00724275">
      <w:pPr>
        <w:pStyle w:val="JRCLevel-1title"/>
        <w:jc w:val="both"/>
        <w:rPr>
          <w:rFonts w:ascii="Times New Roman" w:hAnsi="Times New Roman"/>
          <w:noProof/>
          <w:sz w:val="24"/>
        </w:rPr>
      </w:pPr>
      <w:bookmarkStart w:id="93" w:name="_Toc498695697"/>
      <w:bookmarkStart w:id="94" w:name="_Toc516234779"/>
      <w:r>
        <w:rPr>
          <w:rFonts w:ascii="Times New Roman" w:hAnsi="Times New Roman"/>
          <w:noProof/>
          <w:sz w:val="24"/>
        </w:rPr>
        <w:t>Conclusions</w:t>
      </w:r>
      <w:bookmarkEnd w:id="93"/>
      <w:bookmarkEnd w:id="94"/>
    </w:p>
    <w:p w:rsidR="00AB50C5" w:rsidRDefault="00724275">
      <w:pPr>
        <w:pStyle w:val="JRCText"/>
        <w:rPr>
          <w:rFonts w:ascii="Times New Roman" w:hAnsi="Times New Roman"/>
          <w:noProof/>
          <w:sz w:val="24"/>
          <w:szCs w:val="24"/>
        </w:rPr>
      </w:pPr>
      <w:r>
        <w:rPr>
          <w:rFonts w:ascii="Times New Roman" w:hAnsi="Times New Roman"/>
          <w:noProof/>
          <w:sz w:val="24"/>
          <w:szCs w:val="24"/>
        </w:rPr>
        <w:t>Water is a limited resource and hydric stress an increasing challenge at EU and global level. Linked with growing needs of the population and regionally aggravated by climate change, water scar</w:t>
      </w:r>
      <w:r>
        <w:rPr>
          <w:rFonts w:ascii="Times New Roman" w:hAnsi="Times New Roman"/>
          <w:noProof/>
          <w:sz w:val="24"/>
          <w:szCs w:val="24"/>
        </w:rPr>
        <w:t>city is fast becoming a concern across the EU. Existing water resources in Europe are not always managed efficiently. Treated water from urban wastewater treatment plants can provide a source for a reliable water supply Water reuse needs to be considered a</w:t>
      </w:r>
      <w:r>
        <w:rPr>
          <w:rFonts w:ascii="Times New Roman" w:hAnsi="Times New Roman"/>
          <w:noProof/>
          <w:sz w:val="24"/>
          <w:szCs w:val="24"/>
        </w:rPr>
        <w:t xml:space="preserve">s a measure within the context of the water policy hierarchy. </w:t>
      </w:r>
    </w:p>
    <w:p w:rsidR="00AB50C5" w:rsidRDefault="00724275">
      <w:pPr>
        <w:pStyle w:val="JRCText"/>
        <w:rPr>
          <w:rFonts w:ascii="Times New Roman" w:hAnsi="Times New Roman"/>
          <w:noProof/>
          <w:sz w:val="24"/>
          <w:szCs w:val="24"/>
        </w:rPr>
      </w:pPr>
      <w:r>
        <w:rPr>
          <w:rFonts w:ascii="Times New Roman" w:hAnsi="Times New Roman"/>
          <w:noProof/>
          <w:sz w:val="24"/>
          <w:szCs w:val="24"/>
        </w:rPr>
        <w:t>Although the use of reclaimed water is an accepted practice in several EU countries, the uptake of water reuse solutions remains limited in comparison with their potential. One of the main barr</w:t>
      </w:r>
      <w:r>
        <w:rPr>
          <w:rFonts w:ascii="Times New Roman" w:hAnsi="Times New Roman"/>
          <w:noProof/>
          <w:sz w:val="24"/>
          <w:szCs w:val="24"/>
        </w:rPr>
        <w:t>iers identified is the lack of harmonization in the regulatory framework to manage health and environmental risks related to water reuse at the EU level, and thus a lack of confidence in the health and environmental safety of water reuse practices. The dev</w:t>
      </w:r>
      <w:r>
        <w:rPr>
          <w:rFonts w:ascii="Times New Roman" w:hAnsi="Times New Roman"/>
          <w:noProof/>
          <w:sz w:val="24"/>
          <w:szCs w:val="24"/>
        </w:rPr>
        <w:t xml:space="preserve">elopment of minimum quality requirements for water reuse for agricultural irrigation and aquifer recharge at EU level have the aim of helping to overcome this barrier. </w:t>
      </w:r>
    </w:p>
    <w:p w:rsidR="00AB50C5" w:rsidRDefault="00724275">
      <w:pPr>
        <w:pStyle w:val="JRCText"/>
        <w:rPr>
          <w:rFonts w:ascii="Times New Roman" w:hAnsi="Times New Roman"/>
          <w:noProof/>
          <w:sz w:val="24"/>
          <w:szCs w:val="24"/>
        </w:rPr>
      </w:pPr>
      <w:r>
        <w:rPr>
          <w:rFonts w:ascii="Times New Roman" w:hAnsi="Times New Roman"/>
          <w:noProof/>
          <w:sz w:val="24"/>
          <w:szCs w:val="24"/>
        </w:rPr>
        <w:t>A risk management framework has been selected for the establishment of the minimum qual</w:t>
      </w:r>
      <w:r>
        <w:rPr>
          <w:rFonts w:ascii="Times New Roman" w:hAnsi="Times New Roman"/>
          <w:noProof/>
          <w:sz w:val="24"/>
          <w:szCs w:val="24"/>
        </w:rPr>
        <w:t>ity requirements. This framework is recommended by the WHO as the most suitable approach to control health and environmental risks of water reuse practices. The key principles of the risk management framework are defined and minimum quality requirements ar</w:t>
      </w:r>
      <w:r>
        <w:rPr>
          <w:rFonts w:ascii="Times New Roman" w:hAnsi="Times New Roman"/>
          <w:noProof/>
          <w:sz w:val="24"/>
          <w:szCs w:val="24"/>
        </w:rPr>
        <w:t>e settled for agricultural irrigation and aquifer recharge. Monitoring recommendations are also included.</w:t>
      </w:r>
    </w:p>
    <w:p w:rsidR="00AB50C5" w:rsidRDefault="00724275">
      <w:pPr>
        <w:pStyle w:val="JRCText"/>
        <w:rPr>
          <w:rFonts w:ascii="Times New Roman" w:hAnsi="Times New Roman"/>
          <w:noProof/>
          <w:sz w:val="24"/>
          <w:szCs w:val="24"/>
        </w:rPr>
      </w:pPr>
      <w:r>
        <w:rPr>
          <w:rFonts w:ascii="Times New Roman" w:hAnsi="Times New Roman"/>
          <w:noProof/>
          <w:sz w:val="24"/>
          <w:szCs w:val="24"/>
        </w:rPr>
        <w:t>For agricultural irrigation, different crop categories are established, and microbiological and physico-chemical parameters are selected. According to</w:t>
      </w:r>
      <w:r>
        <w:rPr>
          <w:rFonts w:ascii="Times New Roman" w:hAnsi="Times New Roman"/>
          <w:noProof/>
          <w:sz w:val="24"/>
          <w:szCs w:val="24"/>
        </w:rPr>
        <w:t xml:space="preserve"> the multiple barrier approach, and the health risk assessments developed in international guidelines, specific limit values are defined according to the tolerable risk (burden of disease) of 10</w:t>
      </w:r>
      <w:r>
        <w:rPr>
          <w:rFonts w:ascii="Times New Roman" w:hAnsi="Times New Roman"/>
          <w:noProof/>
          <w:sz w:val="24"/>
          <w:szCs w:val="24"/>
          <w:vertAlign w:val="superscript"/>
        </w:rPr>
        <w:t>-6</w:t>
      </w:r>
      <w:r>
        <w:rPr>
          <w:rFonts w:ascii="Times New Roman" w:hAnsi="Times New Roman"/>
          <w:noProof/>
          <w:sz w:val="24"/>
          <w:szCs w:val="24"/>
        </w:rPr>
        <w:t xml:space="preserve"> DALYs pppy. Environmental risks are recommended to be consi</w:t>
      </w:r>
      <w:r>
        <w:rPr>
          <w:rFonts w:ascii="Times New Roman" w:hAnsi="Times New Roman"/>
          <w:noProof/>
          <w:sz w:val="24"/>
          <w:szCs w:val="24"/>
        </w:rPr>
        <w:t>dered on a case-by-case basis taking into consideration site-specific characteristics. The national regulations and guidelines on water reuse already issued by some Member States where also taken into consideration.</w:t>
      </w:r>
    </w:p>
    <w:p w:rsidR="00AB50C5" w:rsidRDefault="00724275">
      <w:pPr>
        <w:pStyle w:val="JRCText"/>
        <w:rPr>
          <w:rFonts w:ascii="Times New Roman" w:hAnsi="Times New Roman"/>
          <w:noProof/>
          <w:sz w:val="24"/>
          <w:szCs w:val="24"/>
        </w:rPr>
      </w:pPr>
      <w:r>
        <w:rPr>
          <w:rFonts w:ascii="Times New Roman" w:hAnsi="Times New Roman"/>
          <w:noProof/>
          <w:sz w:val="24"/>
          <w:szCs w:val="24"/>
        </w:rPr>
        <w:t>For aquifer recharge, the Groundwater Di</w:t>
      </w:r>
      <w:r>
        <w:rPr>
          <w:rFonts w:ascii="Times New Roman" w:hAnsi="Times New Roman"/>
          <w:noProof/>
          <w:sz w:val="24"/>
          <w:szCs w:val="24"/>
        </w:rPr>
        <w:t>rective is the overarching document to be complied with for groundwater protection. In addition, MS have to apply a risk assessment to control health and additional environmental risks that may arise from the use of reclaimed water.</w:t>
      </w:r>
    </w:p>
    <w:p w:rsidR="00AB50C5" w:rsidRDefault="00724275">
      <w:pPr>
        <w:pStyle w:val="JRCText"/>
        <w:rPr>
          <w:rFonts w:ascii="Times New Roman" w:hAnsi="Times New Roman"/>
          <w:noProof/>
          <w:sz w:val="24"/>
          <w:szCs w:val="24"/>
        </w:rPr>
      </w:pPr>
      <w:r>
        <w:rPr>
          <w:rFonts w:ascii="Times New Roman" w:hAnsi="Times New Roman"/>
          <w:noProof/>
          <w:sz w:val="24"/>
          <w:szCs w:val="24"/>
        </w:rPr>
        <w:t>It is of paramount impo</w:t>
      </w:r>
      <w:r>
        <w:rPr>
          <w:rFonts w:ascii="Times New Roman" w:hAnsi="Times New Roman"/>
          <w:noProof/>
          <w:sz w:val="24"/>
          <w:szCs w:val="24"/>
        </w:rPr>
        <w:t xml:space="preserve">rtance to develop further guidance on the health and environmental risk assessment and the establishment of a risk management framework in general.  </w:t>
      </w:r>
    </w:p>
    <w:p w:rsidR="00AB50C5" w:rsidRDefault="00AB50C5">
      <w:pPr>
        <w:spacing w:line="240" w:lineRule="auto"/>
        <w:jc w:val="both"/>
        <w:rPr>
          <w:rFonts w:ascii="Times New Roman" w:hAnsi="Times New Roman" w:cs="Times New Roman"/>
          <w:noProof/>
          <w:sz w:val="24"/>
          <w:szCs w:val="24"/>
        </w:rPr>
      </w:pPr>
    </w:p>
    <w:p w:rsidR="00AB50C5" w:rsidRDefault="00724275">
      <w:pPr>
        <w:pStyle w:val="JRCLevel-1Backtitle"/>
        <w:jc w:val="both"/>
        <w:rPr>
          <w:rFonts w:ascii="Times New Roman" w:hAnsi="Times New Roman"/>
          <w:noProof/>
          <w:szCs w:val="24"/>
          <w:lang w:val="en-US"/>
        </w:rPr>
      </w:pPr>
      <w:bookmarkStart w:id="95" w:name="_Toc498695698"/>
      <w:bookmarkStart w:id="96" w:name="_Toc516234780"/>
      <w:r>
        <w:rPr>
          <w:rFonts w:ascii="Times New Roman" w:hAnsi="Times New Roman"/>
          <w:noProof/>
          <w:szCs w:val="24"/>
          <w:lang w:val="en-US"/>
        </w:rPr>
        <w:t>References</w:t>
      </w:r>
      <w:bookmarkEnd w:id="95"/>
      <w:bookmarkEnd w:id="96"/>
    </w:p>
    <w:p w:rsidR="00AB50C5" w:rsidRDefault="00724275">
      <w:pPr>
        <w:autoSpaceDE w:val="0"/>
        <w:autoSpaceDN w:val="0"/>
        <w:adjustRightInd w:val="0"/>
        <w:spacing w:after="120" w:line="240" w:lineRule="auto"/>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Armon, R.; Kott, Y. (1996) Bacteriophages as indicators of pollution. Crit. Rev. Environ. Sci.</w:t>
      </w:r>
      <w:r>
        <w:rPr>
          <w:rFonts w:ascii="Times New Roman" w:hAnsi="Times New Roman" w:cs="Times New Roman"/>
          <w:noProof/>
          <w:sz w:val="24"/>
          <w:szCs w:val="24"/>
          <w:lang w:val="en-US" w:eastAsia="it-IT"/>
        </w:rPr>
        <w:t xml:space="preserve"> Technol. 26, 299–335. </w:t>
      </w:r>
    </w:p>
    <w:p w:rsidR="00AB50C5" w:rsidRDefault="00724275">
      <w:pPr>
        <w:spacing w:after="120" w:line="240" w:lineRule="auto"/>
        <w:jc w:val="both"/>
        <w:rPr>
          <w:rFonts w:ascii="Times New Roman" w:hAnsi="Times New Roman" w:cs="Times New Roman"/>
          <w:noProof/>
          <w:sz w:val="24"/>
          <w:szCs w:val="24"/>
          <w:lang w:val="en-US" w:eastAsia="en-AU"/>
        </w:rPr>
      </w:pPr>
      <w:r>
        <w:rPr>
          <w:rFonts w:ascii="Times New Roman" w:hAnsi="Times New Roman" w:cs="Times New Roman"/>
          <w:noProof/>
          <w:sz w:val="24"/>
          <w:szCs w:val="24"/>
          <w:lang w:val="en-US" w:eastAsia="en-AU"/>
        </w:rPr>
        <w:t>Asano, T., Burton, F.L.</w:t>
      </w:r>
      <w:r>
        <w:rPr>
          <w:rFonts w:ascii="Times New Roman" w:hAnsi="Times New Roman" w:cs="Times New Roman"/>
          <w:i/>
          <w:noProof/>
          <w:sz w:val="24"/>
          <w:szCs w:val="24"/>
          <w:lang w:val="en-US" w:eastAsia="en-AU"/>
        </w:rPr>
        <w:t xml:space="preserve">, </w:t>
      </w:r>
      <w:r>
        <w:rPr>
          <w:rFonts w:ascii="Times New Roman" w:hAnsi="Times New Roman" w:cs="Times New Roman"/>
          <w:noProof/>
          <w:sz w:val="24"/>
          <w:szCs w:val="24"/>
          <w:lang w:val="en-US" w:eastAsia="en-AU"/>
        </w:rPr>
        <w:t>Leverenz, H., Tsuchihashi, R. and Tchobanoglous, G. (2007) Water Reuse. Issues, Technologies and Applications. Metcalf &amp; Eddy / AECOM. McGraw-Hill, New York, USA.</w:t>
      </w:r>
    </w:p>
    <w:p w:rsidR="00AB50C5" w:rsidRDefault="00724275">
      <w:pPr>
        <w:spacing w:after="12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AWPRC Study Group on Health Related Water </w:t>
      </w:r>
      <w:r>
        <w:rPr>
          <w:rFonts w:ascii="Times New Roman" w:hAnsi="Times New Roman" w:cs="Times New Roman"/>
          <w:noProof/>
          <w:sz w:val="24"/>
          <w:szCs w:val="24"/>
          <w:lang w:val="en-US"/>
        </w:rPr>
        <w:t>Microbiology (1991) Bacteriophages as model viruses in water quality control. Water Res. 25, 529–545.</w:t>
      </w:r>
    </w:p>
    <w:p w:rsidR="00AB50C5" w:rsidRDefault="00724275">
      <w:pPr>
        <w:autoSpaceDE w:val="0"/>
        <w:autoSpaceDN w:val="0"/>
        <w:adjustRightInd w:val="0"/>
        <w:spacing w:after="120" w:line="240" w:lineRule="auto"/>
        <w:jc w:val="both"/>
        <w:rPr>
          <w:rFonts w:ascii="Times New Roman" w:hAnsi="Times New Roman" w:cs="Times New Roman"/>
          <w:bCs/>
          <w:noProof/>
          <w:sz w:val="24"/>
          <w:szCs w:val="24"/>
          <w:lang w:val="en-US" w:eastAsia="it-IT"/>
        </w:rPr>
      </w:pPr>
      <w:r>
        <w:rPr>
          <w:rFonts w:ascii="Times New Roman" w:hAnsi="Times New Roman" w:cs="Times New Roman"/>
          <w:noProof/>
          <w:sz w:val="24"/>
          <w:szCs w:val="24"/>
          <w:lang w:val="en-US" w:eastAsia="it-IT"/>
        </w:rPr>
        <w:t xml:space="preserve">Ayuso-Gabella, N., Page, D., Masciopinto, C., Aharoni, A., Salgot, M., Wintgens, T. (2011) </w:t>
      </w:r>
      <w:r>
        <w:rPr>
          <w:rFonts w:ascii="Times New Roman" w:hAnsi="Times New Roman" w:cs="Times New Roman"/>
          <w:bCs/>
          <w:noProof/>
          <w:sz w:val="24"/>
          <w:szCs w:val="24"/>
          <w:lang w:val="en-US" w:eastAsia="it-IT"/>
        </w:rPr>
        <w:t xml:space="preserve">Quantifying the effect of Managed Aquifer Recharge on the </w:t>
      </w:r>
      <w:r>
        <w:rPr>
          <w:rFonts w:ascii="Times New Roman" w:hAnsi="Times New Roman" w:cs="Times New Roman"/>
          <w:bCs/>
          <w:noProof/>
          <w:sz w:val="24"/>
          <w:szCs w:val="24"/>
          <w:lang w:val="en-US" w:eastAsia="it-IT"/>
        </w:rPr>
        <w:t>microbiological human health risks of irrigating crops with recycled water. Agric. Water Manag. 99(1), 93-102.</w:t>
      </w:r>
    </w:p>
    <w:p w:rsidR="00AB50C5" w:rsidRDefault="00724275">
      <w:pPr>
        <w:autoSpaceDE w:val="0"/>
        <w:autoSpaceDN w:val="0"/>
        <w:adjustRightInd w:val="0"/>
        <w:spacing w:after="120" w:line="240" w:lineRule="auto"/>
        <w:jc w:val="both"/>
        <w:rPr>
          <w:rFonts w:ascii="Times New Roman" w:hAnsi="Times New Roman" w:cs="Times New Roman"/>
          <w:bCs/>
          <w:noProof/>
          <w:sz w:val="24"/>
          <w:szCs w:val="24"/>
          <w:lang w:val="en-US" w:eastAsia="it-IT"/>
        </w:rPr>
      </w:pPr>
      <w:r>
        <w:rPr>
          <w:rFonts w:ascii="Times New Roman" w:hAnsi="Times New Roman" w:cs="Times New Roman"/>
          <w:bCs/>
          <w:noProof/>
          <w:sz w:val="24"/>
          <w:szCs w:val="24"/>
          <w:lang w:val="en-US" w:eastAsia="it-IT"/>
        </w:rPr>
        <w:t>Ayres, R.M., Alabaster, G.P., Mara, D.D., Lee, D.L. (1992). A design equation for human intestinal nematode egg removal in waste stabilization po</w:t>
      </w:r>
      <w:r>
        <w:rPr>
          <w:rFonts w:ascii="Times New Roman" w:hAnsi="Times New Roman" w:cs="Times New Roman"/>
          <w:bCs/>
          <w:noProof/>
          <w:sz w:val="24"/>
          <w:szCs w:val="24"/>
          <w:lang w:val="en-US" w:eastAsia="it-IT"/>
        </w:rPr>
        <w:t xml:space="preserve">nds. </w:t>
      </w:r>
      <w:r>
        <w:rPr>
          <w:rFonts w:ascii="Times New Roman" w:hAnsi="Times New Roman" w:cs="Times New Roman"/>
          <w:bCs/>
          <w:iCs/>
          <w:noProof/>
          <w:sz w:val="24"/>
          <w:szCs w:val="24"/>
          <w:lang w:val="en-US" w:eastAsia="it-IT"/>
        </w:rPr>
        <w:t>Water Research</w:t>
      </w:r>
      <w:r>
        <w:rPr>
          <w:rFonts w:ascii="Times New Roman" w:hAnsi="Times New Roman" w:cs="Times New Roman"/>
          <w:bCs/>
          <w:noProof/>
          <w:sz w:val="24"/>
          <w:szCs w:val="24"/>
          <w:lang w:val="en-US" w:eastAsia="it-IT"/>
        </w:rPr>
        <w:t xml:space="preserve"> 26(6), 863–865.</w:t>
      </w:r>
    </w:p>
    <w:p w:rsidR="00AB50C5" w:rsidRDefault="00724275">
      <w:pPr>
        <w:autoSpaceDE w:val="0"/>
        <w:autoSpaceDN w:val="0"/>
        <w:adjustRightInd w:val="0"/>
        <w:spacing w:after="120" w:line="240" w:lineRule="auto"/>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eastAsia="it-IT"/>
        </w:rPr>
        <w:t xml:space="preserve">Bastos, R.K.X., Bevilacqua, P.D., Silva, C.A.B., Silva, C.V. (2008) Wastewater irrigation of salad crops: further evidence for the evaluation of the WHO guidelines. </w:t>
      </w:r>
      <w:r>
        <w:rPr>
          <w:rFonts w:ascii="Times New Roman" w:hAnsi="Times New Roman" w:cs="Times New Roman"/>
          <w:noProof/>
          <w:sz w:val="24"/>
          <w:szCs w:val="24"/>
          <w:lang w:val="en-US" w:eastAsia="it-IT"/>
        </w:rPr>
        <w:t>Water Sci. Technol. 57 (8), 1213-1219.</w:t>
      </w:r>
    </w:p>
    <w:p w:rsidR="00AB50C5" w:rsidRDefault="00724275">
      <w:pPr>
        <w:autoSpaceDE w:val="0"/>
        <w:autoSpaceDN w:val="0"/>
        <w:adjustRightInd w:val="0"/>
        <w:spacing w:after="120" w:line="240" w:lineRule="auto"/>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eastAsia="it-IT"/>
        </w:rPr>
        <w:t>Bevilacqua, P.D.</w:t>
      </w:r>
      <w:r>
        <w:rPr>
          <w:rFonts w:ascii="Times New Roman" w:hAnsi="Times New Roman" w:cs="Times New Roman"/>
          <w:noProof/>
          <w:sz w:val="24"/>
          <w:szCs w:val="24"/>
          <w:lang w:eastAsia="it-IT"/>
        </w:rPr>
        <w:t>, Bastos, R.K.X., Mara, D.D (2014) An evaluation of microbial health risks to livestock fed with wastewater-irrigated forage crops. Zoonoses and Public Health, 61 (4), 242-249.</w:t>
      </w:r>
    </w:p>
    <w:p w:rsidR="00AB50C5" w:rsidRDefault="00724275">
      <w:pPr>
        <w:autoSpaceDE w:val="0"/>
        <w:autoSpaceDN w:val="0"/>
        <w:adjustRightInd w:val="0"/>
        <w:spacing w:after="120" w:line="240" w:lineRule="auto"/>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 xml:space="preserve">BIO (2015) </w:t>
      </w:r>
      <w:r>
        <w:rPr>
          <w:rFonts w:ascii="Times New Roman" w:hAnsi="Times New Roman" w:cs="Times New Roman"/>
          <w:iCs/>
          <w:noProof/>
          <w:sz w:val="24"/>
          <w:szCs w:val="24"/>
          <w:lang w:val="en" w:eastAsia="it-IT"/>
        </w:rPr>
        <w:t xml:space="preserve">Optimising water reuse in the EU. </w:t>
      </w:r>
      <w:r>
        <w:rPr>
          <w:rFonts w:ascii="Times New Roman" w:eastAsiaTheme="majorEastAsia" w:hAnsi="Times New Roman" w:cs="Times New Roman"/>
          <w:iCs/>
          <w:noProof/>
          <w:sz w:val="24"/>
          <w:szCs w:val="24"/>
          <w:lang w:val="en" w:eastAsia="it-IT"/>
        </w:rPr>
        <w:t>Final report</w:t>
      </w:r>
      <w:r>
        <w:rPr>
          <w:rFonts w:ascii="Times New Roman" w:hAnsi="Times New Roman" w:cs="Times New Roman"/>
          <w:iCs/>
          <w:noProof/>
          <w:sz w:val="24"/>
          <w:szCs w:val="24"/>
          <w:lang w:val="en" w:eastAsia="it-IT"/>
        </w:rPr>
        <w:t xml:space="preserve"> </w:t>
      </w:r>
      <w:r>
        <w:rPr>
          <w:rFonts w:ascii="Times New Roman" w:hAnsi="Times New Roman" w:cs="Times New Roman"/>
          <w:iCs/>
          <w:noProof/>
          <w:sz w:val="24"/>
          <w:szCs w:val="24"/>
          <w:lang w:val="en-US" w:eastAsia="it-IT"/>
        </w:rPr>
        <w:t xml:space="preserve">- </w:t>
      </w:r>
      <w:r>
        <w:rPr>
          <w:rFonts w:ascii="Times New Roman" w:hAnsi="Times New Roman" w:cs="Times New Roman"/>
          <w:iCs/>
          <w:noProof/>
          <w:sz w:val="24"/>
          <w:szCs w:val="24"/>
          <w:lang w:val="en" w:eastAsia="it-IT"/>
        </w:rPr>
        <w:t>Part 1</w:t>
      </w:r>
      <w:r>
        <w:rPr>
          <w:rFonts w:ascii="Times New Roman" w:eastAsiaTheme="majorEastAsia" w:hAnsi="Times New Roman" w:cs="Times New Roman"/>
          <w:iCs/>
          <w:noProof/>
          <w:sz w:val="24"/>
          <w:szCs w:val="24"/>
          <w:lang w:val="en" w:eastAsia="it-IT"/>
        </w:rPr>
        <w:t xml:space="preserve">. EC/DG-ENV, </w:t>
      </w:r>
      <w:r>
        <w:rPr>
          <w:rFonts w:ascii="Times New Roman" w:eastAsiaTheme="majorEastAsia" w:hAnsi="Times New Roman" w:cs="Times New Roman"/>
          <w:iCs/>
          <w:noProof/>
          <w:sz w:val="24"/>
          <w:szCs w:val="24"/>
          <w:lang w:val="en" w:eastAsia="it-IT"/>
        </w:rPr>
        <w:t xml:space="preserve">116. Paris: Bio </w:t>
      </w:r>
      <w:r>
        <w:rPr>
          <w:rFonts w:ascii="Times New Roman" w:hAnsi="Times New Roman" w:cs="Times New Roman"/>
          <w:iCs/>
          <w:noProof/>
          <w:sz w:val="24"/>
          <w:szCs w:val="24"/>
          <w:lang w:val="en" w:eastAsia="it-IT"/>
        </w:rPr>
        <w:t>by Deloitte, Paris, France.</w:t>
      </w:r>
    </w:p>
    <w:p w:rsidR="00AB50C5" w:rsidRDefault="00724275">
      <w:pPr>
        <w:spacing w:after="120" w:line="240" w:lineRule="auto"/>
        <w:jc w:val="both"/>
        <w:rPr>
          <w:rFonts w:ascii="Times New Roman" w:hAnsi="Times New Roman" w:cs="Times New Roman"/>
          <w:noProof/>
          <w:sz w:val="24"/>
          <w:szCs w:val="24"/>
          <w:lang w:val="en-US" w:eastAsia="en-AU"/>
        </w:rPr>
      </w:pPr>
      <w:r>
        <w:rPr>
          <w:rFonts w:ascii="Times New Roman" w:hAnsi="Times New Roman" w:cs="Times New Roman"/>
          <w:noProof/>
          <w:sz w:val="24"/>
          <w:szCs w:val="24"/>
          <w:lang w:val="en-US" w:eastAsia="en-AU"/>
        </w:rPr>
        <w:t>CAC (</w:t>
      </w:r>
      <w:r>
        <w:rPr>
          <w:rFonts w:ascii="Times New Roman" w:hAnsi="Times New Roman" w:cs="Times New Roman"/>
          <w:i/>
          <w:noProof/>
          <w:sz w:val="24"/>
          <w:szCs w:val="24"/>
          <w:lang w:val="en-US" w:eastAsia="en-AU"/>
        </w:rPr>
        <w:t>Codex Alimentarius Commission</w:t>
      </w:r>
      <w:r>
        <w:rPr>
          <w:rFonts w:ascii="Times New Roman" w:hAnsi="Times New Roman" w:cs="Times New Roman"/>
          <w:noProof/>
          <w:sz w:val="24"/>
          <w:szCs w:val="24"/>
          <w:lang w:val="en-US" w:eastAsia="en-AU"/>
        </w:rPr>
        <w:t>) (2003) Hazard analysis and critical control point (HACCP) system and guidelines for its application. Annex to CAC/RCP 1–1969, Rev 4. FAO/WHO, Rome, Italy.</w:t>
      </w:r>
    </w:p>
    <w:p w:rsidR="00AB50C5" w:rsidRDefault="00724275">
      <w:pPr>
        <w:spacing w:after="120" w:line="240" w:lineRule="auto"/>
        <w:jc w:val="both"/>
        <w:rPr>
          <w:rFonts w:ascii="Times New Roman" w:hAnsi="Times New Roman" w:cs="Times New Roman"/>
          <w:noProof/>
          <w:sz w:val="24"/>
          <w:szCs w:val="24"/>
          <w:lang w:val="en-US" w:eastAsia="en-AU"/>
        </w:rPr>
      </w:pPr>
      <w:r>
        <w:rPr>
          <w:rFonts w:ascii="Times New Roman" w:hAnsi="Times New Roman" w:cs="Times New Roman"/>
          <w:noProof/>
          <w:sz w:val="24"/>
          <w:szCs w:val="24"/>
          <w:lang w:val="en-US" w:eastAsia="en-AU"/>
        </w:rPr>
        <w:t xml:space="preserve">CMD (2011) CMD No </w:t>
      </w:r>
      <w:r>
        <w:rPr>
          <w:rFonts w:ascii="Times New Roman" w:hAnsi="Times New Roman" w:cs="Times New Roman"/>
          <w:noProof/>
          <w:sz w:val="24"/>
          <w:szCs w:val="24"/>
          <w:lang w:val="en-US" w:eastAsia="en-AU"/>
        </w:rPr>
        <w:t>145116 2011 Measures, limits and procedures for reuse of treated wastewater. Government of Greece.</w:t>
      </w:r>
    </w:p>
    <w:p w:rsidR="00AB50C5" w:rsidRDefault="00724275">
      <w:pPr>
        <w:spacing w:before="60" w:after="120" w:line="240" w:lineRule="auto"/>
        <w:ind w:hanging="1"/>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COM (2007) 414 Addressing the challenge of water scarcity and droughts in the European Union. Communication from the Commission to the European Parliament, a</w:t>
      </w:r>
      <w:r>
        <w:rPr>
          <w:rFonts w:ascii="Times New Roman" w:hAnsi="Times New Roman" w:cs="Times New Roman"/>
          <w:noProof/>
          <w:sz w:val="24"/>
          <w:szCs w:val="24"/>
          <w:lang w:val="en-US" w:eastAsia="it-IT"/>
        </w:rPr>
        <w:t>nd the Council. European Commission, Brussels, Belgium.</w:t>
      </w:r>
    </w:p>
    <w:p w:rsidR="00AB50C5" w:rsidRDefault="00724275">
      <w:pPr>
        <w:spacing w:before="60" w:after="120" w:line="240" w:lineRule="auto"/>
        <w:ind w:hanging="1"/>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CDPH (2014) Regulations related to recycled water. California Code of Regulations. California Department of Public Health, Sacramento, California, USA.</w:t>
      </w:r>
    </w:p>
    <w:p w:rsidR="00AB50C5" w:rsidRDefault="00724275">
      <w:pPr>
        <w:spacing w:before="60" w:after="120" w:line="240" w:lineRule="auto"/>
        <w:ind w:hanging="1"/>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COM (2012) 673 A Blueprint to Safeguard Europe’s</w:t>
      </w:r>
      <w:r>
        <w:rPr>
          <w:rFonts w:ascii="Times New Roman" w:hAnsi="Times New Roman" w:cs="Times New Roman"/>
          <w:noProof/>
          <w:sz w:val="24"/>
          <w:szCs w:val="24"/>
          <w:lang w:val="en-US" w:eastAsia="it-IT"/>
        </w:rPr>
        <w:t xml:space="preserve"> Water Resources. Communication from the Commission to the European Parliament, the Council, the European Economic and Social Committee and the Committee of the Regions. European Commission, Brussels, Belgium.</w:t>
      </w:r>
    </w:p>
    <w:p w:rsidR="00AB50C5" w:rsidRDefault="00724275">
      <w:pPr>
        <w:spacing w:before="60" w:after="120" w:line="240" w:lineRule="auto"/>
        <w:ind w:hanging="1"/>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 xml:space="preserve">COM (2015) 614 Closing the loop- An EU action </w:t>
      </w:r>
      <w:r>
        <w:rPr>
          <w:rFonts w:ascii="Times New Roman" w:hAnsi="Times New Roman" w:cs="Times New Roman"/>
          <w:noProof/>
          <w:sz w:val="24"/>
          <w:szCs w:val="24"/>
          <w:lang w:val="en-US" w:eastAsia="it-IT"/>
        </w:rPr>
        <w:t>plan for the Circular Economy. Communication from the Commission to the European Parliament, the Council, the European Economic and Social Committee and the Committee of the Regions. European Commission, Brussels, Belgium.</w:t>
      </w:r>
    </w:p>
    <w:p w:rsidR="00AB50C5" w:rsidRDefault="00724275">
      <w:pPr>
        <w:spacing w:after="120" w:line="240" w:lineRule="auto"/>
        <w:jc w:val="both"/>
        <w:rPr>
          <w:rFonts w:ascii="Times New Roman" w:hAnsi="Times New Roman" w:cs="Times New Roman"/>
          <w:noProof/>
          <w:sz w:val="24"/>
          <w:szCs w:val="24"/>
          <w:shd w:val="clear" w:color="auto" w:fill="FFFFFF"/>
          <w:lang w:val="en-US"/>
        </w:rPr>
      </w:pPr>
      <w:r>
        <w:rPr>
          <w:rFonts w:ascii="Times New Roman" w:hAnsi="Times New Roman" w:cs="Times New Roman"/>
          <w:noProof/>
          <w:sz w:val="24"/>
          <w:szCs w:val="24"/>
          <w:shd w:val="clear" w:color="auto" w:fill="FFFFFF"/>
          <w:lang w:val="en-US"/>
        </w:rPr>
        <w:t>Notice</w:t>
      </w:r>
      <w:r>
        <w:rPr>
          <w:rFonts w:ascii="Times New Roman" w:hAnsi="Times New Roman" w:cs="Times New Roman"/>
          <w:noProof/>
          <w:sz w:val="24"/>
          <w:szCs w:val="24"/>
          <w:shd w:val="clear" w:color="auto" w:fill="FFFFFF"/>
        </w:rPr>
        <w:t xml:space="preserve"> (2017/C 163/01) Commission</w:t>
      </w:r>
      <w:r>
        <w:rPr>
          <w:rFonts w:ascii="Times New Roman" w:hAnsi="Times New Roman" w:cs="Times New Roman"/>
          <w:noProof/>
          <w:sz w:val="24"/>
          <w:szCs w:val="24"/>
          <w:shd w:val="clear" w:color="auto" w:fill="FFFFFF"/>
        </w:rPr>
        <w:t xml:space="preserve"> notice on guidance document on addressing microbiological risks in fresh fruits and vegetables at primary production through good hygiene Official Journal of the European Union. C 163/1, 23 May 2017.</w:t>
      </w:r>
    </w:p>
    <w:p w:rsidR="00AB50C5" w:rsidRDefault="00724275">
      <w:pPr>
        <w:spacing w:after="120" w:line="240" w:lineRule="auto"/>
        <w:jc w:val="both"/>
        <w:rPr>
          <w:rFonts w:ascii="Times New Roman" w:hAnsi="Times New Roman" w:cs="Times New Roman"/>
          <w:noProof/>
          <w:sz w:val="24"/>
          <w:szCs w:val="24"/>
          <w:shd w:val="clear" w:color="auto" w:fill="FFFFFF"/>
          <w:lang w:val="en-US"/>
        </w:rPr>
      </w:pPr>
      <w:r>
        <w:rPr>
          <w:rFonts w:ascii="Times New Roman" w:hAnsi="Times New Roman" w:cs="Times New Roman"/>
          <w:noProof/>
          <w:sz w:val="24"/>
          <w:szCs w:val="24"/>
          <w:shd w:val="clear" w:color="auto" w:fill="FFFFFF"/>
          <w:lang w:val="en-US"/>
        </w:rPr>
        <w:t xml:space="preserve">De Keuckelarre, A., </w:t>
      </w:r>
      <w:r>
        <w:rPr>
          <w:rFonts w:ascii="Times New Roman" w:hAnsi="Times New Roman" w:cs="Times New Roman"/>
          <w:noProof/>
          <w:sz w:val="24"/>
          <w:szCs w:val="24"/>
          <w:lang w:val="en-US"/>
        </w:rPr>
        <w:t>Jacxsens, L., Amoah, P., Medema, G.</w:t>
      </w:r>
      <w:r>
        <w:rPr>
          <w:rFonts w:ascii="Times New Roman" w:hAnsi="Times New Roman" w:cs="Times New Roman"/>
          <w:noProof/>
          <w:sz w:val="24"/>
          <w:szCs w:val="24"/>
          <w:lang w:val="en-US"/>
        </w:rPr>
        <w:t>, McClure, P., Jaykus, L.A., Uyttendaele, M. (</w:t>
      </w:r>
      <w:r>
        <w:rPr>
          <w:rFonts w:ascii="Times New Roman" w:hAnsi="Times New Roman" w:cs="Times New Roman"/>
          <w:noProof/>
          <w:sz w:val="24"/>
          <w:szCs w:val="24"/>
          <w:shd w:val="clear" w:color="auto" w:fill="FFFFFF"/>
          <w:lang w:val="en-US"/>
        </w:rPr>
        <w:t>2015) Zero risk does not exist: lessons learned from microbial risk assessment related to use of water and safety of fresh produce. Comprehensive reviews in food science and food safety, 14, 4, 387–410.</w:t>
      </w:r>
    </w:p>
    <w:p w:rsidR="00AB50C5" w:rsidRDefault="00724275">
      <w:pPr>
        <w:spacing w:after="12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DEC </w:t>
      </w:r>
      <w:r>
        <w:rPr>
          <w:rFonts w:ascii="Times New Roman" w:hAnsi="Times New Roman" w:cs="Times New Roman"/>
          <w:noProof/>
          <w:sz w:val="24"/>
          <w:szCs w:val="24"/>
          <w:lang w:val="en-US"/>
        </w:rPr>
        <w:t>(2012) Western Australian Guidelines for Biosolids Management. Department of Environment and Conservation, Perth, Australia.</w:t>
      </w:r>
    </w:p>
    <w:p w:rsidR="00AB50C5" w:rsidRDefault="00724275">
      <w:pPr>
        <w:spacing w:after="120" w:line="240" w:lineRule="auto"/>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Directive 91/271/EEC of the Council of 21 May 1991 concerning urban waste water treatment. Official Journal. L 135/40, 30 May 1991.</w:t>
      </w:r>
    </w:p>
    <w:p w:rsidR="00AB50C5" w:rsidRDefault="00724275">
      <w:pPr>
        <w:spacing w:after="120" w:line="240" w:lineRule="auto"/>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Directive 91/676/EEC of the European Parliament and of the Council of 12 December 1991 concerning the protection of waters against pollution caused by nitrates from agricultural sources. Official Journal. L 375/1, 31 December 1991.</w:t>
      </w:r>
    </w:p>
    <w:p w:rsidR="00AB50C5" w:rsidRDefault="00724275">
      <w:pPr>
        <w:spacing w:after="120" w:line="240" w:lineRule="auto"/>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Directive 98/83/EC of t</w:t>
      </w:r>
      <w:r>
        <w:rPr>
          <w:rFonts w:ascii="Times New Roman" w:hAnsi="Times New Roman" w:cs="Times New Roman"/>
          <w:noProof/>
          <w:sz w:val="24"/>
          <w:szCs w:val="24"/>
          <w:lang w:val="en-US" w:eastAsia="it-IT"/>
        </w:rPr>
        <w:t>he European Parliament and of the Council of 12 December 1998 on the quality of water intended for human consumption. Official Journal. L 330/32, 5 December 1998.</w:t>
      </w:r>
    </w:p>
    <w:p w:rsidR="00AB50C5" w:rsidRDefault="00724275">
      <w:pPr>
        <w:spacing w:after="120" w:line="240" w:lineRule="auto"/>
        <w:ind w:hanging="1"/>
        <w:jc w:val="both"/>
        <w:rPr>
          <w:rFonts w:ascii="Times New Roman" w:hAnsi="Times New Roman" w:cs="Times New Roman"/>
          <w:noProof/>
          <w:sz w:val="24"/>
          <w:szCs w:val="24"/>
          <w:lang w:val="en-US" w:eastAsia="it-IT"/>
        </w:rPr>
      </w:pPr>
      <w:bookmarkStart w:id="97" w:name="_ENREF_3"/>
      <w:r>
        <w:rPr>
          <w:rFonts w:ascii="Times New Roman" w:hAnsi="Times New Roman" w:cs="Times New Roman"/>
          <w:bCs/>
          <w:noProof/>
          <w:color w:val="211D1E"/>
          <w:sz w:val="24"/>
          <w:szCs w:val="24"/>
          <w:lang w:val="en-US" w:eastAsia="it-IT"/>
        </w:rPr>
        <w:t>Directive 2014/80/EU of 20 June 2014 amending Annex II to Directive 2006/118/EC of the Europe</w:t>
      </w:r>
      <w:r>
        <w:rPr>
          <w:rFonts w:ascii="Times New Roman" w:hAnsi="Times New Roman" w:cs="Times New Roman"/>
          <w:bCs/>
          <w:noProof/>
          <w:color w:val="211D1E"/>
          <w:sz w:val="24"/>
          <w:szCs w:val="24"/>
          <w:lang w:val="en-US" w:eastAsia="it-IT"/>
        </w:rPr>
        <w:t>an Parliament and of the Council on the protection of groundwater against pollution and deterioration.</w:t>
      </w:r>
      <w:r>
        <w:rPr>
          <w:rFonts w:ascii="Times New Roman" w:hAnsi="Times New Roman" w:cs="Times New Roman"/>
          <w:noProof/>
          <w:sz w:val="24"/>
          <w:szCs w:val="24"/>
          <w:lang w:val="en-US" w:eastAsia="it-IT"/>
        </w:rPr>
        <w:t xml:space="preserve"> Official Journal. L 182/52, 21 June 2014.</w:t>
      </w:r>
    </w:p>
    <w:p w:rsidR="00AB50C5" w:rsidRDefault="00724275">
      <w:pPr>
        <w:spacing w:after="120" w:line="240" w:lineRule="auto"/>
        <w:ind w:hanging="1"/>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 xml:space="preserve">DM (2003) DM185/2003 Technical measures for reuse of wastewater. D. Lgs 152/06 - art. 74, art.124 DGR 1053/03. </w:t>
      </w:r>
      <w:r>
        <w:rPr>
          <w:rFonts w:ascii="Times New Roman" w:hAnsi="Times New Roman" w:cs="Times New Roman"/>
          <w:noProof/>
          <w:sz w:val="24"/>
          <w:szCs w:val="24"/>
          <w:lang w:val="en-US" w:eastAsia="it-IT"/>
        </w:rPr>
        <w:t>Government of Italy.</w:t>
      </w:r>
    </w:p>
    <w:p w:rsidR="00AB50C5" w:rsidRDefault="00724275">
      <w:pPr>
        <w:spacing w:after="120" w:line="240" w:lineRule="auto"/>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 xml:space="preserve">Drewes, J. E., Anderson, P., Denslow, N., Olivieri, A., Schlenk, D., Snyder, S.A., Maruya, K.A. (2013) "Designing monitoring programs for chemicals of emerging concern in potable reuse - what to include and what not to include?" Water </w:t>
      </w:r>
      <w:r>
        <w:rPr>
          <w:rFonts w:ascii="Times New Roman" w:hAnsi="Times New Roman" w:cs="Times New Roman"/>
          <w:noProof/>
          <w:sz w:val="24"/>
          <w:szCs w:val="24"/>
          <w:lang w:val="en-US" w:eastAsia="it-IT"/>
        </w:rPr>
        <w:t>Science and Technology 67(2), 433-439.</w:t>
      </w:r>
      <w:bookmarkEnd w:id="97"/>
    </w:p>
    <w:p w:rsidR="00AB50C5" w:rsidRDefault="00724275">
      <w:pPr>
        <w:spacing w:after="120" w:line="240" w:lineRule="auto"/>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Directive 86/278/EEC of 12 June 1986 on the protection of the environment, and in particular of the soil, when sewage sludge is used in agriculture. Official Journal. L 181/6, 4 July 1986.</w:t>
      </w:r>
    </w:p>
    <w:p w:rsidR="00AB50C5" w:rsidRDefault="00724275">
      <w:pPr>
        <w:spacing w:after="120" w:line="240" w:lineRule="auto"/>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Directive 98/83/EC of the Eu</w:t>
      </w:r>
      <w:r>
        <w:rPr>
          <w:rFonts w:ascii="Times New Roman" w:hAnsi="Times New Roman" w:cs="Times New Roman"/>
          <w:noProof/>
          <w:sz w:val="24"/>
          <w:szCs w:val="24"/>
          <w:lang w:val="en-US" w:eastAsia="it-IT"/>
        </w:rPr>
        <w:t>ropean Parliament and of the Council of 12 December 1998 on the quality of water intended for human consumption. Official Journal. L 330/32, 5 December 1998.</w:t>
      </w:r>
    </w:p>
    <w:p w:rsidR="00AB50C5" w:rsidRDefault="00724275">
      <w:pPr>
        <w:spacing w:after="120" w:line="240" w:lineRule="auto"/>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Directive 2000/60/EC of the European Parliament and of the Council of 23 October 2000 establishing</w:t>
      </w:r>
      <w:r>
        <w:rPr>
          <w:rFonts w:ascii="Times New Roman" w:hAnsi="Times New Roman" w:cs="Times New Roman"/>
          <w:noProof/>
          <w:sz w:val="24"/>
          <w:szCs w:val="24"/>
          <w:lang w:val="en-US" w:eastAsia="it-IT"/>
        </w:rPr>
        <w:t xml:space="preserve"> a framework for community action in the field of water policy. Official Journal. L 327, 22 December 2000.</w:t>
      </w:r>
    </w:p>
    <w:p w:rsidR="00AB50C5" w:rsidRDefault="00724275">
      <w:pPr>
        <w:spacing w:after="120" w:line="240" w:lineRule="auto"/>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Regulation No 178/2002 of the European Parliament and of the Council of 28 January2002 laying down the general principles and requirements of food la</w:t>
      </w:r>
      <w:r>
        <w:rPr>
          <w:rFonts w:ascii="Times New Roman" w:hAnsi="Times New Roman" w:cs="Times New Roman"/>
          <w:noProof/>
          <w:sz w:val="24"/>
          <w:szCs w:val="24"/>
          <w:lang w:val="en-US" w:eastAsia="it-IT"/>
        </w:rPr>
        <w:t>w, establishing the European Food Safety Authority and laying down procedures in matters of food safety. Official Journal. L 31, 1 February 2002.</w:t>
      </w:r>
    </w:p>
    <w:p w:rsidR="00AB50C5" w:rsidRDefault="00724275">
      <w:pPr>
        <w:spacing w:after="120" w:line="240" w:lineRule="auto"/>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 xml:space="preserve">Regulation No 852/2004 of the European Parliament and of the Council of 28 January2002 </w:t>
      </w:r>
      <w:r>
        <w:rPr>
          <w:rFonts w:ascii="Times New Roman" w:hAnsi="Times New Roman" w:cs="Times New Roman"/>
          <w:noProof/>
          <w:sz w:val="24"/>
          <w:szCs w:val="24"/>
          <w:lang w:val="en-US"/>
        </w:rPr>
        <w:t>on the hygiene of foods</w:t>
      </w:r>
      <w:r>
        <w:rPr>
          <w:rFonts w:ascii="Times New Roman" w:hAnsi="Times New Roman" w:cs="Times New Roman"/>
          <w:noProof/>
          <w:sz w:val="24"/>
          <w:szCs w:val="24"/>
          <w:lang w:val="en-US"/>
        </w:rPr>
        <w:t xml:space="preserve">tuffs. </w:t>
      </w:r>
      <w:r>
        <w:rPr>
          <w:rFonts w:ascii="Times New Roman" w:hAnsi="Times New Roman" w:cs="Times New Roman"/>
          <w:noProof/>
          <w:sz w:val="24"/>
          <w:szCs w:val="24"/>
          <w:lang w:val="en-US" w:eastAsia="it-IT"/>
        </w:rPr>
        <w:t>Official Journal. L 139, 30 April 2004.</w:t>
      </w:r>
    </w:p>
    <w:p w:rsidR="00AB50C5" w:rsidRDefault="00724275">
      <w:pPr>
        <w:spacing w:after="120" w:line="240" w:lineRule="auto"/>
        <w:ind w:hanging="1"/>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EC (2006) Directive 2006/118/EC of the European Parliament and of the Council of 12 December 2006 on the protection of groundwater against pollution and deterioration. Official Journal. L 372/19, 27 December 2</w:t>
      </w:r>
      <w:r>
        <w:rPr>
          <w:rFonts w:ascii="Times New Roman" w:hAnsi="Times New Roman" w:cs="Times New Roman"/>
          <w:noProof/>
          <w:sz w:val="24"/>
          <w:szCs w:val="24"/>
          <w:lang w:val="en-US" w:eastAsia="it-IT"/>
        </w:rPr>
        <w:t>006.</w:t>
      </w:r>
    </w:p>
    <w:p w:rsidR="00AB50C5" w:rsidRDefault="00724275">
      <w:pPr>
        <w:spacing w:after="120" w:line="240" w:lineRule="auto"/>
        <w:ind w:hanging="1"/>
        <w:jc w:val="both"/>
        <w:rPr>
          <w:rFonts w:ascii="Times New Roman" w:hAnsi="Times New Roman" w:cs="Times New Roman"/>
          <w:noProof/>
          <w:color w:val="211D1E"/>
          <w:sz w:val="24"/>
          <w:szCs w:val="24"/>
          <w:lang w:val="en-US" w:eastAsia="it-IT"/>
        </w:rPr>
      </w:pPr>
      <w:r>
        <w:rPr>
          <w:rFonts w:ascii="Times New Roman" w:hAnsi="Times New Roman" w:cs="Times New Roman"/>
          <w:noProof/>
          <w:sz w:val="24"/>
          <w:szCs w:val="24"/>
          <w:lang w:val="en-US" w:eastAsia="it-IT"/>
        </w:rPr>
        <w:t xml:space="preserve">EC (2007a). Guidance on groundwater monitoring. Guidance Document No. 15. Technical Report 002-2007, Office for Official Publications of the European Communities. </w:t>
      </w:r>
      <w:r>
        <w:rPr>
          <w:rFonts w:ascii="Times New Roman" w:hAnsi="Times New Roman" w:cs="Times New Roman"/>
          <w:noProof/>
          <w:color w:val="211D1E"/>
          <w:sz w:val="24"/>
          <w:szCs w:val="24"/>
          <w:lang w:val="en-US" w:eastAsia="it-IT"/>
        </w:rPr>
        <w:t>ISBN 92-79-04558-X.</w:t>
      </w:r>
    </w:p>
    <w:p w:rsidR="00AB50C5" w:rsidRDefault="00724275">
      <w:pPr>
        <w:spacing w:after="120" w:line="240" w:lineRule="auto"/>
        <w:ind w:hanging="1"/>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EC (2007b). Guidance on preventing or limiting direct and indirect i</w:t>
      </w:r>
      <w:r>
        <w:rPr>
          <w:rFonts w:ascii="Times New Roman" w:hAnsi="Times New Roman" w:cs="Times New Roman"/>
          <w:noProof/>
          <w:sz w:val="24"/>
          <w:szCs w:val="24"/>
          <w:lang w:val="en-US" w:eastAsia="it-IT"/>
        </w:rPr>
        <w:t>nputs in the context of the Groundwater Directive 2006/118/EC. Guidance Document No. 17. Technical Report 2007-012, Office for Official Publications of the European Communities. ISBN 978-92-79-06277-3.</w:t>
      </w:r>
    </w:p>
    <w:p w:rsidR="00AB50C5" w:rsidRDefault="00724275">
      <w:pPr>
        <w:spacing w:after="120" w:line="240" w:lineRule="auto"/>
        <w:ind w:hanging="1"/>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EC (2008) Directive 2008/105/EC of the European Parlia</w:t>
      </w:r>
      <w:r>
        <w:rPr>
          <w:rFonts w:ascii="Times New Roman" w:hAnsi="Times New Roman" w:cs="Times New Roman"/>
          <w:noProof/>
          <w:sz w:val="24"/>
          <w:szCs w:val="24"/>
          <w:lang w:val="en-US" w:eastAsia="it-IT"/>
        </w:rPr>
        <w:t xml:space="preserve">ment and of the Council of 16 December 2008 on environmental quality standards in the field of water policy amending and subsequently repealing Council Directives 82/176/EEC, 83/513/EEC, 84/156/EEC, 84/491/EEC, 86/280/EEC and amending Directive 2000/60/EC </w:t>
      </w:r>
      <w:r>
        <w:rPr>
          <w:rFonts w:ascii="Times New Roman" w:hAnsi="Times New Roman" w:cs="Times New Roman"/>
          <w:noProof/>
          <w:sz w:val="24"/>
          <w:szCs w:val="24"/>
          <w:lang w:val="en-US" w:eastAsia="it-IT"/>
        </w:rPr>
        <w:t>of the European Parliament and of the Council. Official Journal. L 348/84, 24 December 2008.</w:t>
      </w:r>
    </w:p>
    <w:p w:rsidR="00AB50C5" w:rsidRDefault="00724275">
      <w:pPr>
        <w:spacing w:after="120" w:line="240" w:lineRule="auto"/>
        <w:ind w:hanging="1"/>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EC (2009). Guidance on Groundwater Status and Trend Assessment. WFD CIS Working Group on Groundwater. Guidance Document No. 18.Technical Report -2009 - 026. Office</w:t>
      </w:r>
      <w:r>
        <w:rPr>
          <w:rFonts w:ascii="Times New Roman" w:hAnsi="Times New Roman" w:cs="Times New Roman"/>
          <w:noProof/>
          <w:sz w:val="24"/>
          <w:szCs w:val="24"/>
          <w:lang w:val="en-US" w:eastAsia="it-IT"/>
        </w:rPr>
        <w:t xml:space="preserve"> for Official Publications of the European Communities. ISBN 978-92-79-11374-1.</w:t>
      </w:r>
    </w:p>
    <w:p w:rsidR="00AB50C5" w:rsidRDefault="00724275">
      <w:pPr>
        <w:spacing w:after="120" w:line="240" w:lineRule="auto"/>
        <w:ind w:hanging="1"/>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 xml:space="preserve">EC (2013) Directive 2013/39/EU of the European Parliament and of the Council of 12 August 2013 amending Directives 2000/60/EC and 2008/105/EC as regards priority substances in </w:t>
      </w:r>
      <w:r>
        <w:rPr>
          <w:rFonts w:ascii="Times New Roman" w:hAnsi="Times New Roman" w:cs="Times New Roman"/>
          <w:noProof/>
          <w:sz w:val="24"/>
          <w:szCs w:val="24"/>
          <w:lang w:val="en-US" w:eastAsia="it-IT"/>
        </w:rPr>
        <w:t>the field of water policy. Official Journal. L 226/1, 24 August 2013.</w:t>
      </w:r>
    </w:p>
    <w:p w:rsidR="00AB50C5" w:rsidRDefault="00724275">
      <w:pPr>
        <w:spacing w:after="120" w:line="240" w:lineRule="auto"/>
        <w:ind w:hanging="1"/>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EC (2014) Directive 2014/52/EU of the European Parliament and of the Council of 16 April 2014 amending Directive 2011/92/EU on the assessment of the effects of certain public and private</w:t>
      </w:r>
      <w:r>
        <w:rPr>
          <w:rFonts w:ascii="Times New Roman" w:hAnsi="Times New Roman" w:cs="Times New Roman"/>
          <w:noProof/>
          <w:sz w:val="24"/>
          <w:szCs w:val="24"/>
          <w:lang w:val="en-US" w:eastAsia="it-IT"/>
        </w:rPr>
        <w:t xml:space="preserve"> projects on the environment. Official Journal. L 124/1, 25 April 2014.</w:t>
      </w:r>
    </w:p>
    <w:p w:rsidR="00AB50C5" w:rsidRDefault="00724275">
      <w:pPr>
        <w:spacing w:after="120" w:line="240" w:lineRule="auto"/>
        <w:ind w:hanging="1"/>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EEA (2012) Towards efficient use of water resources in Europe. EEA report No 1/2012. European Environment Agency, Copenhagen, Denmark.</w:t>
      </w:r>
    </w:p>
    <w:p w:rsidR="00AB50C5" w:rsidRDefault="00724275">
      <w:pPr>
        <w:spacing w:after="120" w:line="240" w:lineRule="auto"/>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 xml:space="preserve">EC (2014b) Technical report on aquatic </w:t>
      </w:r>
      <w:r>
        <w:rPr>
          <w:rFonts w:ascii="Times New Roman" w:hAnsi="Times New Roman" w:cs="Times New Roman"/>
          <w:noProof/>
          <w:sz w:val="24"/>
          <w:szCs w:val="24"/>
          <w:lang w:val="en-US" w:eastAsia="it-IT"/>
        </w:rPr>
        <w:t>effect-based monitoring tools. Technical Report 2014-077. Office for Official Publications of the European Communities, ISBN 978-92-79-35787-9.</w:t>
      </w:r>
    </w:p>
    <w:p w:rsidR="00AB50C5" w:rsidRDefault="00724275">
      <w:pPr>
        <w:spacing w:after="120" w:line="240" w:lineRule="auto"/>
        <w:ind w:hanging="1"/>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EC (2016) Guidelines on integrating water reuse into water planning and management in the context of the WFD. Gu</w:t>
      </w:r>
      <w:r>
        <w:rPr>
          <w:rFonts w:ascii="Times New Roman" w:hAnsi="Times New Roman" w:cs="Times New Roman"/>
          <w:noProof/>
          <w:sz w:val="24"/>
          <w:szCs w:val="24"/>
          <w:lang w:val="en-US" w:eastAsia="it-IT"/>
        </w:rPr>
        <w:t>idance Document 2016.</w:t>
      </w:r>
    </w:p>
    <w:p w:rsidR="00AB50C5" w:rsidRDefault="00724275">
      <w:pPr>
        <w:spacing w:after="120" w:line="240" w:lineRule="auto"/>
        <w:ind w:hanging="1"/>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EFSA and ECDC (2015)</w:t>
      </w:r>
      <w:r>
        <w:rPr>
          <w:rFonts w:ascii="Times New Roman" w:hAnsi="Times New Roman" w:cs="Times New Roman"/>
          <w:noProof/>
          <w:sz w:val="24"/>
          <w:szCs w:val="24"/>
        </w:rPr>
        <w:t xml:space="preserve"> EU Summary Report on antimicrobial resistance in zoonotic and indicator bacteria from humans, animals and food in 2013. EFSA (European Food Safety Authority) and ECDC (European Centre for Disease Prevention and Co</w:t>
      </w:r>
      <w:r>
        <w:rPr>
          <w:rFonts w:ascii="Times New Roman" w:hAnsi="Times New Roman" w:cs="Times New Roman"/>
          <w:noProof/>
          <w:sz w:val="24"/>
          <w:szCs w:val="24"/>
        </w:rPr>
        <w:t>ntrol). EFSA Journal 2015;13(2):4036.</w:t>
      </w:r>
    </w:p>
    <w:p w:rsidR="00AB50C5" w:rsidRDefault="00724275">
      <w:pPr>
        <w:spacing w:after="120" w:line="240" w:lineRule="auto"/>
        <w:jc w:val="both"/>
        <w:rPr>
          <w:rFonts w:ascii="Times New Roman" w:hAnsi="Times New Roman" w:cs="Times New Roman"/>
          <w:noProof/>
          <w:sz w:val="24"/>
          <w:szCs w:val="24"/>
          <w:lang w:val="en-US" w:eastAsia="en-AU"/>
        </w:rPr>
      </w:pPr>
      <w:r>
        <w:rPr>
          <w:rFonts w:ascii="Times New Roman" w:hAnsi="Times New Roman" w:cs="Times New Roman"/>
          <w:noProof/>
          <w:sz w:val="24"/>
          <w:szCs w:val="24"/>
          <w:lang w:val="en-US" w:eastAsia="en-AU"/>
        </w:rPr>
        <w:t>FAO (1985). Water Quality for Agriculture. FAO Irrigation and Drainage Paper 29, rev. 1. Food and Agriculture Organization of the United Nations, Rome, Italy.</w:t>
      </w:r>
    </w:p>
    <w:p w:rsidR="00AB50C5" w:rsidRDefault="00724275">
      <w:pPr>
        <w:spacing w:after="120" w:line="240" w:lineRule="auto"/>
        <w:jc w:val="both"/>
        <w:rPr>
          <w:rFonts w:ascii="Times New Roman" w:hAnsi="Times New Roman" w:cs="Times New Roman"/>
          <w:noProof/>
          <w:sz w:val="24"/>
          <w:szCs w:val="24"/>
          <w:lang w:val="en-US" w:eastAsia="en-AU"/>
        </w:rPr>
      </w:pPr>
      <w:r>
        <w:rPr>
          <w:rFonts w:ascii="Times New Roman" w:hAnsi="Times New Roman" w:cs="Times New Roman"/>
          <w:noProof/>
          <w:sz w:val="24"/>
          <w:szCs w:val="24"/>
          <w:lang w:val="en-US" w:eastAsia="en-AU"/>
        </w:rPr>
        <w:t>Fatta-Kassinos, D., Dionysiou, D.D., Kümmerer, K. (2016) Wa</w:t>
      </w:r>
      <w:r>
        <w:rPr>
          <w:rFonts w:ascii="Times New Roman" w:hAnsi="Times New Roman" w:cs="Times New Roman"/>
          <w:noProof/>
          <w:sz w:val="24"/>
          <w:szCs w:val="24"/>
          <w:lang w:val="en-US" w:eastAsia="en-AU"/>
        </w:rPr>
        <w:t xml:space="preserve">stewater Reuse and Current Challenges. The Handbook of Environmental Chemistry. Springler International Publisher, Switzerland. ISBN 978-3-319-23892-0. </w:t>
      </w:r>
    </w:p>
    <w:p w:rsidR="00AB50C5" w:rsidRDefault="00724275">
      <w:pPr>
        <w:spacing w:after="120" w:line="240" w:lineRule="auto"/>
        <w:jc w:val="both"/>
        <w:rPr>
          <w:rFonts w:ascii="Times New Roman" w:eastAsia="Calibri" w:hAnsi="Times New Roman" w:cs="Times New Roman"/>
          <w:noProof/>
          <w:sz w:val="24"/>
          <w:szCs w:val="24"/>
          <w:lang w:eastAsia="it-IT"/>
        </w:rPr>
      </w:pPr>
      <w:r>
        <w:rPr>
          <w:rFonts w:ascii="Times New Roman" w:eastAsia="Calibri" w:hAnsi="Times New Roman" w:cs="Times New Roman"/>
          <w:noProof/>
          <w:sz w:val="24"/>
          <w:szCs w:val="24"/>
          <w:lang w:eastAsia="it-IT"/>
        </w:rPr>
        <w:t>Gibney, K.B., O’Toole, J., Sinclair, M., Leder, K. (2014) Disease burden of selected gastrointestinal p</w:t>
      </w:r>
      <w:r>
        <w:rPr>
          <w:rFonts w:ascii="Times New Roman" w:eastAsia="Calibri" w:hAnsi="Times New Roman" w:cs="Times New Roman"/>
          <w:noProof/>
          <w:sz w:val="24"/>
          <w:szCs w:val="24"/>
          <w:lang w:eastAsia="it-IT"/>
        </w:rPr>
        <w:t>athogens in Australia. International Journal of Infectious Disease 28: 176-185.</w:t>
      </w:r>
    </w:p>
    <w:p w:rsidR="00AB50C5" w:rsidRDefault="00724275">
      <w:pPr>
        <w:spacing w:after="12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Grabow,W (2001) Bacteriophages: update on application as models for viruses in water. Water SA, 27, 251–268.</w:t>
      </w:r>
    </w:p>
    <w:p w:rsidR="00AB50C5" w:rsidRDefault="00724275">
      <w:pPr>
        <w:spacing w:after="120" w:line="240" w:lineRule="auto"/>
        <w:jc w:val="both"/>
        <w:rPr>
          <w:rFonts w:ascii="Times New Roman" w:eastAsia="Calibri" w:hAnsi="Times New Roman" w:cs="Times New Roman"/>
          <w:noProof/>
          <w:sz w:val="24"/>
          <w:szCs w:val="24"/>
          <w:lang w:eastAsia="it-IT"/>
        </w:rPr>
      </w:pPr>
      <w:r>
        <w:rPr>
          <w:rFonts w:ascii="Times New Roman" w:eastAsia="Calibri" w:hAnsi="Times New Roman" w:cs="Times New Roman"/>
          <w:noProof/>
          <w:sz w:val="24"/>
          <w:szCs w:val="24"/>
          <w:lang w:eastAsia="it-IT"/>
        </w:rPr>
        <w:t>Haas, C.N., Rose, J.B, Gerba, C.P. (2014) Quantitative Microbial Ri</w:t>
      </w:r>
      <w:r>
        <w:rPr>
          <w:rFonts w:ascii="Times New Roman" w:eastAsia="Calibri" w:hAnsi="Times New Roman" w:cs="Times New Roman"/>
          <w:noProof/>
          <w:sz w:val="24"/>
          <w:szCs w:val="24"/>
          <w:lang w:eastAsia="it-IT"/>
        </w:rPr>
        <w:t xml:space="preserve">sk Assessment: Second edition. </w:t>
      </w:r>
      <w:r>
        <w:rPr>
          <w:rFonts w:ascii="Times New Roman" w:hAnsi="Times New Roman" w:cs="Times New Roman"/>
          <w:noProof/>
          <w:sz w:val="24"/>
          <w:szCs w:val="24"/>
          <w:lang w:val="en"/>
        </w:rPr>
        <w:t xml:space="preserve">Wiley Blackwell, ISBN </w:t>
      </w:r>
      <w:hyperlink r:id="rId30" w:history="1">
        <w:r>
          <w:rPr>
            <w:rStyle w:val="Hyperlink"/>
            <w:rFonts w:ascii="Times New Roman" w:hAnsi="Times New Roman" w:cs="Times New Roman"/>
            <w:noProof/>
            <w:sz w:val="24"/>
            <w:szCs w:val="24"/>
            <w:lang w:val="en"/>
          </w:rPr>
          <w:t>9781118910030</w:t>
        </w:r>
      </w:hyperlink>
      <w:r>
        <w:rPr>
          <w:rFonts w:ascii="Times New Roman" w:hAnsi="Times New Roman" w:cs="Times New Roman"/>
          <w:noProof/>
          <w:sz w:val="24"/>
          <w:szCs w:val="24"/>
          <w:lang w:val="en"/>
        </w:rPr>
        <w:t>.</w:t>
      </w:r>
    </w:p>
    <w:p w:rsidR="00AB50C5" w:rsidRDefault="00724275">
      <w:pPr>
        <w:autoSpaceDE w:val="0"/>
        <w:autoSpaceDN w:val="0"/>
        <w:adjustRightInd w:val="0"/>
        <w:spacing w:after="120" w:line="240" w:lineRule="auto"/>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 xml:space="preserve">Hamilton, A.J., Stagnitti, F., Premier, R., Boland, A.-M., Hale, G. (2006) Quantitative microbial risk assessment models for consumption of raw vegetables irrigated with reclaimed water. </w:t>
      </w:r>
      <w:r>
        <w:rPr>
          <w:rFonts w:ascii="Times New Roman" w:hAnsi="Times New Roman" w:cs="Times New Roman"/>
          <w:iCs/>
          <w:noProof/>
          <w:sz w:val="24"/>
          <w:szCs w:val="24"/>
          <w:lang w:val="en-US" w:eastAsia="it-IT"/>
        </w:rPr>
        <w:t>Appl. Environ. Microbiol</w:t>
      </w:r>
      <w:r>
        <w:rPr>
          <w:rFonts w:ascii="Times New Roman" w:hAnsi="Times New Roman" w:cs="Times New Roman"/>
          <w:noProof/>
          <w:sz w:val="24"/>
          <w:szCs w:val="24"/>
          <w:lang w:val="en-US" w:eastAsia="it-IT"/>
        </w:rPr>
        <w:t>. 72 (5), 3284-3290.</w:t>
      </w:r>
    </w:p>
    <w:p w:rsidR="00AB50C5" w:rsidRDefault="00724275">
      <w:pPr>
        <w:spacing w:after="120" w:line="240" w:lineRule="auto"/>
        <w:ind w:hanging="1"/>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Hochstrat, R., Wintgens,</w:t>
      </w:r>
      <w:r>
        <w:rPr>
          <w:rFonts w:ascii="Times New Roman" w:hAnsi="Times New Roman" w:cs="Times New Roman"/>
          <w:noProof/>
          <w:sz w:val="24"/>
          <w:szCs w:val="24"/>
          <w:lang w:val="en-US" w:eastAsia="it-IT"/>
        </w:rPr>
        <w:t xml:space="preserve"> T., Melin, T., Jeffrey, P. (2005) Wastewater reclamation and reuse in Europe: a model-based potential estimation. Water Supply, 5(1), 67-75.</w:t>
      </w:r>
    </w:p>
    <w:p w:rsidR="00AB50C5" w:rsidRDefault="00724275">
      <w:pPr>
        <w:spacing w:after="120" w:line="240" w:lineRule="auto"/>
        <w:jc w:val="both"/>
        <w:rPr>
          <w:rFonts w:ascii="Times New Roman" w:hAnsi="Times New Roman" w:cs="Times New Roman"/>
          <w:noProof/>
          <w:sz w:val="24"/>
          <w:szCs w:val="24"/>
          <w:lang w:val="en-US" w:eastAsia="en-AU"/>
        </w:rPr>
      </w:pPr>
      <w:r>
        <w:rPr>
          <w:rFonts w:ascii="Times New Roman" w:hAnsi="Times New Roman" w:cs="Times New Roman"/>
          <w:noProof/>
          <w:sz w:val="24"/>
          <w:szCs w:val="24"/>
          <w:lang w:val="en-US" w:eastAsia="en-AU"/>
        </w:rPr>
        <w:t>ISO 16075 (2015) Guidelines for Treated Wastewater Use for Irrigation Projects. International Organization for Sta</w:t>
      </w:r>
      <w:r>
        <w:rPr>
          <w:rFonts w:ascii="Times New Roman" w:hAnsi="Times New Roman" w:cs="Times New Roman"/>
          <w:noProof/>
          <w:sz w:val="24"/>
          <w:szCs w:val="24"/>
          <w:lang w:val="en-US" w:eastAsia="en-AU"/>
        </w:rPr>
        <w:t>ndardization, Geneva, Switzerland.</w:t>
      </w:r>
    </w:p>
    <w:p w:rsidR="00AB50C5" w:rsidRDefault="00724275">
      <w:pPr>
        <w:spacing w:after="12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Jofre, J. (2007) Indicators of waterborne viruses. In Human Viruses in Water; Bosch, A., Ed.; Perspectives in Medical Virology, 17, Amsterdam, The Netherlands.</w:t>
      </w:r>
    </w:p>
    <w:p w:rsidR="00AB50C5" w:rsidRDefault="00724275">
      <w:pPr>
        <w:spacing w:after="12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Jofre, J., Lucena, F., Blanch, A.R., Muniesa, M. (2016) Colip</w:t>
      </w:r>
      <w:r>
        <w:rPr>
          <w:rFonts w:ascii="Times New Roman" w:hAnsi="Times New Roman" w:cs="Times New Roman"/>
          <w:noProof/>
          <w:sz w:val="24"/>
          <w:szCs w:val="24"/>
          <w:lang w:val="en-US"/>
        </w:rPr>
        <w:t>hages as model organisms in the characterization and management of water resources. Water, 8, 1-21.</w:t>
      </w:r>
    </w:p>
    <w:p w:rsidR="00AB50C5" w:rsidRDefault="00724275">
      <w:pPr>
        <w:spacing w:after="120" w:line="240" w:lineRule="auto"/>
        <w:jc w:val="both"/>
        <w:rPr>
          <w:rFonts w:ascii="Times New Roman" w:hAnsi="Times New Roman" w:cs="Times New Roman"/>
          <w:noProof/>
          <w:sz w:val="24"/>
          <w:szCs w:val="24"/>
          <w:lang w:val="en-US" w:eastAsia="en-AU"/>
        </w:rPr>
      </w:pPr>
      <w:r>
        <w:rPr>
          <w:rFonts w:ascii="Times New Roman" w:hAnsi="Times New Roman" w:cs="Times New Roman"/>
          <w:noProof/>
          <w:sz w:val="24"/>
          <w:szCs w:val="24"/>
          <w:lang w:val="en-US" w:eastAsia="en-AU"/>
        </w:rPr>
        <w:t>JORF (2014) JORF num.0153, Order of 2014, related to the use of water from treated urban wastewater for irrigation of crops and green areas. Government of F</w:t>
      </w:r>
      <w:r>
        <w:rPr>
          <w:rFonts w:ascii="Times New Roman" w:hAnsi="Times New Roman" w:cs="Times New Roman"/>
          <w:noProof/>
          <w:sz w:val="24"/>
          <w:szCs w:val="24"/>
          <w:lang w:val="en-US" w:eastAsia="en-AU"/>
        </w:rPr>
        <w:t>rance.</w:t>
      </w:r>
    </w:p>
    <w:p w:rsidR="00AB50C5" w:rsidRDefault="00724275">
      <w:pPr>
        <w:spacing w:after="120" w:line="240" w:lineRule="auto"/>
        <w:jc w:val="both"/>
        <w:rPr>
          <w:rFonts w:ascii="Times New Roman" w:hAnsi="Times New Roman" w:cs="Times New Roman"/>
          <w:noProof/>
          <w:sz w:val="24"/>
          <w:szCs w:val="24"/>
          <w:lang w:val="en-US" w:eastAsia="en-AU"/>
        </w:rPr>
      </w:pPr>
      <w:r>
        <w:rPr>
          <w:rFonts w:ascii="Times New Roman" w:hAnsi="Times New Roman" w:cs="Times New Roman"/>
          <w:noProof/>
          <w:sz w:val="24"/>
          <w:szCs w:val="24"/>
          <w:lang w:val="en-US" w:eastAsia="en-AU"/>
        </w:rPr>
        <w:t>JRC (2014) Water Reuse in Europe. Relevant guidelines, needs for and barriers to innovation. A synoptic overview. Joint Research Centre, European Commission Publications Office of the European Union. ISBN 978-92-79-44399-2.</w:t>
      </w:r>
    </w:p>
    <w:p w:rsidR="00AB50C5" w:rsidRDefault="00724275">
      <w:pPr>
        <w:spacing w:after="120" w:line="240" w:lineRule="auto"/>
        <w:jc w:val="both"/>
        <w:rPr>
          <w:rFonts w:ascii="Times New Roman" w:hAnsi="Times New Roman" w:cs="Times New Roman"/>
          <w:noProof/>
          <w:sz w:val="24"/>
          <w:szCs w:val="24"/>
          <w:lang w:val="en-US" w:eastAsia="en-AU"/>
        </w:rPr>
      </w:pPr>
      <w:r>
        <w:rPr>
          <w:rFonts w:ascii="Times New Roman" w:hAnsi="Times New Roman" w:cs="Times New Roman"/>
          <w:noProof/>
          <w:sz w:val="24"/>
          <w:szCs w:val="24"/>
          <w:lang w:val="en-US" w:eastAsia="en-AU"/>
        </w:rPr>
        <w:t xml:space="preserve">KDP (2015) Law 106 (l) </w:t>
      </w:r>
      <w:r>
        <w:rPr>
          <w:rFonts w:ascii="Times New Roman" w:hAnsi="Times New Roman" w:cs="Times New Roman"/>
          <w:noProof/>
          <w:sz w:val="24"/>
          <w:szCs w:val="24"/>
          <w:lang w:val="en-US" w:eastAsia="en-AU"/>
        </w:rPr>
        <w:t>2002 Water and Soil pollution control and associated regulations KDP 772/2003, KDP 379/2015, Government of Cyprus.</w:t>
      </w:r>
    </w:p>
    <w:p w:rsidR="00AB50C5" w:rsidRDefault="00724275">
      <w:pPr>
        <w:spacing w:after="120" w:line="240" w:lineRule="auto"/>
        <w:jc w:val="both"/>
        <w:rPr>
          <w:rFonts w:ascii="Times New Roman" w:hAnsi="Times New Roman" w:cs="Times New Roman"/>
          <w:noProof/>
          <w:sz w:val="24"/>
          <w:szCs w:val="24"/>
          <w:lang w:val="en-US" w:eastAsia="en-AU"/>
        </w:rPr>
      </w:pPr>
      <w:r>
        <w:rPr>
          <w:rFonts w:ascii="Times New Roman" w:hAnsi="Times New Roman" w:cs="Times New Roman"/>
          <w:noProof/>
          <w:sz w:val="24"/>
          <w:szCs w:val="24"/>
          <w:lang w:val="en-US" w:eastAsia="en-AU"/>
        </w:rPr>
        <w:t>Laws, B.V., Dickenson, E.R.V., Johnson, T.A., Snyder, S.A., Drewes, J.E. (2011). Attenuation of contaminants of emerging concern during surfa</w:t>
      </w:r>
      <w:r>
        <w:rPr>
          <w:rFonts w:ascii="Times New Roman" w:hAnsi="Times New Roman" w:cs="Times New Roman"/>
          <w:noProof/>
          <w:sz w:val="24"/>
          <w:szCs w:val="24"/>
          <w:lang w:val="en-US" w:eastAsia="en-AU"/>
        </w:rPr>
        <w:t xml:space="preserve">ce-spreading aquifer recharge. Sci. Total Environ. 409, 1087-1094. </w:t>
      </w:r>
    </w:p>
    <w:p w:rsidR="00AB50C5" w:rsidRDefault="00724275">
      <w:pPr>
        <w:spacing w:after="120" w:line="240" w:lineRule="auto"/>
        <w:jc w:val="both"/>
        <w:rPr>
          <w:rFonts w:ascii="Times New Roman" w:hAnsi="Times New Roman" w:cs="Times New Roman"/>
          <w:noProof/>
          <w:sz w:val="24"/>
          <w:szCs w:val="24"/>
          <w:lang w:val="en-US" w:eastAsia="en-AU"/>
        </w:rPr>
      </w:pPr>
      <w:r>
        <w:rPr>
          <w:rFonts w:ascii="Times New Roman" w:hAnsi="Times New Roman" w:cs="Times New Roman"/>
          <w:noProof/>
          <w:sz w:val="24"/>
          <w:szCs w:val="24"/>
          <w:lang w:val="en-US" w:eastAsia="en-AU"/>
        </w:rPr>
        <w:t>Loos, R., Negrao de Carvalho, R., António, D.C., Comero, S., Locoro, G., Tavazzi, S., Paracchini, B., Ghiani, M., Lettieri, T., Blaha, L., Jarosova, B., Voorspoels, S., Servaes K., Haglund</w:t>
      </w:r>
      <w:r>
        <w:rPr>
          <w:rFonts w:ascii="Times New Roman" w:hAnsi="Times New Roman" w:cs="Times New Roman"/>
          <w:noProof/>
          <w:sz w:val="24"/>
          <w:szCs w:val="24"/>
          <w:lang w:val="en-US" w:eastAsia="en-AU"/>
        </w:rPr>
        <w:t>, P., Fick, J., Lindberg, R.H., Schwesig, D., Gawlik, B.M. (2013) EU-wide monitoring survey on emerging polar organic contaminants in wastewater treatment plant effluents. Water Research 47, 6475–6487.</w:t>
      </w:r>
    </w:p>
    <w:p w:rsidR="00AB50C5" w:rsidRDefault="00724275">
      <w:pPr>
        <w:autoSpaceDE w:val="0"/>
        <w:autoSpaceDN w:val="0"/>
        <w:adjustRightInd w:val="0"/>
        <w:spacing w:after="120" w:line="240" w:lineRule="auto"/>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eastAsia="it-IT"/>
        </w:rPr>
        <w:t>Mara, D.D., Sleigh, P.A., Blumenthal, U.J., Carr, R.M.</w:t>
      </w:r>
      <w:r>
        <w:rPr>
          <w:rFonts w:ascii="Times New Roman" w:hAnsi="Times New Roman" w:cs="Times New Roman"/>
          <w:noProof/>
          <w:sz w:val="24"/>
          <w:szCs w:val="24"/>
          <w:lang w:eastAsia="it-IT"/>
        </w:rPr>
        <w:t xml:space="preserve"> (2007) Health risks in wastewater irrigation: comparing estimates from quantitative microbial risk analyses and epidemiological studies. </w:t>
      </w:r>
      <w:r>
        <w:rPr>
          <w:rFonts w:ascii="Times New Roman" w:hAnsi="Times New Roman" w:cs="Times New Roman"/>
          <w:noProof/>
          <w:sz w:val="24"/>
          <w:szCs w:val="24"/>
          <w:lang w:val="en-US" w:eastAsia="it-IT"/>
        </w:rPr>
        <w:t>J. Water Health 5 (1), 39-50.</w:t>
      </w:r>
    </w:p>
    <w:p w:rsidR="00AB50C5" w:rsidRDefault="00724275">
      <w:pPr>
        <w:spacing w:after="12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Méndez, J., Jofre, J., Lucena, F., Contreras, N., Mooijman, K., Araujo, R. (2002) Conser</w:t>
      </w:r>
      <w:r>
        <w:rPr>
          <w:rFonts w:ascii="Times New Roman" w:hAnsi="Times New Roman" w:cs="Times New Roman"/>
          <w:noProof/>
          <w:sz w:val="24"/>
          <w:szCs w:val="24"/>
          <w:lang w:val="en-US"/>
        </w:rPr>
        <w:t>vation of phage reference materials and water samples containing bacteriophages of enteric bacteria. J. Virol. Methods, 106, 215–224.</w:t>
      </w:r>
    </w:p>
    <w:p w:rsidR="00AB50C5" w:rsidRDefault="00724275">
      <w:pPr>
        <w:autoSpaceDE w:val="0"/>
        <w:autoSpaceDN w:val="0"/>
        <w:adjustRightInd w:val="0"/>
        <w:spacing w:after="120" w:line="240" w:lineRule="auto"/>
        <w:jc w:val="both"/>
        <w:rPr>
          <w:rFonts w:ascii="Times New Roman" w:hAnsi="Times New Roman" w:cs="Times New Roman"/>
          <w:bCs/>
          <w:noProof/>
          <w:kern w:val="36"/>
          <w:sz w:val="24"/>
          <w:szCs w:val="24"/>
          <w:lang w:val="en-US" w:eastAsia="es-ES"/>
        </w:rPr>
      </w:pPr>
      <w:r>
        <w:rPr>
          <w:rFonts w:ascii="Times New Roman" w:hAnsi="Times New Roman" w:cs="Times New Roman"/>
          <w:noProof/>
          <w:color w:val="000000"/>
          <w:sz w:val="24"/>
          <w:szCs w:val="24"/>
          <w:lang w:val="en-US" w:eastAsia="it-IT"/>
        </w:rPr>
        <w:t xml:space="preserve">Navarro, I., Jiménez, B. (2011) </w:t>
      </w:r>
      <w:r>
        <w:rPr>
          <w:rFonts w:ascii="Times New Roman" w:hAnsi="Times New Roman" w:cs="Times New Roman"/>
          <w:bCs/>
          <w:noProof/>
          <w:kern w:val="36"/>
          <w:sz w:val="24"/>
          <w:szCs w:val="24"/>
          <w:lang w:val="en-US" w:eastAsia="es-ES"/>
        </w:rPr>
        <w:t xml:space="preserve">Evaluation of the WHO helminth eggs criteria using a QMRA approach for the safe reuse of wastewater and sludge in developing countries. Water Sci. Technol. </w:t>
      </w:r>
      <w:r>
        <w:rPr>
          <w:rFonts w:ascii="Times New Roman" w:hAnsi="Times New Roman" w:cs="Times New Roman"/>
          <w:noProof/>
          <w:sz w:val="24"/>
          <w:szCs w:val="24"/>
          <w:lang w:val="en-US" w:eastAsia="it-IT"/>
        </w:rPr>
        <w:t>63(7), 1499-1505</w:t>
      </w:r>
      <w:r>
        <w:rPr>
          <w:rFonts w:ascii="Times New Roman" w:hAnsi="Times New Roman" w:cs="Times New Roman"/>
          <w:bCs/>
          <w:noProof/>
          <w:kern w:val="36"/>
          <w:sz w:val="24"/>
          <w:szCs w:val="24"/>
          <w:lang w:val="en-US" w:eastAsia="es-ES"/>
        </w:rPr>
        <w:t>.</w:t>
      </w:r>
    </w:p>
    <w:p w:rsidR="00AB50C5" w:rsidRDefault="00724275">
      <w:pPr>
        <w:spacing w:after="12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NCDENR (2011) North Carolina Adm. Code 15A NCAC 2U Reclaimed Water. North Carolina</w:t>
      </w:r>
      <w:r>
        <w:rPr>
          <w:rFonts w:ascii="Times New Roman" w:hAnsi="Times New Roman" w:cs="Times New Roman"/>
          <w:noProof/>
          <w:sz w:val="24"/>
          <w:szCs w:val="24"/>
          <w:lang w:val="en-US"/>
        </w:rPr>
        <w:t xml:space="preserve"> Department of Environment and Natural Resources. Raleigh, NC, USA.</w:t>
      </w:r>
    </w:p>
    <w:p w:rsidR="00AB50C5" w:rsidRDefault="00724275">
      <w:pPr>
        <w:spacing w:after="12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Negreanu, Y., Pasternak, Z., Jurkevitch, E., Cytryn, E. (2012) Impact of treated wastewater irrigation on antibiotic resistance in agricultural soils. Environ Sci Technol, 46, 4800-4808.</w:t>
      </w:r>
    </w:p>
    <w:p w:rsidR="00AB50C5" w:rsidRDefault="00724275">
      <w:pPr>
        <w:spacing w:after="120" w:line="240" w:lineRule="auto"/>
        <w:ind w:hanging="1"/>
        <w:jc w:val="both"/>
        <w:rPr>
          <w:rFonts w:ascii="Times New Roman" w:hAnsi="Times New Roman" w:cs="Times New Roman"/>
          <w:iCs/>
          <w:noProof/>
          <w:sz w:val="24"/>
          <w:szCs w:val="24"/>
          <w:lang w:val="en-US" w:eastAsia="it-IT"/>
        </w:rPr>
      </w:pPr>
      <w:r>
        <w:rPr>
          <w:rFonts w:ascii="Times New Roman" w:hAnsi="Times New Roman" w:cs="Times New Roman"/>
          <w:noProof/>
          <w:sz w:val="24"/>
          <w:szCs w:val="24"/>
          <w:lang w:val="en-US" w:eastAsia="it-IT"/>
        </w:rPr>
        <w:t>N</w:t>
      </w:r>
      <w:r>
        <w:rPr>
          <w:rFonts w:ascii="Times New Roman" w:hAnsi="Times New Roman" w:cs="Times New Roman"/>
          <w:noProof/>
          <w:sz w:val="24"/>
          <w:szCs w:val="24"/>
          <w:lang w:val="en-US" w:eastAsia="it-IT"/>
        </w:rPr>
        <w:t xml:space="preserve">HMRC and ARMCANZ (2000) </w:t>
      </w:r>
      <w:r>
        <w:rPr>
          <w:rFonts w:ascii="Times New Roman" w:hAnsi="Times New Roman" w:cs="Times New Roman"/>
          <w:iCs/>
          <w:noProof/>
          <w:sz w:val="24"/>
          <w:szCs w:val="24"/>
          <w:lang w:val="en-US" w:eastAsia="it-IT"/>
        </w:rPr>
        <w:t>Guidelines for Sewerage Systems, Use of Reclaimed Water. National Water Quality Management Strategy</w:t>
      </w:r>
      <w:r>
        <w:rPr>
          <w:rFonts w:ascii="Times New Roman" w:hAnsi="Times New Roman" w:cs="Times New Roman"/>
          <w:noProof/>
          <w:sz w:val="24"/>
          <w:szCs w:val="24"/>
          <w:lang w:val="en-US" w:eastAsia="it-IT"/>
        </w:rPr>
        <w:t xml:space="preserve">. National Health and Medical Research Council, Agricultural and Resource Management Council of Australia and New Zealand. Canberra, </w:t>
      </w:r>
      <w:r>
        <w:rPr>
          <w:rFonts w:ascii="Times New Roman" w:hAnsi="Times New Roman" w:cs="Times New Roman"/>
          <w:noProof/>
          <w:sz w:val="24"/>
          <w:szCs w:val="24"/>
          <w:lang w:val="en-US" w:eastAsia="it-IT"/>
        </w:rPr>
        <w:t>Australia.</w:t>
      </w:r>
    </w:p>
    <w:p w:rsidR="00AB50C5" w:rsidRDefault="00724275">
      <w:pPr>
        <w:spacing w:after="120" w:line="240" w:lineRule="auto"/>
        <w:ind w:hanging="1"/>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NHMRC-NRMMC (2004) Australian drinking water guidelines. Natural Resource Management Ministerial Council, National Health and Medical Research Council. Canberra, Australia.</w:t>
      </w:r>
    </w:p>
    <w:p w:rsidR="00AB50C5" w:rsidRDefault="00724275">
      <w:pPr>
        <w:spacing w:after="120" w:line="240" w:lineRule="auto"/>
        <w:ind w:hanging="1"/>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NHMRC-NRMMC (2011) Australian drinking water guidelines. Natural Resourc</w:t>
      </w:r>
      <w:r>
        <w:rPr>
          <w:rFonts w:ascii="Times New Roman" w:hAnsi="Times New Roman" w:cs="Times New Roman"/>
          <w:noProof/>
          <w:sz w:val="24"/>
          <w:szCs w:val="24"/>
          <w:lang w:val="en-US" w:eastAsia="it-IT"/>
        </w:rPr>
        <w:t>e Management Ministerial Council, National Health and Medical Research Council. Canberra, Australia.</w:t>
      </w:r>
    </w:p>
    <w:p w:rsidR="00AB50C5" w:rsidRDefault="00724275">
      <w:pPr>
        <w:spacing w:after="120" w:line="240" w:lineRule="auto"/>
        <w:ind w:hanging="1"/>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NP (2005) NP 4434 2005 Guidelines for Reuse of reclaimed urban water for irrigation. Portugal Quality Institute.</w:t>
      </w:r>
    </w:p>
    <w:p w:rsidR="00AB50C5" w:rsidRDefault="00724275">
      <w:pPr>
        <w:spacing w:after="120" w:line="240" w:lineRule="auto"/>
        <w:ind w:hanging="1"/>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NRMMC-EPHC-AHMC (2006) Australian guidelin</w:t>
      </w:r>
      <w:r>
        <w:rPr>
          <w:rFonts w:ascii="Times New Roman" w:hAnsi="Times New Roman" w:cs="Times New Roman"/>
          <w:noProof/>
          <w:sz w:val="24"/>
          <w:szCs w:val="24"/>
          <w:lang w:val="en-US" w:eastAsia="it-IT"/>
        </w:rPr>
        <w:t>es for water recycling: managing health and environmental risks: Phase 1. National Water Quality Management Strategy. Natural Resource Management Ministerial Council, Environment Protection and Heritage Council, Australian Health Ministers’ Conference. Can</w:t>
      </w:r>
      <w:r>
        <w:rPr>
          <w:rFonts w:ascii="Times New Roman" w:hAnsi="Times New Roman" w:cs="Times New Roman"/>
          <w:noProof/>
          <w:sz w:val="24"/>
          <w:szCs w:val="24"/>
          <w:lang w:val="en-US" w:eastAsia="it-IT"/>
        </w:rPr>
        <w:t>berra, Australia.</w:t>
      </w:r>
    </w:p>
    <w:p w:rsidR="00AB50C5" w:rsidRDefault="00724275">
      <w:pPr>
        <w:spacing w:after="120" w:line="240" w:lineRule="auto"/>
        <w:ind w:hanging="1"/>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NRMMC-EPHC-NHMRC (2009) Australian guidelines for water recycling: managing health and environmental risks: Phase 2c: Managed aquifer recharge. National Water Quality Management Strategy. NRMMC-EPHC-AHMC, Canberra, Australia.</w:t>
      </w:r>
    </w:p>
    <w:p w:rsidR="00AB50C5" w:rsidRDefault="00724275">
      <w:pPr>
        <w:autoSpaceDE w:val="0"/>
        <w:autoSpaceDN w:val="0"/>
        <w:adjustRightInd w:val="0"/>
        <w:spacing w:after="120" w:line="240" w:lineRule="auto"/>
        <w:jc w:val="both"/>
        <w:rPr>
          <w:rFonts w:ascii="Times New Roman" w:hAnsi="Times New Roman" w:cs="Times New Roman"/>
          <w:noProof/>
          <w:sz w:val="24"/>
          <w:szCs w:val="24"/>
          <w:lang w:eastAsia="it-IT"/>
        </w:rPr>
      </w:pPr>
      <w:r>
        <w:rPr>
          <w:rFonts w:ascii="Times New Roman" w:hAnsi="Times New Roman" w:cs="Times New Roman"/>
          <w:noProof/>
          <w:sz w:val="24"/>
          <w:szCs w:val="24"/>
          <w:lang w:eastAsia="it-IT"/>
        </w:rPr>
        <w:t xml:space="preserve">Page, D., </w:t>
      </w:r>
      <w:r>
        <w:rPr>
          <w:rFonts w:ascii="Times New Roman" w:hAnsi="Times New Roman" w:cs="Times New Roman"/>
          <w:noProof/>
          <w:sz w:val="24"/>
          <w:szCs w:val="24"/>
          <w:lang w:eastAsia="it-IT"/>
        </w:rPr>
        <w:t>Dillon, P., Toze, S., Bixio, D., Genthe, B., Jiménez Cisneros, B.E., Wintgens, T. (2010) Valuing the subsurface pathogen treatment barrier in water recycling via aquifers for drinking supplies. Water Res. 44 (6), 1841-1852.</w:t>
      </w:r>
    </w:p>
    <w:p w:rsidR="00AB50C5" w:rsidRDefault="00724275">
      <w:pPr>
        <w:autoSpaceDE w:val="0"/>
        <w:autoSpaceDN w:val="0"/>
        <w:adjustRightInd w:val="0"/>
        <w:spacing w:after="120" w:line="240" w:lineRule="auto"/>
        <w:jc w:val="both"/>
        <w:rPr>
          <w:rFonts w:ascii="Times New Roman" w:hAnsi="Times New Roman" w:cs="Times New Roman"/>
          <w:noProof/>
          <w:sz w:val="24"/>
          <w:szCs w:val="24"/>
          <w:lang w:eastAsia="it-IT"/>
        </w:rPr>
      </w:pPr>
      <w:r>
        <w:rPr>
          <w:rFonts w:ascii="Times New Roman" w:hAnsi="Times New Roman" w:cs="Times New Roman"/>
          <w:noProof/>
          <w:sz w:val="24"/>
          <w:szCs w:val="24"/>
          <w:lang w:val="en-US" w:eastAsia="it-IT"/>
        </w:rPr>
        <w:t>Paranychianakis, N.V., Salgot, M</w:t>
      </w:r>
      <w:r>
        <w:rPr>
          <w:rFonts w:ascii="Times New Roman" w:hAnsi="Times New Roman" w:cs="Times New Roman"/>
          <w:noProof/>
          <w:sz w:val="24"/>
          <w:szCs w:val="24"/>
          <w:lang w:val="en-US" w:eastAsia="it-IT"/>
        </w:rPr>
        <w:t>., Snyder, S.A., Angelakis, A.N. (2014) Water reuse in EU states: necessity for uniform criteria to mitigate human and environmental risks. Critical Reviews in Environmental Science and Technology. Taylor and Francis Publishers. Ltd. 1072954, London, UK.</w:t>
      </w:r>
    </w:p>
    <w:p w:rsidR="00AB50C5" w:rsidRDefault="00724275">
      <w:pPr>
        <w:autoSpaceDE w:val="0"/>
        <w:autoSpaceDN w:val="0"/>
        <w:adjustRightInd w:val="0"/>
        <w:spacing w:after="120" w:line="240" w:lineRule="auto"/>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P</w:t>
      </w:r>
      <w:r>
        <w:rPr>
          <w:rFonts w:ascii="Times New Roman" w:hAnsi="Times New Roman" w:cs="Times New Roman"/>
          <w:noProof/>
          <w:sz w:val="24"/>
          <w:szCs w:val="24"/>
          <w:lang w:val="en-US" w:eastAsia="it-IT"/>
        </w:rPr>
        <w:t xml:space="preserve">etterson, S.R., Ashbolt, N.J., Sharma, A. (2001) Microbial risks from wastewater irrigation of salad crops: a screening-level risk assessment. </w:t>
      </w:r>
      <w:r>
        <w:rPr>
          <w:rFonts w:ascii="Times New Roman" w:hAnsi="Times New Roman" w:cs="Times New Roman"/>
          <w:iCs/>
          <w:noProof/>
          <w:sz w:val="24"/>
          <w:szCs w:val="24"/>
          <w:lang w:val="en-US" w:eastAsia="it-IT"/>
        </w:rPr>
        <w:t>Water Environ. Res.</w:t>
      </w:r>
      <w:r>
        <w:rPr>
          <w:rFonts w:ascii="Times New Roman" w:hAnsi="Times New Roman" w:cs="Times New Roman"/>
          <w:i/>
          <w:iCs/>
          <w:noProof/>
          <w:sz w:val="24"/>
          <w:szCs w:val="24"/>
          <w:lang w:val="en-US" w:eastAsia="it-IT"/>
        </w:rPr>
        <w:t xml:space="preserve"> </w:t>
      </w:r>
      <w:r>
        <w:rPr>
          <w:rFonts w:ascii="Times New Roman" w:hAnsi="Times New Roman" w:cs="Times New Roman"/>
          <w:noProof/>
          <w:sz w:val="24"/>
          <w:szCs w:val="24"/>
          <w:lang w:val="en-US" w:eastAsia="it-IT"/>
        </w:rPr>
        <w:t>72, 667-672.</w:t>
      </w:r>
    </w:p>
    <w:p w:rsidR="00AB50C5" w:rsidRDefault="00724275">
      <w:pPr>
        <w:autoSpaceDE w:val="0"/>
        <w:autoSpaceDN w:val="0"/>
        <w:adjustRightInd w:val="0"/>
        <w:spacing w:after="120" w:line="240" w:lineRule="auto"/>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Prosser, R.S., Sibley, P.K. (2015) Human health risk assessment of pharmaceutica</w:t>
      </w:r>
      <w:r>
        <w:rPr>
          <w:rFonts w:ascii="Times New Roman" w:hAnsi="Times New Roman" w:cs="Times New Roman"/>
          <w:noProof/>
          <w:sz w:val="24"/>
          <w:szCs w:val="24"/>
          <w:lang w:val="en-US" w:eastAsia="it-IT"/>
        </w:rPr>
        <w:t>ls and personal care products in plant tissue due to biosolids and manure amendments, and wastewater irrigation. Environment International, 75, 223-233.</w:t>
      </w:r>
    </w:p>
    <w:p w:rsidR="00AB50C5" w:rsidRDefault="00724275">
      <w:pPr>
        <w:spacing w:after="12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QEPA (2005) Queensland Water Recycling Guidelines. WaterWise. Queensland Environmental Protection Agenc</w:t>
      </w:r>
      <w:r>
        <w:rPr>
          <w:rFonts w:ascii="Times New Roman" w:hAnsi="Times New Roman" w:cs="Times New Roman"/>
          <w:noProof/>
          <w:sz w:val="24"/>
          <w:szCs w:val="24"/>
          <w:lang w:val="en-US"/>
        </w:rPr>
        <w:t>y. Brisbane, Australia.</w:t>
      </w:r>
    </w:p>
    <w:p w:rsidR="00AB50C5" w:rsidRDefault="00724275">
      <w:pPr>
        <w:autoSpaceDE w:val="0"/>
        <w:autoSpaceDN w:val="0"/>
        <w:adjustRightInd w:val="0"/>
        <w:spacing w:after="120" w:line="240" w:lineRule="auto"/>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RD (2007) RD 1620/2007 Legal framework for the reuse of treated wastewater. Government of Spain.</w:t>
      </w:r>
    </w:p>
    <w:p w:rsidR="00AB50C5" w:rsidRDefault="00724275">
      <w:pPr>
        <w:spacing w:after="120" w:line="240" w:lineRule="auto"/>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Regnery, J., Lee, J., Kitanidis, P., Illangasekare, T., Sharp, J.O., Drewes, JE. (2013). Integration of Managed Aquifer Recharge for Im</w:t>
      </w:r>
      <w:r>
        <w:rPr>
          <w:rFonts w:ascii="Times New Roman" w:hAnsi="Times New Roman" w:cs="Times New Roman"/>
          <w:noProof/>
          <w:sz w:val="24"/>
          <w:szCs w:val="24"/>
          <w:lang w:val="en-US" w:eastAsia="it-IT"/>
        </w:rPr>
        <w:t>paired Water Sources in Urban Settings – Overcoming Current Limitations and Engineering Challenges. Environmental Engineering Science 30(8), 409-420.</w:t>
      </w:r>
    </w:p>
    <w:p w:rsidR="00AB50C5" w:rsidRDefault="00724275">
      <w:pPr>
        <w:spacing w:after="120" w:line="240" w:lineRule="auto"/>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Thanner, S., Drissner, D., Walsh, F. (2016) Antimicrobial resistance in agriculture. mBio, The American So</w:t>
      </w:r>
      <w:r>
        <w:rPr>
          <w:rFonts w:ascii="Times New Roman" w:hAnsi="Times New Roman" w:cs="Times New Roman"/>
          <w:noProof/>
          <w:sz w:val="24"/>
          <w:szCs w:val="24"/>
          <w:lang w:val="en-US" w:eastAsia="it-IT"/>
        </w:rPr>
        <w:t xml:space="preserve">ciety for Microbiology, </w:t>
      </w:r>
      <w:r>
        <w:rPr>
          <w:rFonts w:ascii="Times New Roman" w:hAnsi="Times New Roman" w:cs="Times New Roman"/>
          <w:noProof/>
          <w:sz w:val="24"/>
          <w:szCs w:val="24"/>
          <w:lang w:eastAsia="it-IT"/>
        </w:rPr>
        <w:t>7(2): e02227-15.</w:t>
      </w:r>
    </w:p>
    <w:p w:rsidR="00AB50C5" w:rsidRDefault="00724275">
      <w:pPr>
        <w:autoSpaceDE w:val="0"/>
        <w:autoSpaceDN w:val="0"/>
        <w:adjustRightInd w:val="0"/>
        <w:spacing w:after="120" w:line="240" w:lineRule="auto"/>
        <w:jc w:val="both"/>
        <w:rPr>
          <w:rFonts w:ascii="Times New Roman" w:hAnsi="Times New Roman" w:cs="Times New Roman"/>
          <w:noProof/>
          <w:sz w:val="24"/>
          <w:szCs w:val="24"/>
          <w:lang w:eastAsia="it-IT"/>
        </w:rPr>
      </w:pPr>
      <w:r>
        <w:rPr>
          <w:rFonts w:ascii="Times New Roman" w:hAnsi="Times New Roman" w:cs="Times New Roman"/>
          <w:noProof/>
          <w:sz w:val="24"/>
          <w:szCs w:val="24"/>
          <w:lang w:eastAsia="it-IT"/>
        </w:rPr>
        <w:t>Toze, S., Bekele, E., Page, D., Sidhu, J., Shackleton, M. (2010) Use of static quantitative microbial risk assessment to determine pathogen risks in an unconfined carbonate aquifer used for managed aquifer recharge.</w:t>
      </w:r>
      <w:r>
        <w:rPr>
          <w:rFonts w:ascii="Times New Roman" w:hAnsi="Times New Roman" w:cs="Times New Roman"/>
          <w:noProof/>
          <w:sz w:val="24"/>
          <w:szCs w:val="24"/>
          <w:lang w:eastAsia="it-IT"/>
        </w:rPr>
        <w:t xml:space="preserve"> Water Res. 44 (4), 1038-1049.</w:t>
      </w:r>
    </w:p>
    <w:p w:rsidR="00AB50C5" w:rsidRDefault="00724275">
      <w:pPr>
        <w:spacing w:after="120" w:line="240" w:lineRule="auto"/>
        <w:ind w:hanging="1"/>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USEPA (2004) Guidelines for water reuse. EPA/625/R-04/108. United States Environmental Protection Agency, Washington, DC, USA.</w:t>
      </w:r>
    </w:p>
    <w:p w:rsidR="00AB50C5" w:rsidRDefault="00724275">
      <w:pPr>
        <w:spacing w:after="120" w:line="240" w:lineRule="auto"/>
        <w:jc w:val="both"/>
        <w:rPr>
          <w:rFonts w:ascii="Times New Roman" w:hAnsi="Times New Roman" w:cs="Times New Roman"/>
          <w:noProof/>
          <w:sz w:val="24"/>
          <w:szCs w:val="24"/>
          <w:lang w:val="en-US"/>
        </w:rPr>
      </w:pPr>
      <w:r>
        <w:rPr>
          <w:rFonts w:ascii="Times New Roman" w:hAnsi="Times New Roman" w:cs="Times New Roman"/>
          <w:noProof/>
          <w:sz w:val="24"/>
          <w:szCs w:val="24"/>
          <w:lang w:val="en-US"/>
        </w:rPr>
        <w:t xml:space="preserve">USEPA (2006) National Primary Drinking Water Regulations: Groundwater rule. Final Rule. 40 CFR, </w:t>
      </w:r>
      <w:r>
        <w:rPr>
          <w:rFonts w:ascii="Times New Roman" w:hAnsi="Times New Roman" w:cs="Times New Roman"/>
          <w:noProof/>
          <w:sz w:val="24"/>
          <w:szCs w:val="24"/>
          <w:lang w:val="en-US"/>
        </w:rPr>
        <w:t>Federal Register, Vol. 71, n. 216; Washington, DC, USA.</w:t>
      </w:r>
    </w:p>
    <w:p w:rsidR="00AB50C5" w:rsidRDefault="00724275">
      <w:pPr>
        <w:spacing w:after="120" w:line="240" w:lineRule="auto"/>
        <w:ind w:hanging="1"/>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USEPA (2012) Guidelines for water reuse. (EPA/600/R-12/618) United States Environmental Protection Agency, Washington, DC, USA.</w:t>
      </w:r>
    </w:p>
    <w:p w:rsidR="00AB50C5" w:rsidRDefault="00724275">
      <w:pPr>
        <w:spacing w:after="120" w:line="240" w:lineRule="auto"/>
        <w:ind w:hanging="1"/>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USEPA (2012) Guidelines for water reuse. (EPA/600/R-12/618) United State</w:t>
      </w:r>
      <w:r>
        <w:rPr>
          <w:rFonts w:ascii="Times New Roman" w:hAnsi="Times New Roman" w:cs="Times New Roman"/>
          <w:noProof/>
          <w:sz w:val="24"/>
          <w:szCs w:val="24"/>
          <w:lang w:val="en-US" w:eastAsia="it-IT"/>
        </w:rPr>
        <w:t>s Environmental Protection Agency, Washington, DC, USA.</w:t>
      </w:r>
    </w:p>
    <w:p w:rsidR="00AB50C5" w:rsidRDefault="00724275">
      <w:pPr>
        <w:spacing w:after="120" w:line="240" w:lineRule="auto"/>
        <w:ind w:hanging="1"/>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rPr>
        <w:t>Van Houtte, E., Verbauwhede, J. (2008) Operational experience with indirect potable reuse at the Flemish coast, Desalination 218, 198-207.</w:t>
      </w:r>
    </w:p>
    <w:p w:rsidR="00AB50C5" w:rsidRDefault="00724275">
      <w:pPr>
        <w:autoSpaceDE w:val="0"/>
        <w:autoSpaceDN w:val="0"/>
        <w:adjustRightInd w:val="0"/>
        <w:spacing w:after="120" w:line="240" w:lineRule="auto"/>
        <w:jc w:val="both"/>
        <w:rPr>
          <w:rFonts w:ascii="Times New Roman" w:hAnsi="Times New Roman" w:cs="Times New Roman"/>
          <w:noProof/>
          <w:sz w:val="24"/>
          <w:szCs w:val="24"/>
          <w:lang w:val="en-US" w:eastAsia="it-IT"/>
        </w:rPr>
      </w:pPr>
      <w:r>
        <w:rPr>
          <w:rFonts w:ascii="Times New Roman" w:hAnsi="Times New Roman" w:cs="Times New Roman"/>
          <w:bCs/>
          <w:noProof/>
          <w:sz w:val="24"/>
          <w:szCs w:val="24"/>
          <w:lang w:val="en-US" w:eastAsia="it-IT"/>
        </w:rPr>
        <w:t>Van Ginneken, M., Oron, G. (</w:t>
      </w:r>
      <w:r>
        <w:rPr>
          <w:rFonts w:ascii="Times New Roman" w:hAnsi="Times New Roman" w:cs="Times New Roman"/>
          <w:noProof/>
          <w:sz w:val="24"/>
          <w:szCs w:val="24"/>
          <w:lang w:val="en-US" w:eastAsia="it-IT"/>
        </w:rPr>
        <w:t>2000) Risk assessment of consumin</w:t>
      </w:r>
      <w:r>
        <w:rPr>
          <w:rFonts w:ascii="Times New Roman" w:hAnsi="Times New Roman" w:cs="Times New Roman"/>
          <w:noProof/>
          <w:sz w:val="24"/>
          <w:szCs w:val="24"/>
          <w:lang w:val="en-US" w:eastAsia="it-IT"/>
        </w:rPr>
        <w:t xml:space="preserve">g agricultural products irrigated with reclaimed wastewater: an exposure model. Water Resources Research </w:t>
      </w:r>
      <w:r>
        <w:rPr>
          <w:rFonts w:ascii="Times New Roman" w:hAnsi="Times New Roman" w:cs="Times New Roman"/>
          <w:bCs/>
          <w:noProof/>
          <w:sz w:val="24"/>
          <w:szCs w:val="24"/>
          <w:lang w:val="en-US" w:eastAsia="it-IT"/>
        </w:rPr>
        <w:t xml:space="preserve">36 (9), </w:t>
      </w:r>
      <w:r>
        <w:rPr>
          <w:rFonts w:ascii="Times New Roman" w:hAnsi="Times New Roman" w:cs="Times New Roman"/>
          <w:noProof/>
          <w:sz w:val="24"/>
          <w:szCs w:val="24"/>
          <w:lang w:val="en-US" w:eastAsia="it-IT"/>
        </w:rPr>
        <w:t>2691-2699.</w:t>
      </w:r>
    </w:p>
    <w:p w:rsidR="00AB50C5" w:rsidRDefault="00724275">
      <w:pPr>
        <w:autoSpaceDE w:val="0"/>
        <w:autoSpaceDN w:val="0"/>
        <w:adjustRightInd w:val="0"/>
        <w:spacing w:after="120" w:line="240" w:lineRule="auto"/>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 xml:space="preserve">Wellington, E.M., Boxall, A.B., Cross, P., Feil, E.J., Gaze, W.H., Hawkey, P.M., Johnson-Rollings, A.S., Jones, D.L., Lee, N.M., </w:t>
      </w:r>
      <w:r>
        <w:rPr>
          <w:rFonts w:ascii="Times New Roman" w:hAnsi="Times New Roman" w:cs="Times New Roman"/>
          <w:noProof/>
          <w:sz w:val="24"/>
          <w:szCs w:val="24"/>
          <w:lang w:val="en-US" w:eastAsia="it-IT"/>
        </w:rPr>
        <w:t>Otten, W., Thomas, C.M., Williams, A.P. (2013) The role of the natural environment in the emergence of antibiotic resistance in gram-negative bacteria. The Lancet Infectious Diseases,</w:t>
      </w:r>
      <w:r>
        <w:rPr>
          <w:rFonts w:ascii="Times New Roman" w:hAnsi="Times New Roman" w:cs="Times New Roman"/>
          <w:noProof/>
          <w:color w:val="000000"/>
          <w:sz w:val="24"/>
          <w:szCs w:val="24"/>
          <w:shd w:val="clear" w:color="auto" w:fill="FFFFFF"/>
        </w:rPr>
        <w:t xml:space="preserve"> </w:t>
      </w:r>
      <w:r>
        <w:rPr>
          <w:rFonts w:ascii="Times New Roman" w:hAnsi="Times New Roman" w:cs="Times New Roman"/>
          <w:noProof/>
          <w:sz w:val="24"/>
          <w:szCs w:val="24"/>
          <w:lang w:eastAsia="it-IT"/>
        </w:rPr>
        <w:t>13(2) 155-165.</w:t>
      </w:r>
    </w:p>
    <w:p w:rsidR="00AB50C5" w:rsidRDefault="00724275">
      <w:pPr>
        <w:spacing w:after="120" w:line="240" w:lineRule="auto"/>
        <w:jc w:val="both"/>
        <w:rPr>
          <w:rFonts w:ascii="Times New Roman" w:hAnsi="Times New Roman" w:cs="Times New Roman"/>
          <w:noProof/>
          <w:sz w:val="24"/>
          <w:szCs w:val="24"/>
          <w:lang w:val="en-US" w:eastAsia="it-IT"/>
        </w:rPr>
      </w:pPr>
      <w:hyperlink r:id="rId31" w:history="1">
        <w:r>
          <w:rPr>
            <w:rFonts w:ascii="Times New Roman" w:eastAsiaTheme="majorEastAsia" w:hAnsi="Times New Roman" w:cs="Times New Roman"/>
            <w:noProof/>
            <w:sz w:val="24"/>
            <w:szCs w:val="24"/>
            <w:lang w:val="en-US" w:eastAsia="it-IT"/>
          </w:rPr>
          <w:t>Westrell, T</w:t>
        </w:r>
      </w:hyperlink>
      <w:r>
        <w:rPr>
          <w:rFonts w:ascii="Times New Roman" w:hAnsi="Times New Roman" w:cs="Times New Roman"/>
          <w:noProof/>
          <w:sz w:val="24"/>
          <w:szCs w:val="24"/>
          <w:lang w:val="en-US" w:eastAsia="it-IT"/>
        </w:rPr>
        <w:t xml:space="preserve">., </w:t>
      </w:r>
      <w:hyperlink r:id="rId32" w:history="1">
        <w:r>
          <w:rPr>
            <w:rFonts w:ascii="Times New Roman" w:eastAsiaTheme="majorEastAsia" w:hAnsi="Times New Roman" w:cs="Times New Roman"/>
            <w:noProof/>
            <w:sz w:val="24"/>
            <w:szCs w:val="24"/>
            <w:lang w:val="en-US" w:eastAsia="it-IT"/>
          </w:rPr>
          <w:t>Stenström, T.A</w:t>
        </w:r>
      </w:hyperlink>
      <w:r>
        <w:rPr>
          <w:rFonts w:ascii="Times New Roman" w:hAnsi="Times New Roman" w:cs="Times New Roman"/>
          <w:noProof/>
          <w:sz w:val="24"/>
          <w:szCs w:val="24"/>
          <w:lang w:val="en-US" w:eastAsia="it-IT"/>
        </w:rPr>
        <w:t xml:space="preserve">., </w:t>
      </w:r>
      <w:hyperlink r:id="rId33" w:history="1">
        <w:r>
          <w:rPr>
            <w:rFonts w:ascii="Times New Roman" w:eastAsiaTheme="majorEastAsia" w:hAnsi="Times New Roman" w:cs="Times New Roman"/>
            <w:noProof/>
            <w:sz w:val="24"/>
            <w:szCs w:val="24"/>
            <w:lang w:val="en-US" w:eastAsia="it-IT"/>
          </w:rPr>
          <w:t>Ashbolt, N.J</w:t>
        </w:r>
      </w:hyperlink>
      <w:r>
        <w:rPr>
          <w:rFonts w:ascii="Times New Roman" w:hAnsi="Times New Roman" w:cs="Times New Roman"/>
          <w:noProof/>
          <w:sz w:val="24"/>
          <w:szCs w:val="24"/>
          <w:lang w:val="en-US" w:eastAsia="it-IT"/>
        </w:rPr>
        <w:t xml:space="preserve">. </w:t>
      </w:r>
      <w:r>
        <w:rPr>
          <w:rFonts w:ascii="Times New Roman" w:hAnsi="Times New Roman" w:cs="Times New Roman"/>
          <w:noProof/>
          <w:sz w:val="24"/>
          <w:szCs w:val="24"/>
          <w:lang w:val="en-US" w:eastAsia="it-IT"/>
        </w:rPr>
        <w:t>(2004) QMRA (quantitative microbial risk assessment) and HACCP (hazard analysis and critical control points) for management of pathogens in wastewater and sewage sludge treatment and reuse. Water Science and Technology 50(2), 23-30.</w:t>
      </w:r>
    </w:p>
    <w:p w:rsidR="00AB50C5" w:rsidRDefault="00724275">
      <w:pPr>
        <w:autoSpaceDE w:val="0"/>
        <w:autoSpaceDN w:val="0"/>
        <w:adjustRightInd w:val="0"/>
        <w:spacing w:after="120" w:line="240" w:lineRule="auto"/>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 xml:space="preserve">WHO (2001) </w:t>
      </w:r>
      <w:r>
        <w:rPr>
          <w:rFonts w:ascii="Times New Roman" w:hAnsi="Times New Roman" w:cs="Times New Roman"/>
          <w:iCs/>
          <w:noProof/>
          <w:sz w:val="24"/>
          <w:szCs w:val="24"/>
          <w:lang w:val="en-US" w:eastAsia="it-IT"/>
        </w:rPr>
        <w:t>Water Qualit</w:t>
      </w:r>
      <w:r>
        <w:rPr>
          <w:rFonts w:ascii="Times New Roman" w:hAnsi="Times New Roman" w:cs="Times New Roman"/>
          <w:iCs/>
          <w:noProof/>
          <w:sz w:val="24"/>
          <w:szCs w:val="24"/>
          <w:lang w:val="en-US" w:eastAsia="it-IT"/>
        </w:rPr>
        <w:t>y: Guidelines, Standards and Health</w:t>
      </w:r>
      <w:r>
        <w:rPr>
          <w:rFonts w:ascii="Times New Roman" w:hAnsi="Times New Roman" w:cs="Times New Roman"/>
          <w:noProof/>
          <w:sz w:val="24"/>
          <w:szCs w:val="24"/>
          <w:lang w:val="en-US" w:eastAsia="it-IT"/>
        </w:rPr>
        <w:t>. Assessment of risk and risk management for water-related infectious disease. IWA Publishing, London, UK. ISBN: 1 900222 28 0.</w:t>
      </w:r>
    </w:p>
    <w:p w:rsidR="00AB50C5" w:rsidRDefault="00724275">
      <w:pPr>
        <w:spacing w:after="120" w:line="240" w:lineRule="auto"/>
        <w:ind w:hanging="1"/>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WHO (2004) Guidelines for drinking-water quality. World Health Organization, Geneva, Switzerl</w:t>
      </w:r>
      <w:r>
        <w:rPr>
          <w:rFonts w:ascii="Times New Roman" w:hAnsi="Times New Roman" w:cs="Times New Roman"/>
          <w:noProof/>
          <w:sz w:val="24"/>
          <w:szCs w:val="24"/>
          <w:lang w:val="en-US" w:eastAsia="it-IT"/>
        </w:rPr>
        <w:t>and.</w:t>
      </w:r>
    </w:p>
    <w:p w:rsidR="00AB50C5" w:rsidRDefault="00724275">
      <w:pPr>
        <w:spacing w:after="120" w:line="240" w:lineRule="auto"/>
        <w:ind w:hanging="1"/>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WHO (2006) Guidelines for the safe use of wastewater, excreta and greywater. Volume 2: Wastewater use in agriculture. World Health Organization, Geneva, Switzerland.</w:t>
      </w:r>
    </w:p>
    <w:p w:rsidR="00AB50C5" w:rsidRDefault="00724275">
      <w:pPr>
        <w:spacing w:after="120" w:line="240" w:lineRule="auto"/>
        <w:jc w:val="both"/>
        <w:rPr>
          <w:rFonts w:ascii="Times New Roman" w:hAnsi="Times New Roman" w:cs="Times New Roman"/>
          <w:noProof/>
          <w:sz w:val="24"/>
          <w:szCs w:val="24"/>
          <w:lang w:val="en-US" w:eastAsia="en-AU"/>
        </w:rPr>
      </w:pPr>
      <w:r>
        <w:rPr>
          <w:rFonts w:ascii="Times New Roman" w:hAnsi="Times New Roman" w:cs="Times New Roman"/>
          <w:noProof/>
          <w:sz w:val="24"/>
          <w:szCs w:val="24"/>
          <w:lang w:val="en-US" w:eastAsia="en-AU"/>
        </w:rPr>
        <w:t xml:space="preserve">WHO (2009) Water safety plan manual: step-by-step risk management for drinking-water </w:t>
      </w:r>
      <w:r>
        <w:rPr>
          <w:rFonts w:ascii="Times New Roman" w:hAnsi="Times New Roman" w:cs="Times New Roman"/>
          <w:noProof/>
          <w:sz w:val="24"/>
          <w:szCs w:val="24"/>
          <w:lang w:val="en-US" w:eastAsia="en-AU"/>
        </w:rPr>
        <w:t>suppliers. World Health Organization, Geneva, Switzerland.</w:t>
      </w:r>
    </w:p>
    <w:p w:rsidR="00AB50C5" w:rsidRDefault="00724275">
      <w:pPr>
        <w:spacing w:after="120" w:line="240" w:lineRule="auto"/>
        <w:ind w:hanging="1"/>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WHO (2011) Guidelines for drinking-water quality. World Health Organization, Geneva, Switzerland.</w:t>
      </w:r>
    </w:p>
    <w:p w:rsidR="00AB50C5" w:rsidRDefault="00724275">
      <w:pPr>
        <w:spacing w:after="120" w:line="240" w:lineRule="auto"/>
        <w:ind w:hanging="1"/>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 xml:space="preserve">WHO (2014) </w:t>
      </w:r>
      <w:r>
        <w:rPr>
          <w:rFonts w:ascii="Times New Roman" w:hAnsi="Times New Roman" w:cs="Times New Roman"/>
          <w:noProof/>
          <w:sz w:val="24"/>
          <w:szCs w:val="24"/>
        </w:rPr>
        <w:t>Antimicrobial resistance: global report on surveillance</w:t>
      </w:r>
      <w:r>
        <w:rPr>
          <w:rFonts w:ascii="Times New Roman" w:hAnsi="Times New Roman" w:cs="Times New Roman"/>
          <w:noProof/>
          <w:sz w:val="24"/>
          <w:szCs w:val="24"/>
          <w:lang w:val="en-US" w:eastAsia="it-IT"/>
        </w:rPr>
        <w:t xml:space="preserve">. World Health Organization, </w:t>
      </w:r>
      <w:r>
        <w:rPr>
          <w:rFonts w:ascii="Times New Roman" w:hAnsi="Times New Roman" w:cs="Times New Roman"/>
          <w:noProof/>
          <w:sz w:val="24"/>
          <w:szCs w:val="24"/>
          <w:lang w:val="en-US" w:eastAsia="it-IT"/>
        </w:rPr>
        <w:t>Geneva, Switzerland.</w:t>
      </w:r>
    </w:p>
    <w:p w:rsidR="00AB50C5" w:rsidRDefault="00724275">
      <w:pPr>
        <w:autoSpaceDE w:val="0"/>
        <w:autoSpaceDN w:val="0"/>
        <w:adjustRightInd w:val="0"/>
        <w:spacing w:after="120" w:line="240" w:lineRule="auto"/>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 xml:space="preserve">WHO (2015) Sanitation safety planning: manual for safe use and disposal of wastewater, greywater and excreta. World Health Organization. </w:t>
      </w:r>
    </w:p>
    <w:p w:rsidR="00AB50C5" w:rsidRDefault="00724275">
      <w:pPr>
        <w:spacing w:after="120" w:line="240" w:lineRule="auto"/>
        <w:ind w:hanging="1"/>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WHO (2016) Background paper on microbiologically safe water and microbiological parameters. Revis</w:t>
      </w:r>
      <w:r>
        <w:rPr>
          <w:rFonts w:ascii="Times New Roman" w:hAnsi="Times New Roman" w:cs="Times New Roman"/>
          <w:noProof/>
          <w:sz w:val="24"/>
          <w:szCs w:val="24"/>
          <w:lang w:val="en-US" w:eastAsia="it-IT"/>
        </w:rPr>
        <w:t xml:space="preserve">ion of Annex I of the Council Directive on the Quality of Water Intended for Human Consumption (Drinking Water Directive). World Health Organization, Geneva, Switzerland. </w:t>
      </w:r>
    </w:p>
    <w:p w:rsidR="00AB50C5" w:rsidRDefault="00AB50C5">
      <w:pPr>
        <w:pStyle w:val="JRCText"/>
        <w:rPr>
          <w:rFonts w:ascii="Times New Roman" w:hAnsi="Times New Roman"/>
          <w:noProof/>
          <w:sz w:val="24"/>
          <w:szCs w:val="24"/>
          <w:lang w:val="en-US"/>
        </w:rPr>
      </w:pPr>
    </w:p>
    <w:p w:rsidR="00AB50C5" w:rsidRDefault="00AB50C5">
      <w:pPr>
        <w:pStyle w:val="JRCText"/>
        <w:rPr>
          <w:rFonts w:ascii="Times New Roman" w:hAnsi="Times New Roman"/>
          <w:noProof/>
          <w:sz w:val="24"/>
          <w:szCs w:val="24"/>
        </w:rPr>
      </w:pPr>
    </w:p>
    <w:p w:rsidR="00AB50C5" w:rsidRDefault="00AB50C5">
      <w:pPr>
        <w:pStyle w:val="JRCText"/>
        <w:rPr>
          <w:rFonts w:ascii="Times New Roman" w:hAnsi="Times New Roman"/>
          <w:noProof/>
          <w:sz w:val="24"/>
          <w:szCs w:val="24"/>
        </w:rPr>
      </w:pPr>
    </w:p>
    <w:p w:rsidR="00AB50C5" w:rsidRDefault="00724275">
      <w:pPr>
        <w:pStyle w:val="JRCLevel-1Backtitle"/>
        <w:jc w:val="both"/>
        <w:rPr>
          <w:rFonts w:ascii="Times New Roman" w:hAnsi="Times New Roman"/>
          <w:noProof/>
          <w:szCs w:val="24"/>
        </w:rPr>
      </w:pPr>
      <w:bookmarkStart w:id="98" w:name="_Toc498695699"/>
      <w:bookmarkStart w:id="99" w:name="_Toc516234781"/>
      <w:r>
        <w:rPr>
          <w:rFonts w:ascii="Times New Roman" w:hAnsi="Times New Roman"/>
          <w:noProof/>
          <w:szCs w:val="24"/>
        </w:rPr>
        <w:t>List of abbreviations and definitions</w:t>
      </w:r>
      <w:bookmarkEnd w:id="98"/>
      <w:bookmarkEnd w:id="99"/>
    </w:p>
    <w:p w:rsidR="00AB50C5" w:rsidRDefault="00724275">
      <w:pPr>
        <w:spacing w:after="0" w:line="240" w:lineRule="auto"/>
        <w:jc w:val="both"/>
        <w:rPr>
          <w:rFonts w:ascii="Times New Roman" w:hAnsi="Times New Roman" w:cs="Times New Roman"/>
          <w:noProof/>
          <w:position w:val="-32"/>
          <w:sz w:val="24"/>
          <w:szCs w:val="24"/>
          <w:lang w:val="en-US" w:eastAsia="en-AU"/>
        </w:rPr>
      </w:pPr>
      <w:r>
        <w:rPr>
          <w:rFonts w:ascii="Times New Roman" w:hAnsi="Times New Roman" w:cs="Times New Roman"/>
          <w:noProof/>
          <w:position w:val="-32"/>
          <w:sz w:val="24"/>
          <w:szCs w:val="24"/>
          <w:lang w:val="en-US" w:eastAsia="en-AU"/>
        </w:rPr>
        <w:t>ABR</w:t>
      </w:r>
      <w:r>
        <w:rPr>
          <w:rFonts w:ascii="Times New Roman" w:hAnsi="Times New Roman" w:cs="Times New Roman"/>
          <w:noProof/>
          <w:position w:val="-32"/>
          <w:sz w:val="24"/>
          <w:szCs w:val="24"/>
          <w:lang w:val="en-US" w:eastAsia="en-AU"/>
        </w:rPr>
        <w:tab/>
      </w:r>
      <w:r>
        <w:rPr>
          <w:rFonts w:ascii="Times New Roman" w:hAnsi="Times New Roman" w:cs="Times New Roman"/>
          <w:noProof/>
          <w:position w:val="-32"/>
          <w:sz w:val="24"/>
          <w:szCs w:val="24"/>
          <w:lang w:val="en-US" w:eastAsia="en-AU"/>
        </w:rPr>
        <w:tab/>
        <w:t>Antibacterial Resistance</w:t>
      </w:r>
    </w:p>
    <w:p w:rsidR="00AB50C5" w:rsidRDefault="00724275">
      <w:pPr>
        <w:spacing w:after="0" w:line="240" w:lineRule="auto"/>
        <w:jc w:val="both"/>
        <w:rPr>
          <w:rFonts w:ascii="Times New Roman" w:hAnsi="Times New Roman" w:cs="Times New Roman"/>
          <w:noProof/>
          <w:position w:val="-32"/>
          <w:sz w:val="24"/>
          <w:szCs w:val="24"/>
          <w:lang w:val="en-US" w:eastAsia="en-AU"/>
        </w:rPr>
      </w:pPr>
      <w:r>
        <w:rPr>
          <w:rFonts w:ascii="Times New Roman" w:hAnsi="Times New Roman" w:cs="Times New Roman"/>
          <w:noProof/>
          <w:position w:val="-32"/>
          <w:sz w:val="24"/>
          <w:szCs w:val="24"/>
          <w:lang w:val="en-US" w:eastAsia="en-AU"/>
        </w:rPr>
        <w:t>AHMC</w:t>
      </w:r>
      <w:r>
        <w:rPr>
          <w:rFonts w:ascii="Times New Roman" w:hAnsi="Times New Roman" w:cs="Times New Roman"/>
          <w:noProof/>
          <w:position w:val="-32"/>
          <w:sz w:val="24"/>
          <w:szCs w:val="24"/>
          <w:lang w:val="en-US" w:eastAsia="en-AU"/>
        </w:rPr>
        <w:tab/>
        <w:t>Australi</w:t>
      </w:r>
      <w:r>
        <w:rPr>
          <w:rFonts w:ascii="Times New Roman" w:hAnsi="Times New Roman" w:cs="Times New Roman"/>
          <w:noProof/>
          <w:position w:val="-32"/>
          <w:sz w:val="24"/>
          <w:szCs w:val="24"/>
          <w:lang w:val="en-US" w:eastAsia="en-AU"/>
        </w:rPr>
        <w:t>an Health Ministers’ Conference</w:t>
      </w:r>
    </w:p>
    <w:p w:rsidR="00AB50C5" w:rsidRDefault="00724275">
      <w:pPr>
        <w:spacing w:after="0" w:line="240" w:lineRule="auto"/>
        <w:jc w:val="both"/>
        <w:rPr>
          <w:rFonts w:ascii="Times New Roman" w:hAnsi="Times New Roman" w:cs="Times New Roman"/>
          <w:noProof/>
          <w:position w:val="-32"/>
          <w:sz w:val="24"/>
          <w:szCs w:val="24"/>
          <w:lang w:val="en-US" w:eastAsia="en-AU"/>
        </w:rPr>
      </w:pPr>
      <w:r>
        <w:rPr>
          <w:rFonts w:ascii="Times New Roman" w:hAnsi="Times New Roman" w:cs="Times New Roman"/>
          <w:noProof/>
          <w:position w:val="-32"/>
          <w:sz w:val="24"/>
          <w:szCs w:val="24"/>
          <w:lang w:val="en-US" w:eastAsia="en-AU"/>
        </w:rPr>
        <w:t>AMR</w:t>
      </w:r>
      <w:r>
        <w:rPr>
          <w:rFonts w:ascii="Times New Roman" w:hAnsi="Times New Roman" w:cs="Times New Roman"/>
          <w:noProof/>
          <w:position w:val="-32"/>
          <w:sz w:val="24"/>
          <w:szCs w:val="24"/>
          <w:lang w:val="en-US" w:eastAsia="en-AU"/>
        </w:rPr>
        <w:tab/>
      </w:r>
      <w:r>
        <w:rPr>
          <w:rFonts w:ascii="Times New Roman" w:hAnsi="Times New Roman" w:cs="Times New Roman"/>
          <w:noProof/>
          <w:position w:val="-32"/>
          <w:sz w:val="24"/>
          <w:szCs w:val="24"/>
          <w:lang w:val="en-US" w:eastAsia="en-AU"/>
        </w:rPr>
        <w:tab/>
        <w:t xml:space="preserve">Antimicrobial Resistance </w:t>
      </w:r>
    </w:p>
    <w:p w:rsidR="00AB50C5" w:rsidRDefault="00724275">
      <w:pPr>
        <w:spacing w:after="0" w:line="240" w:lineRule="auto"/>
        <w:ind w:left="1440" w:hanging="1440"/>
        <w:jc w:val="both"/>
        <w:rPr>
          <w:rFonts w:ascii="Times New Roman" w:hAnsi="Times New Roman" w:cs="Times New Roman"/>
          <w:noProof/>
          <w:position w:val="-32"/>
          <w:sz w:val="24"/>
          <w:szCs w:val="24"/>
          <w:lang w:val="en-US" w:eastAsia="en-AU"/>
        </w:rPr>
      </w:pPr>
      <w:r>
        <w:rPr>
          <w:rFonts w:ascii="Times New Roman" w:hAnsi="Times New Roman" w:cs="Times New Roman"/>
          <w:noProof/>
          <w:position w:val="-32"/>
          <w:sz w:val="24"/>
          <w:szCs w:val="24"/>
          <w:lang w:val="en-US" w:eastAsia="en-AU"/>
        </w:rPr>
        <w:t xml:space="preserve">ANZECC </w:t>
      </w:r>
      <w:r>
        <w:rPr>
          <w:rFonts w:ascii="Times New Roman" w:hAnsi="Times New Roman" w:cs="Times New Roman"/>
          <w:noProof/>
          <w:position w:val="-32"/>
          <w:sz w:val="24"/>
          <w:szCs w:val="24"/>
          <w:lang w:val="en-US" w:eastAsia="en-AU"/>
        </w:rPr>
        <w:tab/>
        <w:t xml:space="preserve">Australian and New Zealand Environment and Conservation Council (Note: in 2001, the functions of ARMCANZ and ANZECC were taken up by the Environment Protection and Heritage Council and </w:t>
      </w:r>
      <w:r>
        <w:rPr>
          <w:rFonts w:ascii="Times New Roman" w:hAnsi="Times New Roman" w:cs="Times New Roman"/>
          <w:noProof/>
          <w:position w:val="-32"/>
          <w:sz w:val="24"/>
          <w:szCs w:val="24"/>
          <w:lang w:val="en-US" w:eastAsia="en-AU"/>
        </w:rPr>
        <w:t>the Natural Resource Management Ministerial Council)</w:t>
      </w:r>
    </w:p>
    <w:p w:rsidR="00AB50C5" w:rsidRDefault="00724275">
      <w:pPr>
        <w:spacing w:after="0" w:line="240" w:lineRule="auto"/>
        <w:ind w:left="1440" w:hanging="1440"/>
        <w:jc w:val="both"/>
        <w:rPr>
          <w:rFonts w:ascii="Times New Roman" w:hAnsi="Times New Roman" w:cs="Times New Roman"/>
          <w:noProof/>
          <w:position w:val="-32"/>
          <w:sz w:val="24"/>
          <w:szCs w:val="24"/>
          <w:lang w:val="en-US" w:eastAsia="en-AU"/>
        </w:rPr>
      </w:pPr>
      <w:r>
        <w:rPr>
          <w:rFonts w:ascii="Times New Roman" w:hAnsi="Times New Roman" w:cs="Times New Roman"/>
          <w:noProof/>
          <w:position w:val="-32"/>
          <w:sz w:val="24"/>
          <w:szCs w:val="24"/>
          <w:lang w:val="en-US" w:eastAsia="en-AU"/>
        </w:rPr>
        <w:t xml:space="preserve">APHA </w:t>
      </w:r>
      <w:r>
        <w:rPr>
          <w:rFonts w:ascii="Times New Roman" w:hAnsi="Times New Roman" w:cs="Times New Roman"/>
          <w:noProof/>
          <w:position w:val="-32"/>
          <w:sz w:val="24"/>
          <w:szCs w:val="24"/>
          <w:lang w:val="en-US" w:eastAsia="en-AU"/>
        </w:rPr>
        <w:tab/>
        <w:t>American Public Health Association</w:t>
      </w:r>
    </w:p>
    <w:p w:rsidR="00AB50C5" w:rsidRDefault="00AB50C5">
      <w:pPr>
        <w:spacing w:after="0" w:line="240" w:lineRule="auto"/>
        <w:ind w:left="2837" w:hanging="2837"/>
        <w:jc w:val="both"/>
        <w:rPr>
          <w:rFonts w:ascii="Times New Roman" w:hAnsi="Times New Roman" w:cs="Times New Roman"/>
          <w:noProof/>
          <w:sz w:val="24"/>
          <w:szCs w:val="24"/>
          <w:lang w:val="en-US" w:eastAsia="it-IT"/>
        </w:rPr>
      </w:pPr>
    </w:p>
    <w:p w:rsidR="00AB50C5" w:rsidRDefault="00724275">
      <w:pPr>
        <w:spacing w:after="0" w:line="240" w:lineRule="auto"/>
        <w:ind w:left="1440" w:hanging="1440"/>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Aquifer</w:t>
      </w:r>
      <w:r>
        <w:rPr>
          <w:rFonts w:ascii="Times New Roman" w:hAnsi="Times New Roman" w:cs="Times New Roman"/>
          <w:noProof/>
          <w:sz w:val="24"/>
          <w:szCs w:val="24"/>
          <w:lang w:val="en-US" w:eastAsia="it-IT"/>
        </w:rPr>
        <w:tab/>
        <w:t>A subsurface layer or layers of rock or other geological strata of sufficient porosity and permeability to allow either a significant flow of groundwater</w:t>
      </w:r>
      <w:r>
        <w:rPr>
          <w:rFonts w:ascii="Times New Roman" w:hAnsi="Times New Roman" w:cs="Times New Roman"/>
          <w:noProof/>
          <w:sz w:val="24"/>
          <w:szCs w:val="24"/>
          <w:lang w:val="en-US" w:eastAsia="it-IT"/>
        </w:rPr>
        <w:t xml:space="preserve"> or the abstraction of significant quantities of groundwater (according to Directive 2000/60/EC).</w:t>
      </w:r>
    </w:p>
    <w:p w:rsidR="00AB50C5" w:rsidRDefault="00724275">
      <w:pPr>
        <w:spacing w:after="0" w:line="240" w:lineRule="auto"/>
        <w:ind w:left="1440" w:hanging="1440"/>
        <w:jc w:val="both"/>
        <w:rPr>
          <w:rFonts w:ascii="Times New Roman" w:hAnsi="Times New Roman" w:cs="Times New Roman"/>
          <w:noProof/>
          <w:position w:val="-32"/>
          <w:sz w:val="24"/>
          <w:szCs w:val="24"/>
          <w:lang w:val="en-US" w:eastAsia="en-AU"/>
        </w:rPr>
      </w:pPr>
      <w:r>
        <w:rPr>
          <w:rFonts w:ascii="Times New Roman" w:hAnsi="Times New Roman" w:cs="Times New Roman"/>
          <w:noProof/>
          <w:position w:val="-32"/>
          <w:sz w:val="24"/>
          <w:szCs w:val="24"/>
          <w:lang w:val="en-US" w:eastAsia="en-AU"/>
        </w:rPr>
        <w:t>ARG</w:t>
      </w:r>
      <w:r>
        <w:rPr>
          <w:rFonts w:ascii="Times New Roman" w:hAnsi="Times New Roman" w:cs="Times New Roman"/>
          <w:noProof/>
          <w:position w:val="-32"/>
          <w:sz w:val="24"/>
          <w:szCs w:val="24"/>
          <w:lang w:val="en-US" w:eastAsia="en-AU"/>
        </w:rPr>
        <w:tab/>
        <w:t>Antibiotic Resistance Genes</w:t>
      </w:r>
    </w:p>
    <w:p w:rsidR="00AB50C5" w:rsidRDefault="00724275">
      <w:pPr>
        <w:spacing w:after="0" w:line="240" w:lineRule="auto"/>
        <w:ind w:left="1440" w:hanging="1440"/>
        <w:jc w:val="both"/>
        <w:rPr>
          <w:rFonts w:ascii="Times New Roman" w:hAnsi="Times New Roman" w:cs="Times New Roman"/>
          <w:noProof/>
          <w:position w:val="-32"/>
          <w:sz w:val="24"/>
          <w:szCs w:val="24"/>
          <w:lang w:val="en-US" w:eastAsia="en-AU"/>
        </w:rPr>
      </w:pPr>
      <w:r>
        <w:rPr>
          <w:rFonts w:ascii="Times New Roman" w:hAnsi="Times New Roman" w:cs="Times New Roman"/>
          <w:noProof/>
          <w:position w:val="-32"/>
          <w:sz w:val="24"/>
          <w:szCs w:val="24"/>
          <w:lang w:val="en-US" w:eastAsia="en-AU"/>
        </w:rPr>
        <w:t xml:space="preserve">ARMCANZ </w:t>
      </w:r>
      <w:r>
        <w:rPr>
          <w:rFonts w:ascii="Times New Roman" w:hAnsi="Times New Roman" w:cs="Times New Roman"/>
          <w:noProof/>
          <w:position w:val="-32"/>
          <w:sz w:val="24"/>
          <w:szCs w:val="24"/>
          <w:lang w:val="en-US" w:eastAsia="en-AU"/>
        </w:rPr>
        <w:tab/>
        <w:t>Agricultural and Resource Management Council of Australia and New Zealand (Note: in 2001, the functions of ARMCANZ an</w:t>
      </w:r>
      <w:r>
        <w:rPr>
          <w:rFonts w:ascii="Times New Roman" w:hAnsi="Times New Roman" w:cs="Times New Roman"/>
          <w:noProof/>
          <w:position w:val="-32"/>
          <w:sz w:val="24"/>
          <w:szCs w:val="24"/>
          <w:lang w:val="en-US" w:eastAsia="en-AU"/>
        </w:rPr>
        <w:t>d ANZECC were taken up by the Environment Protection and Heritage Council and the Natural Resource Management Ministerial Council)</w:t>
      </w:r>
    </w:p>
    <w:p w:rsidR="00AB50C5" w:rsidRDefault="00724275">
      <w:pPr>
        <w:spacing w:after="0" w:line="240" w:lineRule="auto"/>
        <w:jc w:val="both"/>
        <w:rPr>
          <w:rFonts w:ascii="Times New Roman" w:hAnsi="Times New Roman" w:cs="Times New Roman"/>
          <w:noProof/>
          <w:position w:val="-32"/>
          <w:sz w:val="24"/>
          <w:szCs w:val="24"/>
          <w:lang w:val="en-US" w:eastAsia="en-AU"/>
        </w:rPr>
      </w:pPr>
      <w:r>
        <w:rPr>
          <w:rFonts w:ascii="Times New Roman" w:hAnsi="Times New Roman" w:cs="Times New Roman"/>
          <w:noProof/>
          <w:position w:val="-32"/>
          <w:sz w:val="24"/>
          <w:szCs w:val="24"/>
          <w:lang w:val="en-US" w:eastAsia="en-AU"/>
        </w:rPr>
        <w:t>bdl</w:t>
      </w:r>
      <w:r>
        <w:rPr>
          <w:rFonts w:ascii="Times New Roman" w:hAnsi="Times New Roman" w:cs="Times New Roman"/>
          <w:noProof/>
          <w:position w:val="-32"/>
          <w:sz w:val="24"/>
          <w:szCs w:val="24"/>
          <w:lang w:val="en-US" w:eastAsia="en-AU"/>
        </w:rPr>
        <w:tab/>
      </w:r>
      <w:r>
        <w:rPr>
          <w:rFonts w:ascii="Times New Roman" w:hAnsi="Times New Roman" w:cs="Times New Roman"/>
          <w:noProof/>
          <w:position w:val="-32"/>
          <w:sz w:val="24"/>
          <w:szCs w:val="24"/>
          <w:lang w:val="en-US" w:eastAsia="en-AU"/>
        </w:rPr>
        <w:tab/>
        <w:t>Below Detection Limit</w:t>
      </w:r>
    </w:p>
    <w:p w:rsidR="00AB50C5" w:rsidRDefault="00724275">
      <w:pPr>
        <w:spacing w:after="0" w:line="240" w:lineRule="auto"/>
        <w:jc w:val="both"/>
        <w:rPr>
          <w:rFonts w:ascii="Times New Roman" w:hAnsi="Times New Roman" w:cs="Times New Roman"/>
          <w:noProof/>
          <w:position w:val="-32"/>
          <w:sz w:val="24"/>
          <w:szCs w:val="24"/>
          <w:lang w:val="en-US" w:eastAsia="en-AU"/>
        </w:rPr>
      </w:pPr>
      <w:r>
        <w:rPr>
          <w:rFonts w:ascii="Times New Roman" w:hAnsi="Times New Roman" w:cs="Times New Roman"/>
          <w:noProof/>
          <w:position w:val="-32"/>
          <w:sz w:val="24"/>
          <w:szCs w:val="24"/>
          <w:lang w:val="en-US" w:eastAsia="en-AU"/>
        </w:rPr>
        <w:t>BOD</w:t>
      </w:r>
      <w:r>
        <w:rPr>
          <w:rFonts w:ascii="Times New Roman" w:hAnsi="Times New Roman" w:cs="Times New Roman"/>
          <w:noProof/>
          <w:position w:val="-32"/>
          <w:sz w:val="24"/>
          <w:szCs w:val="24"/>
          <w:vertAlign w:val="subscript"/>
          <w:lang w:val="en-US" w:eastAsia="en-AU"/>
        </w:rPr>
        <w:t>5</w:t>
      </w:r>
      <w:r>
        <w:rPr>
          <w:rFonts w:ascii="Times New Roman" w:hAnsi="Times New Roman" w:cs="Times New Roman"/>
          <w:noProof/>
          <w:position w:val="-32"/>
          <w:sz w:val="24"/>
          <w:szCs w:val="24"/>
          <w:lang w:val="en-US" w:eastAsia="en-AU"/>
        </w:rPr>
        <w:t xml:space="preserve"> </w:t>
      </w:r>
      <w:r>
        <w:rPr>
          <w:rFonts w:ascii="Times New Roman" w:hAnsi="Times New Roman" w:cs="Times New Roman"/>
          <w:noProof/>
          <w:position w:val="-32"/>
          <w:sz w:val="24"/>
          <w:szCs w:val="24"/>
          <w:lang w:val="en-US" w:eastAsia="en-AU"/>
        </w:rPr>
        <w:tab/>
      </w:r>
      <w:r>
        <w:rPr>
          <w:rFonts w:ascii="Times New Roman" w:hAnsi="Times New Roman" w:cs="Times New Roman"/>
          <w:noProof/>
          <w:position w:val="-32"/>
          <w:sz w:val="24"/>
          <w:szCs w:val="24"/>
          <w:lang w:val="en-US" w:eastAsia="en-AU"/>
        </w:rPr>
        <w:tab/>
        <w:t>5 day Biochemical Oxygen Demand</w:t>
      </w:r>
    </w:p>
    <w:p w:rsidR="00AB50C5" w:rsidRDefault="00724275">
      <w:pPr>
        <w:spacing w:after="0" w:line="240" w:lineRule="auto"/>
        <w:jc w:val="both"/>
        <w:rPr>
          <w:rFonts w:ascii="Times New Roman" w:hAnsi="Times New Roman" w:cs="Times New Roman"/>
          <w:noProof/>
          <w:position w:val="-32"/>
          <w:sz w:val="24"/>
          <w:szCs w:val="24"/>
          <w:lang w:val="en-US" w:eastAsia="en-AU"/>
        </w:rPr>
      </w:pPr>
      <w:r>
        <w:rPr>
          <w:rFonts w:ascii="Times New Roman" w:hAnsi="Times New Roman" w:cs="Times New Roman"/>
          <w:noProof/>
          <w:position w:val="-32"/>
          <w:sz w:val="24"/>
          <w:szCs w:val="24"/>
          <w:lang w:val="en-US" w:eastAsia="en-AU"/>
        </w:rPr>
        <w:t>CAC</w:t>
      </w:r>
      <w:r>
        <w:rPr>
          <w:rFonts w:ascii="Times New Roman" w:hAnsi="Times New Roman" w:cs="Times New Roman"/>
          <w:noProof/>
          <w:position w:val="-32"/>
          <w:sz w:val="24"/>
          <w:szCs w:val="24"/>
          <w:lang w:val="en-US" w:eastAsia="en-AU"/>
        </w:rPr>
        <w:tab/>
      </w:r>
      <w:r>
        <w:rPr>
          <w:rFonts w:ascii="Times New Roman" w:hAnsi="Times New Roman" w:cs="Times New Roman"/>
          <w:noProof/>
          <w:position w:val="-32"/>
          <w:sz w:val="24"/>
          <w:szCs w:val="24"/>
          <w:lang w:val="en-US" w:eastAsia="en-AU"/>
        </w:rPr>
        <w:tab/>
        <w:t>Codex Alimentarius Commission</w:t>
      </w:r>
    </w:p>
    <w:p w:rsidR="00AB50C5" w:rsidRDefault="00724275">
      <w:pPr>
        <w:spacing w:after="0" w:line="240" w:lineRule="auto"/>
        <w:jc w:val="both"/>
        <w:rPr>
          <w:rFonts w:ascii="Times New Roman" w:hAnsi="Times New Roman" w:cs="Times New Roman"/>
          <w:noProof/>
          <w:position w:val="-32"/>
          <w:sz w:val="24"/>
          <w:szCs w:val="24"/>
          <w:lang w:val="en-US" w:eastAsia="en-AU"/>
        </w:rPr>
      </w:pPr>
      <w:r>
        <w:rPr>
          <w:rFonts w:ascii="Times New Roman" w:hAnsi="Times New Roman" w:cs="Times New Roman"/>
          <w:noProof/>
          <w:position w:val="-32"/>
          <w:sz w:val="24"/>
          <w:szCs w:val="24"/>
          <w:lang w:val="en-US" w:eastAsia="en-AU"/>
        </w:rPr>
        <w:t>CCR</w:t>
      </w:r>
      <w:r>
        <w:rPr>
          <w:rFonts w:ascii="Times New Roman" w:hAnsi="Times New Roman" w:cs="Times New Roman"/>
          <w:noProof/>
          <w:position w:val="-32"/>
          <w:sz w:val="24"/>
          <w:szCs w:val="24"/>
          <w:lang w:val="en-US" w:eastAsia="en-AU"/>
        </w:rPr>
        <w:tab/>
      </w:r>
      <w:r>
        <w:rPr>
          <w:rFonts w:ascii="Times New Roman" w:hAnsi="Times New Roman" w:cs="Times New Roman"/>
          <w:noProof/>
          <w:position w:val="-32"/>
          <w:sz w:val="24"/>
          <w:szCs w:val="24"/>
          <w:lang w:val="en-US" w:eastAsia="en-AU"/>
        </w:rPr>
        <w:tab/>
        <w:t xml:space="preserve">California Code of </w:t>
      </w:r>
      <w:r>
        <w:rPr>
          <w:rFonts w:ascii="Times New Roman" w:hAnsi="Times New Roman" w:cs="Times New Roman"/>
          <w:noProof/>
          <w:position w:val="-32"/>
          <w:sz w:val="24"/>
          <w:szCs w:val="24"/>
          <w:lang w:val="en-US" w:eastAsia="en-AU"/>
        </w:rPr>
        <w:t>Regulations</w:t>
      </w:r>
    </w:p>
    <w:p w:rsidR="00AB50C5" w:rsidRDefault="00724275">
      <w:pPr>
        <w:spacing w:after="0" w:line="240" w:lineRule="auto"/>
        <w:jc w:val="both"/>
        <w:rPr>
          <w:rFonts w:ascii="Times New Roman" w:hAnsi="Times New Roman" w:cs="Times New Roman"/>
          <w:noProof/>
          <w:position w:val="-32"/>
          <w:sz w:val="24"/>
          <w:szCs w:val="24"/>
          <w:lang w:val="en-US" w:eastAsia="en-AU"/>
        </w:rPr>
      </w:pPr>
      <w:r>
        <w:rPr>
          <w:rFonts w:ascii="Times New Roman" w:hAnsi="Times New Roman" w:cs="Times New Roman"/>
          <w:noProof/>
          <w:position w:val="-32"/>
          <w:sz w:val="24"/>
          <w:szCs w:val="24"/>
          <w:lang w:val="en-US" w:eastAsia="en-AU"/>
        </w:rPr>
        <w:t xml:space="preserve">CDPH </w:t>
      </w:r>
      <w:r>
        <w:rPr>
          <w:rFonts w:ascii="Times New Roman" w:hAnsi="Times New Roman" w:cs="Times New Roman"/>
          <w:noProof/>
          <w:position w:val="-32"/>
          <w:sz w:val="24"/>
          <w:szCs w:val="24"/>
          <w:lang w:val="en-US" w:eastAsia="en-AU"/>
        </w:rPr>
        <w:tab/>
      </w:r>
      <w:r>
        <w:rPr>
          <w:rFonts w:ascii="Times New Roman" w:hAnsi="Times New Roman" w:cs="Times New Roman"/>
          <w:noProof/>
          <w:position w:val="-32"/>
          <w:sz w:val="24"/>
          <w:szCs w:val="24"/>
          <w:lang w:val="en-US" w:eastAsia="en-AU"/>
        </w:rPr>
        <w:tab/>
        <w:t>California Department of Public Health</w:t>
      </w:r>
    </w:p>
    <w:p w:rsidR="00AB50C5" w:rsidRDefault="00724275">
      <w:pPr>
        <w:spacing w:after="0" w:line="240" w:lineRule="auto"/>
        <w:jc w:val="both"/>
        <w:rPr>
          <w:rFonts w:ascii="Times New Roman" w:hAnsi="Times New Roman" w:cs="Times New Roman"/>
          <w:noProof/>
          <w:position w:val="-32"/>
          <w:sz w:val="24"/>
          <w:szCs w:val="24"/>
          <w:lang w:val="en-US" w:eastAsia="en-AU"/>
        </w:rPr>
      </w:pPr>
      <w:r>
        <w:rPr>
          <w:rFonts w:ascii="Times New Roman" w:hAnsi="Times New Roman" w:cs="Times New Roman"/>
          <w:noProof/>
          <w:position w:val="-32"/>
          <w:sz w:val="24"/>
          <w:szCs w:val="24"/>
          <w:lang w:val="en-US" w:eastAsia="en-AU"/>
        </w:rPr>
        <w:t>CECs</w:t>
      </w:r>
      <w:r>
        <w:rPr>
          <w:rFonts w:ascii="Times New Roman" w:hAnsi="Times New Roman" w:cs="Times New Roman"/>
          <w:noProof/>
          <w:position w:val="-32"/>
          <w:sz w:val="24"/>
          <w:szCs w:val="24"/>
          <w:lang w:val="en-US" w:eastAsia="en-AU"/>
        </w:rPr>
        <w:tab/>
      </w:r>
      <w:r>
        <w:rPr>
          <w:rFonts w:ascii="Times New Roman" w:hAnsi="Times New Roman" w:cs="Times New Roman"/>
          <w:noProof/>
          <w:position w:val="-32"/>
          <w:sz w:val="24"/>
          <w:szCs w:val="24"/>
          <w:lang w:val="en-US" w:eastAsia="en-AU"/>
        </w:rPr>
        <w:tab/>
        <w:t>Compounds of Emerging Concern</w:t>
      </w:r>
    </w:p>
    <w:p w:rsidR="00AB50C5" w:rsidRDefault="00724275">
      <w:pPr>
        <w:spacing w:after="0" w:line="240" w:lineRule="auto"/>
        <w:jc w:val="both"/>
        <w:rPr>
          <w:rFonts w:ascii="Times New Roman" w:hAnsi="Times New Roman" w:cs="Times New Roman"/>
          <w:noProof/>
          <w:position w:val="-32"/>
          <w:sz w:val="24"/>
          <w:szCs w:val="24"/>
          <w:lang w:val="en-US" w:eastAsia="en-AU"/>
        </w:rPr>
      </w:pPr>
      <w:r>
        <w:rPr>
          <w:rFonts w:ascii="Times New Roman" w:hAnsi="Times New Roman" w:cs="Times New Roman"/>
          <w:noProof/>
          <w:position w:val="-32"/>
          <w:sz w:val="24"/>
          <w:szCs w:val="24"/>
          <w:lang w:val="en-US" w:eastAsia="en-AU"/>
        </w:rPr>
        <w:t>CEN</w:t>
      </w:r>
      <w:r>
        <w:rPr>
          <w:rFonts w:ascii="Times New Roman" w:hAnsi="Times New Roman" w:cs="Times New Roman"/>
          <w:noProof/>
          <w:position w:val="-32"/>
          <w:sz w:val="24"/>
          <w:szCs w:val="24"/>
          <w:lang w:val="en-US" w:eastAsia="en-AU"/>
        </w:rPr>
        <w:tab/>
      </w:r>
      <w:r>
        <w:rPr>
          <w:rFonts w:ascii="Times New Roman" w:hAnsi="Times New Roman" w:cs="Times New Roman"/>
          <w:noProof/>
          <w:position w:val="-32"/>
          <w:sz w:val="24"/>
          <w:szCs w:val="24"/>
          <w:lang w:val="en-US" w:eastAsia="en-AU"/>
        </w:rPr>
        <w:tab/>
        <w:t>European Committee for Standardization</w:t>
      </w:r>
    </w:p>
    <w:p w:rsidR="00AB50C5" w:rsidRDefault="00724275">
      <w:pPr>
        <w:spacing w:after="0" w:line="240" w:lineRule="auto"/>
        <w:jc w:val="both"/>
        <w:rPr>
          <w:rFonts w:ascii="Times New Roman" w:hAnsi="Times New Roman" w:cs="Times New Roman"/>
          <w:noProof/>
          <w:position w:val="-32"/>
          <w:sz w:val="24"/>
          <w:szCs w:val="24"/>
          <w:lang w:val="en-US" w:eastAsia="en-AU"/>
        </w:rPr>
      </w:pPr>
      <w:r>
        <w:rPr>
          <w:rFonts w:ascii="Times New Roman" w:hAnsi="Times New Roman" w:cs="Times New Roman"/>
          <w:noProof/>
          <w:position w:val="-32"/>
          <w:sz w:val="24"/>
          <w:szCs w:val="24"/>
          <w:lang w:val="en-US" w:eastAsia="en-AU"/>
        </w:rPr>
        <w:t xml:space="preserve">cfu </w:t>
      </w:r>
      <w:r>
        <w:rPr>
          <w:rFonts w:ascii="Times New Roman" w:hAnsi="Times New Roman" w:cs="Times New Roman"/>
          <w:noProof/>
          <w:position w:val="-32"/>
          <w:sz w:val="24"/>
          <w:szCs w:val="24"/>
          <w:lang w:val="en-US" w:eastAsia="en-AU"/>
        </w:rPr>
        <w:tab/>
      </w:r>
      <w:r>
        <w:rPr>
          <w:rFonts w:ascii="Times New Roman" w:hAnsi="Times New Roman" w:cs="Times New Roman"/>
          <w:noProof/>
          <w:position w:val="-32"/>
          <w:sz w:val="24"/>
          <w:szCs w:val="24"/>
          <w:lang w:val="en-US" w:eastAsia="en-AU"/>
        </w:rPr>
        <w:tab/>
        <w:t>colony forming unit</w:t>
      </w:r>
    </w:p>
    <w:p w:rsidR="00AB50C5" w:rsidRDefault="00724275">
      <w:pPr>
        <w:spacing w:after="0" w:line="240" w:lineRule="auto"/>
        <w:jc w:val="both"/>
        <w:rPr>
          <w:rFonts w:ascii="Times New Roman" w:hAnsi="Times New Roman" w:cs="Times New Roman"/>
          <w:noProof/>
          <w:position w:val="-32"/>
          <w:sz w:val="24"/>
          <w:szCs w:val="24"/>
          <w:lang w:val="en-US" w:eastAsia="en-AU"/>
        </w:rPr>
      </w:pPr>
      <w:r>
        <w:rPr>
          <w:rFonts w:ascii="Times New Roman" w:hAnsi="Times New Roman" w:cs="Times New Roman"/>
          <w:noProof/>
          <w:position w:val="-32"/>
          <w:sz w:val="24"/>
          <w:szCs w:val="24"/>
          <w:lang w:val="en-US" w:eastAsia="en-AU"/>
        </w:rPr>
        <w:t xml:space="preserve">CIS </w:t>
      </w:r>
      <w:r>
        <w:rPr>
          <w:rFonts w:ascii="Times New Roman" w:hAnsi="Times New Roman" w:cs="Times New Roman"/>
          <w:noProof/>
          <w:position w:val="-32"/>
          <w:sz w:val="24"/>
          <w:szCs w:val="24"/>
          <w:lang w:val="en-US" w:eastAsia="en-AU"/>
        </w:rPr>
        <w:tab/>
      </w:r>
      <w:r>
        <w:rPr>
          <w:rFonts w:ascii="Times New Roman" w:hAnsi="Times New Roman" w:cs="Times New Roman"/>
          <w:noProof/>
          <w:position w:val="-32"/>
          <w:sz w:val="24"/>
          <w:szCs w:val="24"/>
          <w:lang w:val="en-US" w:eastAsia="en-AU"/>
        </w:rPr>
        <w:tab/>
        <w:t>Common Implementation Strategy</w:t>
      </w:r>
    </w:p>
    <w:p w:rsidR="00AB50C5" w:rsidRDefault="00724275">
      <w:pPr>
        <w:spacing w:after="0" w:line="240" w:lineRule="auto"/>
        <w:jc w:val="both"/>
        <w:rPr>
          <w:rFonts w:ascii="Times New Roman" w:hAnsi="Times New Roman" w:cs="Times New Roman"/>
          <w:noProof/>
          <w:position w:val="-32"/>
          <w:sz w:val="24"/>
          <w:szCs w:val="24"/>
          <w:lang w:val="en-US" w:eastAsia="en-AU"/>
        </w:rPr>
      </w:pPr>
      <w:r>
        <w:rPr>
          <w:rFonts w:ascii="Times New Roman" w:hAnsi="Times New Roman" w:cs="Times New Roman"/>
          <w:noProof/>
          <w:position w:val="-32"/>
          <w:sz w:val="24"/>
          <w:szCs w:val="24"/>
          <w:lang w:val="en-US" w:eastAsia="en-AU"/>
        </w:rPr>
        <w:t>COD</w:t>
      </w:r>
      <w:r>
        <w:rPr>
          <w:rFonts w:ascii="Times New Roman" w:hAnsi="Times New Roman" w:cs="Times New Roman"/>
          <w:noProof/>
          <w:position w:val="-32"/>
          <w:sz w:val="24"/>
          <w:szCs w:val="24"/>
          <w:lang w:val="en-US" w:eastAsia="en-AU"/>
        </w:rPr>
        <w:tab/>
      </w:r>
      <w:r>
        <w:rPr>
          <w:rFonts w:ascii="Times New Roman" w:hAnsi="Times New Roman" w:cs="Times New Roman"/>
          <w:noProof/>
          <w:position w:val="-32"/>
          <w:sz w:val="24"/>
          <w:szCs w:val="24"/>
          <w:lang w:val="en-US" w:eastAsia="en-AU"/>
        </w:rPr>
        <w:tab/>
        <w:t>Chemical Oxygen Demand</w:t>
      </w:r>
    </w:p>
    <w:p w:rsidR="00AB50C5" w:rsidRDefault="00724275">
      <w:pPr>
        <w:spacing w:after="0" w:line="240" w:lineRule="auto"/>
        <w:jc w:val="both"/>
        <w:rPr>
          <w:rFonts w:ascii="Times New Roman" w:hAnsi="Times New Roman" w:cs="Times New Roman"/>
          <w:noProof/>
          <w:position w:val="-32"/>
          <w:sz w:val="24"/>
          <w:szCs w:val="24"/>
          <w:lang w:val="en-US" w:eastAsia="en-AU"/>
        </w:rPr>
      </w:pPr>
      <w:r>
        <w:rPr>
          <w:rFonts w:ascii="Times New Roman" w:hAnsi="Times New Roman" w:cs="Times New Roman"/>
          <w:noProof/>
          <w:position w:val="-32"/>
          <w:sz w:val="24"/>
          <w:szCs w:val="24"/>
          <w:lang w:val="en-US" w:eastAsia="en-AU"/>
        </w:rPr>
        <w:t>COM</w:t>
      </w:r>
      <w:r>
        <w:rPr>
          <w:rFonts w:ascii="Times New Roman" w:hAnsi="Times New Roman" w:cs="Times New Roman"/>
          <w:noProof/>
          <w:position w:val="-32"/>
          <w:sz w:val="24"/>
          <w:szCs w:val="24"/>
          <w:lang w:val="en-US" w:eastAsia="en-AU"/>
        </w:rPr>
        <w:tab/>
      </w:r>
      <w:r>
        <w:rPr>
          <w:rFonts w:ascii="Times New Roman" w:hAnsi="Times New Roman" w:cs="Times New Roman"/>
          <w:noProof/>
          <w:position w:val="-32"/>
          <w:sz w:val="24"/>
          <w:szCs w:val="24"/>
          <w:lang w:val="en-US" w:eastAsia="en-AU"/>
        </w:rPr>
        <w:tab/>
        <w:t>Communication from the</w:t>
      </w:r>
      <w:r>
        <w:rPr>
          <w:rFonts w:ascii="Times New Roman" w:hAnsi="Times New Roman" w:cs="Times New Roman"/>
          <w:noProof/>
          <w:position w:val="-32"/>
          <w:sz w:val="24"/>
          <w:szCs w:val="24"/>
          <w:lang w:val="en-US" w:eastAsia="en-AU"/>
        </w:rPr>
        <w:t xml:space="preserve"> Commission</w:t>
      </w:r>
    </w:p>
    <w:p w:rsidR="00AB50C5" w:rsidRDefault="00AB50C5">
      <w:pPr>
        <w:spacing w:after="0" w:line="240" w:lineRule="auto"/>
        <w:ind w:left="2832" w:hanging="2832"/>
        <w:jc w:val="both"/>
        <w:rPr>
          <w:rFonts w:ascii="Times New Roman" w:hAnsi="Times New Roman" w:cs="Times New Roman"/>
          <w:noProof/>
          <w:sz w:val="24"/>
          <w:szCs w:val="24"/>
          <w:lang w:val="en-US" w:eastAsia="it-IT"/>
        </w:rPr>
      </w:pPr>
    </w:p>
    <w:p w:rsidR="00AB50C5" w:rsidRDefault="00724275">
      <w:pPr>
        <w:spacing w:after="0" w:line="240" w:lineRule="auto"/>
        <w:ind w:left="1440" w:hanging="1440"/>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Critical</w:t>
      </w:r>
      <w:r>
        <w:rPr>
          <w:rFonts w:ascii="Times New Roman" w:hAnsi="Times New Roman" w:cs="Times New Roman"/>
          <w:noProof/>
          <w:sz w:val="24"/>
          <w:szCs w:val="24"/>
          <w:lang w:val="en-US" w:eastAsia="it-IT"/>
        </w:rPr>
        <w:tab/>
        <w:t>A prescribed tolerance that distinguishes acceptable from unacceptable</w:t>
      </w:r>
    </w:p>
    <w:p w:rsidR="00AB50C5" w:rsidRDefault="00724275">
      <w:pPr>
        <w:spacing w:after="0" w:line="240" w:lineRule="auto"/>
        <w:ind w:left="1440" w:hanging="1440"/>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 xml:space="preserve">limit </w:t>
      </w:r>
      <w:r>
        <w:rPr>
          <w:rFonts w:ascii="Times New Roman" w:hAnsi="Times New Roman" w:cs="Times New Roman"/>
          <w:noProof/>
          <w:sz w:val="24"/>
          <w:szCs w:val="24"/>
          <w:lang w:val="en-US" w:eastAsia="it-IT"/>
        </w:rPr>
        <w:tab/>
        <w:t>performance.</w:t>
      </w:r>
    </w:p>
    <w:p w:rsidR="00AB50C5" w:rsidRDefault="00724275">
      <w:pPr>
        <w:spacing w:after="0" w:line="240" w:lineRule="auto"/>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ab/>
      </w:r>
    </w:p>
    <w:p w:rsidR="00AB50C5" w:rsidRDefault="00724275">
      <w:pPr>
        <w:autoSpaceDE w:val="0"/>
        <w:autoSpaceDN w:val="0"/>
        <w:adjustRightInd w:val="0"/>
        <w:spacing w:after="0" w:line="240" w:lineRule="auto"/>
        <w:ind w:left="1440" w:hanging="1440"/>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Ct</w:t>
      </w:r>
      <w:r>
        <w:rPr>
          <w:rFonts w:ascii="Times New Roman" w:eastAsia="Calibri" w:hAnsi="Times New Roman" w:cs="Times New Roman"/>
          <w:noProof/>
          <w:sz w:val="24"/>
          <w:szCs w:val="24"/>
          <w:lang w:val="en-US"/>
        </w:rPr>
        <w:tab/>
        <w:t xml:space="preserve">The product of residual disinfectant concentration (C) in milligrams per litre and the corresponding disinfectant contact time (t) in </w:t>
      </w:r>
      <w:r>
        <w:rPr>
          <w:rFonts w:ascii="Times New Roman" w:eastAsia="Calibri" w:hAnsi="Times New Roman" w:cs="Times New Roman"/>
          <w:noProof/>
          <w:sz w:val="24"/>
          <w:szCs w:val="24"/>
          <w:lang w:val="en-US"/>
        </w:rPr>
        <w:t>minutes.</w:t>
      </w:r>
    </w:p>
    <w:p w:rsidR="00AB50C5" w:rsidRDefault="00724275">
      <w:pPr>
        <w:spacing w:after="0" w:line="240" w:lineRule="auto"/>
        <w:jc w:val="both"/>
        <w:rPr>
          <w:rFonts w:ascii="Times New Roman" w:hAnsi="Times New Roman" w:cs="Times New Roman"/>
          <w:noProof/>
          <w:position w:val="-32"/>
          <w:sz w:val="24"/>
          <w:szCs w:val="24"/>
          <w:lang w:val="en-US" w:eastAsia="en-AU"/>
        </w:rPr>
      </w:pPr>
      <w:r>
        <w:rPr>
          <w:rFonts w:ascii="Times New Roman" w:hAnsi="Times New Roman" w:cs="Times New Roman"/>
          <w:noProof/>
          <w:position w:val="-32"/>
          <w:sz w:val="24"/>
          <w:szCs w:val="24"/>
          <w:lang w:val="en-US" w:eastAsia="en-AU"/>
        </w:rPr>
        <w:t>DALYs</w:t>
      </w:r>
      <w:r>
        <w:rPr>
          <w:rFonts w:ascii="Times New Roman" w:hAnsi="Times New Roman" w:cs="Times New Roman"/>
          <w:noProof/>
          <w:position w:val="-32"/>
          <w:sz w:val="24"/>
          <w:szCs w:val="24"/>
          <w:lang w:val="en-US" w:eastAsia="en-AU"/>
        </w:rPr>
        <w:tab/>
      </w:r>
      <w:r>
        <w:rPr>
          <w:rFonts w:ascii="Times New Roman" w:hAnsi="Times New Roman" w:cs="Times New Roman"/>
          <w:noProof/>
          <w:position w:val="-32"/>
          <w:sz w:val="24"/>
          <w:szCs w:val="24"/>
          <w:lang w:val="en-US" w:eastAsia="en-AU"/>
        </w:rPr>
        <w:tab/>
        <w:t>Disability Adjusted Life Years</w:t>
      </w:r>
    </w:p>
    <w:p w:rsidR="00AB50C5" w:rsidRDefault="00724275">
      <w:pPr>
        <w:spacing w:after="0" w:line="240" w:lineRule="auto"/>
        <w:jc w:val="both"/>
        <w:rPr>
          <w:rFonts w:ascii="Times New Roman" w:hAnsi="Times New Roman" w:cs="Times New Roman"/>
          <w:noProof/>
          <w:position w:val="-32"/>
          <w:sz w:val="24"/>
          <w:szCs w:val="24"/>
          <w:lang w:eastAsia="en-AU"/>
        </w:rPr>
      </w:pPr>
      <w:r>
        <w:rPr>
          <w:rFonts w:ascii="Times New Roman" w:hAnsi="Times New Roman" w:cs="Times New Roman"/>
          <w:noProof/>
          <w:position w:val="-32"/>
          <w:sz w:val="24"/>
          <w:szCs w:val="24"/>
          <w:lang w:eastAsia="en-AU"/>
        </w:rPr>
        <w:t>DG ENV</w:t>
      </w:r>
      <w:r>
        <w:rPr>
          <w:rFonts w:ascii="Times New Roman" w:hAnsi="Times New Roman" w:cs="Times New Roman"/>
          <w:noProof/>
          <w:position w:val="-32"/>
          <w:sz w:val="24"/>
          <w:szCs w:val="24"/>
          <w:lang w:eastAsia="en-AU"/>
        </w:rPr>
        <w:tab/>
        <w:t>Directorate General Environment (European Commission)</w:t>
      </w:r>
    </w:p>
    <w:p w:rsidR="00AB50C5" w:rsidRDefault="00AB50C5">
      <w:pPr>
        <w:spacing w:after="0" w:line="240" w:lineRule="auto"/>
        <w:ind w:left="2832" w:hanging="2832"/>
        <w:jc w:val="both"/>
        <w:rPr>
          <w:rFonts w:ascii="Times New Roman" w:hAnsi="Times New Roman" w:cs="Times New Roman"/>
          <w:noProof/>
          <w:sz w:val="24"/>
          <w:szCs w:val="24"/>
          <w:lang w:val="en-US" w:eastAsia="it-IT"/>
        </w:rPr>
      </w:pPr>
    </w:p>
    <w:p w:rsidR="00AB50C5" w:rsidRDefault="00724275">
      <w:pPr>
        <w:spacing w:after="0" w:line="240" w:lineRule="auto"/>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 xml:space="preserve">Domestic </w:t>
      </w:r>
      <w:r>
        <w:rPr>
          <w:rFonts w:ascii="Times New Roman" w:hAnsi="Times New Roman" w:cs="Times New Roman"/>
          <w:noProof/>
          <w:sz w:val="24"/>
          <w:szCs w:val="24"/>
          <w:lang w:val="en-US" w:eastAsia="it-IT"/>
        </w:rPr>
        <w:tab/>
        <w:t xml:space="preserve">Wastewater from residential settlements and services which originates wastewater </w:t>
      </w:r>
      <w:r>
        <w:rPr>
          <w:rFonts w:ascii="Times New Roman" w:hAnsi="Times New Roman" w:cs="Times New Roman"/>
          <w:noProof/>
          <w:sz w:val="24"/>
          <w:szCs w:val="24"/>
          <w:lang w:val="en-US" w:eastAsia="it-IT"/>
        </w:rPr>
        <w:tab/>
      </w:r>
      <w:r>
        <w:rPr>
          <w:rFonts w:ascii="Times New Roman" w:hAnsi="Times New Roman" w:cs="Times New Roman"/>
          <w:noProof/>
          <w:sz w:val="24"/>
          <w:szCs w:val="24"/>
          <w:lang w:val="en-US" w:eastAsia="it-IT"/>
        </w:rPr>
        <w:t xml:space="preserve">predominantly from the human metabolism and from household activities </w:t>
      </w:r>
      <w:r>
        <w:rPr>
          <w:rFonts w:ascii="Times New Roman" w:hAnsi="Times New Roman" w:cs="Times New Roman"/>
          <w:noProof/>
          <w:sz w:val="24"/>
          <w:szCs w:val="24"/>
          <w:lang w:val="en-US" w:eastAsia="it-IT"/>
        </w:rPr>
        <w:tab/>
      </w:r>
      <w:r>
        <w:rPr>
          <w:rFonts w:ascii="Times New Roman" w:hAnsi="Times New Roman" w:cs="Times New Roman"/>
          <w:noProof/>
          <w:sz w:val="24"/>
          <w:szCs w:val="24"/>
          <w:lang w:val="en-US" w:eastAsia="it-IT"/>
        </w:rPr>
        <w:tab/>
      </w:r>
      <w:r>
        <w:rPr>
          <w:rFonts w:ascii="Times New Roman" w:hAnsi="Times New Roman" w:cs="Times New Roman"/>
          <w:noProof/>
          <w:sz w:val="24"/>
          <w:szCs w:val="24"/>
          <w:lang w:val="en-US" w:eastAsia="it-IT"/>
        </w:rPr>
        <w:tab/>
        <w:t>(according to Directive 91/271/EEC).</w:t>
      </w:r>
    </w:p>
    <w:p w:rsidR="00AB50C5" w:rsidRDefault="00AB50C5">
      <w:pPr>
        <w:spacing w:after="0" w:line="240" w:lineRule="auto"/>
        <w:ind w:left="1440" w:hanging="1440"/>
        <w:jc w:val="both"/>
        <w:rPr>
          <w:rFonts w:ascii="Times New Roman" w:hAnsi="Times New Roman" w:cs="Times New Roman"/>
          <w:noProof/>
          <w:sz w:val="24"/>
          <w:szCs w:val="24"/>
          <w:lang w:val="en-US" w:eastAsia="it-IT"/>
        </w:rPr>
      </w:pPr>
    </w:p>
    <w:p w:rsidR="00AB50C5" w:rsidRDefault="00724275">
      <w:pPr>
        <w:spacing w:after="0" w:line="240" w:lineRule="auto"/>
        <w:ind w:left="1440" w:hanging="1440"/>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 xml:space="preserve">Dose– </w:t>
      </w:r>
      <w:r>
        <w:rPr>
          <w:rFonts w:ascii="Times New Roman" w:eastAsia="Calibri" w:hAnsi="Times New Roman" w:cs="Times New Roman"/>
          <w:noProof/>
          <w:sz w:val="24"/>
          <w:szCs w:val="24"/>
          <w:lang w:val="en-US"/>
        </w:rPr>
        <w:tab/>
        <w:t>The quantitative relationship between the dose of an agent and an effect</w:t>
      </w:r>
    </w:p>
    <w:p w:rsidR="00AB50C5" w:rsidRDefault="00724275">
      <w:pPr>
        <w:spacing w:after="0" w:line="240" w:lineRule="auto"/>
        <w:ind w:left="1440" w:hanging="1440"/>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 xml:space="preserve">response </w:t>
      </w:r>
      <w:r>
        <w:rPr>
          <w:rFonts w:ascii="Times New Roman" w:eastAsia="Calibri" w:hAnsi="Times New Roman" w:cs="Times New Roman"/>
          <w:noProof/>
          <w:sz w:val="24"/>
          <w:szCs w:val="24"/>
          <w:lang w:val="en-US"/>
        </w:rPr>
        <w:tab/>
        <w:t>caused by the agent.</w:t>
      </w:r>
    </w:p>
    <w:p w:rsidR="00AB50C5" w:rsidRDefault="00724275">
      <w:pPr>
        <w:spacing w:after="0" w:line="240" w:lineRule="auto"/>
        <w:jc w:val="both"/>
        <w:rPr>
          <w:rFonts w:ascii="Times New Roman" w:hAnsi="Times New Roman" w:cs="Times New Roman"/>
          <w:noProof/>
          <w:position w:val="-32"/>
          <w:sz w:val="24"/>
          <w:szCs w:val="24"/>
          <w:lang w:val="en-US" w:eastAsia="en-AU"/>
        </w:rPr>
      </w:pPr>
      <w:r>
        <w:rPr>
          <w:rFonts w:ascii="Times New Roman" w:hAnsi="Times New Roman" w:cs="Times New Roman"/>
          <w:noProof/>
          <w:position w:val="-32"/>
          <w:sz w:val="24"/>
          <w:szCs w:val="24"/>
          <w:lang w:val="en-US" w:eastAsia="en-AU"/>
        </w:rPr>
        <w:t>DWD</w:t>
      </w:r>
      <w:r>
        <w:rPr>
          <w:rFonts w:ascii="Times New Roman" w:hAnsi="Times New Roman" w:cs="Times New Roman"/>
          <w:noProof/>
          <w:position w:val="-32"/>
          <w:sz w:val="24"/>
          <w:szCs w:val="24"/>
          <w:lang w:val="en-US" w:eastAsia="en-AU"/>
        </w:rPr>
        <w:tab/>
      </w:r>
      <w:r>
        <w:rPr>
          <w:rFonts w:ascii="Times New Roman" w:hAnsi="Times New Roman" w:cs="Times New Roman"/>
          <w:noProof/>
          <w:position w:val="-32"/>
          <w:sz w:val="24"/>
          <w:szCs w:val="24"/>
          <w:lang w:val="en-US" w:eastAsia="en-AU"/>
        </w:rPr>
        <w:tab/>
        <w:t>Drinking Water Directive</w:t>
      </w:r>
    </w:p>
    <w:p w:rsidR="00AB50C5" w:rsidRDefault="00724275">
      <w:pPr>
        <w:spacing w:after="0" w:line="240" w:lineRule="auto"/>
        <w:jc w:val="both"/>
        <w:rPr>
          <w:rFonts w:ascii="Times New Roman" w:hAnsi="Times New Roman" w:cs="Times New Roman"/>
          <w:noProof/>
          <w:position w:val="-32"/>
          <w:sz w:val="24"/>
          <w:szCs w:val="24"/>
          <w:lang w:val="en-US" w:eastAsia="en-AU"/>
        </w:rPr>
      </w:pPr>
      <w:r>
        <w:rPr>
          <w:rFonts w:ascii="Times New Roman" w:hAnsi="Times New Roman" w:cs="Times New Roman"/>
          <w:noProof/>
          <w:position w:val="-32"/>
          <w:sz w:val="24"/>
          <w:szCs w:val="24"/>
          <w:lang w:val="en-US" w:eastAsia="en-AU"/>
        </w:rPr>
        <w:t>EC</w:t>
      </w:r>
      <w:r>
        <w:rPr>
          <w:rFonts w:ascii="Times New Roman" w:hAnsi="Times New Roman" w:cs="Times New Roman"/>
          <w:noProof/>
          <w:position w:val="-32"/>
          <w:sz w:val="24"/>
          <w:szCs w:val="24"/>
          <w:lang w:val="en-US" w:eastAsia="en-AU"/>
        </w:rPr>
        <w:tab/>
      </w:r>
      <w:r>
        <w:rPr>
          <w:rFonts w:ascii="Times New Roman" w:hAnsi="Times New Roman" w:cs="Times New Roman"/>
          <w:noProof/>
          <w:position w:val="-32"/>
          <w:sz w:val="24"/>
          <w:szCs w:val="24"/>
          <w:lang w:val="en-US" w:eastAsia="en-AU"/>
        </w:rPr>
        <w:tab/>
      </w:r>
      <w:r>
        <w:rPr>
          <w:rFonts w:ascii="Times New Roman" w:hAnsi="Times New Roman" w:cs="Times New Roman"/>
          <w:noProof/>
          <w:position w:val="-32"/>
          <w:sz w:val="24"/>
          <w:szCs w:val="24"/>
          <w:lang w:val="en-US" w:eastAsia="en-AU"/>
        </w:rPr>
        <w:t>European Commission</w:t>
      </w:r>
    </w:p>
    <w:p w:rsidR="00AB50C5" w:rsidRDefault="00724275">
      <w:pPr>
        <w:spacing w:after="0" w:line="240" w:lineRule="auto"/>
        <w:jc w:val="both"/>
        <w:rPr>
          <w:rFonts w:ascii="Times New Roman" w:hAnsi="Times New Roman" w:cs="Times New Roman"/>
          <w:noProof/>
          <w:position w:val="-32"/>
          <w:sz w:val="24"/>
          <w:szCs w:val="24"/>
          <w:lang w:val="en-US" w:eastAsia="en-AU"/>
        </w:rPr>
      </w:pPr>
      <w:r>
        <w:rPr>
          <w:rFonts w:ascii="Times New Roman" w:hAnsi="Times New Roman" w:cs="Times New Roman"/>
          <w:noProof/>
          <w:position w:val="-32"/>
          <w:sz w:val="24"/>
          <w:szCs w:val="24"/>
          <w:lang w:val="en-US" w:eastAsia="en-AU"/>
        </w:rPr>
        <w:t>ECDC</w:t>
      </w:r>
      <w:r>
        <w:rPr>
          <w:rFonts w:ascii="Times New Roman" w:hAnsi="Times New Roman" w:cs="Times New Roman"/>
          <w:noProof/>
          <w:position w:val="-32"/>
          <w:sz w:val="24"/>
          <w:szCs w:val="24"/>
          <w:lang w:val="en-US" w:eastAsia="en-AU"/>
        </w:rPr>
        <w:tab/>
      </w:r>
      <w:r>
        <w:rPr>
          <w:rFonts w:ascii="Times New Roman" w:hAnsi="Times New Roman" w:cs="Times New Roman"/>
          <w:noProof/>
          <w:position w:val="-32"/>
          <w:sz w:val="24"/>
          <w:szCs w:val="24"/>
          <w:lang w:val="en-US" w:eastAsia="en-AU"/>
        </w:rPr>
        <w:tab/>
        <w:t>European Centre for Disease Prevention and Control</w:t>
      </w:r>
    </w:p>
    <w:p w:rsidR="00AB50C5" w:rsidRDefault="00724275">
      <w:pPr>
        <w:spacing w:after="0" w:line="240" w:lineRule="auto"/>
        <w:jc w:val="both"/>
        <w:rPr>
          <w:rFonts w:ascii="Times New Roman" w:hAnsi="Times New Roman" w:cs="Times New Roman"/>
          <w:noProof/>
          <w:position w:val="-32"/>
          <w:sz w:val="24"/>
          <w:szCs w:val="24"/>
          <w:lang w:val="en-US" w:eastAsia="en-AU"/>
        </w:rPr>
      </w:pPr>
      <w:r>
        <w:rPr>
          <w:rFonts w:ascii="Times New Roman" w:hAnsi="Times New Roman" w:cs="Times New Roman"/>
          <w:noProof/>
          <w:position w:val="-32"/>
          <w:sz w:val="24"/>
          <w:szCs w:val="24"/>
          <w:lang w:val="en-US" w:eastAsia="en-AU"/>
        </w:rPr>
        <w:t>EDC</w:t>
      </w:r>
      <w:r>
        <w:rPr>
          <w:rFonts w:ascii="Times New Roman" w:hAnsi="Times New Roman" w:cs="Times New Roman"/>
          <w:noProof/>
          <w:position w:val="-32"/>
          <w:sz w:val="24"/>
          <w:szCs w:val="24"/>
          <w:lang w:val="en-US" w:eastAsia="en-AU"/>
        </w:rPr>
        <w:tab/>
      </w:r>
      <w:r>
        <w:rPr>
          <w:rFonts w:ascii="Times New Roman" w:hAnsi="Times New Roman" w:cs="Times New Roman"/>
          <w:noProof/>
          <w:position w:val="-32"/>
          <w:sz w:val="24"/>
          <w:szCs w:val="24"/>
          <w:lang w:val="en-US" w:eastAsia="en-AU"/>
        </w:rPr>
        <w:tab/>
        <w:t>Endocrine Disrupting Compound</w:t>
      </w:r>
    </w:p>
    <w:p w:rsidR="00AB50C5" w:rsidRDefault="00724275">
      <w:pPr>
        <w:spacing w:after="0" w:line="240" w:lineRule="auto"/>
        <w:jc w:val="both"/>
        <w:rPr>
          <w:rFonts w:ascii="Times New Roman" w:hAnsi="Times New Roman" w:cs="Times New Roman"/>
          <w:noProof/>
          <w:position w:val="-32"/>
          <w:sz w:val="24"/>
          <w:szCs w:val="24"/>
          <w:lang w:val="en-US" w:eastAsia="en-AU"/>
        </w:rPr>
      </w:pPr>
      <w:r>
        <w:rPr>
          <w:rFonts w:ascii="Times New Roman" w:hAnsi="Times New Roman" w:cs="Times New Roman"/>
          <w:noProof/>
          <w:position w:val="-32"/>
          <w:sz w:val="24"/>
          <w:szCs w:val="24"/>
          <w:lang w:val="en-US" w:eastAsia="en-AU"/>
        </w:rPr>
        <w:t>EDCs</w:t>
      </w:r>
      <w:r>
        <w:rPr>
          <w:rFonts w:ascii="Times New Roman" w:hAnsi="Times New Roman" w:cs="Times New Roman"/>
          <w:noProof/>
          <w:position w:val="-32"/>
          <w:sz w:val="24"/>
          <w:szCs w:val="24"/>
          <w:lang w:val="en-US" w:eastAsia="en-AU"/>
        </w:rPr>
        <w:tab/>
      </w:r>
      <w:r>
        <w:rPr>
          <w:rFonts w:ascii="Times New Roman" w:hAnsi="Times New Roman" w:cs="Times New Roman"/>
          <w:noProof/>
          <w:position w:val="-32"/>
          <w:sz w:val="24"/>
          <w:szCs w:val="24"/>
          <w:lang w:val="en-US" w:eastAsia="en-AU"/>
        </w:rPr>
        <w:tab/>
        <w:t>Endocrine Disrupting Compounds</w:t>
      </w:r>
    </w:p>
    <w:p w:rsidR="00AB50C5" w:rsidRDefault="00724275">
      <w:pPr>
        <w:spacing w:after="0" w:line="240" w:lineRule="auto"/>
        <w:jc w:val="both"/>
        <w:rPr>
          <w:rFonts w:ascii="Times New Roman" w:hAnsi="Times New Roman" w:cs="Times New Roman"/>
          <w:noProof/>
          <w:position w:val="-32"/>
          <w:sz w:val="24"/>
          <w:szCs w:val="24"/>
          <w:lang w:val="en-US" w:eastAsia="en-AU"/>
        </w:rPr>
      </w:pPr>
      <w:r>
        <w:rPr>
          <w:rFonts w:ascii="Times New Roman" w:hAnsi="Times New Roman" w:cs="Times New Roman"/>
          <w:noProof/>
          <w:position w:val="-32"/>
          <w:sz w:val="24"/>
          <w:szCs w:val="24"/>
          <w:lang w:val="en-US" w:eastAsia="en-AU"/>
        </w:rPr>
        <w:t>EEA</w:t>
      </w:r>
      <w:r>
        <w:rPr>
          <w:rFonts w:ascii="Times New Roman" w:hAnsi="Times New Roman" w:cs="Times New Roman"/>
          <w:noProof/>
          <w:position w:val="-32"/>
          <w:sz w:val="24"/>
          <w:szCs w:val="24"/>
          <w:lang w:val="en-US" w:eastAsia="en-AU"/>
        </w:rPr>
        <w:tab/>
      </w:r>
      <w:r>
        <w:rPr>
          <w:rFonts w:ascii="Times New Roman" w:hAnsi="Times New Roman" w:cs="Times New Roman"/>
          <w:noProof/>
          <w:position w:val="-32"/>
          <w:sz w:val="24"/>
          <w:szCs w:val="24"/>
          <w:lang w:val="en-US" w:eastAsia="en-AU"/>
        </w:rPr>
        <w:tab/>
        <w:t>European Environment Agency</w:t>
      </w:r>
    </w:p>
    <w:p w:rsidR="00AB50C5" w:rsidRDefault="00724275">
      <w:pPr>
        <w:spacing w:after="0" w:line="240" w:lineRule="auto"/>
        <w:jc w:val="both"/>
        <w:rPr>
          <w:rFonts w:ascii="Times New Roman" w:hAnsi="Times New Roman" w:cs="Times New Roman"/>
          <w:noProof/>
          <w:position w:val="-32"/>
          <w:sz w:val="24"/>
          <w:szCs w:val="24"/>
          <w:lang w:val="en-US" w:eastAsia="en-AU"/>
        </w:rPr>
      </w:pPr>
      <w:r>
        <w:rPr>
          <w:rFonts w:ascii="Times New Roman" w:hAnsi="Times New Roman" w:cs="Times New Roman"/>
          <w:noProof/>
          <w:position w:val="-32"/>
          <w:sz w:val="24"/>
          <w:szCs w:val="24"/>
          <w:lang w:val="en-US" w:eastAsia="en-AU"/>
        </w:rPr>
        <w:t>EFSA</w:t>
      </w:r>
      <w:r>
        <w:rPr>
          <w:rFonts w:ascii="Times New Roman" w:hAnsi="Times New Roman" w:cs="Times New Roman"/>
          <w:noProof/>
          <w:position w:val="-32"/>
          <w:sz w:val="24"/>
          <w:szCs w:val="24"/>
          <w:lang w:val="en-US" w:eastAsia="en-AU"/>
        </w:rPr>
        <w:tab/>
      </w:r>
      <w:r>
        <w:rPr>
          <w:rFonts w:ascii="Times New Roman" w:hAnsi="Times New Roman" w:cs="Times New Roman"/>
          <w:noProof/>
          <w:position w:val="-32"/>
          <w:sz w:val="24"/>
          <w:szCs w:val="24"/>
          <w:lang w:val="en-US" w:eastAsia="en-AU"/>
        </w:rPr>
        <w:tab/>
        <w:t>European Food Safety Authority</w:t>
      </w:r>
    </w:p>
    <w:p w:rsidR="00AB50C5" w:rsidRDefault="00724275">
      <w:pPr>
        <w:spacing w:after="0" w:line="240" w:lineRule="auto"/>
        <w:jc w:val="both"/>
        <w:rPr>
          <w:rFonts w:ascii="Times New Roman" w:hAnsi="Times New Roman" w:cs="Times New Roman"/>
          <w:noProof/>
          <w:position w:val="-32"/>
          <w:sz w:val="24"/>
          <w:szCs w:val="24"/>
          <w:lang w:val="en-US" w:eastAsia="en-AU"/>
        </w:rPr>
      </w:pPr>
      <w:r>
        <w:rPr>
          <w:rFonts w:ascii="Times New Roman" w:hAnsi="Times New Roman" w:cs="Times New Roman"/>
          <w:noProof/>
          <w:position w:val="-32"/>
          <w:sz w:val="24"/>
          <w:szCs w:val="24"/>
          <w:lang w:val="en-US" w:eastAsia="en-AU"/>
        </w:rPr>
        <w:t xml:space="preserve">EPHC </w:t>
      </w:r>
      <w:r>
        <w:rPr>
          <w:rFonts w:ascii="Times New Roman" w:hAnsi="Times New Roman" w:cs="Times New Roman"/>
          <w:noProof/>
          <w:position w:val="-32"/>
          <w:sz w:val="24"/>
          <w:szCs w:val="24"/>
          <w:lang w:val="en-US" w:eastAsia="en-AU"/>
        </w:rPr>
        <w:tab/>
      </w:r>
      <w:r>
        <w:rPr>
          <w:rFonts w:ascii="Times New Roman" w:hAnsi="Times New Roman" w:cs="Times New Roman"/>
          <w:noProof/>
          <w:position w:val="-32"/>
          <w:sz w:val="24"/>
          <w:szCs w:val="24"/>
          <w:lang w:val="en-US" w:eastAsia="en-AU"/>
        </w:rPr>
        <w:tab/>
        <w:t>Environment Protection and Her</w:t>
      </w:r>
      <w:r>
        <w:rPr>
          <w:rFonts w:ascii="Times New Roman" w:hAnsi="Times New Roman" w:cs="Times New Roman"/>
          <w:noProof/>
          <w:position w:val="-32"/>
          <w:sz w:val="24"/>
          <w:szCs w:val="24"/>
          <w:lang w:val="en-US" w:eastAsia="en-AU"/>
        </w:rPr>
        <w:t>itage Council</w:t>
      </w:r>
    </w:p>
    <w:p w:rsidR="00AB50C5" w:rsidRDefault="00724275">
      <w:pPr>
        <w:spacing w:after="0" w:line="240" w:lineRule="auto"/>
        <w:jc w:val="both"/>
        <w:rPr>
          <w:rFonts w:ascii="Times New Roman" w:hAnsi="Times New Roman" w:cs="Times New Roman"/>
          <w:noProof/>
          <w:position w:val="-32"/>
          <w:sz w:val="24"/>
          <w:szCs w:val="24"/>
          <w:lang w:val="en-US" w:eastAsia="en-AU"/>
        </w:rPr>
      </w:pPr>
      <w:r>
        <w:rPr>
          <w:rFonts w:ascii="Times New Roman" w:hAnsi="Times New Roman" w:cs="Times New Roman"/>
          <w:noProof/>
          <w:position w:val="-32"/>
          <w:sz w:val="24"/>
          <w:szCs w:val="24"/>
          <w:lang w:val="en-US" w:eastAsia="en-AU"/>
        </w:rPr>
        <w:t>EQSD</w:t>
      </w:r>
      <w:r>
        <w:rPr>
          <w:rFonts w:ascii="Times New Roman" w:hAnsi="Times New Roman" w:cs="Times New Roman"/>
          <w:noProof/>
          <w:position w:val="-32"/>
          <w:sz w:val="24"/>
          <w:szCs w:val="24"/>
          <w:lang w:val="en-US" w:eastAsia="en-AU"/>
        </w:rPr>
        <w:tab/>
      </w:r>
      <w:r>
        <w:rPr>
          <w:rFonts w:ascii="Times New Roman" w:hAnsi="Times New Roman" w:cs="Times New Roman"/>
          <w:noProof/>
          <w:position w:val="-32"/>
          <w:sz w:val="24"/>
          <w:szCs w:val="24"/>
          <w:lang w:val="en-US" w:eastAsia="en-AU"/>
        </w:rPr>
        <w:tab/>
        <w:t>Environmental Quality Standards Directive</w:t>
      </w:r>
    </w:p>
    <w:p w:rsidR="00AB50C5" w:rsidRDefault="00724275">
      <w:pPr>
        <w:spacing w:after="0" w:line="240" w:lineRule="auto"/>
        <w:jc w:val="both"/>
        <w:rPr>
          <w:rFonts w:ascii="Times New Roman" w:hAnsi="Times New Roman" w:cs="Times New Roman"/>
          <w:noProof/>
          <w:position w:val="-32"/>
          <w:sz w:val="24"/>
          <w:szCs w:val="24"/>
          <w:lang w:val="en-US" w:eastAsia="en-AU"/>
        </w:rPr>
      </w:pPr>
      <w:r>
        <w:rPr>
          <w:rFonts w:ascii="Times New Roman" w:hAnsi="Times New Roman" w:cs="Times New Roman"/>
          <w:noProof/>
          <w:position w:val="-32"/>
          <w:sz w:val="24"/>
          <w:szCs w:val="24"/>
          <w:lang w:val="en-US" w:eastAsia="en-AU"/>
        </w:rPr>
        <w:t>EU</w:t>
      </w:r>
      <w:r>
        <w:rPr>
          <w:rFonts w:ascii="Times New Roman" w:hAnsi="Times New Roman" w:cs="Times New Roman"/>
          <w:noProof/>
          <w:position w:val="-32"/>
          <w:sz w:val="24"/>
          <w:szCs w:val="24"/>
          <w:lang w:val="en-US" w:eastAsia="en-AU"/>
        </w:rPr>
        <w:tab/>
      </w:r>
      <w:r>
        <w:rPr>
          <w:rFonts w:ascii="Times New Roman" w:hAnsi="Times New Roman" w:cs="Times New Roman"/>
          <w:noProof/>
          <w:position w:val="-32"/>
          <w:sz w:val="24"/>
          <w:szCs w:val="24"/>
          <w:lang w:val="en-US" w:eastAsia="en-AU"/>
        </w:rPr>
        <w:tab/>
        <w:t>European Union</w:t>
      </w:r>
    </w:p>
    <w:p w:rsidR="00AB50C5" w:rsidRDefault="00AB50C5">
      <w:pPr>
        <w:spacing w:after="0" w:line="240" w:lineRule="auto"/>
        <w:ind w:left="2832" w:hanging="2832"/>
        <w:jc w:val="both"/>
        <w:rPr>
          <w:rFonts w:ascii="Times New Roman" w:hAnsi="Times New Roman" w:cs="Times New Roman"/>
          <w:noProof/>
          <w:sz w:val="24"/>
          <w:szCs w:val="24"/>
          <w:lang w:val="en-US" w:eastAsia="it-IT"/>
        </w:rPr>
      </w:pPr>
    </w:p>
    <w:p w:rsidR="00AB50C5" w:rsidRDefault="00724275">
      <w:pPr>
        <w:spacing w:after="0" w:line="240" w:lineRule="auto"/>
        <w:ind w:left="1440" w:hanging="1440"/>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 xml:space="preserve">Exposure </w:t>
      </w:r>
      <w:r>
        <w:rPr>
          <w:rFonts w:ascii="Times New Roman" w:hAnsi="Times New Roman" w:cs="Times New Roman"/>
          <w:noProof/>
          <w:sz w:val="24"/>
          <w:szCs w:val="24"/>
          <w:lang w:val="en-US" w:eastAsia="it-IT"/>
        </w:rPr>
        <w:tab/>
        <w:t>The estimation (qualitative or quantitative) of the magnitude, frequency,</w:t>
      </w:r>
    </w:p>
    <w:p w:rsidR="00AB50C5" w:rsidRDefault="00724275">
      <w:pPr>
        <w:spacing w:after="0" w:line="240" w:lineRule="auto"/>
        <w:ind w:left="1440" w:hanging="1440"/>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 xml:space="preserve">assessment </w:t>
      </w:r>
      <w:r>
        <w:rPr>
          <w:rFonts w:ascii="Times New Roman" w:hAnsi="Times New Roman" w:cs="Times New Roman"/>
          <w:noProof/>
          <w:sz w:val="24"/>
          <w:szCs w:val="24"/>
          <w:lang w:val="en-US" w:eastAsia="it-IT"/>
        </w:rPr>
        <w:tab/>
        <w:t>duration, route and extent of exposure to one or more contaminated media.</w:t>
      </w:r>
    </w:p>
    <w:p w:rsidR="00AB50C5" w:rsidRDefault="00724275">
      <w:pPr>
        <w:spacing w:after="0" w:line="240" w:lineRule="auto"/>
        <w:jc w:val="both"/>
        <w:rPr>
          <w:rFonts w:ascii="Times New Roman" w:hAnsi="Times New Roman" w:cs="Times New Roman"/>
          <w:noProof/>
          <w:position w:val="-32"/>
          <w:sz w:val="24"/>
          <w:szCs w:val="24"/>
          <w:lang w:val="en-US" w:eastAsia="en-AU"/>
        </w:rPr>
      </w:pPr>
      <w:r>
        <w:rPr>
          <w:rFonts w:ascii="Times New Roman" w:hAnsi="Times New Roman" w:cs="Times New Roman"/>
          <w:noProof/>
          <w:position w:val="-32"/>
          <w:sz w:val="24"/>
          <w:szCs w:val="24"/>
          <w:lang w:val="en-US" w:eastAsia="en-AU"/>
        </w:rPr>
        <w:t>FAO</w:t>
      </w:r>
      <w:r>
        <w:rPr>
          <w:rFonts w:ascii="Times New Roman" w:hAnsi="Times New Roman" w:cs="Times New Roman"/>
          <w:noProof/>
          <w:position w:val="-32"/>
          <w:sz w:val="24"/>
          <w:szCs w:val="24"/>
          <w:lang w:val="en-US" w:eastAsia="en-AU"/>
        </w:rPr>
        <w:tab/>
      </w:r>
      <w:r>
        <w:rPr>
          <w:rFonts w:ascii="Times New Roman" w:hAnsi="Times New Roman" w:cs="Times New Roman"/>
          <w:noProof/>
          <w:position w:val="-32"/>
          <w:sz w:val="24"/>
          <w:szCs w:val="24"/>
          <w:lang w:val="en-US" w:eastAsia="en-AU"/>
        </w:rPr>
        <w:tab/>
        <w:t>Food and Agriculture Organization</w:t>
      </w:r>
    </w:p>
    <w:p w:rsidR="00AB50C5" w:rsidRDefault="00AB50C5">
      <w:pPr>
        <w:spacing w:after="0" w:line="240" w:lineRule="auto"/>
        <w:ind w:left="2832" w:hanging="2832"/>
        <w:jc w:val="both"/>
        <w:rPr>
          <w:rFonts w:ascii="Times New Roman" w:hAnsi="Times New Roman" w:cs="Times New Roman"/>
          <w:noProof/>
          <w:sz w:val="24"/>
          <w:szCs w:val="24"/>
          <w:lang w:val="en-US" w:eastAsia="it-IT"/>
        </w:rPr>
      </w:pPr>
    </w:p>
    <w:p w:rsidR="00AB50C5" w:rsidRDefault="00724275">
      <w:pPr>
        <w:spacing w:after="0" w:line="240" w:lineRule="auto"/>
        <w:ind w:left="1440" w:hanging="1440"/>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 xml:space="preserve">Further </w:t>
      </w:r>
      <w:r>
        <w:rPr>
          <w:rFonts w:ascii="Times New Roman" w:hAnsi="Times New Roman" w:cs="Times New Roman"/>
          <w:noProof/>
          <w:sz w:val="24"/>
          <w:szCs w:val="24"/>
          <w:lang w:val="en-US" w:eastAsia="it-IT"/>
        </w:rPr>
        <w:tab/>
        <w:t>Treatment processes, beyond secondary or biological processes, which</w:t>
      </w:r>
    </w:p>
    <w:p w:rsidR="00AB50C5" w:rsidRDefault="00724275">
      <w:pPr>
        <w:spacing w:after="0" w:line="240" w:lineRule="auto"/>
        <w:ind w:left="1440" w:hanging="1440"/>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 xml:space="preserve">treatment </w:t>
      </w:r>
      <w:r>
        <w:rPr>
          <w:rFonts w:ascii="Times New Roman" w:hAnsi="Times New Roman" w:cs="Times New Roman"/>
          <w:noProof/>
          <w:sz w:val="24"/>
          <w:szCs w:val="24"/>
          <w:lang w:val="en-US" w:eastAsia="it-IT"/>
        </w:rPr>
        <w:tab/>
        <w:t>further improve effluent quality, such as filtration and disinfection processes.</w:t>
      </w:r>
    </w:p>
    <w:p w:rsidR="00AB50C5" w:rsidRDefault="00AB50C5">
      <w:pPr>
        <w:spacing w:after="0" w:line="240" w:lineRule="auto"/>
        <w:ind w:left="1440" w:hanging="1440"/>
        <w:jc w:val="both"/>
        <w:rPr>
          <w:rFonts w:ascii="Times New Roman" w:hAnsi="Times New Roman" w:cs="Times New Roman"/>
          <w:noProof/>
          <w:sz w:val="24"/>
          <w:szCs w:val="24"/>
          <w:lang w:val="en-US" w:eastAsia="it-IT"/>
        </w:rPr>
      </w:pPr>
    </w:p>
    <w:p w:rsidR="00AB50C5" w:rsidRDefault="00724275">
      <w:pPr>
        <w:spacing w:after="0" w:line="240" w:lineRule="auto"/>
        <w:ind w:left="1440" w:hanging="1440"/>
        <w:jc w:val="both"/>
        <w:rPr>
          <w:rFonts w:ascii="Times New Roman" w:hAnsi="Times New Roman" w:cs="Times New Roman"/>
          <w:noProof/>
          <w:position w:val="-32"/>
          <w:sz w:val="24"/>
          <w:szCs w:val="24"/>
          <w:lang w:val="en-US" w:eastAsia="en-AU"/>
        </w:rPr>
      </w:pPr>
      <w:r>
        <w:rPr>
          <w:rFonts w:ascii="Times New Roman" w:hAnsi="Times New Roman" w:cs="Times New Roman"/>
          <w:noProof/>
          <w:position w:val="-32"/>
          <w:sz w:val="24"/>
          <w:szCs w:val="24"/>
          <w:lang w:val="en-US" w:eastAsia="en-AU"/>
        </w:rPr>
        <w:t>GWD</w:t>
      </w:r>
      <w:r>
        <w:rPr>
          <w:rFonts w:ascii="Times New Roman" w:hAnsi="Times New Roman" w:cs="Times New Roman"/>
          <w:noProof/>
          <w:position w:val="-32"/>
          <w:sz w:val="24"/>
          <w:szCs w:val="24"/>
          <w:lang w:val="en-US" w:eastAsia="en-AU"/>
        </w:rPr>
        <w:tab/>
        <w:t>Groundwater Directive</w:t>
      </w:r>
    </w:p>
    <w:p w:rsidR="00AB50C5" w:rsidRDefault="00724275">
      <w:pPr>
        <w:spacing w:after="0" w:line="240" w:lineRule="auto"/>
        <w:jc w:val="both"/>
        <w:rPr>
          <w:rFonts w:ascii="Times New Roman" w:hAnsi="Times New Roman" w:cs="Times New Roman"/>
          <w:noProof/>
          <w:position w:val="-32"/>
          <w:sz w:val="24"/>
          <w:szCs w:val="24"/>
          <w:lang w:val="en-US" w:eastAsia="en-AU"/>
        </w:rPr>
      </w:pPr>
      <w:r>
        <w:rPr>
          <w:rFonts w:ascii="Times New Roman" w:hAnsi="Times New Roman" w:cs="Times New Roman"/>
          <w:noProof/>
          <w:position w:val="-32"/>
          <w:sz w:val="24"/>
          <w:szCs w:val="24"/>
          <w:lang w:val="en-US" w:eastAsia="en-AU"/>
        </w:rPr>
        <w:t xml:space="preserve">HACCP </w:t>
      </w:r>
      <w:r>
        <w:rPr>
          <w:rFonts w:ascii="Times New Roman" w:hAnsi="Times New Roman" w:cs="Times New Roman"/>
          <w:noProof/>
          <w:position w:val="-32"/>
          <w:sz w:val="24"/>
          <w:szCs w:val="24"/>
          <w:lang w:val="en-US" w:eastAsia="en-AU"/>
        </w:rPr>
        <w:tab/>
        <w:t xml:space="preserve">Hazard Analysis </w:t>
      </w:r>
      <w:r>
        <w:rPr>
          <w:rFonts w:ascii="Times New Roman" w:hAnsi="Times New Roman" w:cs="Times New Roman"/>
          <w:noProof/>
          <w:position w:val="-32"/>
          <w:sz w:val="24"/>
          <w:szCs w:val="24"/>
          <w:lang w:val="en-US" w:eastAsia="en-AU"/>
        </w:rPr>
        <w:t>and Critical Control Points</w:t>
      </w:r>
    </w:p>
    <w:p w:rsidR="00AB50C5" w:rsidRDefault="00AB50C5">
      <w:pPr>
        <w:spacing w:after="0" w:line="240" w:lineRule="auto"/>
        <w:ind w:left="2832" w:hanging="2832"/>
        <w:jc w:val="both"/>
        <w:rPr>
          <w:rFonts w:ascii="Times New Roman" w:hAnsi="Times New Roman" w:cs="Times New Roman"/>
          <w:noProof/>
          <w:sz w:val="24"/>
          <w:szCs w:val="24"/>
          <w:lang w:val="en-US" w:eastAsia="it-IT"/>
        </w:rPr>
      </w:pPr>
    </w:p>
    <w:p w:rsidR="00AB50C5" w:rsidRDefault="00724275">
      <w:pPr>
        <w:spacing w:after="0" w:line="240" w:lineRule="auto"/>
        <w:ind w:left="1440" w:hanging="1440"/>
        <w:jc w:val="both"/>
        <w:rPr>
          <w:rFonts w:ascii="Times New Roman" w:hAnsi="Times New Roman" w:cs="Times New Roman"/>
          <w:noProof/>
          <w:sz w:val="24"/>
          <w:szCs w:val="24"/>
          <w:lang w:eastAsia="it-IT"/>
        </w:rPr>
      </w:pPr>
      <w:r>
        <w:rPr>
          <w:rFonts w:ascii="Times New Roman" w:hAnsi="Times New Roman" w:cs="Times New Roman"/>
          <w:noProof/>
          <w:sz w:val="24"/>
          <w:szCs w:val="24"/>
          <w:lang w:val="en-US" w:eastAsia="it-IT"/>
        </w:rPr>
        <w:t>Hazard</w:t>
      </w:r>
      <w:r>
        <w:rPr>
          <w:rFonts w:ascii="Times New Roman" w:hAnsi="Times New Roman" w:cs="Times New Roman"/>
          <w:noProof/>
          <w:sz w:val="24"/>
          <w:szCs w:val="24"/>
          <w:lang w:val="en-US" w:eastAsia="it-IT"/>
        </w:rPr>
        <w:tab/>
        <w:t xml:space="preserve">A biological, chemical, physical or radiological agent that has the potential to cause harm </w:t>
      </w:r>
      <w:r>
        <w:rPr>
          <w:rFonts w:ascii="Times New Roman" w:hAnsi="Times New Roman" w:cs="Times New Roman"/>
          <w:noProof/>
          <w:sz w:val="24"/>
          <w:szCs w:val="24"/>
          <w:lang w:eastAsia="it-IT"/>
        </w:rPr>
        <w:t xml:space="preserve">to people, animals, crops or plants, other terrestrial biota, aquatic biota, soils or the general environment. </w:t>
      </w:r>
    </w:p>
    <w:p w:rsidR="00AB50C5" w:rsidRDefault="00AB50C5">
      <w:pPr>
        <w:spacing w:after="0" w:line="240" w:lineRule="auto"/>
        <w:ind w:left="2832" w:hanging="2832"/>
        <w:jc w:val="both"/>
        <w:rPr>
          <w:rFonts w:ascii="Times New Roman" w:hAnsi="Times New Roman" w:cs="Times New Roman"/>
          <w:noProof/>
          <w:sz w:val="24"/>
          <w:szCs w:val="24"/>
          <w:lang w:eastAsia="it-IT"/>
        </w:rPr>
      </w:pPr>
    </w:p>
    <w:p w:rsidR="00AB50C5" w:rsidRDefault="00724275">
      <w:pPr>
        <w:spacing w:after="0" w:line="240" w:lineRule="auto"/>
        <w:ind w:left="1440" w:hanging="1440"/>
        <w:jc w:val="both"/>
        <w:rPr>
          <w:rFonts w:ascii="Times New Roman" w:hAnsi="Times New Roman" w:cs="Times New Roman"/>
          <w:noProof/>
          <w:sz w:val="24"/>
          <w:szCs w:val="24"/>
          <w:lang w:eastAsia="it-IT"/>
        </w:rPr>
      </w:pPr>
      <w:r>
        <w:rPr>
          <w:rFonts w:ascii="Times New Roman" w:hAnsi="Times New Roman" w:cs="Times New Roman"/>
          <w:noProof/>
          <w:sz w:val="24"/>
          <w:szCs w:val="24"/>
          <w:lang w:eastAsia="it-IT"/>
        </w:rPr>
        <w:t xml:space="preserve">Hazardous </w:t>
      </w:r>
      <w:r>
        <w:rPr>
          <w:rFonts w:ascii="Times New Roman" w:hAnsi="Times New Roman" w:cs="Times New Roman"/>
          <w:noProof/>
          <w:sz w:val="24"/>
          <w:szCs w:val="24"/>
          <w:lang w:eastAsia="it-IT"/>
        </w:rPr>
        <w:tab/>
        <w:t>A</w:t>
      </w:r>
      <w:r>
        <w:rPr>
          <w:rFonts w:ascii="Times New Roman" w:hAnsi="Times New Roman" w:cs="Times New Roman"/>
          <w:noProof/>
          <w:sz w:val="24"/>
          <w:szCs w:val="24"/>
          <w:lang w:val="en-US" w:eastAsia="it-IT"/>
        </w:rPr>
        <w:t xml:space="preserve">n </w:t>
      </w:r>
      <w:r>
        <w:rPr>
          <w:rFonts w:ascii="Times New Roman" w:hAnsi="Times New Roman" w:cs="Times New Roman"/>
          <w:noProof/>
          <w:sz w:val="24"/>
          <w:szCs w:val="24"/>
          <w:lang w:val="en-US" w:eastAsia="it-IT"/>
        </w:rPr>
        <w:t>incident or situation that can lead to the presence of a hazard.</w:t>
      </w:r>
    </w:p>
    <w:p w:rsidR="00AB50C5" w:rsidRDefault="00724275">
      <w:pPr>
        <w:spacing w:after="0" w:line="240" w:lineRule="auto"/>
        <w:ind w:left="1440" w:hanging="1440"/>
        <w:jc w:val="both"/>
        <w:rPr>
          <w:rFonts w:ascii="Times New Roman" w:hAnsi="Times New Roman" w:cs="Times New Roman"/>
          <w:noProof/>
          <w:sz w:val="24"/>
          <w:szCs w:val="24"/>
          <w:lang w:eastAsia="it-IT"/>
        </w:rPr>
      </w:pPr>
      <w:r>
        <w:rPr>
          <w:rFonts w:ascii="Times New Roman" w:hAnsi="Times New Roman" w:cs="Times New Roman"/>
          <w:noProof/>
          <w:sz w:val="24"/>
          <w:szCs w:val="24"/>
          <w:lang w:eastAsia="it-IT"/>
        </w:rPr>
        <w:t>event</w:t>
      </w:r>
      <w:r>
        <w:rPr>
          <w:rFonts w:ascii="Times New Roman" w:hAnsi="Times New Roman" w:cs="Times New Roman"/>
          <w:noProof/>
          <w:sz w:val="24"/>
          <w:szCs w:val="24"/>
          <w:lang w:eastAsia="it-IT"/>
        </w:rPr>
        <w:tab/>
      </w:r>
    </w:p>
    <w:p w:rsidR="00AB50C5" w:rsidRDefault="00AB50C5">
      <w:pPr>
        <w:spacing w:after="0" w:line="240" w:lineRule="auto"/>
        <w:ind w:left="2832" w:hanging="2832"/>
        <w:jc w:val="both"/>
        <w:rPr>
          <w:rFonts w:ascii="Times New Roman" w:hAnsi="Times New Roman" w:cs="Times New Roman"/>
          <w:noProof/>
          <w:sz w:val="24"/>
          <w:szCs w:val="24"/>
          <w:lang w:val="en-US" w:eastAsia="it-IT"/>
        </w:rPr>
      </w:pPr>
    </w:p>
    <w:p w:rsidR="00AB50C5" w:rsidRDefault="00724275">
      <w:pPr>
        <w:spacing w:after="0" w:line="240" w:lineRule="auto"/>
        <w:ind w:left="1440" w:hanging="1440"/>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 xml:space="preserve">Indirect </w:t>
      </w:r>
      <w:r>
        <w:rPr>
          <w:rFonts w:ascii="Times New Roman" w:hAnsi="Times New Roman" w:cs="Times New Roman"/>
          <w:noProof/>
          <w:sz w:val="24"/>
          <w:szCs w:val="24"/>
          <w:lang w:val="en-US" w:eastAsia="it-IT"/>
        </w:rPr>
        <w:tab/>
        <w:t>Discharge of reclaimed water directly into a suitable environmental buffer</w:t>
      </w:r>
    </w:p>
    <w:p w:rsidR="00AB50C5" w:rsidRDefault="00724275">
      <w:pPr>
        <w:spacing w:after="0" w:line="240" w:lineRule="auto"/>
        <w:ind w:left="1440" w:hanging="1440"/>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 xml:space="preserve">potable </w:t>
      </w:r>
      <w:r>
        <w:rPr>
          <w:rFonts w:ascii="Times New Roman" w:hAnsi="Times New Roman" w:cs="Times New Roman"/>
          <w:noProof/>
          <w:sz w:val="24"/>
          <w:szCs w:val="24"/>
          <w:lang w:val="en-US" w:eastAsia="it-IT"/>
        </w:rPr>
        <w:tab/>
        <w:t>(groundwater or surface water) with the intent of augmenting drinking water</w:t>
      </w:r>
    </w:p>
    <w:p w:rsidR="00AB50C5" w:rsidRDefault="00724275">
      <w:pPr>
        <w:spacing w:after="0" w:line="240" w:lineRule="auto"/>
        <w:ind w:left="1440" w:hanging="1440"/>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 xml:space="preserve">reuse </w:t>
      </w:r>
      <w:r>
        <w:rPr>
          <w:rFonts w:ascii="Times New Roman" w:hAnsi="Times New Roman" w:cs="Times New Roman"/>
          <w:noProof/>
          <w:sz w:val="24"/>
          <w:szCs w:val="24"/>
          <w:lang w:val="en-US" w:eastAsia="it-IT"/>
        </w:rPr>
        <w:tab/>
        <w:t>suppli</w:t>
      </w:r>
      <w:r>
        <w:rPr>
          <w:rFonts w:ascii="Times New Roman" w:hAnsi="Times New Roman" w:cs="Times New Roman"/>
          <w:noProof/>
          <w:sz w:val="24"/>
          <w:szCs w:val="24"/>
          <w:lang w:val="en-US" w:eastAsia="it-IT"/>
        </w:rPr>
        <w:t>es, thus preceding drinking water treatment.</w:t>
      </w:r>
    </w:p>
    <w:p w:rsidR="00AB50C5" w:rsidRDefault="00724275">
      <w:pPr>
        <w:spacing w:after="0" w:line="240" w:lineRule="auto"/>
        <w:ind w:left="1440" w:hanging="1440"/>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ab/>
      </w:r>
    </w:p>
    <w:p w:rsidR="00AB50C5" w:rsidRDefault="00724275">
      <w:pPr>
        <w:spacing w:after="0" w:line="240" w:lineRule="auto"/>
        <w:ind w:left="1440" w:hanging="1440"/>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 xml:space="preserve">Industrial </w:t>
      </w:r>
      <w:r>
        <w:rPr>
          <w:rFonts w:ascii="Times New Roman" w:hAnsi="Times New Roman" w:cs="Times New Roman"/>
          <w:noProof/>
          <w:sz w:val="24"/>
          <w:szCs w:val="24"/>
          <w:lang w:val="en-US" w:eastAsia="it-IT"/>
        </w:rPr>
        <w:tab/>
        <w:t>Any wastewater which is discharged from premises used for carrying on any</w:t>
      </w:r>
    </w:p>
    <w:p w:rsidR="00AB50C5" w:rsidRDefault="00724275">
      <w:pPr>
        <w:spacing w:after="0" w:line="240" w:lineRule="auto"/>
        <w:ind w:left="1440" w:hanging="1440"/>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wastewater</w:t>
      </w:r>
      <w:r>
        <w:rPr>
          <w:rFonts w:ascii="Times New Roman" w:hAnsi="Times New Roman" w:cs="Times New Roman"/>
          <w:noProof/>
          <w:sz w:val="24"/>
          <w:szCs w:val="24"/>
          <w:lang w:val="en-US" w:eastAsia="it-IT"/>
        </w:rPr>
        <w:tab/>
        <w:t>trade or industry, other than domestic wastewater and run-off rain water (according to Directive 91/271/EEC).</w:t>
      </w:r>
    </w:p>
    <w:p w:rsidR="00AB50C5" w:rsidRDefault="00AB50C5">
      <w:pPr>
        <w:spacing w:after="0" w:line="240" w:lineRule="auto"/>
        <w:ind w:left="1440" w:hanging="1440"/>
        <w:jc w:val="both"/>
        <w:rPr>
          <w:rFonts w:ascii="Times New Roman" w:hAnsi="Times New Roman" w:cs="Times New Roman"/>
          <w:b/>
          <w:noProof/>
          <w:sz w:val="24"/>
          <w:szCs w:val="24"/>
          <w:lang w:val="en-US" w:eastAsia="it-IT"/>
        </w:rPr>
      </w:pPr>
    </w:p>
    <w:p w:rsidR="00AB50C5" w:rsidRDefault="00724275">
      <w:pPr>
        <w:spacing w:after="0" w:line="240" w:lineRule="auto"/>
        <w:jc w:val="both"/>
        <w:rPr>
          <w:rFonts w:ascii="Times New Roman" w:hAnsi="Times New Roman" w:cs="Times New Roman"/>
          <w:noProof/>
          <w:position w:val="-32"/>
          <w:sz w:val="24"/>
          <w:szCs w:val="24"/>
          <w:lang w:val="en-US" w:eastAsia="en-AU"/>
        </w:rPr>
      </w:pPr>
      <w:r>
        <w:rPr>
          <w:rFonts w:ascii="Times New Roman" w:hAnsi="Times New Roman" w:cs="Times New Roman"/>
          <w:noProof/>
          <w:position w:val="-32"/>
          <w:sz w:val="24"/>
          <w:szCs w:val="24"/>
          <w:lang w:val="en-US" w:eastAsia="en-AU"/>
        </w:rPr>
        <w:t>I</w:t>
      </w:r>
      <w:r>
        <w:rPr>
          <w:rFonts w:ascii="Times New Roman" w:hAnsi="Times New Roman" w:cs="Times New Roman"/>
          <w:noProof/>
          <w:position w:val="-32"/>
          <w:sz w:val="24"/>
          <w:szCs w:val="24"/>
          <w:lang w:val="en-US" w:eastAsia="en-AU"/>
        </w:rPr>
        <w:t>SO</w:t>
      </w:r>
      <w:r>
        <w:rPr>
          <w:rFonts w:ascii="Times New Roman" w:hAnsi="Times New Roman" w:cs="Times New Roman"/>
          <w:noProof/>
          <w:position w:val="-32"/>
          <w:sz w:val="24"/>
          <w:szCs w:val="24"/>
          <w:lang w:val="en-US" w:eastAsia="en-AU"/>
        </w:rPr>
        <w:tab/>
      </w:r>
      <w:r>
        <w:rPr>
          <w:rFonts w:ascii="Times New Roman" w:hAnsi="Times New Roman" w:cs="Times New Roman"/>
          <w:noProof/>
          <w:position w:val="-32"/>
          <w:sz w:val="24"/>
          <w:szCs w:val="24"/>
          <w:lang w:val="en-US" w:eastAsia="en-AU"/>
        </w:rPr>
        <w:tab/>
        <w:t xml:space="preserve">International Organization for Standardization </w:t>
      </w:r>
    </w:p>
    <w:p w:rsidR="00AB50C5" w:rsidRDefault="00724275">
      <w:pPr>
        <w:spacing w:after="0" w:line="240" w:lineRule="auto"/>
        <w:jc w:val="both"/>
        <w:rPr>
          <w:rFonts w:ascii="Times New Roman" w:hAnsi="Times New Roman" w:cs="Times New Roman"/>
          <w:noProof/>
          <w:position w:val="-32"/>
          <w:sz w:val="24"/>
          <w:szCs w:val="24"/>
          <w:lang w:val="en-US" w:eastAsia="en-AU"/>
        </w:rPr>
      </w:pPr>
      <w:r>
        <w:rPr>
          <w:rFonts w:ascii="Times New Roman" w:hAnsi="Times New Roman" w:cs="Times New Roman"/>
          <w:noProof/>
          <w:position w:val="-32"/>
          <w:sz w:val="24"/>
          <w:szCs w:val="24"/>
          <w:lang w:val="en-US" w:eastAsia="en-AU"/>
        </w:rPr>
        <w:t>JRC</w:t>
      </w:r>
      <w:r>
        <w:rPr>
          <w:rFonts w:ascii="Times New Roman" w:hAnsi="Times New Roman" w:cs="Times New Roman"/>
          <w:noProof/>
          <w:position w:val="-32"/>
          <w:sz w:val="24"/>
          <w:szCs w:val="24"/>
          <w:lang w:val="en-US" w:eastAsia="en-AU"/>
        </w:rPr>
        <w:tab/>
      </w:r>
      <w:r>
        <w:rPr>
          <w:rFonts w:ascii="Times New Roman" w:hAnsi="Times New Roman" w:cs="Times New Roman"/>
          <w:noProof/>
          <w:position w:val="-32"/>
          <w:sz w:val="24"/>
          <w:szCs w:val="24"/>
          <w:lang w:val="en-US" w:eastAsia="en-AU"/>
        </w:rPr>
        <w:tab/>
        <w:t>Joint Research Centre (European Commission)</w:t>
      </w:r>
    </w:p>
    <w:p w:rsidR="00AB50C5" w:rsidRDefault="00AB50C5">
      <w:pPr>
        <w:spacing w:after="0" w:line="240" w:lineRule="auto"/>
        <w:ind w:left="2837" w:hanging="2837"/>
        <w:jc w:val="both"/>
        <w:rPr>
          <w:rFonts w:ascii="Times New Roman" w:hAnsi="Times New Roman" w:cs="Times New Roman"/>
          <w:noProof/>
          <w:sz w:val="24"/>
          <w:szCs w:val="24"/>
          <w:lang w:val="en-US" w:eastAsia="it-IT"/>
        </w:rPr>
      </w:pPr>
    </w:p>
    <w:p w:rsidR="00AB50C5" w:rsidRDefault="00724275">
      <w:pPr>
        <w:spacing w:after="0" w:line="240" w:lineRule="auto"/>
        <w:ind w:left="1440" w:hanging="1440"/>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Log</w:t>
      </w:r>
      <w:r>
        <w:rPr>
          <w:rFonts w:ascii="Times New Roman" w:hAnsi="Times New Roman" w:cs="Times New Roman"/>
          <w:noProof/>
          <w:sz w:val="24"/>
          <w:szCs w:val="24"/>
          <w:vertAlign w:val="subscript"/>
          <w:lang w:val="en-US" w:eastAsia="it-IT"/>
        </w:rPr>
        <w:t>10</w:t>
      </w:r>
      <w:r>
        <w:rPr>
          <w:rFonts w:ascii="Times New Roman" w:hAnsi="Times New Roman" w:cs="Times New Roman"/>
          <w:noProof/>
          <w:sz w:val="24"/>
          <w:szCs w:val="24"/>
          <w:lang w:val="en-US" w:eastAsia="it-IT"/>
        </w:rPr>
        <w:t xml:space="preserve"> </w:t>
      </w:r>
      <w:r>
        <w:rPr>
          <w:rFonts w:ascii="Times New Roman" w:hAnsi="Times New Roman" w:cs="Times New Roman"/>
          <w:noProof/>
          <w:sz w:val="24"/>
          <w:szCs w:val="24"/>
          <w:lang w:val="en-US" w:eastAsia="it-IT"/>
        </w:rPr>
        <w:tab/>
        <w:t>Used in reference to the physical-chemical treatment of water to remove,</w:t>
      </w:r>
    </w:p>
    <w:p w:rsidR="00AB50C5" w:rsidRDefault="00724275">
      <w:pPr>
        <w:spacing w:after="0" w:line="240" w:lineRule="auto"/>
        <w:ind w:left="1440" w:hanging="1440"/>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 xml:space="preserve">removal </w:t>
      </w:r>
      <w:r>
        <w:rPr>
          <w:rFonts w:ascii="Times New Roman" w:hAnsi="Times New Roman" w:cs="Times New Roman"/>
          <w:noProof/>
          <w:sz w:val="24"/>
          <w:szCs w:val="24"/>
          <w:lang w:val="en-US" w:eastAsia="it-IT"/>
        </w:rPr>
        <w:tab/>
        <w:t>kill, or inactivate microorganisms such as bacteria, protozoa and</w:t>
      </w:r>
      <w:r>
        <w:rPr>
          <w:rFonts w:ascii="Times New Roman" w:hAnsi="Times New Roman" w:cs="Times New Roman"/>
          <w:noProof/>
          <w:sz w:val="24"/>
          <w:szCs w:val="24"/>
          <w:lang w:val="en-US" w:eastAsia="it-IT"/>
        </w:rPr>
        <w:t xml:space="preserve"> viruses (1 log</w:t>
      </w:r>
      <w:r>
        <w:rPr>
          <w:rFonts w:ascii="Times New Roman" w:hAnsi="Times New Roman" w:cs="Times New Roman"/>
          <w:noProof/>
          <w:sz w:val="24"/>
          <w:szCs w:val="24"/>
          <w:vertAlign w:val="subscript"/>
          <w:lang w:val="en-US" w:eastAsia="it-IT"/>
        </w:rPr>
        <w:t>10</w:t>
      </w:r>
      <w:r>
        <w:rPr>
          <w:rFonts w:ascii="Times New Roman" w:hAnsi="Times New Roman" w:cs="Times New Roman"/>
          <w:noProof/>
          <w:sz w:val="24"/>
          <w:szCs w:val="24"/>
          <w:lang w:val="en-US" w:eastAsia="it-IT"/>
        </w:rPr>
        <w:t xml:space="preserve"> removal = 90% reduction in density of the target organism, 2 log</w:t>
      </w:r>
      <w:r>
        <w:rPr>
          <w:rFonts w:ascii="Times New Roman" w:hAnsi="Times New Roman" w:cs="Times New Roman"/>
          <w:noProof/>
          <w:sz w:val="24"/>
          <w:szCs w:val="24"/>
          <w:vertAlign w:val="subscript"/>
          <w:lang w:val="en-US" w:eastAsia="it-IT"/>
        </w:rPr>
        <w:t>10</w:t>
      </w:r>
      <w:r>
        <w:rPr>
          <w:rFonts w:ascii="Times New Roman" w:hAnsi="Times New Roman" w:cs="Times New Roman"/>
          <w:noProof/>
          <w:sz w:val="24"/>
          <w:szCs w:val="24"/>
          <w:lang w:val="en-US" w:eastAsia="it-IT"/>
        </w:rPr>
        <w:t xml:space="preserve"> removal = 99% reduction, 3 log</w:t>
      </w:r>
      <w:r>
        <w:rPr>
          <w:rFonts w:ascii="Times New Roman" w:hAnsi="Times New Roman" w:cs="Times New Roman"/>
          <w:noProof/>
          <w:sz w:val="24"/>
          <w:szCs w:val="24"/>
          <w:vertAlign w:val="subscript"/>
          <w:lang w:val="en-US" w:eastAsia="it-IT"/>
        </w:rPr>
        <w:t>10</w:t>
      </w:r>
      <w:r>
        <w:rPr>
          <w:rFonts w:ascii="Times New Roman" w:hAnsi="Times New Roman" w:cs="Times New Roman"/>
          <w:noProof/>
          <w:sz w:val="24"/>
          <w:szCs w:val="24"/>
          <w:lang w:val="en-US" w:eastAsia="it-IT"/>
        </w:rPr>
        <w:t xml:space="preserve"> removal = 99.9% reduction, etc).</w:t>
      </w:r>
    </w:p>
    <w:p w:rsidR="00AB50C5" w:rsidRDefault="00724275">
      <w:pPr>
        <w:spacing w:after="0" w:line="240" w:lineRule="auto"/>
        <w:ind w:left="2837" w:hanging="2837"/>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ab/>
      </w:r>
    </w:p>
    <w:p w:rsidR="00AB50C5" w:rsidRDefault="00724275">
      <w:pPr>
        <w:spacing w:after="0" w:line="240" w:lineRule="auto"/>
        <w:ind w:left="1440" w:hanging="1440"/>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 xml:space="preserve">Managed </w:t>
      </w:r>
      <w:r>
        <w:rPr>
          <w:rFonts w:ascii="Times New Roman" w:hAnsi="Times New Roman" w:cs="Times New Roman"/>
          <w:noProof/>
          <w:sz w:val="24"/>
          <w:szCs w:val="24"/>
          <w:lang w:val="en-US" w:eastAsia="it-IT"/>
        </w:rPr>
        <w:tab/>
        <w:t>The intentional recharge of water (reclaimed water in this document) to</w:t>
      </w:r>
    </w:p>
    <w:p w:rsidR="00AB50C5" w:rsidRDefault="00724275">
      <w:pPr>
        <w:spacing w:after="0" w:line="240" w:lineRule="auto"/>
        <w:ind w:left="1440" w:hanging="1440"/>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 xml:space="preserve">aquifer </w:t>
      </w:r>
      <w:r>
        <w:rPr>
          <w:rFonts w:ascii="Times New Roman" w:hAnsi="Times New Roman" w:cs="Times New Roman"/>
          <w:noProof/>
          <w:sz w:val="24"/>
          <w:szCs w:val="24"/>
          <w:lang w:val="en-US" w:eastAsia="it-IT"/>
        </w:rPr>
        <w:tab/>
      </w:r>
      <w:r>
        <w:rPr>
          <w:rFonts w:ascii="Times New Roman" w:hAnsi="Times New Roman" w:cs="Times New Roman"/>
          <w:noProof/>
          <w:sz w:val="24"/>
          <w:szCs w:val="24"/>
          <w:lang w:val="en-US" w:eastAsia="it-IT"/>
        </w:rPr>
        <w:t xml:space="preserve">aquifers for subsequent recovery or environmental benefit (according to </w:t>
      </w:r>
    </w:p>
    <w:p w:rsidR="00AB50C5" w:rsidRDefault="00724275">
      <w:pPr>
        <w:spacing w:after="0" w:line="240" w:lineRule="auto"/>
        <w:ind w:left="1440" w:hanging="1440"/>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 xml:space="preserve">recharge </w:t>
      </w:r>
      <w:r>
        <w:rPr>
          <w:rFonts w:ascii="Times New Roman" w:hAnsi="Times New Roman" w:cs="Times New Roman"/>
          <w:noProof/>
          <w:sz w:val="24"/>
          <w:szCs w:val="24"/>
          <w:lang w:val="en-US" w:eastAsia="it-IT"/>
        </w:rPr>
        <w:tab/>
        <w:t>NRMMC–EPHC–NHMRC, 2009).</w:t>
      </w:r>
    </w:p>
    <w:p w:rsidR="00AB50C5" w:rsidRDefault="00724275">
      <w:pPr>
        <w:spacing w:after="0" w:line="240" w:lineRule="auto"/>
        <w:ind w:left="2832" w:hanging="2832"/>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ab/>
      </w:r>
    </w:p>
    <w:p w:rsidR="00AB50C5" w:rsidRDefault="00724275">
      <w:pPr>
        <w:spacing w:after="0" w:line="240" w:lineRule="auto"/>
        <w:jc w:val="both"/>
        <w:rPr>
          <w:rFonts w:ascii="Times New Roman" w:hAnsi="Times New Roman" w:cs="Times New Roman"/>
          <w:noProof/>
          <w:position w:val="-32"/>
          <w:sz w:val="24"/>
          <w:szCs w:val="24"/>
          <w:lang w:val="en-US" w:eastAsia="en-AU"/>
        </w:rPr>
      </w:pPr>
      <w:r>
        <w:rPr>
          <w:rFonts w:ascii="Times New Roman" w:hAnsi="Times New Roman" w:cs="Times New Roman"/>
          <w:noProof/>
          <w:position w:val="-32"/>
          <w:sz w:val="24"/>
          <w:szCs w:val="24"/>
          <w:lang w:val="en-US" w:eastAsia="en-AU"/>
        </w:rPr>
        <w:t>MAR</w:t>
      </w:r>
      <w:r>
        <w:rPr>
          <w:rFonts w:ascii="Times New Roman" w:hAnsi="Times New Roman" w:cs="Times New Roman"/>
          <w:noProof/>
          <w:position w:val="-32"/>
          <w:sz w:val="24"/>
          <w:szCs w:val="24"/>
          <w:lang w:val="en-US" w:eastAsia="en-AU"/>
        </w:rPr>
        <w:tab/>
      </w:r>
      <w:r>
        <w:rPr>
          <w:rFonts w:ascii="Times New Roman" w:hAnsi="Times New Roman" w:cs="Times New Roman"/>
          <w:noProof/>
          <w:position w:val="-32"/>
          <w:sz w:val="24"/>
          <w:szCs w:val="24"/>
          <w:lang w:val="en-US" w:eastAsia="en-AU"/>
        </w:rPr>
        <w:tab/>
        <w:t>Managed Aquifer Recharge</w:t>
      </w:r>
    </w:p>
    <w:p w:rsidR="00AB50C5" w:rsidRDefault="00AB50C5">
      <w:pPr>
        <w:spacing w:after="0" w:line="240" w:lineRule="auto"/>
        <w:ind w:left="2837" w:hanging="2837"/>
        <w:jc w:val="both"/>
        <w:rPr>
          <w:rFonts w:ascii="Times New Roman" w:hAnsi="Times New Roman" w:cs="Times New Roman"/>
          <w:noProof/>
          <w:sz w:val="24"/>
          <w:szCs w:val="24"/>
          <w:lang w:val="en-US" w:eastAsia="it-IT"/>
        </w:rPr>
      </w:pPr>
    </w:p>
    <w:p w:rsidR="00AB50C5" w:rsidRDefault="00724275">
      <w:pPr>
        <w:spacing w:after="0" w:line="240" w:lineRule="auto"/>
        <w:ind w:left="1440" w:hanging="1440"/>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 xml:space="preserve">More </w:t>
      </w:r>
      <w:r>
        <w:rPr>
          <w:rFonts w:ascii="Times New Roman" w:hAnsi="Times New Roman" w:cs="Times New Roman"/>
          <w:noProof/>
          <w:sz w:val="24"/>
          <w:szCs w:val="24"/>
          <w:lang w:val="en-US" w:eastAsia="it-IT"/>
        </w:rPr>
        <w:tab/>
        <w:t>Includes treatment beyond secondary treatment processes (N- and/or P</w:t>
      </w:r>
    </w:p>
    <w:p w:rsidR="00AB50C5" w:rsidRDefault="00724275">
      <w:pPr>
        <w:spacing w:after="0" w:line="240" w:lineRule="auto"/>
        <w:ind w:left="1440" w:hanging="1440"/>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 xml:space="preserve">stringent </w:t>
      </w:r>
      <w:r>
        <w:rPr>
          <w:rFonts w:ascii="Times New Roman" w:hAnsi="Times New Roman" w:cs="Times New Roman"/>
          <w:noProof/>
          <w:sz w:val="24"/>
          <w:szCs w:val="24"/>
          <w:lang w:val="en-US" w:eastAsia="it-IT"/>
        </w:rPr>
        <w:tab/>
        <w:t xml:space="preserve">removal) for discharges from </w:t>
      </w:r>
      <w:r>
        <w:rPr>
          <w:rFonts w:ascii="Times New Roman" w:hAnsi="Times New Roman" w:cs="Times New Roman"/>
          <w:noProof/>
          <w:sz w:val="24"/>
          <w:szCs w:val="24"/>
          <w:lang w:val="en-US" w:eastAsia="it-IT"/>
        </w:rPr>
        <w:t>urban waste water treatment plants to</w:t>
      </w:r>
    </w:p>
    <w:p w:rsidR="00AB50C5" w:rsidRDefault="00724275">
      <w:pPr>
        <w:spacing w:after="0" w:line="240" w:lineRule="auto"/>
        <w:ind w:left="1440" w:hanging="1440"/>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 xml:space="preserve">treatment </w:t>
      </w:r>
      <w:r>
        <w:rPr>
          <w:rFonts w:ascii="Times New Roman" w:hAnsi="Times New Roman" w:cs="Times New Roman"/>
          <w:noProof/>
          <w:sz w:val="24"/>
          <w:szCs w:val="24"/>
          <w:lang w:val="en-US" w:eastAsia="it-IT"/>
        </w:rPr>
        <w:tab/>
        <w:t>sensitive areas which are subject to eutrophication. One or both parameters may be applied depending on the local situation (according to Directive 91/271/EEC).</w:t>
      </w:r>
    </w:p>
    <w:p w:rsidR="00AB50C5" w:rsidRDefault="00AB50C5">
      <w:pPr>
        <w:spacing w:after="0" w:line="240" w:lineRule="auto"/>
        <w:ind w:left="2837" w:hanging="2837"/>
        <w:jc w:val="both"/>
        <w:rPr>
          <w:rFonts w:ascii="Times New Roman" w:hAnsi="Times New Roman" w:cs="Times New Roman"/>
          <w:noProof/>
          <w:sz w:val="24"/>
          <w:szCs w:val="24"/>
          <w:lang w:val="en-US" w:eastAsia="it-IT"/>
        </w:rPr>
      </w:pPr>
    </w:p>
    <w:p w:rsidR="00AB50C5" w:rsidRDefault="00724275">
      <w:pPr>
        <w:spacing w:after="0" w:line="240" w:lineRule="auto"/>
        <w:ind w:left="1440" w:hanging="1440"/>
        <w:jc w:val="both"/>
        <w:rPr>
          <w:rFonts w:ascii="Times New Roman" w:hAnsi="Times New Roman" w:cs="Times New Roman"/>
          <w:noProof/>
          <w:position w:val="-32"/>
          <w:sz w:val="24"/>
          <w:szCs w:val="24"/>
          <w:lang w:val="en-US" w:eastAsia="en-AU"/>
        </w:rPr>
      </w:pPr>
      <w:r>
        <w:rPr>
          <w:rFonts w:ascii="Times New Roman" w:hAnsi="Times New Roman" w:cs="Times New Roman"/>
          <w:noProof/>
          <w:position w:val="-32"/>
          <w:sz w:val="24"/>
          <w:szCs w:val="24"/>
          <w:lang w:val="en-US" w:eastAsia="en-AU"/>
        </w:rPr>
        <w:t>MS</w:t>
      </w:r>
      <w:r>
        <w:rPr>
          <w:rFonts w:ascii="Times New Roman" w:hAnsi="Times New Roman" w:cs="Times New Roman"/>
          <w:noProof/>
          <w:position w:val="-32"/>
          <w:sz w:val="24"/>
          <w:szCs w:val="24"/>
          <w:lang w:val="en-US" w:eastAsia="en-AU"/>
        </w:rPr>
        <w:tab/>
        <w:t>Member States</w:t>
      </w:r>
    </w:p>
    <w:p w:rsidR="00AB50C5" w:rsidRDefault="00724275">
      <w:pPr>
        <w:spacing w:after="0" w:line="240" w:lineRule="auto"/>
        <w:jc w:val="both"/>
        <w:rPr>
          <w:rFonts w:ascii="Times New Roman" w:hAnsi="Times New Roman" w:cs="Times New Roman"/>
          <w:noProof/>
          <w:position w:val="-32"/>
          <w:sz w:val="24"/>
          <w:szCs w:val="24"/>
          <w:lang w:val="en-US" w:eastAsia="en-AU"/>
        </w:rPr>
      </w:pPr>
      <w:r>
        <w:rPr>
          <w:rFonts w:ascii="Times New Roman" w:hAnsi="Times New Roman" w:cs="Times New Roman"/>
          <w:noProof/>
          <w:position w:val="-32"/>
          <w:sz w:val="24"/>
          <w:szCs w:val="24"/>
          <w:lang w:val="en-US" w:eastAsia="en-AU"/>
        </w:rPr>
        <w:t>NHMRC</w:t>
      </w:r>
      <w:r>
        <w:rPr>
          <w:rFonts w:ascii="Times New Roman" w:hAnsi="Times New Roman" w:cs="Times New Roman"/>
          <w:noProof/>
          <w:position w:val="-32"/>
          <w:sz w:val="24"/>
          <w:szCs w:val="24"/>
          <w:lang w:val="en-US" w:eastAsia="en-AU"/>
        </w:rPr>
        <w:tab/>
        <w:t>National Health and Me</w:t>
      </w:r>
      <w:r>
        <w:rPr>
          <w:rFonts w:ascii="Times New Roman" w:hAnsi="Times New Roman" w:cs="Times New Roman"/>
          <w:noProof/>
          <w:position w:val="-32"/>
          <w:sz w:val="24"/>
          <w:szCs w:val="24"/>
          <w:lang w:val="en-US" w:eastAsia="en-AU"/>
        </w:rPr>
        <w:t>dical Research Council</w:t>
      </w:r>
    </w:p>
    <w:p w:rsidR="00AB50C5" w:rsidRDefault="00724275">
      <w:pPr>
        <w:spacing w:after="0" w:line="240" w:lineRule="auto"/>
        <w:jc w:val="both"/>
        <w:rPr>
          <w:rFonts w:ascii="Times New Roman" w:hAnsi="Times New Roman" w:cs="Times New Roman"/>
          <w:noProof/>
          <w:position w:val="-32"/>
          <w:sz w:val="24"/>
          <w:szCs w:val="24"/>
          <w:lang w:val="en-US" w:eastAsia="en-AU"/>
        </w:rPr>
      </w:pPr>
      <w:r>
        <w:rPr>
          <w:rFonts w:ascii="Times New Roman" w:hAnsi="Times New Roman" w:cs="Times New Roman"/>
          <w:noProof/>
          <w:position w:val="-32"/>
          <w:sz w:val="24"/>
          <w:szCs w:val="24"/>
          <w:lang w:val="en-US" w:eastAsia="en-AU"/>
        </w:rPr>
        <w:t>no</w:t>
      </w:r>
      <w:r>
        <w:rPr>
          <w:rFonts w:ascii="Times New Roman" w:hAnsi="Times New Roman" w:cs="Times New Roman"/>
          <w:noProof/>
          <w:position w:val="-32"/>
          <w:sz w:val="24"/>
          <w:szCs w:val="24"/>
          <w:lang w:val="en-US" w:eastAsia="en-AU"/>
        </w:rPr>
        <w:tab/>
      </w:r>
      <w:r>
        <w:rPr>
          <w:rFonts w:ascii="Times New Roman" w:hAnsi="Times New Roman" w:cs="Times New Roman"/>
          <w:noProof/>
          <w:position w:val="-32"/>
          <w:sz w:val="24"/>
          <w:szCs w:val="24"/>
          <w:lang w:val="en-US" w:eastAsia="en-AU"/>
        </w:rPr>
        <w:tab/>
        <w:t>Number</w:t>
      </w:r>
    </w:p>
    <w:p w:rsidR="00AB50C5" w:rsidRDefault="00724275">
      <w:pPr>
        <w:spacing w:after="0" w:line="240" w:lineRule="auto"/>
        <w:jc w:val="both"/>
        <w:rPr>
          <w:rFonts w:ascii="Times New Roman" w:hAnsi="Times New Roman" w:cs="Times New Roman"/>
          <w:noProof/>
          <w:position w:val="-32"/>
          <w:sz w:val="24"/>
          <w:szCs w:val="24"/>
          <w:lang w:val="en-US" w:eastAsia="en-AU"/>
        </w:rPr>
      </w:pPr>
      <w:r>
        <w:rPr>
          <w:rFonts w:ascii="Times New Roman" w:hAnsi="Times New Roman" w:cs="Times New Roman"/>
          <w:noProof/>
          <w:position w:val="-32"/>
          <w:sz w:val="24"/>
          <w:szCs w:val="24"/>
          <w:lang w:val="en-US" w:eastAsia="en-AU"/>
        </w:rPr>
        <w:t>NRC</w:t>
      </w:r>
      <w:r>
        <w:rPr>
          <w:rFonts w:ascii="Times New Roman" w:hAnsi="Times New Roman" w:cs="Times New Roman"/>
          <w:noProof/>
          <w:position w:val="-32"/>
          <w:sz w:val="24"/>
          <w:szCs w:val="24"/>
          <w:lang w:val="en-US" w:eastAsia="en-AU"/>
        </w:rPr>
        <w:tab/>
      </w:r>
      <w:r>
        <w:rPr>
          <w:rFonts w:ascii="Times New Roman" w:hAnsi="Times New Roman" w:cs="Times New Roman"/>
          <w:noProof/>
          <w:position w:val="-32"/>
          <w:sz w:val="24"/>
          <w:szCs w:val="24"/>
          <w:lang w:val="en-US" w:eastAsia="en-AU"/>
        </w:rPr>
        <w:tab/>
        <w:t>National Research Council</w:t>
      </w:r>
    </w:p>
    <w:p w:rsidR="00AB50C5" w:rsidRDefault="00724275">
      <w:pPr>
        <w:spacing w:after="0" w:line="240" w:lineRule="auto"/>
        <w:jc w:val="both"/>
        <w:rPr>
          <w:rFonts w:ascii="Times New Roman" w:hAnsi="Times New Roman" w:cs="Times New Roman"/>
          <w:noProof/>
          <w:position w:val="-32"/>
          <w:sz w:val="24"/>
          <w:szCs w:val="24"/>
          <w:lang w:val="en-US" w:eastAsia="en-AU"/>
        </w:rPr>
      </w:pPr>
      <w:r>
        <w:rPr>
          <w:rFonts w:ascii="Times New Roman" w:hAnsi="Times New Roman" w:cs="Times New Roman"/>
          <w:noProof/>
          <w:position w:val="-32"/>
          <w:sz w:val="24"/>
          <w:szCs w:val="24"/>
          <w:lang w:val="en-US" w:eastAsia="en-AU"/>
        </w:rPr>
        <w:t xml:space="preserve">NRMMC </w:t>
      </w:r>
      <w:r>
        <w:rPr>
          <w:rFonts w:ascii="Times New Roman" w:hAnsi="Times New Roman" w:cs="Times New Roman"/>
          <w:noProof/>
          <w:position w:val="-32"/>
          <w:sz w:val="24"/>
          <w:szCs w:val="24"/>
          <w:lang w:val="en-US" w:eastAsia="en-AU"/>
        </w:rPr>
        <w:tab/>
        <w:t>Natural Resource Management Ministerial Council</w:t>
      </w:r>
    </w:p>
    <w:p w:rsidR="00AB50C5" w:rsidRDefault="00724275">
      <w:pPr>
        <w:spacing w:after="0" w:line="240" w:lineRule="auto"/>
        <w:jc w:val="both"/>
        <w:rPr>
          <w:rFonts w:ascii="Times New Roman" w:hAnsi="Times New Roman" w:cs="Times New Roman"/>
          <w:noProof/>
          <w:position w:val="-32"/>
          <w:sz w:val="24"/>
          <w:szCs w:val="24"/>
          <w:lang w:val="en-US" w:eastAsia="en-AU"/>
        </w:rPr>
      </w:pPr>
      <w:r>
        <w:rPr>
          <w:rFonts w:ascii="Times New Roman" w:hAnsi="Times New Roman" w:cs="Times New Roman"/>
          <w:noProof/>
          <w:position w:val="-32"/>
          <w:sz w:val="24"/>
          <w:szCs w:val="24"/>
          <w:lang w:val="en-US" w:eastAsia="en-AU"/>
        </w:rPr>
        <w:t xml:space="preserve">NTU </w:t>
      </w:r>
      <w:r>
        <w:rPr>
          <w:rFonts w:ascii="Times New Roman" w:hAnsi="Times New Roman" w:cs="Times New Roman"/>
          <w:noProof/>
          <w:position w:val="-32"/>
          <w:sz w:val="24"/>
          <w:szCs w:val="24"/>
          <w:lang w:val="en-US" w:eastAsia="en-AU"/>
        </w:rPr>
        <w:tab/>
      </w:r>
      <w:r>
        <w:rPr>
          <w:rFonts w:ascii="Times New Roman" w:hAnsi="Times New Roman" w:cs="Times New Roman"/>
          <w:noProof/>
          <w:position w:val="-32"/>
          <w:sz w:val="24"/>
          <w:szCs w:val="24"/>
          <w:lang w:val="en-US" w:eastAsia="en-AU"/>
        </w:rPr>
        <w:tab/>
        <w:t>Nefelometric Turbidity Unit</w:t>
      </w:r>
    </w:p>
    <w:p w:rsidR="00AB50C5" w:rsidRDefault="00724275">
      <w:pPr>
        <w:spacing w:after="0" w:line="240" w:lineRule="auto"/>
        <w:jc w:val="both"/>
        <w:rPr>
          <w:rFonts w:ascii="Times New Roman" w:hAnsi="Times New Roman" w:cs="Times New Roman"/>
          <w:noProof/>
          <w:position w:val="-32"/>
          <w:sz w:val="24"/>
          <w:szCs w:val="24"/>
          <w:lang w:val="en-US" w:eastAsia="en-AU"/>
        </w:rPr>
      </w:pPr>
      <w:r>
        <w:rPr>
          <w:rFonts w:ascii="Times New Roman" w:hAnsi="Times New Roman" w:cs="Times New Roman"/>
          <w:noProof/>
          <w:position w:val="-32"/>
          <w:sz w:val="24"/>
          <w:szCs w:val="24"/>
          <w:lang w:val="en-US" w:eastAsia="en-AU"/>
        </w:rPr>
        <w:t>NWRI</w:t>
      </w:r>
      <w:r>
        <w:rPr>
          <w:rFonts w:ascii="Times New Roman" w:hAnsi="Times New Roman" w:cs="Times New Roman"/>
          <w:noProof/>
          <w:position w:val="-32"/>
          <w:sz w:val="24"/>
          <w:szCs w:val="24"/>
          <w:lang w:val="en-US" w:eastAsia="en-AU"/>
        </w:rPr>
        <w:tab/>
      </w:r>
      <w:r>
        <w:rPr>
          <w:rFonts w:ascii="Times New Roman" w:hAnsi="Times New Roman" w:cs="Times New Roman"/>
          <w:noProof/>
          <w:position w:val="-32"/>
          <w:sz w:val="24"/>
          <w:szCs w:val="24"/>
          <w:lang w:val="en-US" w:eastAsia="en-AU"/>
        </w:rPr>
        <w:tab/>
        <w:t>National Water Research Institute of the United States</w:t>
      </w:r>
    </w:p>
    <w:p w:rsidR="00AB50C5" w:rsidRDefault="00724275">
      <w:pPr>
        <w:spacing w:after="0" w:line="240" w:lineRule="auto"/>
        <w:jc w:val="both"/>
        <w:rPr>
          <w:rFonts w:ascii="Times New Roman" w:hAnsi="Times New Roman" w:cs="Times New Roman"/>
          <w:noProof/>
          <w:position w:val="-32"/>
          <w:sz w:val="24"/>
          <w:szCs w:val="24"/>
          <w:lang w:eastAsia="en-AU"/>
        </w:rPr>
      </w:pPr>
      <w:r>
        <w:rPr>
          <w:rFonts w:ascii="Times New Roman" w:hAnsi="Times New Roman" w:cs="Times New Roman"/>
          <w:noProof/>
          <w:position w:val="-32"/>
          <w:sz w:val="24"/>
          <w:szCs w:val="24"/>
          <w:lang w:val="en-US" w:eastAsia="en-AU"/>
        </w:rPr>
        <w:t>OECD</w:t>
      </w:r>
      <w:r>
        <w:rPr>
          <w:rFonts w:ascii="Times New Roman" w:hAnsi="Times New Roman" w:cs="Times New Roman"/>
          <w:noProof/>
          <w:position w:val="-32"/>
          <w:sz w:val="24"/>
          <w:szCs w:val="24"/>
          <w:lang w:val="en-US" w:eastAsia="en-AU"/>
        </w:rPr>
        <w:tab/>
      </w:r>
      <w:r>
        <w:rPr>
          <w:rFonts w:ascii="Times New Roman" w:hAnsi="Times New Roman" w:cs="Times New Roman"/>
          <w:noProof/>
          <w:position w:val="-32"/>
          <w:sz w:val="24"/>
          <w:szCs w:val="24"/>
          <w:lang w:val="en-US" w:eastAsia="en-AU"/>
        </w:rPr>
        <w:tab/>
      </w:r>
      <w:r>
        <w:rPr>
          <w:rFonts w:ascii="Times New Roman" w:hAnsi="Times New Roman" w:cs="Times New Roman"/>
          <w:noProof/>
          <w:position w:val="-32"/>
          <w:sz w:val="24"/>
          <w:szCs w:val="24"/>
          <w:lang w:eastAsia="en-AU"/>
        </w:rPr>
        <w:t>Organisation for Economic Cooperati</w:t>
      </w:r>
      <w:r>
        <w:rPr>
          <w:rFonts w:ascii="Times New Roman" w:hAnsi="Times New Roman" w:cs="Times New Roman"/>
          <w:noProof/>
          <w:position w:val="-32"/>
          <w:sz w:val="24"/>
          <w:szCs w:val="24"/>
          <w:lang w:eastAsia="en-AU"/>
        </w:rPr>
        <w:t>on and Development</w:t>
      </w:r>
    </w:p>
    <w:p w:rsidR="00AB50C5" w:rsidRDefault="00724275">
      <w:pPr>
        <w:spacing w:after="0" w:line="240" w:lineRule="auto"/>
        <w:jc w:val="both"/>
        <w:rPr>
          <w:rFonts w:ascii="Times New Roman" w:hAnsi="Times New Roman" w:cs="Times New Roman"/>
          <w:noProof/>
          <w:position w:val="-32"/>
          <w:sz w:val="24"/>
          <w:szCs w:val="24"/>
          <w:lang w:val="en-US" w:eastAsia="en-AU"/>
        </w:rPr>
      </w:pPr>
      <w:r>
        <w:rPr>
          <w:rFonts w:ascii="Times New Roman" w:hAnsi="Times New Roman" w:cs="Times New Roman"/>
          <w:noProof/>
          <w:position w:val="-32"/>
          <w:sz w:val="24"/>
          <w:szCs w:val="24"/>
          <w:lang w:val="en-US" w:eastAsia="en-AU"/>
        </w:rPr>
        <w:t>PDT</w:t>
      </w:r>
      <w:r>
        <w:rPr>
          <w:rFonts w:ascii="Times New Roman" w:hAnsi="Times New Roman" w:cs="Times New Roman"/>
          <w:noProof/>
          <w:position w:val="-32"/>
          <w:sz w:val="24"/>
          <w:szCs w:val="24"/>
          <w:lang w:val="en-US" w:eastAsia="en-AU"/>
        </w:rPr>
        <w:tab/>
      </w:r>
      <w:r>
        <w:rPr>
          <w:rFonts w:ascii="Times New Roman" w:hAnsi="Times New Roman" w:cs="Times New Roman"/>
          <w:noProof/>
          <w:position w:val="-32"/>
          <w:sz w:val="24"/>
          <w:szCs w:val="24"/>
          <w:lang w:val="en-US" w:eastAsia="en-AU"/>
        </w:rPr>
        <w:tab/>
        <w:t>Pressure Decay Test</w:t>
      </w:r>
    </w:p>
    <w:p w:rsidR="00AB50C5" w:rsidRDefault="00724275">
      <w:pPr>
        <w:spacing w:after="0" w:line="240" w:lineRule="auto"/>
        <w:jc w:val="both"/>
        <w:rPr>
          <w:rFonts w:ascii="Times New Roman" w:hAnsi="Times New Roman" w:cs="Times New Roman"/>
          <w:noProof/>
          <w:position w:val="-32"/>
          <w:sz w:val="24"/>
          <w:szCs w:val="24"/>
          <w:lang w:val="en-US" w:eastAsia="en-AU"/>
        </w:rPr>
      </w:pPr>
      <w:r>
        <w:rPr>
          <w:rFonts w:ascii="Times New Roman" w:hAnsi="Times New Roman" w:cs="Times New Roman"/>
          <w:noProof/>
          <w:position w:val="-32"/>
          <w:sz w:val="24"/>
          <w:szCs w:val="24"/>
          <w:lang w:val="en-US" w:eastAsia="en-AU"/>
        </w:rPr>
        <w:t xml:space="preserve">pfu </w:t>
      </w:r>
      <w:r>
        <w:rPr>
          <w:rFonts w:ascii="Times New Roman" w:hAnsi="Times New Roman" w:cs="Times New Roman"/>
          <w:noProof/>
          <w:position w:val="-32"/>
          <w:sz w:val="24"/>
          <w:szCs w:val="24"/>
          <w:lang w:val="en-US" w:eastAsia="en-AU"/>
        </w:rPr>
        <w:tab/>
      </w:r>
      <w:r>
        <w:rPr>
          <w:rFonts w:ascii="Times New Roman" w:hAnsi="Times New Roman" w:cs="Times New Roman"/>
          <w:noProof/>
          <w:position w:val="-32"/>
          <w:sz w:val="24"/>
          <w:szCs w:val="24"/>
          <w:lang w:val="en-US" w:eastAsia="en-AU"/>
        </w:rPr>
        <w:tab/>
        <w:t>plaque forming unit</w:t>
      </w:r>
    </w:p>
    <w:p w:rsidR="00AB50C5" w:rsidRDefault="00AB50C5">
      <w:pPr>
        <w:spacing w:after="0" w:line="240" w:lineRule="auto"/>
        <w:ind w:left="2832" w:hanging="2832"/>
        <w:jc w:val="both"/>
        <w:rPr>
          <w:rFonts w:ascii="Times New Roman" w:hAnsi="Times New Roman" w:cs="Times New Roman"/>
          <w:noProof/>
          <w:sz w:val="24"/>
          <w:szCs w:val="24"/>
          <w:lang w:val="en-US" w:eastAsia="it-IT"/>
        </w:rPr>
      </w:pPr>
    </w:p>
    <w:p w:rsidR="00AB50C5" w:rsidRDefault="00724275">
      <w:pPr>
        <w:spacing w:after="0" w:line="240" w:lineRule="auto"/>
        <w:ind w:left="1440" w:hanging="1440"/>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 xml:space="preserve">Population </w:t>
      </w:r>
      <w:r>
        <w:rPr>
          <w:rFonts w:ascii="Times New Roman" w:hAnsi="Times New Roman" w:cs="Times New Roman"/>
          <w:noProof/>
          <w:sz w:val="24"/>
          <w:szCs w:val="24"/>
          <w:lang w:val="en-US" w:eastAsia="it-IT"/>
        </w:rPr>
        <w:tab/>
        <w:t>The organic biodegradable load having a five-day biochemical oxygen</w:t>
      </w:r>
    </w:p>
    <w:p w:rsidR="00AB50C5" w:rsidRDefault="00724275">
      <w:pPr>
        <w:spacing w:after="0" w:line="240" w:lineRule="auto"/>
        <w:ind w:left="1440" w:hanging="1440"/>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 xml:space="preserve">equivalent </w:t>
      </w:r>
      <w:r>
        <w:rPr>
          <w:rFonts w:ascii="Times New Roman" w:hAnsi="Times New Roman" w:cs="Times New Roman"/>
          <w:noProof/>
          <w:sz w:val="24"/>
          <w:szCs w:val="24"/>
          <w:lang w:val="en-US" w:eastAsia="it-IT"/>
        </w:rPr>
        <w:tab/>
        <w:t>demand (BOD</w:t>
      </w:r>
      <w:r>
        <w:rPr>
          <w:rFonts w:ascii="Times New Roman" w:hAnsi="Times New Roman" w:cs="Times New Roman"/>
          <w:noProof/>
          <w:sz w:val="24"/>
          <w:szCs w:val="24"/>
          <w:vertAlign w:val="subscript"/>
          <w:lang w:val="en-US" w:eastAsia="it-IT"/>
        </w:rPr>
        <w:t>5</w:t>
      </w:r>
      <w:r>
        <w:rPr>
          <w:rFonts w:ascii="Times New Roman" w:hAnsi="Times New Roman" w:cs="Times New Roman"/>
          <w:noProof/>
          <w:sz w:val="24"/>
          <w:szCs w:val="24"/>
          <w:lang w:val="en-US" w:eastAsia="it-IT"/>
        </w:rPr>
        <w:t>) of 60 g of oxygen per day.</w:t>
      </w:r>
    </w:p>
    <w:p w:rsidR="00AB50C5" w:rsidRDefault="00724275">
      <w:pPr>
        <w:spacing w:after="0" w:line="240" w:lineRule="auto"/>
        <w:ind w:left="2832" w:hanging="2832"/>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ab/>
      </w:r>
    </w:p>
    <w:p w:rsidR="00AB50C5" w:rsidRDefault="00724275">
      <w:pPr>
        <w:spacing w:after="0" w:line="240" w:lineRule="auto"/>
        <w:ind w:left="1440" w:hanging="1397"/>
        <w:jc w:val="both"/>
        <w:rPr>
          <w:rFonts w:ascii="Times New Roman" w:hAnsi="Times New Roman" w:cs="Times New Roman"/>
          <w:noProof/>
          <w:sz w:val="24"/>
          <w:szCs w:val="24"/>
          <w:lang w:val="en-US" w:eastAsia="it-IT"/>
        </w:rPr>
      </w:pPr>
      <w:r>
        <w:rPr>
          <w:rFonts w:ascii="Times New Roman" w:eastAsia="Calibri" w:hAnsi="Times New Roman" w:cs="Times New Roman"/>
          <w:noProof/>
          <w:sz w:val="24"/>
          <w:szCs w:val="24"/>
          <w:lang w:val="en-US"/>
        </w:rPr>
        <w:t>PPCs</w:t>
      </w:r>
      <w:r>
        <w:rPr>
          <w:rFonts w:ascii="Times New Roman" w:eastAsia="Calibri" w:hAnsi="Times New Roman" w:cs="Times New Roman"/>
          <w:noProof/>
          <w:sz w:val="24"/>
          <w:szCs w:val="24"/>
          <w:lang w:val="en-US"/>
        </w:rPr>
        <w:tab/>
        <w:t xml:space="preserve">Pharmaceuticals and personal care products </w:t>
      </w:r>
    </w:p>
    <w:p w:rsidR="00AB50C5" w:rsidRDefault="00724275">
      <w:pPr>
        <w:spacing w:after="0" w:line="240" w:lineRule="auto"/>
        <w:jc w:val="both"/>
        <w:rPr>
          <w:rFonts w:ascii="Times New Roman" w:hAnsi="Times New Roman" w:cs="Times New Roman"/>
          <w:noProof/>
          <w:position w:val="-32"/>
          <w:sz w:val="24"/>
          <w:szCs w:val="24"/>
          <w:lang w:val="en-US" w:eastAsia="en-AU"/>
        </w:rPr>
      </w:pPr>
      <w:r>
        <w:rPr>
          <w:rFonts w:ascii="Times New Roman" w:hAnsi="Times New Roman" w:cs="Times New Roman"/>
          <w:noProof/>
          <w:position w:val="-32"/>
          <w:sz w:val="24"/>
          <w:szCs w:val="24"/>
          <w:lang w:val="en-US" w:eastAsia="en-AU"/>
        </w:rPr>
        <w:t>pppy</w:t>
      </w:r>
      <w:r>
        <w:rPr>
          <w:rFonts w:ascii="Times New Roman" w:hAnsi="Times New Roman" w:cs="Times New Roman"/>
          <w:noProof/>
          <w:position w:val="-32"/>
          <w:sz w:val="24"/>
          <w:szCs w:val="24"/>
          <w:lang w:val="en-US" w:eastAsia="en-AU"/>
        </w:rPr>
        <w:tab/>
      </w:r>
      <w:r>
        <w:rPr>
          <w:rFonts w:ascii="Times New Roman" w:hAnsi="Times New Roman" w:cs="Times New Roman"/>
          <w:noProof/>
          <w:position w:val="-32"/>
          <w:sz w:val="24"/>
          <w:szCs w:val="24"/>
          <w:lang w:val="en-US" w:eastAsia="en-AU"/>
        </w:rPr>
        <w:tab/>
        <w:t>per person per year</w:t>
      </w:r>
    </w:p>
    <w:p w:rsidR="00AB50C5" w:rsidRDefault="00AB50C5">
      <w:pPr>
        <w:spacing w:after="0" w:line="240" w:lineRule="auto"/>
        <w:ind w:left="2819" w:hanging="2820"/>
        <w:jc w:val="both"/>
        <w:rPr>
          <w:rFonts w:ascii="Times New Roman" w:hAnsi="Times New Roman" w:cs="Times New Roman"/>
          <w:noProof/>
          <w:sz w:val="24"/>
          <w:szCs w:val="24"/>
          <w:lang w:val="en-US" w:eastAsia="it-IT"/>
        </w:rPr>
      </w:pPr>
    </w:p>
    <w:p w:rsidR="00AB50C5" w:rsidRDefault="00724275">
      <w:pPr>
        <w:spacing w:after="0" w:line="240" w:lineRule="auto"/>
        <w:ind w:left="1440" w:hanging="1441"/>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 xml:space="preserve">Preventive </w:t>
      </w:r>
      <w:r>
        <w:rPr>
          <w:rFonts w:ascii="Times New Roman" w:hAnsi="Times New Roman" w:cs="Times New Roman"/>
          <w:noProof/>
          <w:sz w:val="24"/>
          <w:szCs w:val="24"/>
          <w:lang w:val="en-US" w:eastAsia="it-IT"/>
        </w:rPr>
        <w:tab/>
        <w:t>Any action and activity that can be used to prevent or eliminate a health and</w:t>
      </w:r>
    </w:p>
    <w:p w:rsidR="00AB50C5" w:rsidRDefault="00724275">
      <w:pPr>
        <w:spacing w:after="0" w:line="240" w:lineRule="auto"/>
        <w:ind w:left="1440" w:hanging="1441"/>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measure</w:t>
      </w:r>
      <w:r>
        <w:rPr>
          <w:rFonts w:ascii="Times New Roman" w:hAnsi="Times New Roman" w:cs="Times New Roman"/>
          <w:noProof/>
          <w:sz w:val="24"/>
          <w:szCs w:val="24"/>
          <w:lang w:val="en-US" w:eastAsia="it-IT"/>
        </w:rPr>
        <w:tab/>
        <w:t>environmental hazard, or reduce it to an acceptable level.</w:t>
      </w:r>
    </w:p>
    <w:p w:rsidR="00AB50C5" w:rsidRDefault="00724275">
      <w:pPr>
        <w:spacing w:after="0" w:line="240" w:lineRule="auto"/>
        <w:ind w:left="2819" w:hanging="2820"/>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ab/>
        <w:t xml:space="preserve"> </w:t>
      </w:r>
    </w:p>
    <w:p w:rsidR="00AB50C5" w:rsidRDefault="00724275">
      <w:pPr>
        <w:spacing w:after="0" w:line="240" w:lineRule="auto"/>
        <w:ind w:left="1440" w:hanging="1441"/>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 xml:space="preserve">Primary </w:t>
      </w:r>
      <w:r>
        <w:rPr>
          <w:rFonts w:ascii="Times New Roman" w:hAnsi="Times New Roman" w:cs="Times New Roman"/>
          <w:noProof/>
          <w:sz w:val="24"/>
          <w:szCs w:val="24"/>
          <w:lang w:val="en-US" w:eastAsia="it-IT"/>
        </w:rPr>
        <w:tab/>
        <w:t xml:space="preserve">Treatment of urban wastewater by a physical and/or chemical </w:t>
      </w:r>
      <w:r>
        <w:rPr>
          <w:rFonts w:ascii="Times New Roman" w:hAnsi="Times New Roman" w:cs="Times New Roman"/>
          <w:noProof/>
          <w:sz w:val="24"/>
          <w:szCs w:val="24"/>
          <w:lang w:val="en-US" w:eastAsia="it-IT"/>
        </w:rPr>
        <w:t>process</w:t>
      </w:r>
    </w:p>
    <w:p w:rsidR="00AB50C5" w:rsidRDefault="00724275">
      <w:pPr>
        <w:spacing w:after="0" w:line="240" w:lineRule="auto"/>
        <w:ind w:left="1440" w:hanging="1441"/>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 xml:space="preserve">treatment </w:t>
      </w:r>
      <w:r>
        <w:rPr>
          <w:rFonts w:ascii="Times New Roman" w:hAnsi="Times New Roman" w:cs="Times New Roman"/>
          <w:noProof/>
          <w:sz w:val="24"/>
          <w:szCs w:val="24"/>
          <w:lang w:val="en-US" w:eastAsia="it-IT"/>
        </w:rPr>
        <w:tab/>
        <w:t>involving settlement of suspended solids or other processes in which the BOD</w:t>
      </w:r>
      <w:r>
        <w:rPr>
          <w:rFonts w:ascii="Times New Roman" w:hAnsi="Times New Roman" w:cs="Times New Roman"/>
          <w:noProof/>
          <w:sz w:val="24"/>
          <w:szCs w:val="24"/>
          <w:vertAlign w:val="subscript"/>
          <w:lang w:val="en-US" w:eastAsia="it-IT"/>
        </w:rPr>
        <w:t>5</w:t>
      </w:r>
      <w:r>
        <w:rPr>
          <w:rFonts w:ascii="Times New Roman" w:hAnsi="Times New Roman" w:cs="Times New Roman"/>
          <w:noProof/>
          <w:sz w:val="24"/>
          <w:szCs w:val="24"/>
          <w:lang w:val="en-US" w:eastAsia="it-IT"/>
        </w:rPr>
        <w:t xml:space="preserve"> of the incoming wastewater is reduced by at least 20% before discharge and the total suspended solids of the incoming wastewater are reduced by at least 50% (a</w:t>
      </w:r>
      <w:r>
        <w:rPr>
          <w:rFonts w:ascii="Times New Roman" w:hAnsi="Times New Roman" w:cs="Times New Roman"/>
          <w:noProof/>
          <w:sz w:val="24"/>
          <w:szCs w:val="24"/>
          <w:lang w:val="en-US" w:eastAsia="it-IT"/>
        </w:rPr>
        <w:t>ccording to Directive 91/271/EEC).</w:t>
      </w:r>
    </w:p>
    <w:p w:rsidR="00AB50C5" w:rsidRDefault="00724275">
      <w:pPr>
        <w:spacing w:after="0" w:line="240" w:lineRule="auto"/>
        <w:ind w:left="2832" w:hanging="2832"/>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ab/>
      </w:r>
    </w:p>
    <w:p w:rsidR="00AB50C5" w:rsidRDefault="00724275">
      <w:pPr>
        <w:spacing w:after="0" w:line="240" w:lineRule="auto"/>
        <w:jc w:val="both"/>
        <w:rPr>
          <w:rFonts w:ascii="Times New Roman" w:hAnsi="Times New Roman" w:cs="Times New Roman"/>
          <w:noProof/>
          <w:position w:val="-32"/>
          <w:sz w:val="24"/>
          <w:szCs w:val="24"/>
          <w:lang w:val="en-US" w:eastAsia="en-AU"/>
        </w:rPr>
      </w:pPr>
      <w:r>
        <w:rPr>
          <w:rFonts w:ascii="Times New Roman" w:hAnsi="Times New Roman" w:cs="Times New Roman"/>
          <w:noProof/>
          <w:position w:val="-32"/>
          <w:sz w:val="24"/>
          <w:szCs w:val="24"/>
          <w:lang w:val="en-US" w:eastAsia="en-AU"/>
        </w:rPr>
        <w:t>QMRA</w:t>
      </w:r>
      <w:r>
        <w:rPr>
          <w:rFonts w:ascii="Times New Roman" w:hAnsi="Times New Roman" w:cs="Times New Roman"/>
          <w:noProof/>
          <w:position w:val="-32"/>
          <w:sz w:val="24"/>
          <w:szCs w:val="24"/>
          <w:lang w:val="en-US" w:eastAsia="en-AU"/>
        </w:rPr>
        <w:tab/>
        <w:t>Quantitative Microbial Risk Assessment</w:t>
      </w:r>
    </w:p>
    <w:p w:rsidR="00AB50C5" w:rsidRDefault="00AB50C5">
      <w:pPr>
        <w:spacing w:after="0" w:line="240" w:lineRule="auto"/>
        <w:ind w:left="2832" w:hanging="2832"/>
        <w:jc w:val="both"/>
        <w:rPr>
          <w:rFonts w:ascii="Times New Roman" w:hAnsi="Times New Roman" w:cs="Times New Roman"/>
          <w:noProof/>
          <w:sz w:val="24"/>
          <w:szCs w:val="24"/>
          <w:lang w:val="en-US" w:eastAsia="it-IT"/>
        </w:rPr>
      </w:pPr>
    </w:p>
    <w:p w:rsidR="00AB50C5" w:rsidRDefault="00724275">
      <w:pPr>
        <w:spacing w:after="0" w:line="240" w:lineRule="auto"/>
        <w:ind w:left="1440" w:hanging="1440"/>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 xml:space="preserve">Raw </w:t>
      </w:r>
      <w:r>
        <w:rPr>
          <w:rFonts w:ascii="Times New Roman" w:hAnsi="Times New Roman" w:cs="Times New Roman"/>
          <w:noProof/>
          <w:sz w:val="24"/>
          <w:szCs w:val="24"/>
          <w:lang w:val="en-US" w:eastAsia="it-IT"/>
        </w:rPr>
        <w:tab/>
        <w:t>Wastewater that has not undergone any treatment, or the wastewater</w:t>
      </w:r>
    </w:p>
    <w:p w:rsidR="00AB50C5" w:rsidRDefault="00724275">
      <w:pPr>
        <w:spacing w:after="0" w:line="240" w:lineRule="auto"/>
        <w:ind w:left="1440" w:hanging="1440"/>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 xml:space="preserve">wastewater </w:t>
      </w:r>
      <w:r>
        <w:rPr>
          <w:rFonts w:ascii="Times New Roman" w:hAnsi="Times New Roman" w:cs="Times New Roman"/>
          <w:noProof/>
          <w:sz w:val="24"/>
          <w:szCs w:val="24"/>
          <w:lang w:val="en-US" w:eastAsia="it-IT"/>
        </w:rPr>
        <w:tab/>
        <w:t>entering the first treatment process of a wastewater treatment plant.</w:t>
      </w:r>
    </w:p>
    <w:p w:rsidR="00AB50C5" w:rsidRDefault="00724275">
      <w:pPr>
        <w:spacing w:after="0" w:line="240" w:lineRule="auto"/>
        <w:ind w:left="2832" w:hanging="2832"/>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ab/>
      </w:r>
    </w:p>
    <w:p w:rsidR="00AB50C5" w:rsidRDefault="00AB50C5">
      <w:pPr>
        <w:spacing w:after="0" w:line="240" w:lineRule="auto"/>
        <w:ind w:left="2832" w:hanging="2832"/>
        <w:jc w:val="both"/>
        <w:rPr>
          <w:rFonts w:ascii="Times New Roman" w:hAnsi="Times New Roman" w:cs="Times New Roman"/>
          <w:noProof/>
          <w:sz w:val="24"/>
          <w:szCs w:val="24"/>
          <w:lang w:val="en-US" w:eastAsia="it-IT"/>
        </w:rPr>
      </w:pPr>
    </w:p>
    <w:p w:rsidR="00AB50C5" w:rsidRDefault="00724275">
      <w:pPr>
        <w:spacing w:after="0" w:line="240" w:lineRule="auto"/>
        <w:ind w:left="1440" w:hanging="1440"/>
        <w:contextualSpacing/>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 xml:space="preserve">Reclaimed </w:t>
      </w:r>
      <w:r>
        <w:rPr>
          <w:rFonts w:ascii="Times New Roman" w:eastAsia="Calibri" w:hAnsi="Times New Roman" w:cs="Times New Roman"/>
          <w:noProof/>
          <w:sz w:val="24"/>
          <w:szCs w:val="24"/>
          <w:lang w:val="en-US"/>
        </w:rPr>
        <w:tab/>
      </w:r>
      <w:r>
        <w:rPr>
          <w:rFonts w:ascii="Times New Roman" w:eastAsia="Calibri" w:hAnsi="Times New Roman" w:cs="Times New Roman"/>
          <w:noProof/>
          <w:sz w:val="24"/>
          <w:szCs w:val="24"/>
          <w:lang w:val="en-US"/>
        </w:rPr>
        <w:t xml:space="preserve">Urban wastewater that has been treated to meet specific water quality </w:t>
      </w:r>
    </w:p>
    <w:p w:rsidR="00AB50C5" w:rsidRDefault="00724275">
      <w:pPr>
        <w:spacing w:after="0" w:line="240" w:lineRule="auto"/>
        <w:ind w:left="1440" w:hanging="1440"/>
        <w:contextualSpacing/>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 xml:space="preserve">water </w:t>
      </w:r>
      <w:r>
        <w:rPr>
          <w:rFonts w:ascii="Times New Roman" w:eastAsia="Calibri" w:hAnsi="Times New Roman" w:cs="Times New Roman"/>
          <w:noProof/>
          <w:sz w:val="24"/>
          <w:szCs w:val="24"/>
          <w:lang w:val="en-US"/>
        </w:rPr>
        <w:tab/>
        <w:t>criteria with the intent of being used for a range of purposes. Synonymous with recycled or reused water.</w:t>
      </w:r>
    </w:p>
    <w:p w:rsidR="00AB50C5" w:rsidRDefault="00724275">
      <w:pPr>
        <w:spacing w:after="0" w:line="240" w:lineRule="auto"/>
        <w:ind w:left="2837" w:hanging="2837"/>
        <w:contextualSpacing/>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ab/>
      </w:r>
    </w:p>
    <w:p w:rsidR="00AB50C5" w:rsidRDefault="00724275">
      <w:pPr>
        <w:spacing w:after="0" w:line="240" w:lineRule="auto"/>
        <w:ind w:left="1440" w:hanging="1440"/>
        <w:contextualSpacing/>
        <w:jc w:val="both"/>
        <w:rPr>
          <w:rFonts w:ascii="Times New Roman" w:eastAsia="Calibri" w:hAnsi="Times New Roman" w:cs="Times New Roman"/>
          <w:noProof/>
          <w:sz w:val="24"/>
          <w:szCs w:val="24"/>
          <w:lang w:val="en-US"/>
        </w:rPr>
      </w:pPr>
      <w:r>
        <w:rPr>
          <w:rFonts w:ascii="Times New Roman" w:eastAsia="Calibri" w:hAnsi="Times New Roman" w:cs="Times New Roman"/>
          <w:noProof/>
          <w:sz w:val="24"/>
          <w:szCs w:val="24"/>
          <w:lang w:val="en-US"/>
        </w:rPr>
        <w:t xml:space="preserve">Risk </w:t>
      </w:r>
      <w:r>
        <w:rPr>
          <w:rFonts w:ascii="Times New Roman" w:eastAsia="Calibri" w:hAnsi="Times New Roman" w:cs="Times New Roman"/>
          <w:noProof/>
          <w:sz w:val="24"/>
          <w:szCs w:val="24"/>
          <w:lang w:val="en-US"/>
        </w:rPr>
        <w:tab/>
        <w:t>The likelihood of identified hazards causing harm in a specified</w:t>
      </w:r>
      <w:r>
        <w:rPr>
          <w:rFonts w:ascii="Times New Roman" w:eastAsia="Calibri" w:hAnsi="Times New Roman" w:cs="Times New Roman"/>
          <w:noProof/>
          <w:sz w:val="24"/>
          <w:szCs w:val="24"/>
          <w:lang w:val="en-US"/>
        </w:rPr>
        <w:t xml:space="preserve"> timeframe, including the severity of the consequences.</w:t>
      </w:r>
      <w:r>
        <w:rPr>
          <w:rFonts w:ascii="Times New Roman" w:eastAsia="Calibri" w:hAnsi="Times New Roman" w:cs="Times New Roman"/>
          <w:noProof/>
          <w:sz w:val="24"/>
          <w:szCs w:val="24"/>
          <w:lang w:val="en-US"/>
        </w:rPr>
        <w:tab/>
      </w:r>
    </w:p>
    <w:p w:rsidR="00AB50C5" w:rsidRDefault="00724275">
      <w:pPr>
        <w:spacing w:after="0" w:line="240" w:lineRule="auto"/>
        <w:jc w:val="both"/>
        <w:rPr>
          <w:rFonts w:ascii="Times New Roman" w:hAnsi="Times New Roman" w:cs="Times New Roman"/>
          <w:noProof/>
          <w:position w:val="-32"/>
          <w:sz w:val="24"/>
          <w:szCs w:val="24"/>
          <w:lang w:eastAsia="en-AU"/>
        </w:rPr>
      </w:pPr>
      <w:r>
        <w:rPr>
          <w:rFonts w:ascii="Times New Roman" w:hAnsi="Times New Roman" w:cs="Times New Roman"/>
          <w:noProof/>
          <w:position w:val="-32"/>
          <w:sz w:val="24"/>
          <w:szCs w:val="24"/>
          <w:lang w:eastAsia="en-AU"/>
        </w:rPr>
        <w:t>SAR</w:t>
      </w:r>
      <w:r>
        <w:rPr>
          <w:rFonts w:ascii="Times New Roman" w:hAnsi="Times New Roman" w:cs="Times New Roman"/>
          <w:noProof/>
          <w:position w:val="-32"/>
          <w:sz w:val="24"/>
          <w:szCs w:val="24"/>
          <w:lang w:eastAsia="en-AU"/>
        </w:rPr>
        <w:tab/>
      </w:r>
      <w:r>
        <w:rPr>
          <w:rFonts w:ascii="Times New Roman" w:hAnsi="Times New Roman" w:cs="Times New Roman"/>
          <w:noProof/>
          <w:position w:val="-32"/>
          <w:sz w:val="24"/>
          <w:szCs w:val="24"/>
          <w:lang w:eastAsia="en-AU"/>
        </w:rPr>
        <w:tab/>
        <w:t>Sodium Adsorption Ratio</w:t>
      </w:r>
    </w:p>
    <w:p w:rsidR="00AB50C5" w:rsidRDefault="00724275">
      <w:pPr>
        <w:spacing w:after="0" w:line="240" w:lineRule="auto"/>
        <w:jc w:val="both"/>
        <w:rPr>
          <w:rFonts w:ascii="Times New Roman" w:hAnsi="Times New Roman" w:cs="Times New Roman"/>
          <w:noProof/>
          <w:position w:val="-32"/>
          <w:sz w:val="24"/>
          <w:szCs w:val="24"/>
          <w:lang w:eastAsia="en-AU"/>
        </w:rPr>
      </w:pPr>
      <w:r>
        <w:rPr>
          <w:rFonts w:ascii="Times New Roman" w:hAnsi="Times New Roman" w:cs="Times New Roman"/>
          <w:noProof/>
          <w:position w:val="-32"/>
          <w:sz w:val="24"/>
          <w:szCs w:val="24"/>
          <w:lang w:eastAsia="en-AU"/>
        </w:rPr>
        <w:t>SCHEER</w:t>
      </w:r>
      <w:r>
        <w:rPr>
          <w:rFonts w:ascii="Times New Roman" w:hAnsi="Times New Roman" w:cs="Times New Roman"/>
          <w:noProof/>
          <w:position w:val="-32"/>
          <w:sz w:val="24"/>
          <w:szCs w:val="24"/>
          <w:lang w:eastAsia="en-AU"/>
        </w:rPr>
        <w:tab/>
        <w:t>Scientific Committee on Health, Environmental and Emerging Risks</w:t>
      </w:r>
    </w:p>
    <w:p w:rsidR="00AB50C5" w:rsidRDefault="00AB50C5">
      <w:pPr>
        <w:spacing w:after="0" w:line="240" w:lineRule="auto"/>
        <w:ind w:left="2832" w:hanging="2832"/>
        <w:jc w:val="both"/>
        <w:rPr>
          <w:rFonts w:ascii="Times New Roman" w:hAnsi="Times New Roman" w:cs="Times New Roman"/>
          <w:noProof/>
          <w:sz w:val="24"/>
          <w:szCs w:val="24"/>
          <w:lang w:val="en-US" w:eastAsia="it-IT"/>
        </w:rPr>
      </w:pPr>
    </w:p>
    <w:p w:rsidR="00AB50C5" w:rsidRDefault="00724275">
      <w:pPr>
        <w:spacing w:after="0" w:line="240" w:lineRule="auto"/>
        <w:ind w:left="720" w:hanging="720"/>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 xml:space="preserve">Secondary </w:t>
      </w:r>
      <w:r>
        <w:rPr>
          <w:rFonts w:ascii="Times New Roman" w:hAnsi="Times New Roman" w:cs="Times New Roman"/>
          <w:noProof/>
          <w:sz w:val="24"/>
          <w:szCs w:val="24"/>
          <w:lang w:val="en-US" w:eastAsia="it-IT"/>
        </w:rPr>
        <w:tab/>
        <w:t>Treatment of urban wastewater by a process generally involving biological</w:t>
      </w:r>
    </w:p>
    <w:p w:rsidR="00AB50C5" w:rsidRDefault="00724275">
      <w:pPr>
        <w:spacing w:after="0" w:line="240" w:lineRule="auto"/>
        <w:ind w:left="1440" w:hanging="1440"/>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 xml:space="preserve">treatment </w:t>
      </w:r>
      <w:r>
        <w:rPr>
          <w:rFonts w:ascii="Times New Roman" w:hAnsi="Times New Roman" w:cs="Times New Roman"/>
          <w:noProof/>
          <w:sz w:val="24"/>
          <w:szCs w:val="24"/>
          <w:lang w:val="en-US" w:eastAsia="it-IT"/>
        </w:rPr>
        <w:tab/>
      </w:r>
      <w:r>
        <w:rPr>
          <w:rFonts w:ascii="Times New Roman" w:hAnsi="Times New Roman" w:cs="Times New Roman"/>
          <w:noProof/>
          <w:sz w:val="24"/>
          <w:szCs w:val="24"/>
          <w:lang w:val="en-US" w:eastAsia="it-IT"/>
        </w:rPr>
        <w:t>with a secondary settlement or other process in which the requirements established in Table 1 of Annex I of Directive 91/271/EEC are respected.</w:t>
      </w:r>
    </w:p>
    <w:p w:rsidR="00AB50C5" w:rsidRDefault="00AB50C5">
      <w:pPr>
        <w:spacing w:after="0" w:line="240" w:lineRule="auto"/>
        <w:ind w:left="2832" w:hanging="2832"/>
        <w:jc w:val="both"/>
        <w:rPr>
          <w:rFonts w:ascii="Times New Roman" w:hAnsi="Times New Roman" w:cs="Times New Roman"/>
          <w:noProof/>
          <w:sz w:val="24"/>
          <w:szCs w:val="24"/>
          <w:lang w:val="en-US" w:eastAsia="it-IT"/>
        </w:rPr>
      </w:pPr>
    </w:p>
    <w:p w:rsidR="00AB50C5" w:rsidRDefault="00724275">
      <w:pPr>
        <w:spacing w:after="0" w:line="240" w:lineRule="auto"/>
        <w:jc w:val="both"/>
        <w:rPr>
          <w:rFonts w:ascii="Times New Roman" w:hAnsi="Times New Roman" w:cs="Times New Roman"/>
          <w:noProof/>
          <w:position w:val="-32"/>
          <w:sz w:val="24"/>
          <w:szCs w:val="24"/>
          <w:lang w:val="en-US" w:eastAsia="en-AU"/>
        </w:rPr>
      </w:pPr>
      <w:r>
        <w:rPr>
          <w:rFonts w:ascii="Times New Roman" w:hAnsi="Times New Roman" w:cs="Times New Roman"/>
          <w:noProof/>
          <w:position w:val="-32"/>
          <w:sz w:val="24"/>
          <w:szCs w:val="24"/>
          <w:lang w:val="en-US" w:eastAsia="en-AU"/>
        </w:rPr>
        <w:t>SSP</w:t>
      </w:r>
      <w:r>
        <w:rPr>
          <w:rFonts w:ascii="Times New Roman" w:hAnsi="Times New Roman" w:cs="Times New Roman"/>
          <w:noProof/>
          <w:position w:val="-32"/>
          <w:sz w:val="24"/>
          <w:szCs w:val="24"/>
          <w:lang w:val="en-US" w:eastAsia="en-AU"/>
        </w:rPr>
        <w:tab/>
      </w:r>
      <w:r>
        <w:rPr>
          <w:rFonts w:ascii="Times New Roman" w:hAnsi="Times New Roman" w:cs="Times New Roman"/>
          <w:noProof/>
          <w:position w:val="-32"/>
          <w:sz w:val="24"/>
          <w:szCs w:val="24"/>
          <w:lang w:val="en-US" w:eastAsia="en-AU"/>
        </w:rPr>
        <w:tab/>
        <w:t>Sanitation Safety Planning</w:t>
      </w:r>
    </w:p>
    <w:p w:rsidR="00AB50C5" w:rsidRDefault="00AB50C5">
      <w:pPr>
        <w:spacing w:after="0" w:line="240" w:lineRule="auto"/>
        <w:ind w:left="2832" w:hanging="2832"/>
        <w:jc w:val="both"/>
        <w:rPr>
          <w:rFonts w:ascii="Times New Roman" w:hAnsi="Times New Roman" w:cs="Times New Roman"/>
          <w:noProof/>
          <w:sz w:val="24"/>
          <w:szCs w:val="24"/>
          <w:lang w:val="en-US" w:eastAsia="it-IT"/>
        </w:rPr>
      </w:pPr>
    </w:p>
    <w:p w:rsidR="00AB50C5" w:rsidRDefault="00724275">
      <w:pPr>
        <w:spacing w:after="0" w:line="240" w:lineRule="auto"/>
        <w:ind w:left="1440" w:hanging="1440"/>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 xml:space="preserve">Target </w:t>
      </w:r>
      <w:r>
        <w:rPr>
          <w:rFonts w:ascii="Times New Roman" w:hAnsi="Times New Roman" w:cs="Times New Roman"/>
          <w:noProof/>
          <w:sz w:val="24"/>
          <w:szCs w:val="24"/>
          <w:lang w:val="en-US" w:eastAsia="it-IT"/>
        </w:rPr>
        <w:tab/>
        <w:t>Performance goals to provide early warning that a critical limit is be</w:t>
      </w:r>
      <w:r>
        <w:rPr>
          <w:rFonts w:ascii="Times New Roman" w:hAnsi="Times New Roman" w:cs="Times New Roman"/>
          <w:noProof/>
          <w:sz w:val="24"/>
          <w:szCs w:val="24"/>
          <w:lang w:val="en-US" w:eastAsia="it-IT"/>
        </w:rPr>
        <w:t>ing</w:t>
      </w:r>
    </w:p>
    <w:p w:rsidR="00AB50C5" w:rsidRDefault="00724275">
      <w:pPr>
        <w:spacing w:after="0" w:line="240" w:lineRule="auto"/>
        <w:ind w:left="1440" w:hanging="1440"/>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 xml:space="preserve">criteria </w:t>
      </w:r>
      <w:r>
        <w:rPr>
          <w:rFonts w:ascii="Times New Roman" w:hAnsi="Times New Roman" w:cs="Times New Roman"/>
          <w:noProof/>
          <w:sz w:val="24"/>
          <w:szCs w:val="24"/>
          <w:lang w:val="en-US" w:eastAsia="it-IT"/>
        </w:rPr>
        <w:tab/>
        <w:t>approached.</w:t>
      </w:r>
    </w:p>
    <w:p w:rsidR="00AB50C5" w:rsidRDefault="00724275">
      <w:pPr>
        <w:spacing w:after="0" w:line="240" w:lineRule="auto"/>
        <w:ind w:left="1440" w:hanging="1440"/>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ab/>
      </w:r>
    </w:p>
    <w:p w:rsidR="00AB50C5" w:rsidRDefault="00724275">
      <w:pPr>
        <w:spacing w:after="0" w:line="240" w:lineRule="auto"/>
        <w:jc w:val="both"/>
        <w:rPr>
          <w:rFonts w:ascii="Times New Roman" w:hAnsi="Times New Roman" w:cs="Times New Roman"/>
          <w:noProof/>
          <w:position w:val="-32"/>
          <w:sz w:val="24"/>
          <w:szCs w:val="24"/>
          <w:lang w:val="en-US" w:eastAsia="en-AU"/>
        </w:rPr>
      </w:pPr>
      <w:r>
        <w:rPr>
          <w:rFonts w:ascii="Times New Roman" w:hAnsi="Times New Roman" w:cs="Times New Roman"/>
          <w:noProof/>
          <w:position w:val="-32"/>
          <w:sz w:val="24"/>
          <w:szCs w:val="24"/>
          <w:lang w:val="en-US" w:eastAsia="en-AU"/>
        </w:rPr>
        <w:t>TOC</w:t>
      </w:r>
      <w:r>
        <w:rPr>
          <w:rFonts w:ascii="Times New Roman" w:hAnsi="Times New Roman" w:cs="Times New Roman"/>
          <w:noProof/>
          <w:position w:val="-32"/>
          <w:sz w:val="24"/>
          <w:szCs w:val="24"/>
          <w:lang w:val="en-US" w:eastAsia="en-AU"/>
        </w:rPr>
        <w:tab/>
      </w:r>
      <w:r>
        <w:rPr>
          <w:rFonts w:ascii="Times New Roman" w:hAnsi="Times New Roman" w:cs="Times New Roman"/>
          <w:noProof/>
          <w:position w:val="-32"/>
          <w:sz w:val="24"/>
          <w:szCs w:val="24"/>
          <w:lang w:val="en-US" w:eastAsia="en-AU"/>
        </w:rPr>
        <w:tab/>
        <w:t>Total Organic Carbon</w:t>
      </w:r>
    </w:p>
    <w:p w:rsidR="00AB50C5" w:rsidRDefault="00724275">
      <w:pPr>
        <w:spacing w:after="0" w:line="240" w:lineRule="auto"/>
        <w:jc w:val="both"/>
        <w:rPr>
          <w:rFonts w:ascii="Times New Roman" w:hAnsi="Times New Roman" w:cs="Times New Roman"/>
          <w:noProof/>
          <w:position w:val="-32"/>
          <w:sz w:val="24"/>
          <w:szCs w:val="24"/>
          <w:lang w:val="en-US" w:eastAsia="en-AU"/>
        </w:rPr>
      </w:pPr>
      <w:r>
        <w:rPr>
          <w:rFonts w:ascii="Times New Roman" w:hAnsi="Times New Roman" w:cs="Times New Roman"/>
          <w:noProof/>
          <w:position w:val="-32"/>
          <w:sz w:val="24"/>
          <w:szCs w:val="24"/>
          <w:lang w:val="en-US" w:eastAsia="en-AU"/>
        </w:rPr>
        <w:t>TSS</w:t>
      </w:r>
      <w:r>
        <w:rPr>
          <w:rFonts w:ascii="Times New Roman" w:hAnsi="Times New Roman" w:cs="Times New Roman"/>
          <w:noProof/>
          <w:position w:val="-32"/>
          <w:sz w:val="24"/>
          <w:szCs w:val="24"/>
          <w:lang w:val="en-US" w:eastAsia="en-AU"/>
        </w:rPr>
        <w:tab/>
      </w:r>
      <w:r>
        <w:rPr>
          <w:rFonts w:ascii="Times New Roman" w:hAnsi="Times New Roman" w:cs="Times New Roman"/>
          <w:noProof/>
          <w:position w:val="-32"/>
          <w:sz w:val="24"/>
          <w:szCs w:val="24"/>
          <w:lang w:val="en-US" w:eastAsia="en-AU"/>
        </w:rPr>
        <w:tab/>
        <w:t>Total Suspended Solids</w:t>
      </w:r>
    </w:p>
    <w:p w:rsidR="00AB50C5" w:rsidRDefault="00AB50C5">
      <w:pPr>
        <w:spacing w:after="0" w:line="240" w:lineRule="auto"/>
        <w:ind w:left="2832" w:hanging="2832"/>
        <w:jc w:val="both"/>
        <w:rPr>
          <w:rFonts w:ascii="Times New Roman" w:hAnsi="Times New Roman" w:cs="Times New Roman"/>
          <w:noProof/>
          <w:sz w:val="24"/>
          <w:szCs w:val="24"/>
          <w:lang w:val="en-US" w:eastAsia="it-IT"/>
        </w:rPr>
      </w:pPr>
    </w:p>
    <w:p w:rsidR="00AB50C5" w:rsidRDefault="00724275">
      <w:pPr>
        <w:spacing w:after="0" w:line="240" w:lineRule="auto"/>
        <w:ind w:left="1440" w:hanging="1440"/>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 xml:space="preserve">Urban </w:t>
      </w:r>
      <w:r>
        <w:rPr>
          <w:rFonts w:ascii="Times New Roman" w:hAnsi="Times New Roman" w:cs="Times New Roman"/>
          <w:noProof/>
          <w:sz w:val="24"/>
          <w:szCs w:val="24"/>
          <w:lang w:val="en-US" w:eastAsia="it-IT"/>
        </w:rPr>
        <w:tab/>
        <w:t>Domestic wastewater or the mixture of domestic wastewater with industrial</w:t>
      </w:r>
    </w:p>
    <w:p w:rsidR="00AB50C5" w:rsidRDefault="00724275">
      <w:pPr>
        <w:spacing w:after="0" w:line="240" w:lineRule="auto"/>
        <w:ind w:left="1440" w:hanging="1440"/>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 xml:space="preserve">wastewater </w:t>
      </w:r>
      <w:r>
        <w:rPr>
          <w:rFonts w:ascii="Times New Roman" w:hAnsi="Times New Roman" w:cs="Times New Roman"/>
          <w:noProof/>
          <w:sz w:val="24"/>
          <w:szCs w:val="24"/>
          <w:lang w:val="en-US" w:eastAsia="it-IT"/>
        </w:rPr>
        <w:tab/>
        <w:t>wastewater and/or run-off rain water (according to Directive 91/271/EEC).</w:t>
      </w:r>
    </w:p>
    <w:p w:rsidR="00AB50C5" w:rsidRDefault="00724275">
      <w:pPr>
        <w:spacing w:after="0" w:line="240" w:lineRule="auto"/>
        <w:ind w:left="2832" w:hanging="2832"/>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ab/>
      </w:r>
    </w:p>
    <w:p w:rsidR="00AB50C5" w:rsidRDefault="00724275">
      <w:pPr>
        <w:spacing w:after="0" w:line="240" w:lineRule="auto"/>
        <w:jc w:val="both"/>
        <w:rPr>
          <w:rFonts w:ascii="Times New Roman" w:hAnsi="Times New Roman" w:cs="Times New Roman"/>
          <w:noProof/>
          <w:position w:val="-32"/>
          <w:sz w:val="24"/>
          <w:szCs w:val="24"/>
          <w:lang w:val="en-US" w:eastAsia="en-AU"/>
        </w:rPr>
      </w:pPr>
      <w:r>
        <w:rPr>
          <w:rFonts w:ascii="Times New Roman" w:hAnsi="Times New Roman" w:cs="Times New Roman"/>
          <w:noProof/>
          <w:position w:val="-32"/>
          <w:sz w:val="24"/>
          <w:szCs w:val="24"/>
          <w:lang w:val="en-US" w:eastAsia="en-AU"/>
        </w:rPr>
        <w:t>USEPA</w:t>
      </w:r>
      <w:r>
        <w:rPr>
          <w:rFonts w:ascii="Times New Roman" w:hAnsi="Times New Roman" w:cs="Times New Roman"/>
          <w:noProof/>
          <w:position w:val="-32"/>
          <w:sz w:val="24"/>
          <w:szCs w:val="24"/>
          <w:lang w:val="en-US" w:eastAsia="en-AU"/>
        </w:rPr>
        <w:tab/>
        <w:t>United States Environmental Protection Agency</w:t>
      </w:r>
    </w:p>
    <w:p w:rsidR="00AB50C5" w:rsidRDefault="00724275">
      <w:pPr>
        <w:spacing w:after="0" w:line="240" w:lineRule="auto"/>
        <w:jc w:val="both"/>
        <w:rPr>
          <w:rFonts w:ascii="Times New Roman" w:hAnsi="Times New Roman" w:cs="Times New Roman"/>
          <w:noProof/>
          <w:position w:val="-32"/>
          <w:sz w:val="24"/>
          <w:szCs w:val="24"/>
          <w:lang w:val="en-US" w:eastAsia="en-AU"/>
        </w:rPr>
      </w:pPr>
      <w:r>
        <w:rPr>
          <w:rFonts w:ascii="Times New Roman" w:hAnsi="Times New Roman" w:cs="Times New Roman"/>
          <w:noProof/>
          <w:position w:val="-32"/>
          <w:sz w:val="24"/>
          <w:szCs w:val="24"/>
          <w:lang w:val="en-US" w:eastAsia="en-AU"/>
        </w:rPr>
        <w:t xml:space="preserve">UV </w:t>
      </w:r>
      <w:r>
        <w:rPr>
          <w:rFonts w:ascii="Times New Roman" w:hAnsi="Times New Roman" w:cs="Times New Roman"/>
          <w:noProof/>
          <w:position w:val="-32"/>
          <w:sz w:val="24"/>
          <w:szCs w:val="24"/>
          <w:lang w:val="en-US" w:eastAsia="en-AU"/>
        </w:rPr>
        <w:tab/>
      </w:r>
      <w:r>
        <w:rPr>
          <w:rFonts w:ascii="Times New Roman" w:hAnsi="Times New Roman" w:cs="Times New Roman"/>
          <w:noProof/>
          <w:position w:val="-32"/>
          <w:sz w:val="24"/>
          <w:szCs w:val="24"/>
          <w:lang w:val="en-US" w:eastAsia="en-AU"/>
        </w:rPr>
        <w:tab/>
        <w:t>Ultraviolet</w:t>
      </w:r>
    </w:p>
    <w:p w:rsidR="00AB50C5" w:rsidRDefault="00724275">
      <w:pPr>
        <w:spacing w:after="0" w:line="240" w:lineRule="auto"/>
        <w:jc w:val="both"/>
        <w:rPr>
          <w:rFonts w:ascii="Times New Roman" w:hAnsi="Times New Roman" w:cs="Times New Roman"/>
          <w:noProof/>
          <w:position w:val="-32"/>
          <w:sz w:val="24"/>
          <w:szCs w:val="24"/>
          <w:lang w:val="en-US" w:eastAsia="en-AU"/>
        </w:rPr>
      </w:pPr>
      <w:r>
        <w:rPr>
          <w:rFonts w:ascii="Times New Roman" w:hAnsi="Times New Roman" w:cs="Times New Roman"/>
          <w:noProof/>
          <w:position w:val="-32"/>
          <w:sz w:val="24"/>
          <w:szCs w:val="24"/>
          <w:lang w:val="en-US" w:eastAsia="en-AU"/>
        </w:rPr>
        <w:t>UWWTD</w:t>
      </w:r>
      <w:r>
        <w:rPr>
          <w:rFonts w:ascii="Times New Roman" w:hAnsi="Times New Roman" w:cs="Times New Roman"/>
          <w:noProof/>
          <w:position w:val="-32"/>
          <w:sz w:val="24"/>
          <w:szCs w:val="24"/>
          <w:lang w:val="en-US" w:eastAsia="en-AU"/>
        </w:rPr>
        <w:tab/>
        <w:t>Urban Wastewater Treatment Directive</w:t>
      </w:r>
    </w:p>
    <w:p w:rsidR="00AB50C5" w:rsidRDefault="00AB50C5">
      <w:pPr>
        <w:spacing w:after="0" w:line="240" w:lineRule="auto"/>
        <w:ind w:left="2832" w:hanging="2832"/>
        <w:jc w:val="both"/>
        <w:rPr>
          <w:rFonts w:ascii="Times New Roman" w:hAnsi="Times New Roman" w:cs="Times New Roman"/>
          <w:noProof/>
          <w:sz w:val="24"/>
          <w:szCs w:val="24"/>
          <w:lang w:val="en-US" w:eastAsia="it-IT"/>
        </w:rPr>
      </w:pPr>
    </w:p>
    <w:p w:rsidR="00AB50C5" w:rsidRDefault="00724275">
      <w:pPr>
        <w:spacing w:after="0" w:line="240" w:lineRule="auto"/>
        <w:ind w:left="1440" w:hanging="1440"/>
        <w:jc w:val="both"/>
        <w:rPr>
          <w:rFonts w:ascii="Times New Roman" w:hAnsi="Times New Roman" w:cs="Times New Roman"/>
          <w:noProof/>
          <w:sz w:val="24"/>
          <w:szCs w:val="24"/>
          <w:lang w:val="en-US" w:eastAsia="it-IT"/>
        </w:rPr>
      </w:pPr>
      <w:r>
        <w:rPr>
          <w:rFonts w:ascii="Times New Roman" w:hAnsi="Times New Roman" w:cs="Times New Roman"/>
          <w:noProof/>
          <w:sz w:val="24"/>
          <w:szCs w:val="24"/>
          <w:lang w:val="en-US" w:eastAsia="it-IT"/>
        </w:rPr>
        <w:t xml:space="preserve">Water reuse </w:t>
      </w:r>
      <w:r>
        <w:rPr>
          <w:rFonts w:ascii="Times New Roman" w:hAnsi="Times New Roman" w:cs="Times New Roman"/>
          <w:noProof/>
          <w:sz w:val="24"/>
          <w:szCs w:val="24"/>
          <w:lang w:val="en-US" w:eastAsia="it-IT"/>
        </w:rPr>
        <w:tab/>
        <w:t>Use of treated wastewater for beneficial use. Synonymous with water reclamation and water recycling.</w:t>
      </w:r>
      <w:r>
        <w:rPr>
          <w:rFonts w:ascii="Times New Roman" w:hAnsi="Times New Roman" w:cs="Times New Roman"/>
          <w:noProof/>
          <w:sz w:val="24"/>
          <w:szCs w:val="24"/>
          <w:lang w:val="en-US" w:eastAsia="it-IT"/>
        </w:rPr>
        <w:tab/>
      </w:r>
    </w:p>
    <w:p w:rsidR="00AB50C5" w:rsidRDefault="00724275">
      <w:pPr>
        <w:spacing w:after="0" w:line="240" w:lineRule="auto"/>
        <w:jc w:val="both"/>
        <w:rPr>
          <w:rFonts w:ascii="Times New Roman" w:hAnsi="Times New Roman" w:cs="Times New Roman"/>
          <w:noProof/>
          <w:position w:val="-32"/>
          <w:sz w:val="24"/>
          <w:szCs w:val="24"/>
          <w:lang w:val="en-US" w:eastAsia="en-AU"/>
        </w:rPr>
      </w:pPr>
      <w:r>
        <w:rPr>
          <w:rFonts w:ascii="Times New Roman" w:hAnsi="Times New Roman" w:cs="Times New Roman"/>
          <w:noProof/>
          <w:position w:val="-32"/>
          <w:sz w:val="24"/>
          <w:szCs w:val="24"/>
          <w:lang w:val="en-US" w:eastAsia="en-AU"/>
        </w:rPr>
        <w:t>WFD</w:t>
      </w:r>
      <w:r>
        <w:rPr>
          <w:rFonts w:ascii="Times New Roman" w:hAnsi="Times New Roman" w:cs="Times New Roman"/>
          <w:noProof/>
          <w:position w:val="-32"/>
          <w:sz w:val="24"/>
          <w:szCs w:val="24"/>
          <w:lang w:val="en-US" w:eastAsia="en-AU"/>
        </w:rPr>
        <w:tab/>
      </w:r>
      <w:r>
        <w:rPr>
          <w:rFonts w:ascii="Times New Roman" w:hAnsi="Times New Roman" w:cs="Times New Roman"/>
          <w:noProof/>
          <w:position w:val="-32"/>
          <w:sz w:val="24"/>
          <w:szCs w:val="24"/>
          <w:lang w:val="en-US" w:eastAsia="en-AU"/>
        </w:rPr>
        <w:tab/>
        <w:t>Water Framework Directi</w:t>
      </w:r>
      <w:r>
        <w:rPr>
          <w:rFonts w:ascii="Times New Roman" w:hAnsi="Times New Roman" w:cs="Times New Roman"/>
          <w:noProof/>
          <w:position w:val="-32"/>
          <w:sz w:val="24"/>
          <w:szCs w:val="24"/>
          <w:lang w:val="en-US" w:eastAsia="en-AU"/>
        </w:rPr>
        <w:t>ve</w:t>
      </w:r>
    </w:p>
    <w:p w:rsidR="00AB50C5" w:rsidRDefault="00724275">
      <w:pPr>
        <w:spacing w:after="0" w:line="240" w:lineRule="auto"/>
        <w:jc w:val="both"/>
        <w:rPr>
          <w:rFonts w:ascii="Times New Roman" w:hAnsi="Times New Roman" w:cs="Times New Roman"/>
          <w:noProof/>
          <w:position w:val="-32"/>
          <w:sz w:val="24"/>
          <w:szCs w:val="24"/>
          <w:lang w:val="en-US" w:eastAsia="en-AU"/>
        </w:rPr>
      </w:pPr>
      <w:r>
        <w:rPr>
          <w:rFonts w:ascii="Times New Roman" w:hAnsi="Times New Roman" w:cs="Times New Roman"/>
          <w:noProof/>
          <w:position w:val="-32"/>
          <w:sz w:val="24"/>
          <w:szCs w:val="24"/>
          <w:lang w:val="en-US" w:eastAsia="en-AU"/>
        </w:rPr>
        <w:t xml:space="preserve">WHO </w:t>
      </w:r>
      <w:r>
        <w:rPr>
          <w:rFonts w:ascii="Times New Roman" w:hAnsi="Times New Roman" w:cs="Times New Roman"/>
          <w:noProof/>
          <w:position w:val="-32"/>
          <w:sz w:val="24"/>
          <w:szCs w:val="24"/>
          <w:lang w:val="en-US" w:eastAsia="en-AU"/>
        </w:rPr>
        <w:tab/>
      </w:r>
      <w:r>
        <w:rPr>
          <w:rFonts w:ascii="Times New Roman" w:hAnsi="Times New Roman" w:cs="Times New Roman"/>
          <w:noProof/>
          <w:position w:val="-32"/>
          <w:sz w:val="24"/>
          <w:szCs w:val="24"/>
          <w:lang w:val="en-US" w:eastAsia="en-AU"/>
        </w:rPr>
        <w:tab/>
        <w:t>World Health Organization</w:t>
      </w:r>
    </w:p>
    <w:p w:rsidR="00AB50C5" w:rsidRDefault="00724275">
      <w:pPr>
        <w:spacing w:after="0" w:line="240" w:lineRule="auto"/>
        <w:jc w:val="both"/>
        <w:rPr>
          <w:rFonts w:ascii="Times New Roman" w:hAnsi="Times New Roman" w:cs="Times New Roman"/>
          <w:noProof/>
          <w:position w:val="-32"/>
          <w:sz w:val="24"/>
          <w:szCs w:val="24"/>
          <w:lang w:val="en-US" w:eastAsia="en-AU"/>
        </w:rPr>
      </w:pPr>
      <w:r>
        <w:rPr>
          <w:rFonts w:ascii="Times New Roman" w:hAnsi="Times New Roman" w:cs="Times New Roman"/>
          <w:noProof/>
          <w:position w:val="-32"/>
          <w:sz w:val="24"/>
          <w:szCs w:val="24"/>
          <w:lang w:val="en-US" w:eastAsia="en-AU"/>
        </w:rPr>
        <w:t>WSP</w:t>
      </w:r>
      <w:r>
        <w:rPr>
          <w:rFonts w:ascii="Times New Roman" w:hAnsi="Times New Roman" w:cs="Times New Roman"/>
          <w:noProof/>
          <w:position w:val="-32"/>
          <w:sz w:val="24"/>
          <w:szCs w:val="24"/>
          <w:lang w:val="en-US" w:eastAsia="en-AU"/>
        </w:rPr>
        <w:tab/>
      </w:r>
      <w:r>
        <w:rPr>
          <w:rFonts w:ascii="Times New Roman" w:hAnsi="Times New Roman" w:cs="Times New Roman"/>
          <w:noProof/>
          <w:position w:val="-32"/>
          <w:sz w:val="24"/>
          <w:szCs w:val="24"/>
          <w:lang w:val="en-US" w:eastAsia="en-AU"/>
        </w:rPr>
        <w:tab/>
        <w:t>Water Safety Plans</w:t>
      </w:r>
    </w:p>
    <w:p w:rsidR="00AB50C5" w:rsidRDefault="00724275">
      <w:pPr>
        <w:spacing w:after="0" w:line="240" w:lineRule="auto"/>
        <w:jc w:val="both"/>
        <w:rPr>
          <w:rFonts w:ascii="Times New Roman" w:hAnsi="Times New Roman" w:cs="Times New Roman"/>
          <w:noProof/>
          <w:position w:val="-32"/>
          <w:sz w:val="24"/>
          <w:szCs w:val="24"/>
          <w:lang w:val="en-US" w:eastAsia="en-AU"/>
        </w:rPr>
      </w:pPr>
      <w:r>
        <w:rPr>
          <w:rFonts w:ascii="Times New Roman" w:hAnsi="Times New Roman" w:cs="Times New Roman"/>
          <w:noProof/>
          <w:position w:val="-32"/>
          <w:sz w:val="24"/>
          <w:szCs w:val="24"/>
          <w:lang w:val="en-US" w:eastAsia="en-AU"/>
        </w:rPr>
        <w:t>WWTP</w:t>
      </w:r>
      <w:r>
        <w:rPr>
          <w:rFonts w:ascii="Times New Roman" w:hAnsi="Times New Roman" w:cs="Times New Roman"/>
          <w:noProof/>
          <w:position w:val="-32"/>
          <w:sz w:val="24"/>
          <w:szCs w:val="24"/>
          <w:lang w:val="en-US" w:eastAsia="en-AU"/>
        </w:rPr>
        <w:tab/>
        <w:t>Wastewater Treatment Plant</w:t>
      </w:r>
    </w:p>
    <w:p w:rsidR="00AB50C5" w:rsidRDefault="00AB50C5">
      <w:pPr>
        <w:spacing w:after="0" w:line="240" w:lineRule="auto"/>
        <w:jc w:val="both"/>
        <w:rPr>
          <w:rFonts w:ascii="Times New Roman" w:hAnsi="Times New Roman" w:cs="Times New Roman"/>
          <w:noProof/>
          <w:position w:val="-32"/>
          <w:sz w:val="24"/>
          <w:szCs w:val="24"/>
          <w:lang w:val="en-US" w:eastAsia="en-AU"/>
        </w:rPr>
      </w:pPr>
    </w:p>
    <w:p w:rsidR="00AB50C5" w:rsidRDefault="00724275">
      <w:pPr>
        <w:pStyle w:val="JRCLevel-1Backtitle"/>
        <w:jc w:val="both"/>
        <w:rPr>
          <w:rFonts w:ascii="Times New Roman" w:hAnsi="Times New Roman"/>
          <w:noProof/>
          <w:szCs w:val="24"/>
          <w:lang w:val="en-US" w:eastAsia="en-AU"/>
        </w:rPr>
      </w:pPr>
      <w:bookmarkStart w:id="100" w:name="_Toc498695700"/>
      <w:bookmarkStart w:id="101" w:name="_Toc516234782"/>
      <w:r>
        <w:rPr>
          <w:rFonts w:ascii="Times New Roman" w:hAnsi="Times New Roman"/>
          <w:noProof/>
          <w:szCs w:val="24"/>
          <w:lang w:val="en-US" w:eastAsia="en-AU"/>
        </w:rPr>
        <w:t>List of figures</w:t>
      </w:r>
      <w:bookmarkEnd w:id="100"/>
      <w:bookmarkEnd w:id="101"/>
    </w:p>
    <w:p w:rsidR="00AB50C5" w:rsidRDefault="00724275">
      <w:pPr>
        <w:pStyle w:val="TableofFigures"/>
        <w:tabs>
          <w:tab w:val="right" w:leader="dot" w:pos="9062"/>
        </w:tabs>
        <w:jc w:val="both"/>
        <w:rPr>
          <w:rFonts w:ascii="Times New Roman" w:eastAsiaTheme="minorEastAsia" w:hAnsi="Times New Roman"/>
          <w:noProof/>
          <w:sz w:val="24"/>
          <w:szCs w:val="24"/>
          <w:lang w:val="it-IT" w:eastAsia="it-IT"/>
        </w:rPr>
      </w:pPr>
      <w:r>
        <w:rPr>
          <w:rFonts w:ascii="Times New Roman" w:hAnsi="Times New Roman"/>
          <w:noProof/>
          <w:sz w:val="24"/>
          <w:szCs w:val="24"/>
          <w:lang w:val="en-US" w:eastAsia="en-AU"/>
        </w:rPr>
        <w:fldChar w:fldCharType="begin"/>
      </w:r>
      <w:r>
        <w:rPr>
          <w:rFonts w:ascii="Times New Roman" w:hAnsi="Times New Roman"/>
          <w:noProof/>
          <w:sz w:val="24"/>
          <w:szCs w:val="24"/>
          <w:lang w:val="en-US" w:eastAsia="en-AU"/>
        </w:rPr>
        <w:instrText xml:space="preserve"> TOC \h \z \c "Figure" </w:instrText>
      </w:r>
      <w:r>
        <w:rPr>
          <w:rFonts w:ascii="Times New Roman" w:hAnsi="Times New Roman"/>
          <w:noProof/>
          <w:sz w:val="24"/>
          <w:szCs w:val="24"/>
          <w:lang w:val="en-US" w:eastAsia="en-AU"/>
        </w:rPr>
        <w:fldChar w:fldCharType="separate"/>
      </w:r>
      <w:hyperlink w:anchor="_Toc498672460" w:history="1">
        <w:r>
          <w:rPr>
            <w:rStyle w:val="Hyperlink"/>
            <w:rFonts w:ascii="Times New Roman" w:hAnsi="Times New Roman"/>
            <w:b/>
            <w:noProof/>
            <w:sz w:val="24"/>
            <w:szCs w:val="24"/>
          </w:rPr>
          <w:t>Figure 1.</w:t>
        </w:r>
        <w:r>
          <w:rPr>
            <w:rStyle w:val="Hyperlink"/>
            <w:rFonts w:ascii="Times New Roman" w:hAnsi="Times New Roman"/>
            <w:noProof/>
            <w:sz w:val="24"/>
            <w:szCs w:val="24"/>
          </w:rPr>
          <w:t xml:space="preserve"> Decision support tree to identify critical control points in a water reuse system.</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_Toc498672460 \h </w:instrText>
        </w:r>
        <w:r>
          <w:rPr>
            <w:rFonts w:ascii="Times New Roman" w:hAnsi="Times New Roman"/>
            <w:noProof/>
            <w:webHidden/>
            <w:sz w:val="24"/>
            <w:szCs w:val="24"/>
          </w:rPr>
        </w:r>
        <w:r>
          <w:rPr>
            <w:rFonts w:ascii="Times New Roman" w:hAnsi="Times New Roman"/>
            <w:noProof/>
            <w:webHidden/>
            <w:sz w:val="24"/>
            <w:szCs w:val="24"/>
          </w:rPr>
          <w:fldChar w:fldCharType="separate"/>
        </w:r>
        <w:r>
          <w:rPr>
            <w:rFonts w:ascii="Times New Roman" w:hAnsi="Times New Roman"/>
            <w:noProof/>
            <w:webHidden/>
            <w:sz w:val="24"/>
            <w:szCs w:val="24"/>
          </w:rPr>
          <w:t>22</w:t>
        </w:r>
        <w:r>
          <w:rPr>
            <w:rFonts w:ascii="Times New Roman" w:hAnsi="Times New Roman"/>
            <w:noProof/>
            <w:webHidden/>
            <w:sz w:val="24"/>
            <w:szCs w:val="24"/>
          </w:rPr>
          <w:fldChar w:fldCharType="end"/>
        </w:r>
      </w:hyperlink>
    </w:p>
    <w:p w:rsidR="00AB50C5" w:rsidRDefault="00724275">
      <w:pPr>
        <w:pStyle w:val="JRCText"/>
        <w:rPr>
          <w:rFonts w:ascii="Times New Roman" w:hAnsi="Times New Roman"/>
          <w:noProof/>
          <w:sz w:val="24"/>
          <w:szCs w:val="24"/>
          <w:lang w:val="en-US" w:eastAsia="en-AU"/>
        </w:rPr>
      </w:pPr>
      <w:r>
        <w:rPr>
          <w:rFonts w:ascii="Times New Roman" w:hAnsi="Times New Roman"/>
          <w:noProof/>
          <w:sz w:val="24"/>
          <w:szCs w:val="24"/>
          <w:lang w:val="en-US" w:eastAsia="en-AU"/>
        </w:rPr>
        <w:fldChar w:fldCharType="end"/>
      </w:r>
    </w:p>
    <w:p w:rsidR="00AB50C5" w:rsidRDefault="00AB50C5">
      <w:pPr>
        <w:spacing w:after="0" w:line="240" w:lineRule="auto"/>
        <w:jc w:val="both"/>
        <w:rPr>
          <w:rFonts w:ascii="Times New Roman" w:hAnsi="Times New Roman" w:cs="Times New Roman"/>
          <w:noProof/>
          <w:position w:val="-32"/>
          <w:sz w:val="24"/>
          <w:szCs w:val="24"/>
          <w:lang w:val="en-US" w:eastAsia="en-AU"/>
        </w:rPr>
      </w:pPr>
    </w:p>
    <w:p w:rsidR="00AB50C5" w:rsidRDefault="00AB50C5">
      <w:pPr>
        <w:spacing w:after="0" w:line="240" w:lineRule="auto"/>
        <w:jc w:val="both"/>
        <w:rPr>
          <w:rFonts w:ascii="Times New Roman" w:hAnsi="Times New Roman" w:cs="Times New Roman"/>
          <w:noProof/>
          <w:position w:val="-32"/>
          <w:sz w:val="24"/>
          <w:szCs w:val="24"/>
          <w:lang w:val="en-US" w:eastAsia="en-AU"/>
        </w:rPr>
      </w:pPr>
    </w:p>
    <w:p w:rsidR="00AB50C5" w:rsidRDefault="00724275">
      <w:pPr>
        <w:pStyle w:val="JRCLevel-1Backtitle"/>
        <w:jc w:val="both"/>
        <w:rPr>
          <w:rFonts w:ascii="Times New Roman" w:hAnsi="Times New Roman"/>
          <w:noProof/>
          <w:szCs w:val="24"/>
          <w:lang w:val="en-US" w:eastAsia="en-AU"/>
        </w:rPr>
      </w:pPr>
      <w:bookmarkStart w:id="102" w:name="_Toc498695701"/>
      <w:bookmarkStart w:id="103" w:name="_Toc516234783"/>
      <w:r>
        <w:rPr>
          <w:rFonts w:ascii="Times New Roman" w:hAnsi="Times New Roman"/>
          <w:noProof/>
          <w:szCs w:val="24"/>
          <w:lang w:val="en-US" w:eastAsia="en-AU"/>
        </w:rPr>
        <w:t>List of tables</w:t>
      </w:r>
      <w:bookmarkEnd w:id="102"/>
      <w:bookmarkEnd w:id="103"/>
    </w:p>
    <w:p w:rsidR="00AB50C5" w:rsidRDefault="00724275">
      <w:pPr>
        <w:pStyle w:val="TableofFigures"/>
        <w:tabs>
          <w:tab w:val="right" w:leader="dot" w:pos="9062"/>
        </w:tabs>
        <w:jc w:val="both"/>
        <w:rPr>
          <w:rFonts w:ascii="Times New Roman" w:eastAsiaTheme="minorEastAsia" w:hAnsi="Times New Roman"/>
          <w:noProof/>
          <w:sz w:val="24"/>
          <w:szCs w:val="24"/>
          <w:lang w:val="it-IT" w:eastAsia="it-IT"/>
        </w:rPr>
      </w:pPr>
      <w:r>
        <w:rPr>
          <w:rFonts w:ascii="Times New Roman" w:hAnsi="Times New Roman"/>
          <w:noProof/>
          <w:sz w:val="24"/>
          <w:szCs w:val="24"/>
          <w:lang w:val="en-US"/>
        </w:rPr>
        <w:fldChar w:fldCharType="begin"/>
      </w:r>
      <w:r>
        <w:rPr>
          <w:rFonts w:ascii="Times New Roman" w:hAnsi="Times New Roman"/>
          <w:noProof/>
          <w:sz w:val="24"/>
          <w:szCs w:val="24"/>
          <w:lang w:val="en-US"/>
        </w:rPr>
        <w:instrText xml:space="preserve"> TOC \h \z \c "Table" </w:instrText>
      </w:r>
      <w:r>
        <w:rPr>
          <w:rFonts w:ascii="Times New Roman" w:hAnsi="Times New Roman"/>
          <w:noProof/>
          <w:sz w:val="24"/>
          <w:szCs w:val="24"/>
          <w:lang w:val="en-US"/>
        </w:rPr>
        <w:fldChar w:fldCharType="separate"/>
      </w:r>
      <w:hyperlink w:anchor="_Toc498672381" w:history="1">
        <w:r>
          <w:rPr>
            <w:rStyle w:val="Hyperlink"/>
            <w:rFonts w:ascii="Times New Roman" w:hAnsi="Times New Roman"/>
            <w:b/>
            <w:noProof/>
            <w:sz w:val="24"/>
            <w:szCs w:val="24"/>
          </w:rPr>
          <w:t>Table 1</w:t>
        </w:r>
        <w:r>
          <w:rPr>
            <w:rStyle w:val="Hyperlink"/>
            <w:rFonts w:ascii="Times New Roman" w:hAnsi="Times New Roman"/>
            <w:noProof/>
            <w:sz w:val="24"/>
            <w:szCs w:val="24"/>
          </w:rPr>
          <w:t>. Examples of operational monitoring for several treatment processes.</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_Toc498672381 \h </w:instrText>
        </w:r>
        <w:r>
          <w:rPr>
            <w:rFonts w:ascii="Times New Roman" w:hAnsi="Times New Roman"/>
            <w:noProof/>
            <w:webHidden/>
            <w:sz w:val="24"/>
            <w:szCs w:val="24"/>
          </w:rPr>
        </w:r>
        <w:r>
          <w:rPr>
            <w:rFonts w:ascii="Times New Roman" w:hAnsi="Times New Roman"/>
            <w:noProof/>
            <w:webHidden/>
            <w:sz w:val="24"/>
            <w:szCs w:val="24"/>
          </w:rPr>
          <w:fldChar w:fldCharType="separate"/>
        </w:r>
        <w:r>
          <w:rPr>
            <w:rFonts w:ascii="Times New Roman" w:hAnsi="Times New Roman"/>
            <w:noProof/>
            <w:webHidden/>
            <w:sz w:val="24"/>
            <w:szCs w:val="24"/>
          </w:rPr>
          <w:t>23</w:t>
        </w:r>
        <w:r>
          <w:rPr>
            <w:rFonts w:ascii="Times New Roman" w:hAnsi="Times New Roman"/>
            <w:noProof/>
            <w:webHidden/>
            <w:sz w:val="24"/>
            <w:szCs w:val="24"/>
          </w:rPr>
          <w:fldChar w:fldCharType="end"/>
        </w:r>
      </w:hyperlink>
    </w:p>
    <w:p w:rsidR="00AB50C5" w:rsidRDefault="00724275">
      <w:pPr>
        <w:pStyle w:val="TableofFigures"/>
        <w:tabs>
          <w:tab w:val="right" w:leader="dot" w:pos="9062"/>
        </w:tabs>
        <w:jc w:val="both"/>
        <w:rPr>
          <w:rFonts w:ascii="Times New Roman" w:eastAsiaTheme="minorEastAsia" w:hAnsi="Times New Roman"/>
          <w:noProof/>
          <w:sz w:val="24"/>
          <w:szCs w:val="24"/>
          <w:lang w:val="it-IT" w:eastAsia="it-IT"/>
        </w:rPr>
      </w:pPr>
      <w:hyperlink w:anchor="_Toc498672382" w:history="1">
        <w:r>
          <w:rPr>
            <w:rStyle w:val="Hyperlink"/>
            <w:rFonts w:ascii="Times New Roman" w:hAnsi="Times New Roman"/>
            <w:b/>
            <w:noProof/>
            <w:sz w:val="24"/>
            <w:szCs w:val="24"/>
          </w:rPr>
          <w:t>Table 2.</w:t>
        </w:r>
        <w:r>
          <w:rPr>
            <w:rStyle w:val="Hyperlink"/>
            <w:rFonts w:ascii="Times New Roman" w:hAnsi="Times New Roman"/>
            <w:noProof/>
            <w:sz w:val="24"/>
            <w:szCs w:val="24"/>
          </w:rPr>
          <w:t xml:space="preserve"> Reclaimed water quality criteria for agricultural irrigation.</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_Toc498672382 \h </w:instrText>
        </w:r>
        <w:r>
          <w:rPr>
            <w:rFonts w:ascii="Times New Roman" w:hAnsi="Times New Roman"/>
            <w:noProof/>
            <w:webHidden/>
            <w:sz w:val="24"/>
            <w:szCs w:val="24"/>
          </w:rPr>
        </w:r>
        <w:r>
          <w:rPr>
            <w:rFonts w:ascii="Times New Roman" w:hAnsi="Times New Roman"/>
            <w:noProof/>
            <w:webHidden/>
            <w:sz w:val="24"/>
            <w:szCs w:val="24"/>
          </w:rPr>
          <w:fldChar w:fldCharType="separate"/>
        </w:r>
        <w:r>
          <w:rPr>
            <w:rFonts w:ascii="Times New Roman" w:hAnsi="Times New Roman"/>
            <w:noProof/>
            <w:webHidden/>
            <w:sz w:val="24"/>
            <w:szCs w:val="24"/>
          </w:rPr>
          <w:t>25</w:t>
        </w:r>
        <w:r>
          <w:rPr>
            <w:rFonts w:ascii="Times New Roman" w:hAnsi="Times New Roman"/>
            <w:noProof/>
            <w:webHidden/>
            <w:sz w:val="24"/>
            <w:szCs w:val="24"/>
          </w:rPr>
          <w:fldChar w:fldCharType="end"/>
        </w:r>
      </w:hyperlink>
    </w:p>
    <w:p w:rsidR="00AB50C5" w:rsidRDefault="00724275">
      <w:pPr>
        <w:pStyle w:val="TableofFigures"/>
        <w:tabs>
          <w:tab w:val="right" w:leader="dot" w:pos="9062"/>
        </w:tabs>
        <w:jc w:val="both"/>
        <w:rPr>
          <w:rFonts w:ascii="Times New Roman" w:eastAsiaTheme="minorEastAsia" w:hAnsi="Times New Roman"/>
          <w:noProof/>
          <w:sz w:val="24"/>
          <w:szCs w:val="24"/>
          <w:lang w:val="it-IT" w:eastAsia="it-IT"/>
        </w:rPr>
      </w:pPr>
      <w:hyperlink w:anchor="_Toc498672383" w:history="1">
        <w:r>
          <w:rPr>
            <w:rStyle w:val="Hyperlink"/>
            <w:rFonts w:ascii="Times New Roman" w:hAnsi="Times New Roman"/>
            <w:b/>
            <w:noProof/>
            <w:sz w:val="24"/>
            <w:szCs w:val="24"/>
          </w:rPr>
          <w:t>Table 3.</w:t>
        </w:r>
        <w:r>
          <w:rPr>
            <w:rStyle w:val="Hyperlink"/>
            <w:rFonts w:ascii="Times New Roman" w:hAnsi="Times New Roman"/>
            <w:noProof/>
            <w:sz w:val="24"/>
            <w:szCs w:val="24"/>
          </w:rPr>
          <w:t xml:space="preserve"> Classes of reclaimed water quality, and the associated agricultural use and irrigation method considered.</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_Toc498672383 \h </w:instrText>
        </w:r>
        <w:r>
          <w:rPr>
            <w:rFonts w:ascii="Times New Roman" w:hAnsi="Times New Roman"/>
            <w:noProof/>
            <w:webHidden/>
            <w:sz w:val="24"/>
            <w:szCs w:val="24"/>
          </w:rPr>
        </w:r>
        <w:r>
          <w:rPr>
            <w:rFonts w:ascii="Times New Roman" w:hAnsi="Times New Roman"/>
            <w:noProof/>
            <w:webHidden/>
            <w:sz w:val="24"/>
            <w:szCs w:val="24"/>
          </w:rPr>
          <w:fldChar w:fldCharType="separate"/>
        </w:r>
        <w:r>
          <w:rPr>
            <w:rFonts w:ascii="Times New Roman" w:hAnsi="Times New Roman"/>
            <w:noProof/>
            <w:webHidden/>
            <w:sz w:val="24"/>
            <w:szCs w:val="24"/>
          </w:rPr>
          <w:t>25</w:t>
        </w:r>
        <w:r>
          <w:rPr>
            <w:rFonts w:ascii="Times New Roman" w:hAnsi="Times New Roman"/>
            <w:noProof/>
            <w:webHidden/>
            <w:sz w:val="24"/>
            <w:szCs w:val="24"/>
          </w:rPr>
          <w:fldChar w:fldCharType="end"/>
        </w:r>
      </w:hyperlink>
    </w:p>
    <w:p w:rsidR="00AB50C5" w:rsidRDefault="00724275">
      <w:pPr>
        <w:pStyle w:val="TableofFigures"/>
        <w:tabs>
          <w:tab w:val="right" w:leader="dot" w:pos="9062"/>
        </w:tabs>
        <w:jc w:val="both"/>
        <w:rPr>
          <w:rFonts w:ascii="Times New Roman" w:eastAsiaTheme="minorEastAsia" w:hAnsi="Times New Roman"/>
          <w:noProof/>
          <w:sz w:val="24"/>
          <w:szCs w:val="24"/>
          <w:lang w:val="it-IT" w:eastAsia="it-IT"/>
        </w:rPr>
      </w:pPr>
      <w:hyperlink w:anchor="_Toc498672384" w:history="1">
        <w:r>
          <w:rPr>
            <w:rStyle w:val="Hyperlink"/>
            <w:rFonts w:ascii="Times New Roman" w:hAnsi="Times New Roman"/>
            <w:b/>
            <w:noProof/>
            <w:sz w:val="24"/>
            <w:szCs w:val="24"/>
          </w:rPr>
          <w:t>Table 4.</w:t>
        </w:r>
        <w:r>
          <w:rPr>
            <w:rStyle w:val="Hyperlink"/>
            <w:rFonts w:ascii="Times New Roman" w:hAnsi="Times New Roman"/>
            <w:noProof/>
            <w:sz w:val="24"/>
            <w:szCs w:val="24"/>
          </w:rPr>
          <w:t xml:space="preserve"> Minimum frequencies for reclaimed water monitoring for agricultural irrigation.</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_Toc498672384 \h </w:instrText>
        </w:r>
        <w:r>
          <w:rPr>
            <w:rFonts w:ascii="Times New Roman" w:hAnsi="Times New Roman"/>
            <w:noProof/>
            <w:webHidden/>
            <w:sz w:val="24"/>
            <w:szCs w:val="24"/>
          </w:rPr>
        </w:r>
        <w:r>
          <w:rPr>
            <w:rFonts w:ascii="Times New Roman" w:hAnsi="Times New Roman"/>
            <w:noProof/>
            <w:webHidden/>
            <w:sz w:val="24"/>
            <w:szCs w:val="24"/>
          </w:rPr>
          <w:fldChar w:fldCharType="separate"/>
        </w:r>
        <w:r>
          <w:rPr>
            <w:rFonts w:ascii="Times New Roman" w:hAnsi="Times New Roman"/>
            <w:noProof/>
            <w:webHidden/>
            <w:sz w:val="24"/>
            <w:szCs w:val="24"/>
          </w:rPr>
          <w:t>26</w:t>
        </w:r>
        <w:r>
          <w:rPr>
            <w:rFonts w:ascii="Times New Roman" w:hAnsi="Times New Roman"/>
            <w:noProof/>
            <w:webHidden/>
            <w:sz w:val="24"/>
            <w:szCs w:val="24"/>
          </w:rPr>
          <w:fldChar w:fldCharType="end"/>
        </w:r>
      </w:hyperlink>
    </w:p>
    <w:p w:rsidR="00AB50C5" w:rsidRDefault="00724275">
      <w:pPr>
        <w:pStyle w:val="TableofFigures"/>
        <w:tabs>
          <w:tab w:val="right" w:leader="dot" w:pos="9062"/>
        </w:tabs>
        <w:jc w:val="both"/>
        <w:rPr>
          <w:rFonts w:ascii="Times New Roman" w:eastAsiaTheme="minorEastAsia" w:hAnsi="Times New Roman"/>
          <w:noProof/>
          <w:sz w:val="24"/>
          <w:szCs w:val="24"/>
          <w:lang w:val="it-IT" w:eastAsia="it-IT"/>
        </w:rPr>
      </w:pPr>
      <w:hyperlink w:anchor="_Toc498672385" w:history="1">
        <w:r>
          <w:rPr>
            <w:rStyle w:val="Hyperlink"/>
            <w:rFonts w:ascii="Times New Roman" w:hAnsi="Times New Roman"/>
            <w:b/>
            <w:noProof/>
            <w:sz w:val="24"/>
            <w:szCs w:val="24"/>
          </w:rPr>
          <w:t>Table 5.</w:t>
        </w:r>
        <w:r>
          <w:rPr>
            <w:rStyle w:val="Hyperlink"/>
            <w:rFonts w:ascii="Times New Roman" w:hAnsi="Times New Roman"/>
            <w:noProof/>
            <w:sz w:val="24"/>
            <w:szCs w:val="24"/>
          </w:rPr>
          <w:t xml:space="preserve"> Validation monitoring of the treatment performance for agricultural irrigation.</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_Toc498672385 \h </w:instrText>
        </w:r>
        <w:r>
          <w:rPr>
            <w:rFonts w:ascii="Times New Roman" w:hAnsi="Times New Roman"/>
            <w:noProof/>
            <w:webHidden/>
            <w:sz w:val="24"/>
            <w:szCs w:val="24"/>
          </w:rPr>
        </w:r>
        <w:r>
          <w:rPr>
            <w:rFonts w:ascii="Times New Roman" w:hAnsi="Times New Roman"/>
            <w:noProof/>
            <w:webHidden/>
            <w:sz w:val="24"/>
            <w:szCs w:val="24"/>
          </w:rPr>
          <w:fldChar w:fldCharType="separate"/>
        </w:r>
        <w:r>
          <w:rPr>
            <w:rFonts w:ascii="Times New Roman" w:hAnsi="Times New Roman"/>
            <w:noProof/>
            <w:webHidden/>
            <w:sz w:val="24"/>
            <w:szCs w:val="24"/>
          </w:rPr>
          <w:t>27</w:t>
        </w:r>
        <w:r>
          <w:rPr>
            <w:rFonts w:ascii="Times New Roman" w:hAnsi="Times New Roman"/>
            <w:noProof/>
            <w:webHidden/>
            <w:sz w:val="24"/>
            <w:szCs w:val="24"/>
          </w:rPr>
          <w:fldChar w:fldCharType="end"/>
        </w:r>
      </w:hyperlink>
    </w:p>
    <w:p w:rsidR="00AB50C5" w:rsidRDefault="00724275">
      <w:pPr>
        <w:pStyle w:val="TableofFigures"/>
        <w:tabs>
          <w:tab w:val="right" w:leader="dot" w:pos="9062"/>
        </w:tabs>
        <w:jc w:val="both"/>
        <w:rPr>
          <w:rFonts w:ascii="Times New Roman" w:eastAsiaTheme="minorEastAsia" w:hAnsi="Times New Roman"/>
          <w:noProof/>
          <w:sz w:val="24"/>
          <w:szCs w:val="24"/>
          <w:lang w:val="it-IT" w:eastAsia="it-IT"/>
        </w:rPr>
      </w:pPr>
      <w:hyperlink w:anchor="_Toc498672386" w:history="1">
        <w:r>
          <w:rPr>
            <w:rStyle w:val="Hyperlink"/>
            <w:rFonts w:ascii="Times New Roman" w:hAnsi="Times New Roman"/>
            <w:b/>
            <w:noProof/>
            <w:sz w:val="24"/>
            <w:szCs w:val="24"/>
          </w:rPr>
          <w:t>Table 6.</w:t>
        </w:r>
        <w:r>
          <w:rPr>
            <w:rStyle w:val="Hyperlink"/>
            <w:rFonts w:ascii="Times New Roman" w:hAnsi="Times New Roman"/>
            <w:noProof/>
            <w:sz w:val="24"/>
            <w:szCs w:val="24"/>
          </w:rPr>
          <w:t xml:space="preserve"> Specific additional preventive measures for health protection to be complied with by MS for any site specific condition.</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_Toc498672386 \h </w:instrText>
        </w:r>
        <w:r>
          <w:rPr>
            <w:rFonts w:ascii="Times New Roman" w:hAnsi="Times New Roman"/>
            <w:noProof/>
            <w:webHidden/>
            <w:sz w:val="24"/>
            <w:szCs w:val="24"/>
          </w:rPr>
        </w:r>
        <w:r>
          <w:rPr>
            <w:rFonts w:ascii="Times New Roman" w:hAnsi="Times New Roman"/>
            <w:noProof/>
            <w:webHidden/>
            <w:sz w:val="24"/>
            <w:szCs w:val="24"/>
          </w:rPr>
          <w:fldChar w:fldCharType="separate"/>
        </w:r>
        <w:r>
          <w:rPr>
            <w:rFonts w:ascii="Times New Roman" w:hAnsi="Times New Roman"/>
            <w:noProof/>
            <w:webHidden/>
            <w:sz w:val="24"/>
            <w:szCs w:val="24"/>
          </w:rPr>
          <w:t>28</w:t>
        </w:r>
        <w:r>
          <w:rPr>
            <w:rFonts w:ascii="Times New Roman" w:hAnsi="Times New Roman"/>
            <w:noProof/>
            <w:webHidden/>
            <w:sz w:val="24"/>
            <w:szCs w:val="24"/>
          </w:rPr>
          <w:fldChar w:fldCharType="end"/>
        </w:r>
      </w:hyperlink>
    </w:p>
    <w:p w:rsidR="00AB50C5" w:rsidRDefault="00724275">
      <w:pPr>
        <w:pStyle w:val="JRCText"/>
        <w:rPr>
          <w:rFonts w:ascii="Times New Roman" w:hAnsi="Times New Roman"/>
          <w:noProof/>
          <w:szCs w:val="24"/>
        </w:rPr>
      </w:pPr>
      <w:r>
        <w:rPr>
          <w:rFonts w:ascii="Times New Roman" w:hAnsi="Times New Roman"/>
          <w:noProof/>
          <w:sz w:val="24"/>
          <w:szCs w:val="24"/>
          <w:lang w:val="en-US"/>
        </w:rPr>
        <w:fldChar w:fldCharType="end"/>
      </w:r>
      <w:bookmarkStart w:id="104" w:name="_Toc498695702"/>
      <w:r>
        <w:rPr>
          <w:rFonts w:ascii="Times New Roman" w:hAnsi="Times New Roman"/>
          <w:noProof/>
          <w:szCs w:val="24"/>
        </w:rPr>
        <w:br w:type="page"/>
      </w:r>
    </w:p>
    <w:p w:rsidR="00AB50C5" w:rsidRDefault="00724275">
      <w:pPr>
        <w:pStyle w:val="JRCText"/>
        <w:rPr>
          <w:rFonts w:ascii="Times New Roman" w:hAnsi="Times New Roman"/>
          <w:b/>
          <w:noProof/>
          <w:sz w:val="24"/>
          <w:szCs w:val="24"/>
        </w:rPr>
      </w:pPr>
      <w:r>
        <w:rPr>
          <w:rFonts w:ascii="Times New Roman" w:hAnsi="Times New Roman"/>
          <w:b/>
          <w:noProof/>
          <w:sz w:val="24"/>
          <w:szCs w:val="24"/>
        </w:rPr>
        <w:t>Annex</w:t>
      </w:r>
      <w:bookmarkEnd w:id="104"/>
      <w:r>
        <w:rPr>
          <w:rFonts w:ascii="Times New Roman" w:hAnsi="Times New Roman"/>
          <w:b/>
          <w:noProof/>
          <w:sz w:val="24"/>
          <w:szCs w:val="24"/>
        </w:rPr>
        <w:t xml:space="preserve"> </w:t>
      </w:r>
    </w:p>
    <w:p w:rsidR="00AB50C5" w:rsidRDefault="00AB50C5">
      <w:pPr>
        <w:pStyle w:val="JRCText"/>
        <w:rPr>
          <w:rFonts w:ascii="Times New Roman" w:hAnsi="Times New Roman"/>
          <w:noProof/>
          <w:sz w:val="24"/>
          <w:szCs w:val="24"/>
          <w:lang w:eastAsia="en-GB"/>
        </w:rPr>
      </w:pPr>
    </w:p>
    <w:p w:rsidR="00AB50C5" w:rsidRDefault="00724275">
      <w:pPr>
        <w:pStyle w:val="JRCText"/>
        <w:rPr>
          <w:rFonts w:ascii="Times New Roman" w:hAnsi="Times New Roman"/>
          <w:noProof/>
          <w:sz w:val="24"/>
          <w:szCs w:val="24"/>
          <w:lang w:eastAsia="en-GB"/>
        </w:rPr>
      </w:pPr>
      <w:r>
        <w:rPr>
          <w:rFonts w:ascii="Times New Roman" w:hAnsi="Times New Roman"/>
          <w:noProof/>
          <w:sz w:val="24"/>
          <w:szCs w:val="24"/>
          <w:lang w:eastAsia="en-GB"/>
        </w:rPr>
        <w:t>Informative Annex</w:t>
      </w:r>
    </w:p>
    <w:p w:rsidR="00AB50C5" w:rsidRDefault="00724275">
      <w:pPr>
        <w:spacing w:line="240" w:lineRule="auto"/>
        <w:jc w:val="both"/>
        <w:rPr>
          <w:rFonts w:ascii="Times New Roman" w:hAnsi="Times New Roman" w:cs="Times New Roman"/>
          <w:b/>
          <w:noProof/>
          <w:sz w:val="24"/>
          <w:szCs w:val="24"/>
          <w:lang w:eastAsia="ja-JP"/>
        </w:rPr>
      </w:pPr>
      <w:r>
        <w:rPr>
          <w:rFonts w:ascii="Times New Roman" w:hAnsi="Times New Roman" w:cs="Times New Roman"/>
          <w:b/>
          <w:noProof/>
          <w:sz w:val="24"/>
          <w:szCs w:val="24"/>
          <w:lang w:eastAsia="ja-JP"/>
        </w:rPr>
        <w:t>The Continuous</w:t>
      </w:r>
      <w:r>
        <w:rPr>
          <w:rFonts w:ascii="Times New Roman" w:hAnsi="Times New Roman" w:cs="Times New Roman"/>
          <w:b/>
          <w:noProof/>
          <w:sz w:val="24"/>
          <w:szCs w:val="24"/>
          <w:vertAlign w:val="superscript"/>
          <w:lang w:eastAsia="ja-JP"/>
        </w:rPr>
        <w:t>1</w:t>
      </w:r>
      <w:r>
        <w:rPr>
          <w:rFonts w:ascii="Times New Roman" w:hAnsi="Times New Roman" w:cs="Times New Roman"/>
          <w:b/>
          <w:noProof/>
          <w:sz w:val="24"/>
          <w:szCs w:val="24"/>
          <w:lang w:eastAsia="ja-JP"/>
        </w:rPr>
        <w:t xml:space="preserve"> Water Quality Monitoring (CWQM) approach</w:t>
      </w:r>
    </w:p>
    <w:p w:rsidR="00AB50C5" w:rsidRDefault="0072427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lang w:eastAsia="ja-JP"/>
        </w:rPr>
        <w:t>Research and innovation on continuous physico-chemical and microbiological monitoring is rapidly advancing, often funded by EU innovation programmes. Nowadays, the water quality parameters recommended for the verification of reclaimed water can be continuo</w:t>
      </w:r>
      <w:r>
        <w:rPr>
          <w:rFonts w:ascii="Times New Roman" w:hAnsi="Times New Roman" w:cs="Times New Roman"/>
          <w:noProof/>
          <w:sz w:val="24"/>
          <w:szCs w:val="24"/>
          <w:lang w:eastAsia="ja-JP"/>
        </w:rPr>
        <w:t xml:space="preserve">usly monitored for most </w:t>
      </w:r>
      <w:r>
        <w:rPr>
          <w:rFonts w:ascii="Times New Roman" w:hAnsi="Times New Roman" w:cs="Times New Roman"/>
          <w:noProof/>
          <w:sz w:val="24"/>
          <w:szCs w:val="24"/>
        </w:rPr>
        <w:t xml:space="preserve">chemical and physical parameters. Turbidity and TSS are already available with commercial probes. The continuous monitoring of bacterial indicators, as </w:t>
      </w:r>
      <w:r>
        <w:rPr>
          <w:rFonts w:ascii="Times New Roman" w:hAnsi="Times New Roman" w:cs="Times New Roman"/>
          <w:i/>
          <w:noProof/>
          <w:sz w:val="24"/>
          <w:szCs w:val="24"/>
        </w:rPr>
        <w:t>E. coli</w:t>
      </w:r>
      <w:r>
        <w:rPr>
          <w:rFonts w:ascii="Times New Roman" w:hAnsi="Times New Roman" w:cs="Times New Roman"/>
          <w:noProof/>
          <w:sz w:val="24"/>
          <w:szCs w:val="24"/>
        </w:rPr>
        <w:t>, has been recently demonstrated</w:t>
      </w:r>
      <w:r>
        <w:rPr>
          <w:rFonts w:ascii="Times New Roman" w:hAnsi="Times New Roman" w:cs="Times New Roman"/>
          <w:noProof/>
          <w:sz w:val="24"/>
          <w:szCs w:val="24"/>
          <w:vertAlign w:val="superscript"/>
        </w:rPr>
        <w:t>2</w:t>
      </w:r>
      <w:r>
        <w:rPr>
          <w:rFonts w:ascii="Times New Roman" w:hAnsi="Times New Roman" w:cs="Times New Roman"/>
          <w:noProof/>
          <w:sz w:val="24"/>
          <w:szCs w:val="24"/>
        </w:rPr>
        <w:t>, and BOD</w:t>
      </w:r>
      <w:r>
        <w:rPr>
          <w:rFonts w:ascii="Times New Roman" w:hAnsi="Times New Roman" w:cs="Times New Roman"/>
          <w:noProof/>
          <w:sz w:val="24"/>
          <w:szCs w:val="24"/>
          <w:vertAlign w:val="subscript"/>
        </w:rPr>
        <w:t>5</w:t>
      </w:r>
      <w:r>
        <w:rPr>
          <w:rFonts w:ascii="Times New Roman" w:hAnsi="Times New Roman" w:cs="Times New Roman"/>
          <w:noProof/>
          <w:sz w:val="24"/>
          <w:szCs w:val="24"/>
        </w:rPr>
        <w:t xml:space="preserve"> related monitoring devices are almost ready to market (applying direct or indirect measurement methods).</w:t>
      </w:r>
    </w:p>
    <w:p w:rsidR="00AB50C5" w:rsidRDefault="0072427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Regarding the CWQM technologies for microbiological parameters, there are available devices with two different approaches: detection and measuring. De</w:t>
      </w:r>
      <w:r>
        <w:rPr>
          <w:rFonts w:ascii="Times New Roman" w:hAnsi="Times New Roman" w:cs="Times New Roman"/>
          <w:noProof/>
          <w:sz w:val="24"/>
          <w:szCs w:val="24"/>
        </w:rPr>
        <w:t xml:space="preserve">tection devices are suitable for applications where just the simple presence of microorganisms represents an early warning (drinking water applications, process water for food industry). However, in reclaimed water use for irrigation and aquifer recharge, </w:t>
      </w:r>
      <w:r>
        <w:rPr>
          <w:rFonts w:ascii="Times New Roman" w:hAnsi="Times New Roman" w:cs="Times New Roman"/>
          <w:noProof/>
          <w:sz w:val="24"/>
          <w:szCs w:val="24"/>
        </w:rPr>
        <w:t>concentrations of microorganisms below a threshold are allowed for some practices. Thus, in several applications, simple detection will not be suitable if not combined with other measures, and measuring the concentration will be required.</w:t>
      </w:r>
    </w:p>
    <w:p w:rsidR="00AB50C5" w:rsidRDefault="0072427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traditional a</w:t>
      </w:r>
      <w:r>
        <w:rPr>
          <w:rFonts w:ascii="Times New Roman" w:hAnsi="Times New Roman" w:cs="Times New Roman"/>
          <w:noProof/>
          <w:sz w:val="24"/>
          <w:szCs w:val="24"/>
        </w:rPr>
        <w:t>pproach, based on manual sampling and standardized analytical methods, defined for verification monitoring provides the results after 1 to 4 days, depending on the target parameter. Such delay makes the obtained results not suitable for early warning purpo</w:t>
      </w:r>
      <w:r>
        <w:rPr>
          <w:rFonts w:ascii="Times New Roman" w:hAnsi="Times New Roman" w:cs="Times New Roman"/>
          <w:noProof/>
          <w:sz w:val="24"/>
          <w:szCs w:val="24"/>
        </w:rPr>
        <w:t>ses, neither for process control and optimization (operational monitoring). When reclaimed water is reused to irrigate crops, it will be distributed and utilized far before analysis results will be available. In case of a pollution event, the microbial con</w:t>
      </w:r>
      <w:r>
        <w:rPr>
          <w:rFonts w:ascii="Times New Roman" w:hAnsi="Times New Roman" w:cs="Times New Roman"/>
          <w:noProof/>
          <w:sz w:val="24"/>
          <w:szCs w:val="24"/>
        </w:rPr>
        <w:t>tamination will have spread along the irrigation infrastructure, and the crops could be not anymore suitable for the market. The availability of proven CWQM devices, providing the results in shorter timeframes, will definitely help to close the gap between</w:t>
      </w:r>
      <w:r>
        <w:rPr>
          <w:rFonts w:ascii="Times New Roman" w:hAnsi="Times New Roman" w:cs="Times New Roman"/>
          <w:noProof/>
          <w:sz w:val="24"/>
          <w:szCs w:val="24"/>
        </w:rPr>
        <w:t xml:space="preserve"> operational needs and verification monitoring.</w:t>
      </w:r>
    </w:p>
    <w:p w:rsidR="00AB50C5" w:rsidRDefault="0072427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this sense, the CEN/SABE ENV Team (Environmental Monitoring Strategy Team) is preparing a Strategic Position Paper on “Standardization needs in continuous water quality monitoring”, to be delivered by the </w:t>
      </w:r>
      <w:r>
        <w:rPr>
          <w:rFonts w:ascii="Times New Roman" w:hAnsi="Times New Roman" w:cs="Times New Roman"/>
          <w:noProof/>
          <w:sz w:val="24"/>
          <w:szCs w:val="24"/>
        </w:rPr>
        <w:t>end of 2017</w:t>
      </w:r>
      <w:r>
        <w:rPr>
          <w:rFonts w:ascii="Times New Roman" w:hAnsi="Times New Roman" w:cs="Times New Roman"/>
          <w:noProof/>
          <w:sz w:val="24"/>
          <w:szCs w:val="24"/>
          <w:vertAlign w:val="superscript"/>
        </w:rPr>
        <w:t>3</w:t>
      </w:r>
      <w:r>
        <w:rPr>
          <w:rFonts w:ascii="Times New Roman" w:hAnsi="Times New Roman" w:cs="Times New Roman"/>
          <w:noProof/>
          <w:sz w:val="24"/>
          <w:szCs w:val="24"/>
        </w:rPr>
        <w:t>. The paper analyses the added-value of CWQM devices, the barriers to their adoption, and the measures to encourage a more rapid uptake of the innovations, as the ISO/CEN standardization. Additionally in 2014 SABE adopted a position paper</w:t>
      </w:r>
      <w:r>
        <w:rPr>
          <w:rFonts w:ascii="Times New Roman" w:hAnsi="Times New Roman" w:cs="Times New Roman"/>
          <w:noProof/>
          <w:sz w:val="24"/>
          <w:szCs w:val="24"/>
          <w:vertAlign w:val="superscript"/>
        </w:rPr>
        <w:t>4</w:t>
      </w:r>
      <w:r>
        <w:rPr>
          <w:rFonts w:ascii="Times New Roman" w:hAnsi="Times New Roman" w:cs="Times New Roman"/>
          <w:noProof/>
          <w:sz w:val="24"/>
          <w:szCs w:val="24"/>
        </w:rPr>
        <w:t xml:space="preserve"> on w</w:t>
      </w:r>
      <w:r>
        <w:rPr>
          <w:rFonts w:ascii="Times New Roman" w:hAnsi="Times New Roman" w:cs="Times New Roman"/>
          <w:noProof/>
          <w:sz w:val="24"/>
          <w:szCs w:val="24"/>
        </w:rPr>
        <w:t xml:space="preserve">ater reuse which identified recommendations on water reuse and implications for future standardization. However, standardization might become a long process for potentially excellent CWQM technologies that may find difficulty penetrating the market. </w:t>
      </w:r>
    </w:p>
    <w:p w:rsidR="00AB50C5" w:rsidRDefault="00724275">
      <w:pPr>
        <w:pStyle w:val="JRCText"/>
        <w:rPr>
          <w:rFonts w:ascii="Times New Roman" w:hAnsi="Times New Roman"/>
          <w:noProof/>
          <w:sz w:val="24"/>
          <w:szCs w:val="24"/>
          <w:lang w:val="en-US" w:eastAsia="en-GB"/>
        </w:rPr>
      </w:pPr>
      <w:r>
        <w:rPr>
          <w:rFonts w:ascii="Times New Roman" w:hAnsi="Times New Roman"/>
          <w:noProof/>
          <w:sz w:val="24"/>
          <w:szCs w:val="24"/>
        </w:rPr>
        <w:t>In or</w:t>
      </w:r>
      <w:r>
        <w:rPr>
          <w:rFonts w:ascii="Times New Roman" w:hAnsi="Times New Roman"/>
          <w:noProof/>
          <w:sz w:val="24"/>
          <w:szCs w:val="24"/>
        </w:rPr>
        <w:t>der to provide independent verification of the performance of environmental technologies that cannot be fully assessed through certification or labels, and to improve the penetration of these technologies into the EU and global markets, the EC launched the</w:t>
      </w:r>
      <w:r>
        <w:rPr>
          <w:rFonts w:ascii="Times New Roman" w:hAnsi="Times New Roman"/>
          <w:noProof/>
          <w:sz w:val="24"/>
          <w:szCs w:val="24"/>
        </w:rPr>
        <w:t xml:space="preserve"> EU Environmental Technologies Verification</w:t>
      </w:r>
      <w:r>
        <w:rPr>
          <w:rFonts w:ascii="Times New Roman" w:hAnsi="Times New Roman"/>
          <w:noProof/>
          <w:sz w:val="24"/>
          <w:szCs w:val="24"/>
          <w:vertAlign w:val="superscript"/>
        </w:rPr>
        <w:t>5</w:t>
      </w:r>
      <w:r>
        <w:rPr>
          <w:rFonts w:ascii="Times New Roman" w:hAnsi="Times New Roman"/>
          <w:noProof/>
          <w:sz w:val="24"/>
          <w:szCs w:val="24"/>
        </w:rPr>
        <w:t xml:space="preserve"> pilot programme (ETV) in December 2011. The ETV is a suitable, faster and more affordable process to assess performance of CWQM devices compared to the traditional methods and make results available for the whol</w:t>
      </w:r>
      <w:r>
        <w:rPr>
          <w:rFonts w:ascii="Times New Roman" w:hAnsi="Times New Roman"/>
          <w:noProof/>
          <w:sz w:val="24"/>
          <w:szCs w:val="24"/>
        </w:rPr>
        <w:t>e EU. “This opens up the water directives for scientifically validated technologies, either lab-based or online, and eliminates the need to address requirements for monitoring technologies in the directive itself, with the risk of being outdated shortly af</w:t>
      </w:r>
      <w:r>
        <w:rPr>
          <w:rFonts w:ascii="Times New Roman" w:hAnsi="Times New Roman"/>
          <w:noProof/>
          <w:sz w:val="24"/>
          <w:szCs w:val="24"/>
        </w:rPr>
        <w:t>ter each revision“</w:t>
      </w:r>
      <w:r>
        <w:rPr>
          <w:rFonts w:ascii="Times New Roman" w:hAnsi="Times New Roman"/>
          <w:noProof/>
          <w:sz w:val="24"/>
          <w:szCs w:val="24"/>
          <w:vertAlign w:val="superscript"/>
        </w:rPr>
        <w:t>6</w:t>
      </w:r>
      <w:r>
        <w:rPr>
          <w:rFonts w:ascii="Times New Roman" w:hAnsi="Times New Roman"/>
          <w:noProof/>
          <w:sz w:val="24"/>
          <w:szCs w:val="24"/>
        </w:rPr>
        <w:t>. Summing up, the CWQM sector is fast moving at the pace of new technologies, therefore whatever standardization or regulation need to be open enough to do not block ongoing innovation.</w:t>
      </w:r>
    </w:p>
    <w:p w:rsidR="00AB50C5" w:rsidRDefault="00AB50C5">
      <w:pPr>
        <w:pStyle w:val="JRCText"/>
        <w:rPr>
          <w:rFonts w:ascii="Times New Roman" w:hAnsi="Times New Roman"/>
          <w:noProof/>
          <w:sz w:val="24"/>
          <w:szCs w:val="24"/>
          <w:lang w:eastAsia="en-GB"/>
        </w:rPr>
      </w:pPr>
    </w:p>
    <w:p w:rsidR="00AB50C5" w:rsidRDefault="00724275">
      <w:pPr>
        <w:pStyle w:val="JRCText"/>
        <w:rPr>
          <w:rFonts w:ascii="Times New Roman" w:hAnsi="Times New Roman"/>
          <w:noProof/>
          <w:szCs w:val="20"/>
          <w:vertAlign w:val="superscript"/>
        </w:rPr>
      </w:pPr>
      <w:r>
        <w:rPr>
          <w:rFonts w:ascii="Times New Roman" w:hAnsi="Times New Roman"/>
          <w:noProof/>
          <w:szCs w:val="20"/>
          <w:vertAlign w:val="superscript"/>
        </w:rPr>
        <w:br w:type="page"/>
      </w:r>
    </w:p>
    <w:p w:rsidR="00AB50C5" w:rsidRDefault="00724275">
      <w:pPr>
        <w:pStyle w:val="JRCText"/>
        <w:rPr>
          <w:rFonts w:ascii="Times New Roman" w:hAnsi="Times New Roman"/>
          <w:noProof/>
          <w:szCs w:val="20"/>
          <w:vertAlign w:val="superscript"/>
        </w:rPr>
      </w:pPr>
      <w:r>
        <w:rPr>
          <w:rFonts w:ascii="Times New Roman" w:hAnsi="Times New Roman"/>
          <w:noProof/>
          <w:szCs w:val="20"/>
          <w:vertAlign w:val="superscript"/>
        </w:rPr>
        <w:t xml:space="preserve">1 </w:t>
      </w:r>
      <w:r>
        <w:rPr>
          <w:rFonts w:ascii="Times New Roman" w:hAnsi="Times New Roman"/>
          <w:noProof/>
          <w:szCs w:val="20"/>
        </w:rPr>
        <w:t xml:space="preserve">The ‘continuous’ concept refers to real time, </w:t>
      </w:r>
      <w:r>
        <w:rPr>
          <w:rFonts w:ascii="Times New Roman" w:hAnsi="Times New Roman"/>
          <w:noProof/>
          <w:szCs w:val="20"/>
        </w:rPr>
        <w:t>but also to semi-continuous or near real time, providing measurements at a given frequency.</w:t>
      </w:r>
    </w:p>
    <w:p w:rsidR="00AB50C5" w:rsidRDefault="00724275">
      <w:pPr>
        <w:pStyle w:val="JRCText"/>
        <w:rPr>
          <w:rFonts w:ascii="Times New Roman" w:hAnsi="Times New Roman"/>
          <w:noProof/>
          <w:szCs w:val="20"/>
          <w:vertAlign w:val="superscript"/>
        </w:rPr>
      </w:pPr>
      <w:r>
        <w:rPr>
          <w:rFonts w:ascii="Times New Roman" w:hAnsi="Times New Roman"/>
          <w:noProof/>
          <w:szCs w:val="20"/>
          <w:vertAlign w:val="superscript"/>
        </w:rPr>
        <w:t xml:space="preserve">2 </w:t>
      </w:r>
      <w:hyperlink r:id="rId34" w:history="1">
        <w:r>
          <w:rPr>
            <w:rFonts w:ascii="Times New Roman" w:eastAsia="Times New Roman" w:hAnsi="Times New Roman"/>
            <w:noProof/>
            <w:color w:val="0000FF"/>
            <w:szCs w:val="20"/>
            <w:u w:val="single"/>
            <w:lang w:eastAsia="ja-JP"/>
          </w:rPr>
          <w:t>http://r3water.eu/wp-content/uploads/2014/04/R3Water-Final-Brochure-2017_online.pdf</w:t>
        </w:r>
      </w:hyperlink>
    </w:p>
    <w:p w:rsidR="00AB50C5" w:rsidRDefault="00724275">
      <w:pPr>
        <w:pStyle w:val="JRCText"/>
        <w:rPr>
          <w:rFonts w:ascii="Times New Roman" w:hAnsi="Times New Roman"/>
          <w:noProof/>
          <w:szCs w:val="20"/>
        </w:rPr>
      </w:pPr>
      <w:r>
        <w:rPr>
          <w:rFonts w:ascii="Times New Roman" w:hAnsi="Times New Roman"/>
          <w:noProof/>
          <w:szCs w:val="20"/>
          <w:vertAlign w:val="superscript"/>
        </w:rPr>
        <w:t xml:space="preserve">3 </w:t>
      </w:r>
      <w:hyperlink r:id="rId35" w:history="1">
        <w:r>
          <w:rPr>
            <w:rStyle w:val="Hyperlink"/>
            <w:rFonts w:ascii="Times New Roman" w:hAnsi="Times New Roman"/>
            <w:noProof/>
            <w:szCs w:val="20"/>
          </w:rPr>
          <w:t>https://www.cencenelec.eu/News/Brief_News/Pages/TN-2017-006.aspx</w:t>
        </w:r>
      </w:hyperlink>
    </w:p>
    <w:p w:rsidR="00AB50C5" w:rsidRDefault="00724275">
      <w:pPr>
        <w:pStyle w:val="JRCText"/>
        <w:rPr>
          <w:rFonts w:ascii="Times New Roman" w:hAnsi="Times New Roman"/>
          <w:noProof/>
          <w:szCs w:val="20"/>
        </w:rPr>
      </w:pPr>
      <w:r>
        <w:rPr>
          <w:rFonts w:ascii="Times New Roman" w:hAnsi="Times New Roman"/>
          <w:noProof/>
          <w:szCs w:val="20"/>
          <w:vertAlign w:val="superscript"/>
        </w:rPr>
        <w:t xml:space="preserve">4 </w:t>
      </w:r>
      <w:hyperlink r:id="rId36" w:history="1">
        <w:r>
          <w:rPr>
            <w:rStyle w:val="Hyperlink"/>
            <w:rFonts w:ascii="Times New Roman" w:hAnsi="Times New Roman"/>
            <w:noProof/>
            <w:szCs w:val="20"/>
          </w:rPr>
          <w:t>https://www.cencenelec.eu/news/policy_opinions/PolicyOpinions/ReplyWasteWater2014Nov.pdf</w:t>
        </w:r>
      </w:hyperlink>
    </w:p>
    <w:p w:rsidR="00AB50C5" w:rsidRDefault="00724275">
      <w:pPr>
        <w:pStyle w:val="JRCText"/>
        <w:rPr>
          <w:rFonts w:ascii="Times New Roman" w:hAnsi="Times New Roman"/>
          <w:noProof/>
          <w:szCs w:val="20"/>
        </w:rPr>
      </w:pPr>
      <w:r>
        <w:rPr>
          <w:rFonts w:ascii="Times New Roman" w:hAnsi="Times New Roman"/>
          <w:noProof/>
          <w:szCs w:val="20"/>
          <w:vertAlign w:val="superscript"/>
        </w:rPr>
        <w:t>5</w:t>
      </w:r>
      <w:r>
        <w:rPr>
          <w:rFonts w:ascii="Times New Roman" w:hAnsi="Times New Roman"/>
          <w:noProof/>
          <w:szCs w:val="20"/>
        </w:rPr>
        <w:t xml:space="preserve"> </w:t>
      </w:r>
      <w:hyperlink r:id="rId37" w:history="1">
        <w:r>
          <w:rPr>
            <w:rStyle w:val="Hyperlink"/>
            <w:rFonts w:ascii="Times New Roman" w:hAnsi="Times New Roman"/>
            <w:noProof/>
            <w:szCs w:val="20"/>
          </w:rPr>
          <w:t>https://ec.europa.eu</w:t>
        </w:r>
        <w:r>
          <w:rPr>
            <w:rStyle w:val="Hyperlink"/>
            <w:rFonts w:ascii="Times New Roman" w:hAnsi="Times New Roman"/>
            <w:noProof/>
            <w:szCs w:val="20"/>
          </w:rPr>
          <w:t>/environment/ecoap/etv_en</w:t>
        </w:r>
      </w:hyperlink>
    </w:p>
    <w:p w:rsidR="00AB50C5" w:rsidRDefault="00724275">
      <w:pPr>
        <w:pStyle w:val="FootnoteText"/>
        <w:tabs>
          <w:tab w:val="left" w:pos="7470"/>
        </w:tabs>
        <w:ind w:left="90" w:right="162" w:hanging="90"/>
        <w:rPr>
          <w:noProof/>
        </w:rPr>
      </w:pPr>
      <w:r>
        <w:rPr>
          <w:noProof/>
          <w:vertAlign w:val="superscript"/>
        </w:rPr>
        <w:t>6</w:t>
      </w:r>
      <w:hyperlink r:id="rId38" w:history="1">
        <w:r>
          <w:rPr>
            <w:rStyle w:val="Hyperlink"/>
            <w:noProof/>
          </w:rPr>
          <w:t>https://www.eipwater.eu/sites/default/files/AG100%20RTWQM%20water%20legislation_whitepaper_v2_150714_def.pdf</w:t>
        </w:r>
      </w:hyperlink>
      <w:r>
        <w:rPr>
          <w:noProof/>
        </w:rPr>
        <w:t xml:space="preserve"> (Sections 3.3, 3.4 and 4)</w:t>
      </w:r>
    </w:p>
    <w:p w:rsidR="00AB50C5" w:rsidRDefault="00AB50C5">
      <w:pPr>
        <w:pStyle w:val="JRCText"/>
        <w:rPr>
          <w:rFonts w:ascii="Times New Roman" w:hAnsi="Times New Roman"/>
          <w:noProof/>
          <w:sz w:val="24"/>
          <w:szCs w:val="24"/>
        </w:rPr>
      </w:pPr>
    </w:p>
    <w:p w:rsidR="00AB50C5" w:rsidRDefault="00724275">
      <w:pPr>
        <w:pStyle w:val="JRCText"/>
        <w:rPr>
          <w:rFonts w:ascii="Times New Roman" w:hAnsi="Times New Roman"/>
          <w:b/>
          <w:noProof/>
          <w:sz w:val="24"/>
          <w:szCs w:val="24"/>
        </w:rPr>
      </w:pPr>
      <w:r>
        <w:rPr>
          <w:rFonts w:ascii="Times New Roman" w:hAnsi="Times New Roman"/>
          <w:noProof/>
          <w:sz w:val="24"/>
          <w:szCs w:val="24"/>
        </w:rPr>
        <w:t>With courtesy of EIP Water – Action Group (AG100)</w:t>
      </w:r>
      <w:r>
        <w:rPr>
          <w:rFonts w:ascii="Times New Roman" w:hAnsi="Times New Roman"/>
          <w:b/>
          <w:noProof/>
          <w:sz w:val="24"/>
          <w:szCs w:val="24"/>
        </w:rPr>
        <w:t xml:space="preserve"> </w:t>
      </w:r>
      <w:r>
        <w:rPr>
          <w:rFonts w:ascii="Times New Roman" w:hAnsi="Times New Roman"/>
          <w:noProof/>
          <w:sz w:val="24"/>
          <w:szCs w:val="24"/>
        </w:rPr>
        <w:t>Real Time Water Quality Monitoring (RTWQM).</w:t>
      </w:r>
    </w:p>
    <w:p w:rsidR="00AB50C5" w:rsidRDefault="00724275">
      <w:pPr>
        <w:jc w:val="center"/>
        <w:rPr>
          <w:rFonts w:ascii="Times New Roman" w:eastAsia="Times New Roman" w:hAnsi="Times New Roman" w:cs="Times New Roman"/>
          <w:b/>
          <w:bCs/>
          <w:iCs/>
          <w:noProof/>
          <w:sz w:val="24"/>
          <w:szCs w:val="28"/>
          <w:lang w:eastAsia="de-DE"/>
        </w:rPr>
      </w:pPr>
      <w:r>
        <w:rPr>
          <w:rFonts w:ascii="Times New Roman" w:eastAsia="Times New Roman" w:hAnsi="Times New Roman" w:cs="Times New Roman"/>
          <w:b/>
          <w:bCs/>
          <w:iCs/>
          <w:noProof/>
          <w:sz w:val="24"/>
          <w:szCs w:val="28"/>
          <w:lang w:eastAsia="de-DE"/>
        </w:rPr>
        <w:br w:type="page"/>
      </w:r>
    </w:p>
    <w:p w:rsidR="00AB50C5" w:rsidRDefault="00724275">
      <w:pPr>
        <w:pStyle w:val="Annexes"/>
        <w:rPr>
          <w:bCs/>
          <w:iCs/>
        </w:rPr>
      </w:pPr>
      <w:bookmarkStart w:id="105" w:name="_Toc507407446"/>
      <w:bookmarkStart w:id="106" w:name="_Toc516234784"/>
      <w:r>
        <w:t>Annex 7a - Non-technical</w:t>
      </w:r>
      <w:r>
        <w:t xml:space="preserve"> summary of JRC technical report on the development of minimum quality requirements for water reuse in agricultural irrigation and aquifer proposed</w:t>
      </w:r>
      <w:bookmarkEnd w:id="105"/>
      <w:bookmarkEnd w:id="106"/>
      <w:r>
        <w:t xml:space="preserve"> </w:t>
      </w:r>
    </w:p>
    <w:p w:rsidR="00AB50C5" w:rsidRDefault="00724275">
      <w:pPr>
        <w:rPr>
          <w:rFonts w:ascii="Times New Roman" w:eastAsia="Times New Roman" w:hAnsi="Times New Roman" w:cs="Times New Roman"/>
          <w:b/>
          <w:noProof/>
          <w:sz w:val="24"/>
          <w:szCs w:val="24"/>
          <w:lang w:eastAsia="ar-SA"/>
        </w:rPr>
      </w:pPr>
      <w:bookmarkStart w:id="107" w:name="_CopyToNewDocument_"/>
      <w:bookmarkEnd w:id="2"/>
      <w:bookmarkEnd w:id="107"/>
      <w:r>
        <w:rPr>
          <w:rFonts w:ascii="Times New Roman" w:eastAsia="Times New Roman" w:hAnsi="Times New Roman" w:cs="Times New Roman"/>
          <w:b/>
          <w:noProof/>
          <w:sz w:val="24"/>
          <w:szCs w:val="24"/>
          <w:lang w:eastAsia="ar-SA"/>
        </w:rPr>
        <w:t>Overall non-technical summary of the JRC report</w:t>
      </w:r>
    </w:p>
    <w:p w:rsidR="00AB50C5" w:rsidRDefault="00724275">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The objective of the JRC report is to define at European le</w:t>
      </w:r>
      <w:r>
        <w:rPr>
          <w:rFonts w:ascii="Times New Roman" w:eastAsia="Times New Roman" w:hAnsi="Times New Roman" w:cs="Times New Roman"/>
          <w:noProof/>
          <w:sz w:val="24"/>
          <w:szCs w:val="24"/>
          <w:lang w:eastAsia="ar-SA"/>
        </w:rPr>
        <w:t>vel common minimum requirements on water quality, which ensure safety for health and the environment in case that water is reused for agricultural irrigation or for aquifer recharge. This scientific report from the JRC defines these technical parameters on</w:t>
      </w:r>
      <w:r>
        <w:rPr>
          <w:rFonts w:ascii="Times New Roman" w:eastAsia="Times New Roman" w:hAnsi="Times New Roman" w:cs="Times New Roman"/>
          <w:noProof/>
          <w:sz w:val="24"/>
          <w:szCs w:val="24"/>
          <w:lang w:eastAsia="ar-SA"/>
        </w:rPr>
        <w:t xml:space="preserve"> water quality which are as a minimum to be respected in case that treated wastewater is reused for the purposes of agricultural irrigation or for aquifer recharge. Therefore these criteria on water quality make sure that all agricultural products in Europ</w:t>
      </w:r>
      <w:r>
        <w:rPr>
          <w:rFonts w:ascii="Times New Roman" w:eastAsia="Times New Roman" w:hAnsi="Times New Roman" w:cs="Times New Roman"/>
          <w:noProof/>
          <w:sz w:val="24"/>
          <w:szCs w:val="24"/>
          <w:lang w:eastAsia="ar-SA"/>
        </w:rPr>
        <w:t>e which were irrigated with treated wastewater are safe for health and for the environment. It does not establish any target for levels or quantity of water to be reused and it allows Member States to establish more stringent criteria, if they see a need f</w:t>
      </w:r>
      <w:r>
        <w:rPr>
          <w:rFonts w:ascii="Times New Roman" w:eastAsia="Times New Roman" w:hAnsi="Times New Roman" w:cs="Times New Roman"/>
          <w:noProof/>
          <w:sz w:val="24"/>
          <w:szCs w:val="24"/>
          <w:lang w:eastAsia="ar-SA"/>
        </w:rPr>
        <w:t>or it.</w:t>
      </w:r>
    </w:p>
    <w:p w:rsidR="00AB50C5" w:rsidRDefault="00724275">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The only source of treated wastewater considered in this proposal was the urban wastewater covered by Directive 91/271/EEC (Urban Wastewater Treatment Directive UWWTD) where urban wastewater is defined as domestic wastewater or the mixture of domest</w:t>
      </w:r>
      <w:r>
        <w:rPr>
          <w:rFonts w:ascii="Times New Roman" w:eastAsia="Times New Roman" w:hAnsi="Times New Roman" w:cs="Times New Roman"/>
          <w:noProof/>
          <w:sz w:val="24"/>
          <w:szCs w:val="24"/>
          <w:lang w:eastAsia="ar-SA"/>
        </w:rPr>
        <w:t>ic wastewater with industrial wastewater and/or run-off rain water. The document does not deal with reclaimed water from other industrial sources: industrial wastewaters may have very particular characteristics in relation to quality and they may require s</w:t>
      </w:r>
      <w:r>
        <w:rPr>
          <w:rFonts w:ascii="Times New Roman" w:eastAsia="Times New Roman" w:hAnsi="Times New Roman" w:cs="Times New Roman"/>
          <w:noProof/>
          <w:sz w:val="24"/>
          <w:szCs w:val="24"/>
          <w:lang w:eastAsia="ar-SA"/>
        </w:rPr>
        <w:t>pecific quality criteria.</w:t>
      </w:r>
    </w:p>
    <w:p w:rsidR="00AB50C5" w:rsidRDefault="00724275">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For the purposes of developing the proposal, the JRC carried out as a first step a review of the available scientific, technical and legal knowledge on water reuse in agricultural irrigation and aquifer recharge. The documents tha</w:t>
      </w:r>
      <w:r>
        <w:rPr>
          <w:rFonts w:ascii="Times New Roman" w:eastAsia="Times New Roman" w:hAnsi="Times New Roman" w:cs="Times New Roman"/>
          <w:noProof/>
          <w:sz w:val="24"/>
          <w:szCs w:val="24"/>
          <w:lang w:eastAsia="ar-SA"/>
        </w:rPr>
        <w:t>t have been the basis to establish the proposal for minimum quality requirements included:</w:t>
      </w:r>
    </w:p>
    <w:p w:rsidR="00AB50C5" w:rsidRDefault="00724275">
      <w:pPr>
        <w:numPr>
          <w:ilvl w:val="0"/>
          <w:numId w:val="88"/>
        </w:numPr>
        <w:suppressAutoHyphens/>
        <w:spacing w:before="120" w:after="120" w:line="240" w:lineRule="auto"/>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regulatory framework at EU level on health and environmental protection;</w:t>
      </w:r>
    </w:p>
    <w:p w:rsidR="00AB50C5" w:rsidRDefault="00724275">
      <w:pPr>
        <w:numPr>
          <w:ilvl w:val="0"/>
          <w:numId w:val="88"/>
        </w:numPr>
        <w:suppressAutoHyphens/>
        <w:spacing w:before="120" w:after="120" w:line="240" w:lineRule="auto"/>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 xml:space="preserve">the MS water reuse legislations and guidelines in place, along with their experience in </w:t>
      </w:r>
      <w:r>
        <w:rPr>
          <w:rFonts w:ascii="Times New Roman" w:eastAsia="Times New Roman" w:hAnsi="Times New Roman" w:cs="Times New Roman"/>
          <w:noProof/>
          <w:sz w:val="24"/>
          <w:szCs w:val="24"/>
          <w:lang w:eastAsia="en-GB"/>
        </w:rPr>
        <w:t>water reuse systems;</w:t>
      </w:r>
    </w:p>
    <w:p w:rsidR="00AB50C5" w:rsidRDefault="00724275">
      <w:pPr>
        <w:numPr>
          <w:ilvl w:val="0"/>
          <w:numId w:val="88"/>
        </w:numPr>
        <w:suppressAutoHyphens/>
        <w:spacing w:before="120" w:after="120" w:line="240" w:lineRule="auto"/>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world-wide reference guidelines and regulations on water reuse;</w:t>
      </w:r>
    </w:p>
    <w:p w:rsidR="00AB50C5" w:rsidRDefault="00724275">
      <w:pPr>
        <w:numPr>
          <w:ilvl w:val="0"/>
          <w:numId w:val="88"/>
        </w:numPr>
        <w:suppressAutoHyphens/>
        <w:spacing w:before="120" w:after="120" w:line="240" w:lineRule="auto"/>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additional scientific references considered relevant for the topic.</w:t>
      </w:r>
    </w:p>
    <w:p w:rsidR="00AB50C5" w:rsidRDefault="00724275">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During the development of the proposal a tiered approach for consultation was applied by the JRC. In th</w:t>
      </w:r>
      <w:r>
        <w:rPr>
          <w:rFonts w:ascii="Times New Roman" w:eastAsia="Times New Roman" w:hAnsi="Times New Roman" w:cs="Times New Roman"/>
          <w:noProof/>
          <w:sz w:val="24"/>
          <w:szCs w:val="24"/>
          <w:lang w:eastAsia="ar-SA"/>
        </w:rPr>
        <w:t>e first tier, the JRC asked a group of selected experts from academia, the water sector and WHO to provide input and comment on the drafting work. In a second tier, Member States were formally informed through the Ad-hoc Group on Water Reuse, where JRC pre</w:t>
      </w:r>
      <w:r>
        <w:rPr>
          <w:rFonts w:ascii="Times New Roman" w:eastAsia="Times New Roman" w:hAnsi="Times New Roman" w:cs="Times New Roman"/>
          <w:noProof/>
          <w:sz w:val="24"/>
          <w:szCs w:val="24"/>
          <w:lang w:eastAsia="ar-SA"/>
        </w:rPr>
        <w:t xml:space="preserve">sented a three occasions the respective versions. Comments received in writing from the MS were documented and replies from JRC were disseminated. In addition, the JRC presented at several public events as well as scientific meetings the progress of work. </w:t>
      </w:r>
      <w:r>
        <w:rPr>
          <w:rFonts w:ascii="Times New Roman" w:eastAsia="Times New Roman" w:hAnsi="Times New Roman" w:cs="Times New Roman"/>
          <w:noProof/>
          <w:sz w:val="24"/>
          <w:szCs w:val="24"/>
          <w:lang w:eastAsia="ar-SA"/>
        </w:rPr>
        <w:t>These presentations included amongst others the Water Group of the European Parliament, the EIP Water Action Group on Water Reuse, 11</w:t>
      </w:r>
      <w:r>
        <w:rPr>
          <w:rFonts w:ascii="Times New Roman" w:eastAsia="Times New Roman" w:hAnsi="Times New Roman" w:cs="Times New Roman"/>
          <w:noProof/>
          <w:sz w:val="24"/>
          <w:szCs w:val="24"/>
          <w:vertAlign w:val="superscript"/>
          <w:lang w:eastAsia="ar-SA"/>
        </w:rPr>
        <w:t>th</w:t>
      </w:r>
      <w:r>
        <w:rPr>
          <w:rFonts w:ascii="Times New Roman" w:eastAsia="Times New Roman" w:hAnsi="Times New Roman" w:cs="Times New Roman"/>
          <w:noProof/>
          <w:sz w:val="24"/>
          <w:szCs w:val="24"/>
          <w:lang w:eastAsia="ar-SA"/>
        </w:rPr>
        <w:t xml:space="preserve"> IWA International Conference on Water Reclamation and Reuse as well as the COST NEREUS Action on New and Emerging Challe</w:t>
      </w:r>
      <w:r>
        <w:rPr>
          <w:rFonts w:ascii="Times New Roman" w:eastAsia="Times New Roman" w:hAnsi="Times New Roman" w:cs="Times New Roman"/>
          <w:noProof/>
          <w:sz w:val="24"/>
          <w:szCs w:val="24"/>
          <w:lang w:eastAsia="ar-SA"/>
        </w:rPr>
        <w:t>nges and Opportunities in Wastewater Reuse.</w:t>
      </w:r>
    </w:p>
    <w:p w:rsidR="00AB50C5" w:rsidRDefault="00724275">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 xml:space="preserve">Considering the sensitivity of the health and environmental issue and public confidence in water reuse practice, in the third tier, the scientific opinions of the independent Scientific Committee on Health, </w:t>
      </w:r>
      <w:r>
        <w:rPr>
          <w:rFonts w:ascii="Times New Roman" w:eastAsia="Times New Roman" w:hAnsi="Times New Roman" w:cs="Times New Roman"/>
          <w:noProof/>
          <w:sz w:val="24"/>
          <w:szCs w:val="24"/>
          <w:lang w:eastAsia="ar-SA"/>
        </w:rPr>
        <w:t>Environmental and Emerging Risks (SCHEER) and the European Food Safety Authority (EFSA) have been requested and taken into consideration in the finalisation of the document or if not, a justification has been provided.</w:t>
      </w:r>
    </w:p>
    <w:p w:rsidR="00AB50C5" w:rsidRDefault="00724275">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 xml:space="preserve">The experts, whose contributions are </w:t>
      </w:r>
      <w:r>
        <w:rPr>
          <w:rFonts w:ascii="Times New Roman" w:eastAsia="Times New Roman" w:hAnsi="Times New Roman" w:cs="Times New Roman"/>
          <w:noProof/>
          <w:sz w:val="24"/>
          <w:szCs w:val="24"/>
          <w:lang w:eastAsia="ar-SA"/>
        </w:rPr>
        <w:t xml:space="preserve">gratefully acknowledged, have been consulted to provide comments and input through critical discussion on the document along the process. However, the content of this document has not been endorsed by these experts and reflects only the scientific opinion </w:t>
      </w:r>
      <w:r>
        <w:rPr>
          <w:rFonts w:ascii="Times New Roman" w:eastAsia="Times New Roman" w:hAnsi="Times New Roman" w:cs="Times New Roman"/>
          <w:noProof/>
          <w:sz w:val="24"/>
          <w:szCs w:val="24"/>
          <w:lang w:eastAsia="ar-SA"/>
        </w:rPr>
        <w:t>of the JRC. It is important to note that no risk assessment specifically for the establishment of the minimum quality requirements has been performed and the JRC bases its proposal on the validity of the risk assessment conducted by the reference documents</w:t>
      </w:r>
      <w:r>
        <w:rPr>
          <w:rFonts w:ascii="Times New Roman" w:eastAsia="Times New Roman" w:hAnsi="Times New Roman" w:cs="Times New Roman"/>
          <w:noProof/>
          <w:sz w:val="24"/>
          <w:szCs w:val="24"/>
          <w:lang w:eastAsia="ar-SA"/>
        </w:rPr>
        <w:t xml:space="preserve"> taken into consideration.</w:t>
      </w:r>
    </w:p>
    <w:p w:rsidR="00AB50C5" w:rsidRDefault="00724275">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 xml:space="preserve">The approach to develop minimum quality requirements for the safe use of reclaimed water for agricultural irrigation and aquifer recharge is a risk management framework, as recommended by the World Health Organization WHO (2006) </w:t>
      </w:r>
      <w:r>
        <w:rPr>
          <w:rFonts w:ascii="Times New Roman" w:eastAsia="Times New Roman" w:hAnsi="Times New Roman" w:cs="Times New Roman"/>
          <w:noProof/>
          <w:sz w:val="24"/>
          <w:szCs w:val="24"/>
          <w:lang w:eastAsia="ar-SA"/>
        </w:rPr>
        <w:t>and included in the Directive 2015/1787 that amends Directive 98/83/EC on the quality of water intended for human consumption.</w:t>
      </w:r>
    </w:p>
    <w:p w:rsidR="00AB50C5" w:rsidRDefault="00724275">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A risk management framework is a systematic management tool that consistently ensures the safety and acceptability of water reuse</w:t>
      </w:r>
      <w:r>
        <w:rPr>
          <w:rFonts w:ascii="Times New Roman" w:eastAsia="Times New Roman" w:hAnsi="Times New Roman" w:cs="Times New Roman"/>
          <w:noProof/>
          <w:sz w:val="24"/>
          <w:szCs w:val="24"/>
          <w:lang w:eastAsia="ar-SA"/>
        </w:rPr>
        <w:t xml:space="preserve"> practices. A central feature is that it is sufficiently flexible to be applied to all types of water reuse systems, irrespective of size and complexity. </w:t>
      </w:r>
    </w:p>
    <w:p w:rsidR="00AB50C5" w:rsidRDefault="00724275">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The risk management framework proposed by the JRC in conjunction with specific numerical values for s</w:t>
      </w:r>
      <w:r>
        <w:rPr>
          <w:rFonts w:ascii="Times New Roman" w:eastAsia="Times New Roman" w:hAnsi="Times New Roman" w:cs="Times New Roman"/>
          <w:noProof/>
          <w:sz w:val="24"/>
          <w:szCs w:val="24"/>
          <w:lang w:eastAsia="ar-SA"/>
        </w:rPr>
        <w:t>ome water quality parameters, incorporates several interrelated elements, each of which supports the effectiveness of the others. Because most problems associated with reclaimed water schemes are attributable to a combination of factors, these factors need</w:t>
      </w:r>
      <w:r>
        <w:rPr>
          <w:rFonts w:ascii="Times New Roman" w:eastAsia="Times New Roman" w:hAnsi="Times New Roman" w:cs="Times New Roman"/>
          <w:noProof/>
          <w:sz w:val="24"/>
          <w:szCs w:val="24"/>
          <w:lang w:eastAsia="ar-SA"/>
        </w:rPr>
        <w:t xml:space="preserve"> to be addressed together to ensure a safe and sustainable supply of reclaimed water.</w:t>
      </w:r>
    </w:p>
    <w:p w:rsidR="00AB50C5" w:rsidRDefault="00724275">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 xml:space="preserve">In EU Member States, the most comprehensive water reuse regulations and recommendations issued by MS (i.e. Cyprus, France, Greece, Italy, Portugal, Spain) (DM, 2003; NP, </w:t>
      </w:r>
      <w:r>
        <w:rPr>
          <w:rFonts w:ascii="Times New Roman" w:eastAsia="Times New Roman" w:hAnsi="Times New Roman" w:cs="Times New Roman"/>
          <w:noProof/>
          <w:sz w:val="24"/>
          <w:szCs w:val="24"/>
          <w:lang w:eastAsia="ar-SA"/>
        </w:rPr>
        <w:t>2005; RD, 2007; CMD, 2011; JORF, 2014; KDP, 2015) are based on the referenced guidelines and regulations cited above, all of them including several modifications for some uses.</w:t>
      </w:r>
    </w:p>
    <w:p w:rsidR="00AB50C5" w:rsidRDefault="00724275">
      <w:pPr>
        <w:rPr>
          <w:rFonts w:ascii="Times New Roman" w:eastAsia="Times New Roman" w:hAnsi="Times New Roman" w:cs="Times New Roman"/>
          <w:bCs/>
          <w:i/>
          <w:noProof/>
          <w:sz w:val="24"/>
          <w:szCs w:val="28"/>
          <w:lang w:eastAsia="de-DE"/>
        </w:rPr>
      </w:pPr>
      <w:bookmarkStart w:id="108" w:name="_Toc494270055"/>
      <w:bookmarkStart w:id="109" w:name="_Toc494270287"/>
      <w:r>
        <w:rPr>
          <w:rFonts w:ascii="Times New Roman" w:eastAsia="Times New Roman" w:hAnsi="Times New Roman" w:cs="Times New Roman"/>
          <w:bCs/>
          <w:i/>
          <w:noProof/>
          <w:sz w:val="24"/>
          <w:szCs w:val="28"/>
          <w:lang w:eastAsia="de-DE"/>
        </w:rPr>
        <w:t>Justification of the stringency of the quality criteria</w:t>
      </w:r>
      <w:bookmarkEnd w:id="108"/>
      <w:bookmarkEnd w:id="109"/>
    </w:p>
    <w:p w:rsidR="00AB50C5" w:rsidRDefault="00724275">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The assumed tolerable h</w:t>
      </w:r>
      <w:r>
        <w:rPr>
          <w:rFonts w:ascii="Times New Roman" w:eastAsia="Times New Roman" w:hAnsi="Times New Roman" w:cs="Times New Roman"/>
          <w:noProof/>
          <w:sz w:val="24"/>
          <w:szCs w:val="24"/>
          <w:lang w:eastAsia="ar-SA"/>
        </w:rPr>
        <w:t>ealth risk for the proposed quality criteria is based on the WHO Guidelines for Drinking Water Quality (WHO, 2004 and 2011), which establishes the tolerable burden of disease (caused by either a chemical or an infectious agent) as an upper limit of 10</w:t>
      </w:r>
      <w:r>
        <w:rPr>
          <w:rFonts w:ascii="Times New Roman" w:eastAsia="Times New Roman" w:hAnsi="Times New Roman" w:cs="Times New Roman"/>
          <w:noProof/>
          <w:sz w:val="24"/>
          <w:szCs w:val="24"/>
          <w:vertAlign w:val="superscript"/>
          <w:lang w:eastAsia="ar-SA"/>
        </w:rPr>
        <w:t>–6</w:t>
      </w:r>
      <w:r>
        <w:rPr>
          <w:rFonts w:ascii="Times New Roman" w:eastAsia="Times New Roman" w:hAnsi="Times New Roman" w:cs="Times New Roman"/>
          <w:noProof/>
          <w:sz w:val="24"/>
          <w:szCs w:val="24"/>
          <w:lang w:eastAsia="ar-SA"/>
        </w:rPr>
        <w:t xml:space="preserve"> Di</w:t>
      </w:r>
      <w:r>
        <w:rPr>
          <w:rFonts w:ascii="Times New Roman" w:eastAsia="Times New Roman" w:hAnsi="Times New Roman" w:cs="Times New Roman"/>
          <w:noProof/>
          <w:sz w:val="24"/>
          <w:szCs w:val="24"/>
          <w:lang w:eastAsia="ar-SA"/>
        </w:rPr>
        <w:t>sability Adjusted Life Years (DALYs) per person per year. Although the management of health risks is context specific, the WHO guidelines consider that the overall levels of health protection should be comparable for different water-related exposures (i.e.</w:t>
      </w:r>
      <w:r>
        <w:rPr>
          <w:rFonts w:ascii="Times New Roman" w:eastAsia="Times New Roman" w:hAnsi="Times New Roman" w:cs="Times New Roman"/>
          <w:noProof/>
          <w:sz w:val="24"/>
          <w:szCs w:val="24"/>
          <w:lang w:eastAsia="ar-SA"/>
        </w:rPr>
        <w:t xml:space="preserve"> drinking water, reclaimed water irrigation of foods). </w:t>
      </w:r>
    </w:p>
    <w:p w:rsidR="00AB50C5" w:rsidRDefault="00724275">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 xml:space="preserve">In the context of reclaimed water use, since food crops irrigated with reclaimed water, especially those eaten uncooked, are also expected to be as safe as drinking water by those who eat them, the </w:t>
      </w:r>
      <w:r>
        <w:rPr>
          <w:rFonts w:ascii="Times New Roman" w:eastAsia="Times New Roman" w:hAnsi="Times New Roman" w:cs="Times New Roman"/>
          <w:noProof/>
          <w:sz w:val="24"/>
          <w:szCs w:val="24"/>
          <w:lang w:eastAsia="ar-SA"/>
        </w:rPr>
        <w:t>same tolerable level of risk of 10</w:t>
      </w:r>
      <w:r>
        <w:rPr>
          <w:rFonts w:ascii="Times New Roman" w:eastAsia="Times New Roman" w:hAnsi="Times New Roman" w:cs="Times New Roman"/>
          <w:noProof/>
          <w:sz w:val="24"/>
          <w:szCs w:val="24"/>
          <w:vertAlign w:val="superscript"/>
          <w:lang w:eastAsia="ar-SA"/>
        </w:rPr>
        <w:t>–6</w:t>
      </w:r>
      <w:r>
        <w:rPr>
          <w:rFonts w:ascii="Times New Roman" w:eastAsia="Times New Roman" w:hAnsi="Times New Roman" w:cs="Times New Roman"/>
          <w:noProof/>
          <w:sz w:val="24"/>
          <w:szCs w:val="24"/>
          <w:lang w:eastAsia="ar-SA"/>
        </w:rPr>
        <w:t xml:space="preserve"> DALYs is proposed</w:t>
      </w:r>
      <w:r>
        <w:rPr>
          <w:rFonts w:ascii="Times New Roman" w:eastAsia="Times New Roman" w:hAnsi="Times New Roman" w:cs="Times New Roman"/>
          <w:noProof/>
          <w:sz w:val="24"/>
          <w:szCs w:val="24"/>
          <w:lang w:val="en-US" w:eastAsia="it-IT"/>
        </w:rPr>
        <w:t xml:space="preserve"> by the WHO Guidelines for the Safe Use of Wastewater, Excreta and Greywater (WHO, 2006)</w:t>
      </w:r>
      <w:r>
        <w:rPr>
          <w:rFonts w:ascii="Times New Roman" w:eastAsia="Times New Roman" w:hAnsi="Times New Roman" w:cs="Times New Roman"/>
          <w:noProof/>
          <w:sz w:val="24"/>
          <w:szCs w:val="24"/>
          <w:lang w:eastAsia="ar-SA"/>
        </w:rPr>
        <w:t xml:space="preserve">. It is noteworthy that the analogue tolerable risk has been also applied under the Directive (98/83/EC) of water </w:t>
      </w:r>
      <w:r>
        <w:rPr>
          <w:rFonts w:ascii="Times New Roman" w:eastAsia="Times New Roman" w:hAnsi="Times New Roman" w:cs="Times New Roman"/>
          <w:noProof/>
          <w:sz w:val="24"/>
          <w:szCs w:val="24"/>
          <w:lang w:eastAsia="ar-SA"/>
        </w:rPr>
        <w:t xml:space="preserve">for human consumption (Drinking Water Directive (DWD)). </w:t>
      </w:r>
    </w:p>
    <w:p w:rsidR="00AB50C5" w:rsidRDefault="00724275">
      <w:pPr>
        <w:suppressAutoHyphens/>
        <w:spacing w:before="120" w:after="120" w:line="240" w:lineRule="auto"/>
        <w:jc w:val="both"/>
        <w:rPr>
          <w:rFonts w:ascii="Times New Roman" w:eastAsia="Times New Roman" w:hAnsi="Times New Roman" w:cs="Times New Roman"/>
          <w:i/>
          <w:noProof/>
          <w:sz w:val="24"/>
          <w:szCs w:val="24"/>
          <w:lang w:eastAsia="ar-SA"/>
        </w:rPr>
      </w:pPr>
      <w:r>
        <w:rPr>
          <w:rFonts w:ascii="Times New Roman" w:eastAsia="Times New Roman" w:hAnsi="Times New Roman" w:cs="Times New Roman"/>
          <w:i/>
          <w:noProof/>
          <w:sz w:val="24"/>
          <w:szCs w:val="24"/>
          <w:lang w:eastAsia="ar-SA"/>
        </w:rPr>
        <w:t>Justification of exclusion of compounds of emerging concern</w:t>
      </w:r>
    </w:p>
    <w:p w:rsidR="00AB50C5" w:rsidRDefault="00724275">
      <w:pPr>
        <w:suppressAutoHyphens/>
        <w:spacing w:before="120" w:after="120" w:line="240" w:lineRule="auto"/>
        <w:jc w:val="both"/>
        <w:rPr>
          <w:rFonts w:ascii="Times New Roman" w:eastAsia="Times New Roman" w:hAnsi="Times New Roman" w:cs="Times New Roman"/>
          <w:noProof/>
          <w:sz w:val="24"/>
          <w:szCs w:val="24"/>
          <w:highlight w:val="yellow"/>
          <w:lang w:eastAsia="ar-SA"/>
        </w:rPr>
      </w:pPr>
      <w:r>
        <w:rPr>
          <w:rFonts w:ascii="Times New Roman" w:eastAsia="Times New Roman" w:hAnsi="Times New Roman" w:cs="Times New Roman"/>
          <w:noProof/>
          <w:sz w:val="24"/>
          <w:szCs w:val="24"/>
          <w:lang w:eastAsia="ar-SA"/>
        </w:rPr>
        <w:t>With the advance of analytical techniques a growing number of chemical compounds, which are not commonly regulated, have been detected in drinking water, wastewater, or the aquatic environment, generally at very low levels. This broad group of chemicals is</w:t>
      </w:r>
      <w:r>
        <w:rPr>
          <w:rFonts w:ascii="Times New Roman" w:eastAsia="Times New Roman" w:hAnsi="Times New Roman" w:cs="Times New Roman"/>
          <w:noProof/>
          <w:sz w:val="24"/>
          <w:szCs w:val="24"/>
          <w:lang w:eastAsia="ar-SA"/>
        </w:rPr>
        <w:t xml:space="preserve"> termed Compounds of Emerging Concern (CECs). The concern is due to either a knowledge gap about the relationship of the substances' concentrations and possible (eco)toxicological effects – usually due to chronic exposure, or the lack of understanding how </w:t>
      </w:r>
      <w:r>
        <w:rPr>
          <w:rFonts w:ascii="Times New Roman" w:eastAsia="Times New Roman" w:hAnsi="Times New Roman" w:cs="Times New Roman"/>
          <w:noProof/>
          <w:sz w:val="24"/>
          <w:szCs w:val="24"/>
          <w:lang w:eastAsia="ar-SA"/>
        </w:rPr>
        <w:t>such substances interact as chemical mixture. CECs are not necessarily new compounds and might have been present in the environment for a longer time, while their presence and significance are only recognised now. At EU-level, currently there is no precise</w:t>
      </w:r>
      <w:r>
        <w:rPr>
          <w:rFonts w:ascii="Times New Roman" w:eastAsia="Times New Roman" w:hAnsi="Times New Roman" w:cs="Times New Roman"/>
          <w:noProof/>
          <w:sz w:val="24"/>
          <w:szCs w:val="24"/>
          <w:lang w:eastAsia="ar-SA"/>
        </w:rPr>
        <w:t xml:space="preserve"> relationship between the occurrences and levels of CECs in (treated) wastewater and the acceptable level in the aquatic environment. It is also commonly accepted that today a frequent monitoring for every potential chemical substance is neither feasible n</w:t>
      </w:r>
      <w:r>
        <w:rPr>
          <w:rFonts w:ascii="Times New Roman" w:eastAsia="Times New Roman" w:hAnsi="Times New Roman" w:cs="Times New Roman"/>
          <w:noProof/>
          <w:sz w:val="24"/>
          <w:szCs w:val="24"/>
          <w:lang w:eastAsia="ar-SA"/>
        </w:rPr>
        <w:t xml:space="preserve">or plausible. </w:t>
      </w:r>
    </w:p>
    <w:p w:rsidR="00AB50C5" w:rsidRDefault="00724275">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In general, most of the few studies available have shown that the uptake, translocation and the accumulation of a wide range of emerging chemicals in crop tissues is overall low and does not pose signiﬁcant risks for public health. The risks</w:t>
      </w:r>
      <w:r>
        <w:rPr>
          <w:rFonts w:ascii="Times New Roman" w:eastAsia="Times New Roman" w:hAnsi="Times New Roman" w:cs="Times New Roman"/>
          <w:noProof/>
          <w:sz w:val="24"/>
          <w:szCs w:val="24"/>
          <w:lang w:eastAsia="ar-SA"/>
        </w:rPr>
        <w:t xml:space="preserve"> related to the direct use of pesticides applied to crops appear to be of greater importance. While a broad range of publications have investigated the occurrence of CECs, the role of CECs in agricultural systems is poorly investigated, reason for which OE</w:t>
      </w:r>
      <w:r>
        <w:rPr>
          <w:rFonts w:ascii="Times New Roman" w:eastAsia="Times New Roman" w:hAnsi="Times New Roman" w:cs="Times New Roman"/>
          <w:noProof/>
          <w:sz w:val="24"/>
          <w:szCs w:val="24"/>
          <w:lang w:eastAsia="ar-SA"/>
        </w:rPr>
        <w:t>CD investigated the issue through a high-level expert team (OECD 2012). The report carefully assessed the state-of-the-art and identified measures for risk mitigation. The report did not identify or mention the use of treated wastewater for agricultural ir</w:t>
      </w:r>
      <w:r>
        <w:rPr>
          <w:rFonts w:ascii="Times New Roman" w:eastAsia="Times New Roman" w:hAnsi="Times New Roman" w:cs="Times New Roman"/>
          <w:noProof/>
          <w:sz w:val="24"/>
          <w:szCs w:val="24"/>
          <w:lang w:eastAsia="ar-SA"/>
        </w:rPr>
        <w:t>rigation as a significant entry pathway. The same study concluded that the agricultural use of biosolids such as treated or untreated manure from pig, poultry or cattle is a significantly greater reservoir for plant uptake of CECs than irrigation with trea</w:t>
      </w:r>
      <w:r>
        <w:rPr>
          <w:rFonts w:ascii="Times New Roman" w:eastAsia="Times New Roman" w:hAnsi="Times New Roman" w:cs="Times New Roman"/>
          <w:noProof/>
          <w:sz w:val="24"/>
          <w:szCs w:val="24"/>
          <w:lang w:eastAsia="ar-SA"/>
        </w:rPr>
        <w:t>ted wastewater.</w:t>
      </w:r>
    </w:p>
    <w:p w:rsidR="00AB50C5" w:rsidRDefault="00724275">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Although a great deal of information indicate that domestic wastewater is amongst a likely major environmental reservoirs for antimicrobial resistance (AMR), but it was concluded that this has to be addressed in a more general context of wa</w:t>
      </w:r>
      <w:r>
        <w:rPr>
          <w:rFonts w:ascii="Times New Roman" w:eastAsia="Times New Roman" w:hAnsi="Times New Roman" w:cs="Times New Roman"/>
          <w:noProof/>
          <w:sz w:val="24"/>
          <w:szCs w:val="24"/>
          <w:lang w:eastAsia="ar-SA"/>
        </w:rPr>
        <w:t>stewater sanitation rather than specifically for reuse schemes. This is underpinned by evidence indicating that water reuse for irrigation leads to a removal of AMR, since most of the resistant bacteria cannot survive in the receiving soils.</w:t>
      </w:r>
    </w:p>
    <w:p w:rsidR="00AB50C5" w:rsidRDefault="00724275">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It was therefo</w:t>
      </w:r>
      <w:r>
        <w:rPr>
          <w:rFonts w:ascii="Times New Roman" w:eastAsia="Times New Roman" w:hAnsi="Times New Roman" w:cs="Times New Roman"/>
          <w:noProof/>
          <w:sz w:val="24"/>
          <w:szCs w:val="24"/>
          <w:lang w:eastAsia="ar-SA"/>
        </w:rPr>
        <w:t>re concluded that specific limits for CECs would create at present an unjustified burden of control. However, the evolution and improvement of the current knowledge base, both regarding the effects of CECs, but also regarding the introduction of novel meas</w:t>
      </w:r>
      <w:r>
        <w:rPr>
          <w:rFonts w:ascii="Times New Roman" w:eastAsia="Times New Roman" w:hAnsi="Times New Roman" w:cs="Times New Roman"/>
          <w:noProof/>
          <w:sz w:val="24"/>
          <w:szCs w:val="24"/>
          <w:lang w:eastAsia="ar-SA"/>
        </w:rPr>
        <w:t>urement techniques grasping better the chemical reality stemming from a mixture of chemicals, e.g. through the use of novel bioanalytical techniques require to be monitored regularly as to be able to take account of scientific developments.</w:t>
      </w:r>
    </w:p>
    <w:p w:rsidR="00AB50C5" w:rsidRDefault="00724275">
      <w:pPr>
        <w:suppressAutoHyphens/>
        <w:spacing w:before="120" w:after="120" w:line="240" w:lineRule="auto"/>
        <w:jc w:val="both"/>
        <w:rPr>
          <w:rFonts w:ascii="Times New Roman" w:eastAsia="Times New Roman" w:hAnsi="Times New Roman" w:cs="Times New Roman"/>
          <w:i/>
          <w:noProof/>
          <w:sz w:val="24"/>
          <w:szCs w:val="24"/>
          <w:lang w:eastAsia="ar-SA"/>
        </w:rPr>
      </w:pPr>
      <w:r>
        <w:rPr>
          <w:rFonts w:ascii="Times New Roman" w:eastAsia="Times New Roman" w:hAnsi="Times New Roman" w:cs="Times New Roman"/>
          <w:i/>
          <w:noProof/>
          <w:sz w:val="24"/>
          <w:szCs w:val="24"/>
          <w:lang w:eastAsia="ar-SA"/>
        </w:rPr>
        <w:t>Sensitivity ana</w:t>
      </w:r>
      <w:r>
        <w:rPr>
          <w:rFonts w:ascii="Times New Roman" w:eastAsia="Times New Roman" w:hAnsi="Times New Roman" w:cs="Times New Roman"/>
          <w:i/>
          <w:noProof/>
          <w:sz w:val="24"/>
          <w:szCs w:val="24"/>
          <w:lang w:eastAsia="ar-SA"/>
        </w:rPr>
        <w:t>lysis</w:t>
      </w:r>
    </w:p>
    <w:p w:rsidR="00AB50C5" w:rsidRDefault="00724275">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The scope of the sensitive analysis is to ensure whether a higher or lower value for a selected parameter leads actually to a change of the result. The proposed minimum requirements rely on a series of key parameters commonly used to define the quali</w:t>
      </w:r>
      <w:r>
        <w:rPr>
          <w:rFonts w:ascii="Times New Roman" w:eastAsia="Times New Roman" w:hAnsi="Times New Roman" w:cs="Times New Roman"/>
          <w:noProof/>
          <w:sz w:val="24"/>
          <w:szCs w:val="24"/>
          <w:lang w:eastAsia="ar-SA"/>
        </w:rPr>
        <w:t xml:space="preserve">ty of wastewater before and after various treatments. The selected key parameters must hence ensure that a.) together they cover the risk framework and b.) they are as stringent as necessary, but not more. </w:t>
      </w:r>
    </w:p>
    <w:p w:rsidR="00AB50C5" w:rsidRDefault="00724275">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The quality requirements considered have been est</w:t>
      </w:r>
      <w:r>
        <w:rPr>
          <w:rFonts w:ascii="Times New Roman" w:eastAsia="Times New Roman" w:hAnsi="Times New Roman" w:cs="Times New Roman"/>
          <w:noProof/>
          <w:sz w:val="24"/>
          <w:szCs w:val="24"/>
          <w:lang w:eastAsia="ar-SA"/>
        </w:rPr>
        <w:t>ablished following a risk management approach. Although no specific risk assessment with European data was performed the selection of the minimum quality requirements is related to existing water reuse guidelines and MS regulations, and on the health and e</w:t>
      </w:r>
      <w:r>
        <w:rPr>
          <w:rFonts w:ascii="Times New Roman" w:eastAsia="Times New Roman" w:hAnsi="Times New Roman" w:cs="Times New Roman"/>
          <w:noProof/>
          <w:sz w:val="24"/>
          <w:szCs w:val="24"/>
          <w:lang w:eastAsia="ar-SA"/>
        </w:rPr>
        <w:t>nvironmental risks considered by those.</w:t>
      </w:r>
    </w:p>
    <w:p w:rsidR="00AB50C5" w:rsidRDefault="00724275">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 xml:space="preserve">Besides a series of recommendations, the minimum quality requirements provide specific limit values for </w:t>
      </w:r>
      <w:r>
        <w:rPr>
          <w:rFonts w:ascii="Times New Roman" w:eastAsia="Times New Roman" w:hAnsi="Times New Roman" w:cs="Times New Roman"/>
          <w:i/>
          <w:noProof/>
          <w:sz w:val="24"/>
          <w:szCs w:val="24"/>
          <w:lang w:eastAsia="ar-SA"/>
        </w:rPr>
        <w:t xml:space="preserve">E. coli </w:t>
      </w:r>
      <w:r>
        <w:rPr>
          <w:rFonts w:ascii="Times New Roman" w:eastAsia="Times New Roman" w:hAnsi="Times New Roman" w:cs="Times New Roman"/>
          <w:noProof/>
          <w:sz w:val="24"/>
          <w:szCs w:val="24"/>
          <w:lang w:eastAsia="ar-SA"/>
        </w:rPr>
        <w:t>(as an microbiological indicator), biological oxygen demand (a surrogate for the degree of organic pollu</w:t>
      </w:r>
      <w:r>
        <w:rPr>
          <w:rFonts w:ascii="Times New Roman" w:eastAsia="Times New Roman" w:hAnsi="Times New Roman" w:cs="Times New Roman"/>
          <w:noProof/>
          <w:sz w:val="24"/>
          <w:szCs w:val="24"/>
          <w:lang w:eastAsia="ar-SA"/>
        </w:rPr>
        <w:t>tion), total suspended solids (TSS) and turbidity (both describing efficiency of water filtration applied). These parameters are commonly used to describe the degree of cleanness of treated wastewater after a primary and secondary treatment and are commonl</w:t>
      </w:r>
      <w:r>
        <w:rPr>
          <w:rFonts w:ascii="Times New Roman" w:eastAsia="Times New Roman" w:hAnsi="Times New Roman" w:cs="Times New Roman"/>
          <w:noProof/>
          <w:sz w:val="24"/>
          <w:szCs w:val="24"/>
          <w:lang w:eastAsia="ar-SA"/>
        </w:rPr>
        <w:t>y used in national regulations and guidelines.</w:t>
      </w:r>
    </w:p>
    <w:p w:rsidR="00AB50C5" w:rsidRDefault="00724275">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 xml:space="preserve">For </w:t>
      </w:r>
      <w:r>
        <w:rPr>
          <w:rFonts w:ascii="Times New Roman" w:eastAsia="Times New Roman" w:hAnsi="Times New Roman" w:cs="Times New Roman"/>
          <w:i/>
          <w:noProof/>
          <w:sz w:val="24"/>
          <w:szCs w:val="24"/>
          <w:lang w:eastAsia="ar-SA"/>
        </w:rPr>
        <w:t>E.coli</w:t>
      </w:r>
      <w:r>
        <w:rPr>
          <w:rFonts w:ascii="Times New Roman" w:eastAsia="Times New Roman" w:hAnsi="Times New Roman" w:cs="Times New Roman"/>
          <w:noProof/>
          <w:sz w:val="24"/>
          <w:szCs w:val="24"/>
          <w:lang w:eastAsia="ar-SA"/>
        </w:rPr>
        <w:t>, the parametric values for the best reclaimed water quality on food crops consumed raw set in Cyprus, France, Greece, Italy and Spain range from ≤5 cfu/100 ml to ≤250 cfu/100 ml. The proposed minimu</w:t>
      </w:r>
      <w:r>
        <w:rPr>
          <w:rFonts w:ascii="Times New Roman" w:eastAsia="Times New Roman" w:hAnsi="Times New Roman" w:cs="Times New Roman"/>
          <w:noProof/>
          <w:sz w:val="24"/>
          <w:szCs w:val="24"/>
          <w:lang w:eastAsia="ar-SA"/>
        </w:rPr>
        <w:t>m requirement of ≤10 cfu/100 ml is hence in line with existing national standards, while aiming at a EU high quality for this most critical application of food crops consumed raw.</w:t>
      </w:r>
    </w:p>
    <w:p w:rsidR="00AB50C5" w:rsidRDefault="00724275">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For TSS a minimum quality criterion of ≤10 mg/l is proposed, which is in lin</w:t>
      </w:r>
      <w:r>
        <w:rPr>
          <w:rFonts w:ascii="Times New Roman" w:eastAsia="Times New Roman" w:hAnsi="Times New Roman" w:cs="Times New Roman"/>
          <w:noProof/>
          <w:sz w:val="24"/>
          <w:szCs w:val="24"/>
          <w:lang w:eastAsia="ar-SA"/>
        </w:rPr>
        <w:t xml:space="preserve">e with levels already established in Cyprus, Greece and Italy and slightly more stringent than the limits established in France (≤15 mg/l), Portugal (≤60 mg/l) and Spain (≤20 mg/l). </w:t>
      </w:r>
    </w:p>
    <w:p w:rsidR="00AB50C5" w:rsidRDefault="00724275">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For the complementary parameter of turbidity only Greece and Spain have e</w:t>
      </w:r>
      <w:r>
        <w:rPr>
          <w:rFonts w:ascii="Times New Roman" w:eastAsia="Times New Roman" w:hAnsi="Times New Roman" w:cs="Times New Roman"/>
          <w:noProof/>
          <w:sz w:val="24"/>
          <w:szCs w:val="24"/>
          <w:lang w:eastAsia="ar-SA"/>
        </w:rPr>
        <w:t>stablished thresholds, which are in line with the proposed minimum of 5 NTU.</w:t>
      </w:r>
    </w:p>
    <w:p w:rsidR="00AB50C5" w:rsidRDefault="00724275">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The proposed subsequent reclaimed water quality classes are then in line with the requirements stemming from the Urban Wastewater Treatment Directive for TSS, BOD and turbidity an</w:t>
      </w:r>
      <w:r>
        <w:rPr>
          <w:rFonts w:ascii="Times New Roman" w:eastAsia="Times New Roman" w:hAnsi="Times New Roman" w:cs="Times New Roman"/>
          <w:noProof/>
          <w:sz w:val="24"/>
          <w:szCs w:val="24"/>
          <w:lang w:eastAsia="ar-SA"/>
        </w:rPr>
        <w:t xml:space="preserve">d follow a logarithmic scale for </w:t>
      </w:r>
      <w:r>
        <w:rPr>
          <w:rFonts w:ascii="Times New Roman" w:eastAsia="Times New Roman" w:hAnsi="Times New Roman" w:cs="Times New Roman"/>
          <w:i/>
          <w:noProof/>
          <w:sz w:val="24"/>
          <w:szCs w:val="24"/>
          <w:lang w:eastAsia="ar-SA"/>
        </w:rPr>
        <w:t>E. coli</w:t>
      </w:r>
      <w:r>
        <w:rPr>
          <w:rFonts w:ascii="Times New Roman" w:eastAsia="Times New Roman" w:hAnsi="Times New Roman" w:cs="Times New Roman"/>
          <w:noProof/>
          <w:sz w:val="24"/>
          <w:szCs w:val="24"/>
          <w:lang w:eastAsia="ar-SA"/>
        </w:rPr>
        <w:t>.</w:t>
      </w:r>
    </w:p>
    <w:p w:rsidR="00AB50C5" w:rsidRDefault="00724275">
      <w:pPr>
        <w:suppressAutoHyphens/>
        <w:spacing w:before="120" w:after="12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These universal parameters are in line with those thresholds implemented already in some countries with a proven water reuse experience, but are sufficiently high to aim at an overall necessary standard at EU level</w:t>
      </w:r>
      <w:r>
        <w:rPr>
          <w:rFonts w:ascii="Times New Roman" w:eastAsia="Times New Roman" w:hAnsi="Times New Roman" w:cs="Times New Roman"/>
          <w:noProof/>
          <w:sz w:val="24"/>
          <w:szCs w:val="24"/>
          <w:lang w:eastAsia="ar-SA"/>
        </w:rPr>
        <w:t>. The level of stringency can hence be seen as appropriate and as protective if the respective risk management framework is applied properly.</w:t>
      </w:r>
    </w:p>
    <w:p w:rsidR="00AB50C5" w:rsidRDefault="00AB50C5">
      <w:pPr>
        <w:suppressAutoHyphens/>
        <w:spacing w:before="120" w:after="120" w:line="240" w:lineRule="auto"/>
        <w:jc w:val="both"/>
        <w:rPr>
          <w:rFonts w:ascii="Times New Roman" w:eastAsia="Times New Roman" w:hAnsi="Times New Roman" w:cs="Times New Roman"/>
          <w:noProof/>
          <w:sz w:val="24"/>
          <w:szCs w:val="24"/>
          <w:lang w:eastAsia="ar-SA"/>
        </w:rPr>
      </w:pPr>
    </w:p>
    <w:p w:rsidR="00AB50C5" w:rsidRDefault="00AB50C5">
      <w:pPr>
        <w:keepNext/>
        <w:spacing w:before="120" w:after="120" w:line="240" w:lineRule="auto"/>
        <w:jc w:val="both"/>
        <w:outlineLvl w:val="1"/>
        <w:rPr>
          <w:rFonts w:ascii="Times New Roman" w:eastAsia="Times New Roman" w:hAnsi="Times New Roman" w:cs="Times New Roman"/>
          <w:b/>
          <w:bCs/>
          <w:iCs/>
          <w:noProof/>
          <w:sz w:val="24"/>
          <w:szCs w:val="28"/>
          <w:lang w:val="en" w:eastAsia="de-DE"/>
        </w:rPr>
        <w:sectPr w:rsidR="00AB50C5">
          <w:headerReference w:type="even" r:id="rId39"/>
          <w:headerReference w:type="default" r:id="rId40"/>
          <w:footerReference w:type="even" r:id="rId41"/>
          <w:footerReference w:type="default" r:id="rId42"/>
          <w:headerReference w:type="first" r:id="rId43"/>
          <w:footerReference w:type="first" r:id="rId44"/>
          <w:endnotePr>
            <w:numFmt w:val="decimal"/>
          </w:endnotePr>
          <w:pgSz w:w="11906" w:h="16838" w:code="9"/>
          <w:pgMar w:top="1417" w:right="1417" w:bottom="1417" w:left="1417" w:header="708" w:footer="708" w:gutter="0"/>
          <w:cols w:space="708"/>
          <w:docGrid w:linePitch="360"/>
        </w:sectPr>
      </w:pPr>
      <w:bookmarkStart w:id="110" w:name="_Toc507407447"/>
    </w:p>
    <w:p w:rsidR="00AB50C5" w:rsidRDefault="00724275">
      <w:pPr>
        <w:pStyle w:val="Annexes"/>
        <w:rPr>
          <w:lang w:val="en-US"/>
        </w:rPr>
      </w:pPr>
      <w:bookmarkStart w:id="111" w:name="_Toc516234785"/>
      <w:r>
        <w:t>Annex 8 - Assessment of impacts on Research and Innovation</w:t>
      </w:r>
      <w:bookmarkEnd w:id="110"/>
      <w:bookmarkEnd w:id="111"/>
    </w:p>
    <w:p w:rsidR="00AB50C5" w:rsidRDefault="00AB50C5">
      <w:pPr>
        <w:suppressAutoHyphens/>
        <w:spacing w:before="120" w:after="120" w:line="240" w:lineRule="auto"/>
        <w:jc w:val="center"/>
        <w:rPr>
          <w:rFonts w:ascii="Times New Roman" w:eastAsia="Times New Roman" w:hAnsi="Times New Roman" w:cs="Times New Roman"/>
          <w:b/>
          <w:noProof/>
          <w:sz w:val="28"/>
          <w:szCs w:val="24"/>
          <w:lang w:eastAsia="ar-SA"/>
        </w:rPr>
      </w:pPr>
    </w:p>
    <w:p w:rsidR="00AB50C5" w:rsidRDefault="00724275">
      <w:pPr>
        <w:suppressAutoHyphens/>
        <w:spacing w:before="120" w:after="120" w:line="240" w:lineRule="auto"/>
        <w:jc w:val="center"/>
        <w:rPr>
          <w:rFonts w:ascii="Times New Roman" w:eastAsia="Times New Roman" w:hAnsi="Times New Roman" w:cs="Times New Roman"/>
          <w:b/>
          <w:noProof/>
          <w:sz w:val="28"/>
          <w:szCs w:val="24"/>
          <w:lang w:eastAsia="ar-SA"/>
        </w:rPr>
      </w:pPr>
      <w:r>
        <w:rPr>
          <w:rFonts w:ascii="Times New Roman" w:eastAsia="Times New Roman" w:hAnsi="Times New Roman" w:cs="Times New Roman"/>
          <w:b/>
          <w:noProof/>
          <w:sz w:val="28"/>
          <w:szCs w:val="24"/>
          <w:lang w:eastAsia="ar-SA"/>
        </w:rPr>
        <w:t xml:space="preserve">DG RTD Initiative on Integration of the Innovation Principle </w:t>
      </w:r>
    </w:p>
    <w:p w:rsidR="00AB50C5" w:rsidRDefault="00724275">
      <w:pPr>
        <w:suppressAutoHyphens/>
        <w:spacing w:before="120" w:after="120" w:line="240" w:lineRule="auto"/>
        <w:jc w:val="center"/>
        <w:rPr>
          <w:rFonts w:ascii="Times New Roman" w:eastAsia="Times New Roman" w:hAnsi="Times New Roman" w:cs="Times New Roman"/>
          <w:b/>
          <w:noProof/>
          <w:sz w:val="28"/>
          <w:szCs w:val="24"/>
          <w:lang w:eastAsia="ar-SA"/>
        </w:rPr>
      </w:pPr>
      <w:r>
        <w:rPr>
          <w:rFonts w:ascii="Times New Roman" w:eastAsia="Times New Roman" w:hAnsi="Times New Roman" w:cs="Times New Roman"/>
          <w:b/>
          <w:noProof/>
          <w:sz w:val="28"/>
          <w:szCs w:val="24"/>
          <w:lang w:eastAsia="ar-SA"/>
        </w:rPr>
        <w:t>into New EU Policy Initiatives:</w:t>
      </w:r>
    </w:p>
    <w:p w:rsidR="00AB50C5" w:rsidRDefault="00724275">
      <w:pPr>
        <w:suppressAutoHyphens/>
        <w:spacing w:before="120" w:after="120" w:line="240" w:lineRule="auto"/>
        <w:jc w:val="center"/>
        <w:rPr>
          <w:rFonts w:ascii="Times New Roman" w:eastAsia="Times New Roman" w:hAnsi="Times New Roman" w:cs="Times New Roman"/>
          <w:b/>
          <w:noProof/>
          <w:sz w:val="28"/>
          <w:szCs w:val="24"/>
          <w:lang w:eastAsia="ar-SA"/>
        </w:rPr>
      </w:pPr>
      <w:r>
        <w:rPr>
          <w:rFonts w:ascii="Times New Roman" w:eastAsia="Times New Roman" w:hAnsi="Times New Roman" w:cs="Times New Roman"/>
          <w:b/>
          <w:noProof/>
          <w:sz w:val="28"/>
          <w:szCs w:val="24"/>
          <w:lang w:eastAsia="ar-SA"/>
        </w:rPr>
        <w:t xml:space="preserve">Application of R&amp;I Tool for Better Regulation </w:t>
      </w:r>
    </w:p>
    <w:p w:rsidR="00AB50C5" w:rsidRDefault="00AB50C5">
      <w:pPr>
        <w:suppressAutoHyphens/>
        <w:spacing w:before="120" w:after="120" w:line="240" w:lineRule="auto"/>
        <w:jc w:val="center"/>
        <w:rPr>
          <w:rFonts w:ascii="Times New Roman" w:eastAsia="Times New Roman" w:hAnsi="Times New Roman" w:cs="Times New Roman"/>
          <w:b/>
          <w:noProof/>
          <w:sz w:val="28"/>
          <w:szCs w:val="24"/>
          <w:lang w:eastAsia="ar-SA"/>
        </w:rPr>
      </w:pPr>
    </w:p>
    <w:p w:rsidR="00AB50C5" w:rsidRDefault="00724275">
      <w:pPr>
        <w:suppressAutoHyphens/>
        <w:spacing w:before="120" w:after="120" w:line="240" w:lineRule="auto"/>
        <w:jc w:val="center"/>
        <w:rPr>
          <w:rFonts w:ascii="Times New Roman" w:eastAsia="Times New Roman" w:hAnsi="Times New Roman" w:cs="Times New Roman"/>
          <w:b/>
          <w:noProof/>
          <w:sz w:val="28"/>
          <w:szCs w:val="24"/>
          <w:lang w:eastAsia="ar-SA"/>
        </w:rPr>
      </w:pPr>
      <w:r>
        <w:rPr>
          <w:rFonts w:ascii="Times New Roman" w:eastAsia="Times New Roman" w:hAnsi="Times New Roman" w:cs="Times New Roman"/>
          <w:b/>
          <w:noProof/>
          <w:sz w:val="28"/>
          <w:szCs w:val="24"/>
          <w:lang w:eastAsia="ar-SA"/>
        </w:rPr>
        <w:t xml:space="preserve">Report from the Workshop </w:t>
      </w:r>
    </w:p>
    <w:p w:rsidR="00AB50C5" w:rsidRDefault="00724275">
      <w:pPr>
        <w:suppressAutoHyphens/>
        <w:spacing w:before="120" w:after="120" w:line="240" w:lineRule="auto"/>
        <w:jc w:val="center"/>
        <w:rPr>
          <w:rFonts w:ascii="Times New Roman" w:eastAsia="Times New Roman" w:hAnsi="Times New Roman" w:cs="Times New Roman"/>
          <w:b/>
          <w:noProof/>
          <w:sz w:val="28"/>
          <w:szCs w:val="24"/>
          <w:lang w:eastAsia="ar-SA"/>
        </w:rPr>
      </w:pPr>
      <w:r>
        <w:rPr>
          <w:rFonts w:ascii="Times New Roman" w:eastAsia="Times New Roman" w:hAnsi="Times New Roman" w:cs="Times New Roman"/>
          <w:b/>
          <w:noProof/>
          <w:sz w:val="28"/>
          <w:szCs w:val="24"/>
          <w:lang w:eastAsia="ar-SA"/>
        </w:rPr>
        <w:t>on "Water Reuse and Research and Innovation"</w:t>
      </w:r>
    </w:p>
    <w:p w:rsidR="00AB50C5" w:rsidRDefault="00724275">
      <w:pPr>
        <w:suppressAutoHyphens/>
        <w:spacing w:before="120" w:after="0" w:line="240" w:lineRule="auto"/>
        <w:jc w:val="center"/>
        <w:rPr>
          <w:rFonts w:ascii="Times New Roman" w:eastAsia="Times New Roman" w:hAnsi="Times New Roman" w:cs="Times New Roman"/>
          <w:b/>
          <w:noProof/>
          <w:sz w:val="24"/>
          <w:szCs w:val="24"/>
          <w:lang w:eastAsia="ar-SA"/>
        </w:rPr>
      </w:pPr>
      <w:r>
        <w:rPr>
          <w:rFonts w:ascii="Times New Roman" w:eastAsia="Times New Roman" w:hAnsi="Times New Roman" w:cs="Times New Roman"/>
          <w:b/>
          <w:noProof/>
          <w:sz w:val="24"/>
          <w:szCs w:val="24"/>
          <w:lang w:eastAsia="ar-SA"/>
        </w:rPr>
        <w:t>31 May 2017</w:t>
      </w:r>
    </w:p>
    <w:p w:rsidR="00AB50C5" w:rsidRDefault="00AB50C5">
      <w:pPr>
        <w:suppressAutoHyphens/>
        <w:spacing w:before="120" w:after="0" w:line="240" w:lineRule="auto"/>
        <w:jc w:val="center"/>
        <w:rPr>
          <w:rFonts w:ascii="Times New Roman" w:eastAsia="Times New Roman" w:hAnsi="Times New Roman" w:cs="Times New Roman"/>
          <w:i/>
          <w:noProof/>
          <w:sz w:val="24"/>
          <w:szCs w:val="24"/>
          <w:lang w:eastAsia="ar-SA"/>
        </w:rPr>
      </w:pPr>
    </w:p>
    <w:p w:rsidR="00AB50C5" w:rsidRDefault="00724275">
      <w:pPr>
        <w:keepNext/>
        <w:numPr>
          <w:ilvl w:val="0"/>
          <w:numId w:val="89"/>
        </w:numPr>
        <w:suppressAutoHyphens/>
        <w:spacing w:before="120" w:after="0" w:line="240" w:lineRule="auto"/>
        <w:jc w:val="both"/>
        <w:outlineLvl w:val="0"/>
        <w:rPr>
          <w:rFonts w:ascii="Times New Roman" w:eastAsia="Times New Roman" w:hAnsi="Times New Roman" w:cs="Times New Roman"/>
          <w:b/>
          <w:bCs/>
          <w:smallCaps/>
          <w:noProof/>
          <w:sz w:val="24"/>
          <w:szCs w:val="32"/>
          <w:lang w:eastAsia="de-DE"/>
        </w:rPr>
      </w:pPr>
      <w:bookmarkStart w:id="112" w:name="_Toc493963505"/>
      <w:bookmarkStart w:id="113" w:name="_Toc516234786"/>
      <w:r>
        <w:rPr>
          <w:rFonts w:ascii="Times New Roman" w:eastAsia="Times New Roman" w:hAnsi="Times New Roman" w:cs="Times New Roman"/>
          <w:b/>
          <w:bCs/>
          <w:smallCaps/>
          <w:noProof/>
          <w:sz w:val="24"/>
          <w:szCs w:val="32"/>
          <w:lang w:eastAsia="de-DE"/>
        </w:rPr>
        <w:t>Introduction</w:t>
      </w:r>
      <w:bookmarkEnd w:id="112"/>
      <w:bookmarkEnd w:id="113"/>
    </w:p>
    <w:p w:rsidR="00AB50C5" w:rsidRDefault="00724275">
      <w:pPr>
        <w:suppressAutoHyphens/>
        <w:spacing w:before="120" w:after="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 xml:space="preserve">The European </w:t>
      </w:r>
      <w:r>
        <w:rPr>
          <w:rFonts w:ascii="Times New Roman" w:eastAsia="Times New Roman" w:hAnsi="Times New Roman" w:cs="Times New Roman"/>
          <w:noProof/>
          <w:sz w:val="24"/>
          <w:szCs w:val="24"/>
          <w:lang w:eastAsia="ar-SA"/>
        </w:rPr>
        <w:t>Commission is preparing a new legislative instrument on minimum quality requirements for water reuse in agricultural irrigation and aquifer recharge. This is one of several policy measures to stimulate reuse of reclaimed water in water management, industry</w:t>
      </w:r>
      <w:r>
        <w:rPr>
          <w:rFonts w:ascii="Times New Roman" w:eastAsia="Times New Roman" w:hAnsi="Times New Roman" w:cs="Times New Roman"/>
          <w:noProof/>
          <w:sz w:val="24"/>
          <w:szCs w:val="24"/>
          <w:lang w:eastAsia="ar-SA"/>
        </w:rPr>
        <w:t>, agriculture and municipal sectors</w:t>
      </w:r>
      <w:r>
        <w:rPr>
          <w:rFonts w:ascii="Times New Roman" w:eastAsia="Times New Roman" w:hAnsi="Times New Roman" w:cs="Times New Roman"/>
          <w:noProof/>
          <w:sz w:val="24"/>
          <w:szCs w:val="24"/>
          <w:vertAlign w:val="superscript"/>
          <w:lang w:eastAsia="ar-SA"/>
        </w:rPr>
        <w:footnoteReference w:id="2"/>
      </w:r>
      <w:r>
        <w:rPr>
          <w:rFonts w:ascii="Times New Roman" w:eastAsia="Times New Roman" w:hAnsi="Times New Roman" w:cs="Times New Roman"/>
          <w:noProof/>
          <w:sz w:val="24"/>
          <w:szCs w:val="24"/>
          <w:lang w:eastAsia="ar-SA"/>
        </w:rPr>
        <w:t>. Water reuse is an integral element of EU Circular Economy, Water and Climate Change Adaptation policies as it can help protect natural resources, bring economic savings and alleviate water scarcity problems.</w:t>
      </w:r>
    </w:p>
    <w:p w:rsidR="00AB50C5" w:rsidRDefault="00724275">
      <w:pPr>
        <w:suppressAutoHyphens/>
        <w:spacing w:before="120" w:after="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In the con</w:t>
      </w:r>
      <w:r>
        <w:rPr>
          <w:rFonts w:ascii="Times New Roman" w:eastAsia="Times New Roman" w:hAnsi="Times New Roman" w:cs="Times New Roman"/>
          <w:noProof/>
          <w:sz w:val="24"/>
          <w:szCs w:val="24"/>
          <w:lang w:eastAsia="ar-SA"/>
        </w:rPr>
        <w:t>text of the Better Regulation policy of the European Commission the Directorate-General for Research and Innovation (DG RTD) intends to scrutinise all new policy proposals for their impact on innovation. To this end it developed the R&amp;I Tool for Better reg</w:t>
      </w:r>
      <w:r>
        <w:rPr>
          <w:rFonts w:ascii="Times New Roman" w:eastAsia="Times New Roman" w:hAnsi="Times New Roman" w:cs="Times New Roman"/>
          <w:noProof/>
          <w:sz w:val="24"/>
          <w:szCs w:val="24"/>
          <w:lang w:eastAsia="ar-SA"/>
        </w:rPr>
        <w:t xml:space="preserve">ulation – a guidance on how to assess the impact on innovation and how to improve legislative proposals so the potential impact on innovation is positive rather than negative. </w:t>
      </w:r>
    </w:p>
    <w:p w:rsidR="00AB50C5" w:rsidRDefault="00724275">
      <w:pPr>
        <w:suppressAutoHyphens/>
        <w:spacing w:before="120" w:after="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 xml:space="preserve">This report is the result of the application of the R&amp;I Tool to the new policy </w:t>
      </w:r>
      <w:r>
        <w:rPr>
          <w:rFonts w:ascii="Times New Roman" w:eastAsia="Times New Roman" w:hAnsi="Times New Roman" w:cs="Times New Roman"/>
          <w:noProof/>
          <w:sz w:val="24"/>
          <w:szCs w:val="24"/>
          <w:lang w:eastAsia="ar-SA"/>
        </w:rPr>
        <w:t xml:space="preserve">initiative on water reuse in the impact assessment phase. The objective is to extend the usual assessment of economic, social and environmental impacts to include the impact on innovation. It is expected that this will contribute to the sound selection of </w:t>
      </w:r>
      <w:r>
        <w:rPr>
          <w:rFonts w:ascii="Times New Roman" w:eastAsia="Times New Roman" w:hAnsi="Times New Roman" w:cs="Times New Roman"/>
          <w:noProof/>
          <w:sz w:val="24"/>
          <w:szCs w:val="24"/>
          <w:lang w:eastAsia="ar-SA"/>
        </w:rPr>
        <w:t xml:space="preserve">preferred policy options and provide recommendations on how the policy should be formulated so that it will not hamper innovation but rather stimulate innovation as much as possible. </w:t>
      </w:r>
    </w:p>
    <w:p w:rsidR="00AB50C5" w:rsidRDefault="00724275">
      <w:pPr>
        <w:suppressAutoHyphens/>
        <w:spacing w:before="120" w:after="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It should be noted that this application of the R&amp;I tool is the first pi</w:t>
      </w:r>
      <w:r>
        <w:rPr>
          <w:rFonts w:ascii="Times New Roman" w:eastAsia="Times New Roman" w:hAnsi="Times New Roman" w:cs="Times New Roman"/>
          <w:noProof/>
          <w:sz w:val="24"/>
          <w:szCs w:val="24"/>
          <w:lang w:eastAsia="ar-SA"/>
        </w:rPr>
        <w:t xml:space="preserve">lot application and thus a learning exercise both for DG RTD and the lead service (in this case DG ENV). The methodological approach includes a wider scope of policy options than the options assessed in the Impact Assessment report as the exact options to </w:t>
      </w:r>
      <w:r>
        <w:rPr>
          <w:rFonts w:ascii="Times New Roman" w:eastAsia="Times New Roman" w:hAnsi="Times New Roman" w:cs="Times New Roman"/>
          <w:noProof/>
          <w:sz w:val="24"/>
          <w:szCs w:val="24"/>
          <w:lang w:eastAsia="ar-SA"/>
        </w:rPr>
        <w:t xml:space="preserve">be included in the impact assessment were not yet defined when the methodology was decided. Moreover, DG RTD intended to test the R&amp;I Tool on a wider range of generic policy options and obtain experience on how practical and useful the R&amp;I tool is. </w:t>
      </w:r>
    </w:p>
    <w:p w:rsidR="00AB50C5" w:rsidRDefault="00724275">
      <w:pPr>
        <w:suppressAutoHyphens/>
        <w:spacing w:before="120" w:after="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Once t</w:t>
      </w:r>
      <w:r>
        <w:rPr>
          <w:rFonts w:ascii="Times New Roman" w:eastAsia="Times New Roman" w:hAnsi="Times New Roman" w:cs="Times New Roman"/>
          <w:noProof/>
          <w:sz w:val="24"/>
          <w:szCs w:val="24"/>
          <w:lang w:eastAsia="ar-SA"/>
        </w:rPr>
        <w:t>he lead service develops a legislative draft this report may be followed by recommendations on legislative techniques that can make the legislative proposal more innovation friendly.</w:t>
      </w:r>
    </w:p>
    <w:p w:rsidR="00AB50C5" w:rsidRDefault="00AB50C5">
      <w:pPr>
        <w:suppressAutoHyphens/>
        <w:spacing w:before="120" w:after="0" w:line="240" w:lineRule="auto"/>
        <w:jc w:val="both"/>
        <w:rPr>
          <w:rFonts w:ascii="Times New Roman" w:eastAsia="Times New Roman" w:hAnsi="Times New Roman" w:cs="Times New Roman"/>
          <w:noProof/>
          <w:sz w:val="24"/>
          <w:szCs w:val="24"/>
          <w:lang w:eastAsia="ar-SA"/>
        </w:rPr>
      </w:pPr>
    </w:p>
    <w:p w:rsidR="00AB50C5" w:rsidRDefault="00724275">
      <w:pPr>
        <w:keepNext/>
        <w:numPr>
          <w:ilvl w:val="0"/>
          <w:numId w:val="89"/>
        </w:numPr>
        <w:suppressAutoHyphens/>
        <w:spacing w:before="120" w:after="0" w:line="240" w:lineRule="auto"/>
        <w:jc w:val="both"/>
        <w:outlineLvl w:val="0"/>
        <w:rPr>
          <w:rFonts w:ascii="Times New Roman" w:eastAsia="Times New Roman" w:hAnsi="Times New Roman" w:cs="Times New Roman"/>
          <w:b/>
          <w:bCs/>
          <w:smallCaps/>
          <w:noProof/>
          <w:sz w:val="24"/>
          <w:szCs w:val="32"/>
          <w:lang w:eastAsia="de-DE"/>
        </w:rPr>
      </w:pPr>
      <w:bookmarkStart w:id="114" w:name="_Toc493963506"/>
      <w:bookmarkStart w:id="115" w:name="_Toc516234787"/>
      <w:r>
        <w:rPr>
          <w:rFonts w:ascii="Times New Roman" w:eastAsia="Times New Roman" w:hAnsi="Times New Roman" w:cs="Times New Roman"/>
          <w:b/>
          <w:bCs/>
          <w:smallCaps/>
          <w:noProof/>
          <w:sz w:val="24"/>
          <w:szCs w:val="32"/>
          <w:lang w:eastAsia="de-DE"/>
        </w:rPr>
        <w:t>Process</w:t>
      </w:r>
      <w:bookmarkEnd w:id="114"/>
      <w:bookmarkEnd w:id="115"/>
    </w:p>
    <w:p w:rsidR="00AB50C5" w:rsidRDefault="00724275">
      <w:pPr>
        <w:suppressAutoHyphens/>
        <w:spacing w:before="120" w:after="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 xml:space="preserve">The methodology for this assessment is based on the application </w:t>
      </w:r>
      <w:r>
        <w:rPr>
          <w:rFonts w:ascii="Times New Roman" w:eastAsia="Times New Roman" w:hAnsi="Times New Roman" w:cs="Times New Roman"/>
          <w:noProof/>
          <w:sz w:val="24"/>
          <w:szCs w:val="24"/>
          <w:lang w:eastAsia="ar-SA"/>
        </w:rPr>
        <w:t>of the R&amp;I Tool for Better Regulation and, in particular, of the set of questions on different aspects of innovation included in the Tool. These questions were presented to experts in the water reuse field to gather their expert opinion, compile and organi</w:t>
      </w:r>
      <w:r>
        <w:rPr>
          <w:rFonts w:ascii="Times New Roman" w:eastAsia="Times New Roman" w:hAnsi="Times New Roman" w:cs="Times New Roman"/>
          <w:noProof/>
          <w:sz w:val="24"/>
          <w:szCs w:val="24"/>
          <w:lang w:eastAsia="ar-SA"/>
        </w:rPr>
        <w:t>se it with the aim to provide as an assessment of innovation friendliness as comprehensive as possible.</w:t>
      </w:r>
    </w:p>
    <w:p w:rsidR="00AB50C5" w:rsidRDefault="00724275">
      <w:pPr>
        <w:suppressAutoHyphens/>
        <w:spacing w:before="120" w:after="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 xml:space="preserve">In order to obtain expert opinions in the short time period available for this exercise, DG RTD organised a workshop with water reuse experts on 31 May </w:t>
      </w:r>
      <w:r>
        <w:rPr>
          <w:rFonts w:ascii="Times New Roman" w:eastAsia="Times New Roman" w:hAnsi="Times New Roman" w:cs="Times New Roman"/>
          <w:noProof/>
          <w:sz w:val="24"/>
          <w:szCs w:val="24"/>
          <w:lang w:eastAsia="ar-SA"/>
        </w:rPr>
        <w:t>2017. The invited experts were selected from the projects financed by the EU Framework Programme for Research and Innovation (these include both ongoing projects financed by the Horizon 2020 as well as finished projects financed from the 6</w:t>
      </w:r>
      <w:r>
        <w:rPr>
          <w:rFonts w:ascii="Times New Roman" w:eastAsia="Times New Roman" w:hAnsi="Times New Roman" w:cs="Times New Roman"/>
          <w:noProof/>
          <w:sz w:val="24"/>
          <w:szCs w:val="24"/>
          <w:vertAlign w:val="superscript"/>
          <w:lang w:eastAsia="ar-SA"/>
        </w:rPr>
        <w:t>th</w:t>
      </w:r>
      <w:r>
        <w:rPr>
          <w:rFonts w:ascii="Times New Roman" w:eastAsia="Times New Roman" w:hAnsi="Times New Roman" w:cs="Times New Roman"/>
          <w:noProof/>
          <w:sz w:val="24"/>
          <w:szCs w:val="24"/>
          <w:lang w:eastAsia="ar-SA"/>
        </w:rPr>
        <w:t xml:space="preserve"> and 7</w:t>
      </w:r>
      <w:r>
        <w:rPr>
          <w:rFonts w:ascii="Times New Roman" w:eastAsia="Times New Roman" w:hAnsi="Times New Roman" w:cs="Times New Roman"/>
          <w:noProof/>
          <w:sz w:val="24"/>
          <w:szCs w:val="24"/>
          <w:vertAlign w:val="superscript"/>
          <w:lang w:eastAsia="ar-SA"/>
        </w:rPr>
        <w:t>th</w:t>
      </w:r>
      <w:r>
        <w:rPr>
          <w:rFonts w:ascii="Times New Roman" w:eastAsia="Times New Roman" w:hAnsi="Times New Roman" w:cs="Times New Roman"/>
          <w:noProof/>
          <w:sz w:val="24"/>
          <w:szCs w:val="24"/>
          <w:lang w:eastAsia="ar-SA"/>
        </w:rPr>
        <w:t xml:space="preserve"> Framew</w:t>
      </w:r>
      <w:r>
        <w:rPr>
          <w:rFonts w:ascii="Times New Roman" w:eastAsia="Times New Roman" w:hAnsi="Times New Roman" w:cs="Times New Roman"/>
          <w:noProof/>
          <w:sz w:val="24"/>
          <w:szCs w:val="24"/>
          <w:lang w:eastAsia="ar-SA"/>
        </w:rPr>
        <w:t xml:space="preserve">ork programmes). Thirteen experts accepted the invitation and took part in the workshop. </w:t>
      </w:r>
    </w:p>
    <w:p w:rsidR="00AB50C5" w:rsidRDefault="00724275">
      <w:pPr>
        <w:suppressAutoHyphens/>
        <w:spacing w:before="120" w:after="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The experts have provided their opinions both orally during the workshop and through written input after the workshop. The input received from the experts has been co</w:t>
      </w:r>
      <w:r>
        <w:rPr>
          <w:rFonts w:ascii="Times New Roman" w:eastAsia="Times New Roman" w:hAnsi="Times New Roman" w:cs="Times New Roman"/>
          <w:noProof/>
          <w:sz w:val="24"/>
          <w:szCs w:val="24"/>
          <w:lang w:eastAsia="ar-SA"/>
        </w:rPr>
        <w:t>mpiled and transformed into this report. The draft report was sent back to experts to verify that it accurately represents their opinion.</w:t>
      </w:r>
    </w:p>
    <w:p w:rsidR="00AB50C5" w:rsidRDefault="00AB50C5">
      <w:pPr>
        <w:suppressAutoHyphens/>
        <w:spacing w:before="120" w:after="0" w:line="240" w:lineRule="auto"/>
        <w:contextualSpacing/>
        <w:jc w:val="both"/>
        <w:rPr>
          <w:rFonts w:ascii="Times New Roman" w:eastAsia="Times New Roman" w:hAnsi="Times New Roman" w:cs="Times New Roman"/>
          <w:noProof/>
          <w:sz w:val="24"/>
          <w:szCs w:val="24"/>
          <w:lang w:eastAsia="ar-SA"/>
        </w:rPr>
      </w:pPr>
    </w:p>
    <w:p w:rsidR="00AB50C5" w:rsidRDefault="00724275">
      <w:pPr>
        <w:suppressAutoHyphens/>
        <w:spacing w:before="120" w:after="0" w:line="240" w:lineRule="auto"/>
        <w:contextualSpacing/>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b/>
          <w:noProof/>
          <w:sz w:val="24"/>
          <w:szCs w:val="24"/>
          <w:lang w:eastAsia="ar-SA"/>
        </w:rPr>
        <w:t>Policy options that have been assessed</w:t>
      </w:r>
    </w:p>
    <w:p w:rsidR="00AB50C5" w:rsidRDefault="00AB50C5">
      <w:pPr>
        <w:suppressAutoHyphens/>
        <w:spacing w:before="120" w:after="0" w:line="240" w:lineRule="auto"/>
        <w:contextualSpacing/>
        <w:jc w:val="both"/>
        <w:rPr>
          <w:rFonts w:ascii="Times New Roman" w:eastAsia="Times New Roman" w:hAnsi="Times New Roman" w:cs="Times New Roman"/>
          <w:noProof/>
          <w:sz w:val="24"/>
          <w:szCs w:val="24"/>
          <w:lang w:eastAsia="ar-SA"/>
        </w:rPr>
      </w:pPr>
    </w:p>
    <w:p w:rsidR="00AB50C5" w:rsidRDefault="00724275">
      <w:pPr>
        <w:suppressAutoHyphens/>
        <w:spacing w:before="120" w:after="0" w:line="240" w:lineRule="auto"/>
        <w:contextualSpacing/>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When the methods of this assessment were developed and the workshop was organised, the options as they are formulated in the Impact Assessment report were not yet known. Therefore, the options discussed at the workshop were a combination of generic options</w:t>
      </w:r>
      <w:r>
        <w:rPr>
          <w:rFonts w:ascii="Times New Roman" w:eastAsia="Times New Roman" w:hAnsi="Times New Roman" w:cs="Times New Roman"/>
          <w:noProof/>
          <w:sz w:val="24"/>
          <w:szCs w:val="24"/>
          <w:lang w:eastAsia="ar-SA"/>
        </w:rPr>
        <w:t xml:space="preserve"> that are applicable for all EU policy initiatives and specific options corresponding to possible elements of policy as identified by preparatory studies (e.g. in the Initial Impact Assessment and the JRC study) and discussed in the Impact Assessment Steer</w:t>
      </w:r>
      <w:r>
        <w:rPr>
          <w:rFonts w:ascii="Times New Roman" w:eastAsia="Times New Roman" w:hAnsi="Times New Roman" w:cs="Times New Roman"/>
          <w:noProof/>
          <w:sz w:val="24"/>
          <w:szCs w:val="24"/>
          <w:lang w:eastAsia="ar-SA"/>
        </w:rPr>
        <w:t xml:space="preserve">ing Group meetings. It can be concluded that the main options assessed below correspond to the main options of the Impact Assessment Report. These options included: </w:t>
      </w:r>
    </w:p>
    <w:p w:rsidR="00AB50C5" w:rsidRDefault="00AB50C5">
      <w:pPr>
        <w:suppressAutoHyphens/>
        <w:spacing w:before="120" w:after="0" w:line="240" w:lineRule="auto"/>
        <w:contextualSpacing/>
        <w:jc w:val="both"/>
        <w:rPr>
          <w:rFonts w:ascii="Times New Roman" w:eastAsia="Times New Roman" w:hAnsi="Times New Roman" w:cs="Times New Roman"/>
          <w:noProof/>
          <w:sz w:val="24"/>
          <w:szCs w:val="24"/>
          <w:lang w:eastAsia="ar-SA"/>
        </w:rPr>
      </w:pPr>
    </w:p>
    <w:p w:rsidR="00AB50C5" w:rsidRDefault="00724275">
      <w:pPr>
        <w:numPr>
          <w:ilvl w:val="0"/>
          <w:numId w:val="92"/>
        </w:numPr>
        <w:suppressAutoHyphens/>
        <w:spacing w:before="120" w:after="0" w:line="240" w:lineRule="auto"/>
        <w:jc w:val="both"/>
        <w:rPr>
          <w:rFonts w:ascii="Times New Roman" w:eastAsia="Times New Roman" w:hAnsi="Times New Roman" w:cs="Times New Roman"/>
          <w:noProof/>
          <w:sz w:val="24"/>
          <w:szCs w:val="20"/>
          <w:lang w:eastAsia="ar-SA"/>
        </w:rPr>
      </w:pPr>
      <w:r>
        <w:rPr>
          <w:rFonts w:ascii="Times New Roman" w:eastAsia="Times New Roman" w:hAnsi="Times New Roman" w:cs="Times New Roman"/>
          <w:b/>
          <w:noProof/>
          <w:sz w:val="24"/>
          <w:szCs w:val="20"/>
          <w:lang w:eastAsia="ar-SA"/>
        </w:rPr>
        <w:t>mandatory measures</w:t>
      </w:r>
      <w:r>
        <w:rPr>
          <w:rFonts w:ascii="Times New Roman" w:eastAsia="Times New Roman" w:hAnsi="Times New Roman" w:cs="Times New Roman"/>
          <w:noProof/>
          <w:sz w:val="24"/>
          <w:szCs w:val="20"/>
          <w:lang w:eastAsia="ar-SA"/>
        </w:rPr>
        <w:t xml:space="preserve">, i.e. Member States are obliged to comply with the legal requirements stipulated in the law; or </w:t>
      </w:r>
    </w:p>
    <w:p w:rsidR="00AB50C5" w:rsidRDefault="00724275">
      <w:pPr>
        <w:numPr>
          <w:ilvl w:val="0"/>
          <w:numId w:val="92"/>
        </w:numPr>
        <w:suppressAutoHyphens/>
        <w:spacing w:before="120" w:after="0" w:line="240" w:lineRule="auto"/>
        <w:jc w:val="both"/>
        <w:rPr>
          <w:rFonts w:ascii="Times New Roman" w:eastAsia="Times New Roman" w:hAnsi="Times New Roman" w:cs="Times New Roman"/>
          <w:noProof/>
          <w:sz w:val="24"/>
          <w:szCs w:val="20"/>
          <w:lang w:eastAsia="ar-SA"/>
        </w:rPr>
      </w:pPr>
      <w:r>
        <w:rPr>
          <w:rFonts w:ascii="Times New Roman" w:eastAsia="Times New Roman" w:hAnsi="Times New Roman" w:cs="Times New Roman"/>
          <w:b/>
          <w:noProof/>
          <w:sz w:val="24"/>
          <w:szCs w:val="20"/>
          <w:lang w:eastAsia="ar-SA"/>
        </w:rPr>
        <w:t>voluntary measures</w:t>
      </w:r>
      <w:r>
        <w:rPr>
          <w:rFonts w:ascii="Times New Roman" w:eastAsia="Times New Roman" w:hAnsi="Times New Roman" w:cs="Times New Roman"/>
          <w:noProof/>
          <w:sz w:val="24"/>
          <w:szCs w:val="20"/>
          <w:lang w:eastAsia="ar-SA"/>
        </w:rPr>
        <w:t xml:space="preserve">, i.e. Member States are advised or incentivised to implement certain measures but are not strictly obliged to do so. They usually take the </w:t>
      </w:r>
      <w:r>
        <w:rPr>
          <w:rFonts w:ascii="Times New Roman" w:eastAsia="Times New Roman" w:hAnsi="Times New Roman" w:cs="Times New Roman"/>
          <w:noProof/>
          <w:sz w:val="24"/>
          <w:szCs w:val="20"/>
          <w:lang w:eastAsia="ar-SA"/>
        </w:rPr>
        <w:t>form of EU recommendations, guidance or communications.</w:t>
      </w:r>
    </w:p>
    <w:p w:rsidR="00AB50C5" w:rsidRDefault="00AB50C5">
      <w:pPr>
        <w:suppressAutoHyphens/>
        <w:spacing w:before="120" w:after="120" w:line="240" w:lineRule="auto"/>
        <w:ind w:left="360"/>
        <w:jc w:val="both"/>
        <w:rPr>
          <w:rFonts w:ascii="Times New Roman" w:eastAsia="Times New Roman" w:hAnsi="Times New Roman" w:cs="Times New Roman"/>
          <w:noProof/>
          <w:sz w:val="24"/>
          <w:szCs w:val="20"/>
          <w:lang w:eastAsia="ar-SA"/>
        </w:rPr>
      </w:pPr>
    </w:p>
    <w:p w:rsidR="00AB50C5" w:rsidRDefault="00724275">
      <w:pPr>
        <w:suppressAutoHyphens/>
        <w:spacing w:before="120" w:after="120" w:line="240" w:lineRule="auto"/>
        <w:jc w:val="both"/>
        <w:rPr>
          <w:rFonts w:ascii="Times New Roman" w:eastAsia="Times New Roman" w:hAnsi="Times New Roman" w:cs="Times New Roman"/>
          <w:noProof/>
          <w:sz w:val="24"/>
          <w:szCs w:val="20"/>
          <w:lang w:eastAsia="ar-SA"/>
        </w:rPr>
      </w:pPr>
      <w:r>
        <w:rPr>
          <w:rFonts w:ascii="Times New Roman" w:eastAsia="Times New Roman" w:hAnsi="Times New Roman" w:cs="Times New Roman"/>
          <w:noProof/>
          <w:sz w:val="24"/>
          <w:szCs w:val="20"/>
          <w:lang w:eastAsia="ar-SA"/>
        </w:rPr>
        <w:t>Specific options:</w:t>
      </w:r>
    </w:p>
    <w:p w:rsidR="00AB50C5" w:rsidRDefault="00724275">
      <w:pPr>
        <w:numPr>
          <w:ilvl w:val="0"/>
          <w:numId w:val="91"/>
        </w:numPr>
        <w:suppressAutoHyphens/>
        <w:spacing w:before="120" w:after="0" w:line="240" w:lineRule="auto"/>
        <w:contextualSpacing/>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b/>
          <w:noProof/>
          <w:sz w:val="24"/>
          <w:szCs w:val="24"/>
          <w:lang w:eastAsia="ar-SA"/>
        </w:rPr>
        <w:t>Targets</w:t>
      </w:r>
      <w:r>
        <w:rPr>
          <w:rFonts w:ascii="Times New Roman" w:eastAsia="Times New Roman" w:hAnsi="Times New Roman" w:cs="Times New Roman"/>
          <w:noProof/>
          <w:sz w:val="24"/>
          <w:szCs w:val="24"/>
          <w:lang w:eastAsia="ar-SA"/>
        </w:rPr>
        <w:t xml:space="preserve"> for Member States, e.g. what proportion of treated waste water should be reclaimed for further reuse;</w:t>
      </w:r>
    </w:p>
    <w:p w:rsidR="00AB50C5" w:rsidRDefault="00724275">
      <w:pPr>
        <w:numPr>
          <w:ilvl w:val="0"/>
          <w:numId w:val="91"/>
        </w:numPr>
        <w:suppressAutoHyphens/>
        <w:spacing w:before="120" w:after="0" w:line="240" w:lineRule="auto"/>
        <w:contextualSpacing/>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Measures to</w:t>
      </w:r>
      <w:r>
        <w:rPr>
          <w:rFonts w:ascii="Times New Roman" w:eastAsia="Times New Roman" w:hAnsi="Times New Roman" w:cs="Times New Roman"/>
          <w:b/>
          <w:noProof/>
          <w:sz w:val="24"/>
          <w:szCs w:val="24"/>
          <w:lang w:eastAsia="ar-SA"/>
        </w:rPr>
        <w:t xml:space="preserve"> prevent trade barriers</w:t>
      </w:r>
      <w:r>
        <w:rPr>
          <w:rFonts w:ascii="Times New Roman" w:eastAsia="Times New Roman" w:hAnsi="Times New Roman" w:cs="Times New Roman"/>
          <w:noProof/>
          <w:sz w:val="24"/>
          <w:szCs w:val="24"/>
          <w:lang w:eastAsia="ar-SA"/>
        </w:rPr>
        <w:t xml:space="preserve"> (harmonization of rules or mutual re</w:t>
      </w:r>
      <w:r>
        <w:rPr>
          <w:rFonts w:ascii="Times New Roman" w:eastAsia="Times New Roman" w:hAnsi="Times New Roman" w:cs="Times New Roman"/>
          <w:noProof/>
          <w:sz w:val="24"/>
          <w:szCs w:val="24"/>
          <w:lang w:eastAsia="ar-SA"/>
        </w:rPr>
        <w:t>cognition of national rules);</w:t>
      </w:r>
    </w:p>
    <w:p w:rsidR="00AB50C5" w:rsidRDefault="00724275">
      <w:pPr>
        <w:numPr>
          <w:ilvl w:val="0"/>
          <w:numId w:val="91"/>
        </w:numPr>
        <w:suppressAutoHyphens/>
        <w:spacing w:before="120" w:after="0" w:line="240" w:lineRule="auto"/>
        <w:contextualSpacing/>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b/>
          <w:noProof/>
          <w:sz w:val="24"/>
          <w:szCs w:val="24"/>
          <w:lang w:eastAsia="ar-SA"/>
        </w:rPr>
        <w:t>Limit values for control of hazardous substances in the reclaimed water for reuse</w:t>
      </w:r>
      <w:r>
        <w:rPr>
          <w:rFonts w:ascii="Times New Roman" w:eastAsia="Times New Roman" w:hAnsi="Times New Roman" w:cs="Times New Roman"/>
          <w:noProof/>
          <w:sz w:val="24"/>
          <w:szCs w:val="24"/>
          <w:lang w:eastAsia="ar-SA"/>
        </w:rPr>
        <w:t xml:space="preserve">. These can be set to protect </w:t>
      </w:r>
      <w:r>
        <w:rPr>
          <w:rFonts w:ascii="Times New Roman" w:eastAsia="Times New Roman" w:hAnsi="Times New Roman" w:cs="Times New Roman"/>
          <w:b/>
          <w:noProof/>
          <w:sz w:val="24"/>
          <w:szCs w:val="24"/>
          <w:lang w:eastAsia="ar-SA"/>
        </w:rPr>
        <w:t>either public health</w:t>
      </w:r>
      <w:r>
        <w:rPr>
          <w:rFonts w:ascii="Times New Roman" w:eastAsia="Times New Roman" w:hAnsi="Times New Roman" w:cs="Times New Roman"/>
          <w:noProof/>
          <w:sz w:val="24"/>
          <w:szCs w:val="24"/>
          <w:lang w:eastAsia="ar-SA"/>
        </w:rPr>
        <w:t xml:space="preserve">, e.g. microbiological pathogens or hazardous substances that may enter food chain, or </w:t>
      </w:r>
      <w:r>
        <w:rPr>
          <w:rFonts w:ascii="Times New Roman" w:eastAsia="Times New Roman" w:hAnsi="Times New Roman" w:cs="Times New Roman"/>
          <w:b/>
          <w:noProof/>
          <w:sz w:val="24"/>
          <w:szCs w:val="24"/>
          <w:lang w:eastAsia="ar-SA"/>
        </w:rPr>
        <w:t xml:space="preserve">prevent </w:t>
      </w:r>
      <w:r>
        <w:rPr>
          <w:rFonts w:ascii="Times New Roman" w:eastAsia="Times New Roman" w:hAnsi="Times New Roman" w:cs="Times New Roman"/>
          <w:b/>
          <w:noProof/>
          <w:sz w:val="24"/>
          <w:szCs w:val="24"/>
          <w:lang w:eastAsia="ar-SA"/>
        </w:rPr>
        <w:t>environmental damage</w:t>
      </w:r>
      <w:r>
        <w:rPr>
          <w:rFonts w:ascii="Times New Roman" w:eastAsia="Times New Roman" w:hAnsi="Times New Roman" w:cs="Times New Roman"/>
          <w:noProof/>
          <w:sz w:val="24"/>
          <w:szCs w:val="24"/>
          <w:lang w:eastAsia="ar-SA"/>
        </w:rPr>
        <w:t xml:space="preserve">, e.g. overload of nutrients that may cause eutrophication of surface water bodies, degradation of soil or pollution by hazardous substances that have negative impact on terrestrial and aquatic ecosystems. </w:t>
      </w:r>
    </w:p>
    <w:p w:rsidR="00AB50C5" w:rsidRDefault="00724275">
      <w:pPr>
        <w:numPr>
          <w:ilvl w:val="0"/>
          <w:numId w:val="91"/>
        </w:numPr>
        <w:suppressAutoHyphens/>
        <w:spacing w:before="120" w:after="0" w:line="240" w:lineRule="auto"/>
        <w:contextualSpacing/>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 xml:space="preserve">Measures to address </w:t>
      </w:r>
      <w:r>
        <w:rPr>
          <w:rFonts w:ascii="Times New Roman" w:eastAsia="Times New Roman" w:hAnsi="Times New Roman" w:cs="Times New Roman"/>
          <w:b/>
          <w:noProof/>
          <w:sz w:val="24"/>
          <w:szCs w:val="24"/>
          <w:lang w:eastAsia="ar-SA"/>
        </w:rPr>
        <w:t>public he</w:t>
      </w:r>
      <w:r>
        <w:rPr>
          <w:rFonts w:ascii="Times New Roman" w:eastAsia="Times New Roman" w:hAnsi="Times New Roman" w:cs="Times New Roman"/>
          <w:b/>
          <w:noProof/>
          <w:sz w:val="24"/>
          <w:szCs w:val="24"/>
          <w:lang w:eastAsia="ar-SA"/>
        </w:rPr>
        <w:t>alth risks</w:t>
      </w:r>
      <w:r>
        <w:rPr>
          <w:rFonts w:ascii="Times New Roman" w:eastAsia="Times New Roman" w:hAnsi="Times New Roman" w:cs="Times New Roman"/>
          <w:noProof/>
          <w:sz w:val="24"/>
          <w:szCs w:val="24"/>
          <w:lang w:eastAsia="ar-SA"/>
        </w:rPr>
        <w:t xml:space="preserve"> by the application of risk management systems (public health risk management requirements);</w:t>
      </w:r>
    </w:p>
    <w:p w:rsidR="00AB50C5" w:rsidRDefault="00724275">
      <w:pPr>
        <w:numPr>
          <w:ilvl w:val="0"/>
          <w:numId w:val="91"/>
        </w:numPr>
        <w:suppressAutoHyphens/>
        <w:spacing w:before="120" w:after="0" w:line="240" w:lineRule="auto"/>
        <w:contextualSpacing/>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 xml:space="preserve">Measures to address </w:t>
      </w:r>
      <w:r>
        <w:rPr>
          <w:rFonts w:ascii="Times New Roman" w:eastAsia="Times New Roman" w:hAnsi="Times New Roman" w:cs="Times New Roman"/>
          <w:b/>
          <w:noProof/>
          <w:sz w:val="24"/>
          <w:szCs w:val="24"/>
          <w:lang w:eastAsia="ar-SA"/>
        </w:rPr>
        <w:t>environmental risks</w:t>
      </w:r>
      <w:r>
        <w:rPr>
          <w:rFonts w:ascii="Times New Roman" w:eastAsia="Times New Roman" w:hAnsi="Times New Roman" w:cs="Times New Roman"/>
          <w:noProof/>
          <w:sz w:val="24"/>
          <w:szCs w:val="24"/>
          <w:lang w:eastAsia="ar-SA"/>
        </w:rPr>
        <w:t xml:space="preserve"> by risk management systems (environmental risk management requirements);</w:t>
      </w:r>
    </w:p>
    <w:p w:rsidR="00AB50C5" w:rsidRDefault="00724275">
      <w:pPr>
        <w:numPr>
          <w:ilvl w:val="0"/>
          <w:numId w:val="91"/>
        </w:numPr>
        <w:suppressAutoHyphens/>
        <w:spacing w:before="120" w:after="0" w:line="240" w:lineRule="auto"/>
        <w:contextualSpacing/>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b/>
          <w:noProof/>
          <w:sz w:val="24"/>
          <w:szCs w:val="24"/>
          <w:lang w:eastAsia="ar-SA"/>
        </w:rPr>
        <w:t>Governance and economic aspects</w:t>
      </w:r>
      <w:r>
        <w:rPr>
          <w:rFonts w:ascii="Times New Roman" w:eastAsia="Times New Roman" w:hAnsi="Times New Roman" w:cs="Times New Roman"/>
          <w:noProof/>
          <w:sz w:val="24"/>
          <w:szCs w:val="24"/>
          <w:lang w:eastAsia="ar-SA"/>
        </w:rPr>
        <w:t>, i.e. wh</w:t>
      </w:r>
      <w:r>
        <w:rPr>
          <w:rFonts w:ascii="Times New Roman" w:eastAsia="Times New Roman" w:hAnsi="Times New Roman" w:cs="Times New Roman"/>
          <w:noProof/>
          <w:sz w:val="24"/>
          <w:szCs w:val="24"/>
          <w:lang w:eastAsia="ar-SA"/>
        </w:rPr>
        <w:t>o is responsible for delivery of the requirements and who pays for what and how much;</w:t>
      </w:r>
    </w:p>
    <w:p w:rsidR="00AB50C5" w:rsidRDefault="00724275">
      <w:pPr>
        <w:numPr>
          <w:ilvl w:val="0"/>
          <w:numId w:val="91"/>
        </w:numPr>
        <w:suppressAutoHyphens/>
        <w:spacing w:before="120" w:after="0" w:line="240" w:lineRule="auto"/>
        <w:contextualSpacing/>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b/>
          <w:noProof/>
          <w:sz w:val="24"/>
          <w:szCs w:val="24"/>
          <w:lang w:eastAsia="ar-SA"/>
        </w:rPr>
        <w:t>Technology</w:t>
      </w:r>
      <w:r>
        <w:rPr>
          <w:rFonts w:ascii="Times New Roman" w:eastAsia="Times New Roman" w:hAnsi="Times New Roman" w:cs="Times New Roman"/>
          <w:noProof/>
          <w:sz w:val="24"/>
          <w:szCs w:val="24"/>
          <w:lang w:eastAsia="ar-SA"/>
        </w:rPr>
        <w:t>, e.g. is any particular technology or technique required (explicitly or implicitly).</w:t>
      </w:r>
    </w:p>
    <w:p w:rsidR="00AB50C5" w:rsidRDefault="00AB50C5">
      <w:pPr>
        <w:suppressAutoHyphens/>
        <w:spacing w:before="120" w:after="120" w:line="240" w:lineRule="auto"/>
        <w:ind w:left="360"/>
        <w:contextualSpacing/>
        <w:jc w:val="both"/>
        <w:rPr>
          <w:rFonts w:ascii="Times New Roman" w:eastAsia="Times New Roman" w:hAnsi="Times New Roman" w:cs="Times New Roman"/>
          <w:noProof/>
          <w:sz w:val="24"/>
          <w:szCs w:val="24"/>
          <w:lang w:eastAsia="ar-SA"/>
        </w:rPr>
      </w:pPr>
    </w:p>
    <w:p w:rsidR="00AB50C5" w:rsidRDefault="00724275">
      <w:pPr>
        <w:suppressAutoHyphens/>
        <w:spacing w:before="120" w:after="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 xml:space="preserve">At the workshop the above specific options were discussed first and </w:t>
      </w:r>
      <w:r>
        <w:rPr>
          <w:rFonts w:ascii="Times New Roman" w:eastAsia="Times New Roman" w:hAnsi="Times New Roman" w:cs="Times New Roman"/>
          <w:noProof/>
          <w:sz w:val="24"/>
          <w:szCs w:val="24"/>
          <w:lang w:eastAsia="ar-SA"/>
        </w:rPr>
        <w:t>experts selected the most relevant ones. As the result the workshop focused mainly on options 3, 4 and 5 and the links among them. Option 1 was immediately eliminated as not acceptable at the EU level and option 2 was included as an overarching component o</w:t>
      </w:r>
      <w:r>
        <w:rPr>
          <w:rFonts w:ascii="Times New Roman" w:eastAsia="Times New Roman" w:hAnsi="Times New Roman" w:cs="Times New Roman"/>
          <w:noProof/>
          <w:sz w:val="24"/>
          <w:szCs w:val="24"/>
          <w:lang w:eastAsia="ar-SA"/>
        </w:rPr>
        <w:t>f options 3 and 4. Options 6 and 7 have been also assessed but were commented by experts.</w:t>
      </w:r>
    </w:p>
    <w:p w:rsidR="00AB50C5" w:rsidRDefault="00724275">
      <w:pPr>
        <w:suppressAutoHyphens/>
        <w:spacing w:before="120" w:after="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An analysis of the impact on innovation of these options is presented below.</w:t>
      </w:r>
    </w:p>
    <w:p w:rsidR="00AB50C5" w:rsidRDefault="00AB50C5">
      <w:pPr>
        <w:suppressAutoHyphens/>
        <w:spacing w:before="120" w:after="120" w:line="240" w:lineRule="auto"/>
        <w:ind w:left="360"/>
        <w:contextualSpacing/>
        <w:jc w:val="both"/>
        <w:rPr>
          <w:rFonts w:ascii="Times New Roman" w:eastAsia="Times New Roman" w:hAnsi="Times New Roman" w:cs="Times New Roman"/>
          <w:noProof/>
          <w:sz w:val="24"/>
          <w:szCs w:val="24"/>
          <w:lang w:eastAsia="ar-SA"/>
        </w:rPr>
      </w:pPr>
    </w:p>
    <w:p w:rsidR="00AB50C5" w:rsidRDefault="00AB50C5">
      <w:pPr>
        <w:suppressAutoHyphens/>
        <w:spacing w:before="120" w:after="120" w:line="240" w:lineRule="auto"/>
        <w:ind w:left="360"/>
        <w:contextualSpacing/>
        <w:jc w:val="both"/>
        <w:rPr>
          <w:rFonts w:ascii="Times New Roman" w:eastAsia="Times New Roman" w:hAnsi="Times New Roman" w:cs="Times New Roman"/>
          <w:noProof/>
          <w:sz w:val="24"/>
          <w:szCs w:val="24"/>
          <w:lang w:eastAsia="ar-SA"/>
        </w:rPr>
      </w:pPr>
    </w:p>
    <w:p w:rsidR="00AB50C5" w:rsidRDefault="00724275">
      <w:pPr>
        <w:keepNext/>
        <w:numPr>
          <w:ilvl w:val="0"/>
          <w:numId w:val="89"/>
        </w:numPr>
        <w:suppressAutoHyphens/>
        <w:spacing w:before="120" w:after="0" w:line="240" w:lineRule="auto"/>
        <w:jc w:val="both"/>
        <w:outlineLvl w:val="0"/>
        <w:rPr>
          <w:rFonts w:ascii="Times New Roman" w:eastAsia="Times New Roman" w:hAnsi="Times New Roman" w:cs="Times New Roman"/>
          <w:b/>
          <w:bCs/>
          <w:smallCaps/>
          <w:noProof/>
          <w:sz w:val="24"/>
          <w:szCs w:val="32"/>
          <w:lang w:eastAsia="de-DE"/>
        </w:rPr>
      </w:pPr>
      <w:bookmarkStart w:id="116" w:name="_Toc493963507"/>
      <w:bookmarkStart w:id="117" w:name="_Toc516234788"/>
      <w:r>
        <w:rPr>
          <w:rFonts w:ascii="Times New Roman" w:eastAsia="Times New Roman" w:hAnsi="Times New Roman" w:cs="Times New Roman"/>
          <w:b/>
          <w:bCs/>
          <w:smallCaps/>
          <w:noProof/>
          <w:sz w:val="24"/>
          <w:szCs w:val="32"/>
          <w:lang w:eastAsia="de-DE"/>
        </w:rPr>
        <w:t>Analysis on the impact to Research and Innovation</w:t>
      </w:r>
      <w:bookmarkEnd w:id="116"/>
      <w:bookmarkEnd w:id="117"/>
      <w:r>
        <w:rPr>
          <w:rFonts w:ascii="Times New Roman" w:eastAsia="Times New Roman" w:hAnsi="Times New Roman" w:cs="Times New Roman"/>
          <w:b/>
          <w:bCs/>
          <w:smallCaps/>
          <w:noProof/>
          <w:sz w:val="24"/>
          <w:szCs w:val="32"/>
          <w:lang w:eastAsia="de-DE"/>
        </w:rPr>
        <w:t xml:space="preserve"> </w:t>
      </w:r>
    </w:p>
    <w:p w:rsidR="00AB50C5" w:rsidRDefault="00AB50C5">
      <w:pPr>
        <w:suppressAutoHyphens/>
        <w:spacing w:before="120" w:after="0" w:line="240" w:lineRule="auto"/>
        <w:jc w:val="both"/>
        <w:rPr>
          <w:rFonts w:ascii="Times New Roman" w:eastAsia="Times New Roman" w:hAnsi="Times New Roman" w:cs="Times New Roman"/>
          <w:noProof/>
          <w:sz w:val="16"/>
          <w:szCs w:val="24"/>
          <w:lang w:eastAsia="ar-SA"/>
        </w:rPr>
      </w:pPr>
    </w:p>
    <w:p w:rsidR="00AB50C5" w:rsidRDefault="00724275">
      <w:pPr>
        <w:keepNext/>
        <w:numPr>
          <w:ilvl w:val="1"/>
          <w:numId w:val="89"/>
        </w:numPr>
        <w:suppressAutoHyphens/>
        <w:spacing w:before="120" w:after="240" w:line="240" w:lineRule="auto"/>
        <w:jc w:val="both"/>
        <w:outlineLvl w:val="1"/>
        <w:rPr>
          <w:rFonts w:ascii="Times New Roman" w:eastAsia="Times New Roman" w:hAnsi="Times New Roman" w:cs="Times New Roman"/>
          <w:b/>
          <w:bCs/>
          <w:iCs/>
          <w:noProof/>
          <w:sz w:val="24"/>
          <w:szCs w:val="28"/>
          <w:lang w:eastAsia="de-DE"/>
        </w:rPr>
      </w:pPr>
      <w:bookmarkStart w:id="118" w:name="_Toc493963508"/>
      <w:bookmarkStart w:id="119" w:name="_Toc516234789"/>
      <w:r>
        <w:rPr>
          <w:rFonts w:ascii="Times New Roman" w:eastAsia="Times New Roman" w:hAnsi="Times New Roman" w:cs="Times New Roman"/>
          <w:b/>
          <w:bCs/>
          <w:iCs/>
          <w:noProof/>
          <w:sz w:val="24"/>
          <w:szCs w:val="28"/>
          <w:lang w:eastAsia="de-DE"/>
        </w:rPr>
        <w:t xml:space="preserve">Option – EU Minimum quality </w:t>
      </w:r>
      <w:r>
        <w:rPr>
          <w:rFonts w:ascii="Times New Roman" w:eastAsia="Times New Roman" w:hAnsi="Times New Roman" w:cs="Times New Roman"/>
          <w:b/>
          <w:bCs/>
          <w:iCs/>
          <w:noProof/>
          <w:sz w:val="24"/>
          <w:szCs w:val="28"/>
          <w:lang w:eastAsia="de-DE"/>
        </w:rPr>
        <w:t>requirements (limit values) + additional MS requirements</w:t>
      </w:r>
      <w:bookmarkEnd w:id="118"/>
      <w:bookmarkEnd w:id="119"/>
    </w:p>
    <w:p w:rsidR="00AB50C5" w:rsidRDefault="00724275">
      <w:pPr>
        <w:suppressAutoHyphens/>
        <w:spacing w:before="120" w:after="0" w:line="240" w:lineRule="auto"/>
        <w:contextualSpacing/>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b/>
          <w:noProof/>
          <w:sz w:val="24"/>
          <w:szCs w:val="24"/>
          <w:lang w:eastAsia="ar-SA"/>
        </w:rPr>
        <w:t>3.1.1 Voluntary EU minimum quality requirements (limit values set for selected water quality parameters)</w:t>
      </w:r>
      <w:r>
        <w:rPr>
          <w:rFonts w:ascii="Times New Roman" w:eastAsia="Times New Roman" w:hAnsi="Times New Roman" w:cs="Times New Roman"/>
          <w:noProof/>
          <w:sz w:val="24"/>
          <w:szCs w:val="24"/>
          <w:lang w:eastAsia="ar-SA"/>
        </w:rPr>
        <w:t xml:space="preserve"> reflect the current fragmented situation in the EU. They will not drive or stimulate innovatio</w:t>
      </w:r>
      <w:r>
        <w:rPr>
          <w:rFonts w:ascii="Times New Roman" w:eastAsia="Times New Roman" w:hAnsi="Times New Roman" w:cs="Times New Roman"/>
          <w:noProof/>
          <w:sz w:val="24"/>
          <w:szCs w:val="24"/>
          <w:lang w:eastAsia="ar-SA"/>
        </w:rPr>
        <w:t xml:space="preserve">n that would have EU-wide impacts. </w:t>
      </w:r>
    </w:p>
    <w:p w:rsidR="00AB50C5" w:rsidRDefault="00AB50C5">
      <w:pPr>
        <w:suppressAutoHyphens/>
        <w:spacing w:before="120" w:after="0" w:line="240" w:lineRule="auto"/>
        <w:contextualSpacing/>
        <w:jc w:val="both"/>
        <w:rPr>
          <w:rFonts w:ascii="Times New Roman" w:eastAsia="Times New Roman" w:hAnsi="Times New Roman" w:cs="Times New Roman"/>
          <w:noProof/>
          <w:sz w:val="24"/>
          <w:szCs w:val="24"/>
          <w:lang w:eastAsia="ar-SA"/>
        </w:rPr>
      </w:pPr>
    </w:p>
    <w:p w:rsidR="00AB50C5" w:rsidRDefault="00724275">
      <w:pPr>
        <w:suppressAutoHyphens/>
        <w:spacing w:before="120" w:after="0" w:line="240" w:lineRule="auto"/>
        <w:contextualSpacing/>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Voluntary minimum requirements will lead to:</w:t>
      </w:r>
    </w:p>
    <w:p w:rsidR="00AB50C5" w:rsidRDefault="00724275">
      <w:pPr>
        <w:numPr>
          <w:ilvl w:val="0"/>
          <w:numId w:val="93"/>
        </w:numPr>
        <w:suppressAutoHyphens/>
        <w:spacing w:before="120" w:after="0" w:line="240" w:lineRule="auto"/>
        <w:contextualSpacing/>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Fragmentation of the setting of parameters and their limit values among different countries;</w:t>
      </w:r>
    </w:p>
    <w:p w:rsidR="00AB50C5" w:rsidRDefault="00724275">
      <w:pPr>
        <w:numPr>
          <w:ilvl w:val="0"/>
          <w:numId w:val="93"/>
        </w:numPr>
        <w:suppressAutoHyphens/>
        <w:spacing w:before="120" w:after="0" w:line="240" w:lineRule="auto"/>
        <w:contextualSpacing/>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A water reuse market governed by local drivers and local initiatives of end-users</w:t>
      </w:r>
      <w:r>
        <w:rPr>
          <w:rFonts w:ascii="Times New Roman" w:eastAsia="Times New Roman" w:hAnsi="Times New Roman" w:cs="Times New Roman"/>
          <w:noProof/>
          <w:sz w:val="24"/>
          <w:szCs w:val="24"/>
          <w:lang w:eastAsia="ar-SA"/>
        </w:rPr>
        <w:t>;</w:t>
      </w:r>
    </w:p>
    <w:p w:rsidR="00AB50C5" w:rsidRDefault="00724275">
      <w:pPr>
        <w:numPr>
          <w:ilvl w:val="0"/>
          <w:numId w:val="93"/>
        </w:numPr>
        <w:suppressAutoHyphens/>
        <w:spacing w:before="120" w:after="0" w:line="240" w:lineRule="auto"/>
        <w:contextualSpacing/>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 xml:space="preserve">Specialised, almost tailor-made local technological products that are not seen as replicable elsewhere; </w:t>
      </w:r>
    </w:p>
    <w:p w:rsidR="00AB50C5" w:rsidRDefault="00724275">
      <w:pPr>
        <w:numPr>
          <w:ilvl w:val="0"/>
          <w:numId w:val="93"/>
        </w:numPr>
        <w:suppressAutoHyphens/>
        <w:spacing w:before="120" w:after="0" w:line="240" w:lineRule="auto"/>
        <w:contextualSpacing/>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 xml:space="preserve">Different technological products for every different application; </w:t>
      </w:r>
    </w:p>
    <w:p w:rsidR="00AB50C5" w:rsidRDefault="00724275">
      <w:pPr>
        <w:numPr>
          <w:ilvl w:val="0"/>
          <w:numId w:val="93"/>
        </w:numPr>
        <w:suppressAutoHyphens/>
        <w:spacing w:before="120" w:after="0" w:line="240" w:lineRule="auto"/>
        <w:contextualSpacing/>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Different quality limit values that will create difficulties to compare research r</w:t>
      </w:r>
      <w:r>
        <w:rPr>
          <w:rFonts w:ascii="Times New Roman" w:eastAsia="Times New Roman" w:hAnsi="Times New Roman" w:cs="Times New Roman"/>
          <w:noProof/>
          <w:sz w:val="24"/>
          <w:szCs w:val="24"/>
          <w:lang w:eastAsia="ar-SA"/>
        </w:rPr>
        <w:t xml:space="preserve">esults and innovative solutions. It will create obstacles for data bases structures; </w:t>
      </w:r>
    </w:p>
    <w:p w:rsidR="00AB50C5" w:rsidRDefault="00724275">
      <w:pPr>
        <w:numPr>
          <w:ilvl w:val="0"/>
          <w:numId w:val="93"/>
        </w:numPr>
        <w:suppressAutoHyphens/>
        <w:spacing w:before="120" w:after="0" w:line="240" w:lineRule="auto"/>
        <w:contextualSpacing/>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 xml:space="preserve">Disintegration and sectionalisation of R&amp;D infrastructures; </w:t>
      </w:r>
    </w:p>
    <w:p w:rsidR="00AB50C5" w:rsidRDefault="00724275">
      <w:pPr>
        <w:numPr>
          <w:ilvl w:val="0"/>
          <w:numId w:val="93"/>
        </w:numPr>
        <w:suppressAutoHyphens/>
        <w:spacing w:before="120" w:after="0" w:line="240" w:lineRule="auto"/>
        <w:contextualSpacing/>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 xml:space="preserve">A limited pool of choices and R&amp;D investment opportunities; </w:t>
      </w:r>
    </w:p>
    <w:p w:rsidR="00AB50C5" w:rsidRDefault="00724275">
      <w:pPr>
        <w:numPr>
          <w:ilvl w:val="0"/>
          <w:numId w:val="93"/>
        </w:numPr>
        <w:suppressAutoHyphens/>
        <w:spacing w:before="120" w:after="0" w:line="240" w:lineRule="auto"/>
        <w:contextualSpacing/>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 xml:space="preserve">Less efficiency, efficacy and competitiveness of the industry; </w:t>
      </w:r>
    </w:p>
    <w:p w:rsidR="00AB50C5" w:rsidRDefault="00724275">
      <w:pPr>
        <w:numPr>
          <w:ilvl w:val="0"/>
          <w:numId w:val="93"/>
        </w:numPr>
        <w:suppressAutoHyphens/>
        <w:spacing w:before="120" w:after="0" w:line="240" w:lineRule="auto"/>
        <w:contextualSpacing/>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 xml:space="preserve">Possibly negative cooperation between public and corporate R&amp;D; and </w:t>
      </w:r>
    </w:p>
    <w:p w:rsidR="00AB50C5" w:rsidRDefault="00724275">
      <w:pPr>
        <w:numPr>
          <w:ilvl w:val="0"/>
          <w:numId w:val="93"/>
        </w:numPr>
        <w:suppressAutoHyphens/>
        <w:spacing w:before="120" w:after="0" w:line="240" w:lineRule="auto"/>
        <w:contextualSpacing/>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 xml:space="preserve">Less cooperation for innovative solutions and EU-wide incentives to facilitate and enhance water reuse. </w:t>
      </w:r>
    </w:p>
    <w:p w:rsidR="00AB50C5" w:rsidRDefault="00AB50C5">
      <w:pPr>
        <w:suppressAutoHyphens/>
        <w:spacing w:before="120" w:after="0" w:line="240" w:lineRule="auto"/>
        <w:contextualSpacing/>
        <w:jc w:val="both"/>
        <w:rPr>
          <w:rFonts w:ascii="Times New Roman" w:eastAsia="Times New Roman" w:hAnsi="Times New Roman" w:cs="Times New Roman"/>
          <w:noProof/>
          <w:sz w:val="24"/>
          <w:szCs w:val="24"/>
          <w:lang w:eastAsia="ar-SA"/>
        </w:rPr>
      </w:pPr>
    </w:p>
    <w:p w:rsidR="00AB50C5" w:rsidRDefault="00724275">
      <w:pPr>
        <w:suppressAutoHyphens/>
        <w:spacing w:before="120" w:after="0" w:line="240" w:lineRule="auto"/>
        <w:contextualSpacing/>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Voluntary limit r</w:t>
      </w:r>
      <w:r>
        <w:rPr>
          <w:rFonts w:ascii="Times New Roman" w:eastAsia="Times New Roman" w:hAnsi="Times New Roman" w:cs="Times New Roman"/>
          <w:noProof/>
          <w:sz w:val="24"/>
          <w:szCs w:val="24"/>
          <w:lang w:eastAsia="ar-SA"/>
        </w:rPr>
        <w:t xml:space="preserve">equirements may be accompanied with the EU guidance but the experts were not convinced that it could have an added value for R&amp;I. For example, the updated voluntary WHO water reuse guidance introduced in 2006 did not stimulate any development of new water </w:t>
      </w:r>
      <w:r>
        <w:rPr>
          <w:rFonts w:ascii="Times New Roman" w:eastAsia="Times New Roman" w:hAnsi="Times New Roman" w:cs="Times New Roman"/>
          <w:noProof/>
          <w:sz w:val="24"/>
          <w:szCs w:val="24"/>
          <w:lang w:eastAsia="ar-SA"/>
        </w:rPr>
        <w:t xml:space="preserve">reuse projects in the EU. </w:t>
      </w:r>
    </w:p>
    <w:p w:rsidR="00AB50C5" w:rsidRDefault="00AB50C5">
      <w:pPr>
        <w:suppressAutoHyphens/>
        <w:spacing w:before="120" w:after="0" w:line="240" w:lineRule="auto"/>
        <w:contextualSpacing/>
        <w:jc w:val="both"/>
        <w:rPr>
          <w:rFonts w:ascii="Times New Roman" w:eastAsia="Times New Roman" w:hAnsi="Times New Roman" w:cs="Times New Roman"/>
          <w:noProof/>
          <w:sz w:val="24"/>
          <w:szCs w:val="24"/>
          <w:lang w:eastAsia="ar-SA"/>
        </w:rPr>
      </w:pPr>
    </w:p>
    <w:p w:rsidR="00AB50C5" w:rsidRDefault="00724275">
      <w:pPr>
        <w:suppressAutoHyphens/>
        <w:spacing w:before="120" w:after="0" w:line="240" w:lineRule="auto"/>
        <w:contextualSpacing/>
        <w:jc w:val="both"/>
        <w:rPr>
          <w:rFonts w:ascii="Times New Roman" w:eastAsia="Times New Roman" w:hAnsi="Times New Roman" w:cs="Times New Roman"/>
          <w:b/>
          <w:noProof/>
          <w:sz w:val="24"/>
          <w:szCs w:val="24"/>
          <w:lang w:eastAsia="ar-SA"/>
        </w:rPr>
      </w:pPr>
      <w:r>
        <w:rPr>
          <w:rFonts w:ascii="Times New Roman" w:eastAsia="Times New Roman" w:hAnsi="Times New Roman" w:cs="Times New Roman"/>
          <w:b/>
          <w:noProof/>
          <w:sz w:val="24"/>
          <w:szCs w:val="24"/>
          <w:lang w:eastAsia="ar-SA"/>
        </w:rPr>
        <w:t xml:space="preserve">3.1.2 Mandatory EU minimum quality requirements (limit values) </w:t>
      </w:r>
    </w:p>
    <w:p w:rsidR="00AB50C5" w:rsidRDefault="00AB50C5">
      <w:pPr>
        <w:suppressAutoHyphens/>
        <w:spacing w:before="120" w:after="0" w:line="240" w:lineRule="auto"/>
        <w:contextualSpacing/>
        <w:jc w:val="both"/>
        <w:rPr>
          <w:rFonts w:ascii="Times New Roman" w:eastAsia="Times New Roman" w:hAnsi="Times New Roman" w:cs="Times New Roman"/>
          <w:noProof/>
          <w:sz w:val="24"/>
          <w:szCs w:val="24"/>
          <w:lang w:eastAsia="ar-SA"/>
        </w:rPr>
      </w:pPr>
    </w:p>
    <w:p w:rsidR="00AB50C5" w:rsidRDefault="00724275">
      <w:pPr>
        <w:suppressAutoHyphens/>
        <w:spacing w:before="120" w:after="0" w:line="240" w:lineRule="auto"/>
        <w:contextualSpacing/>
        <w:jc w:val="both"/>
        <w:rPr>
          <w:rFonts w:ascii="Times New Roman" w:eastAsia="Times New Roman" w:hAnsi="Times New Roman" w:cs="Calibri"/>
          <w:noProof/>
          <w:sz w:val="24"/>
          <w:szCs w:val="24"/>
          <w:lang w:eastAsia="en-GB"/>
        </w:rPr>
      </w:pPr>
      <w:r>
        <w:rPr>
          <w:rFonts w:ascii="Times New Roman" w:eastAsia="Times New Roman" w:hAnsi="Times New Roman" w:cs="Times New Roman"/>
          <w:noProof/>
          <w:sz w:val="24"/>
          <w:szCs w:val="24"/>
          <w:lang w:eastAsia="ar-SA"/>
        </w:rPr>
        <w:t>Mandatory EU minimum quality requirements</w:t>
      </w:r>
      <w:r>
        <w:rPr>
          <w:rFonts w:ascii="Times New Roman" w:eastAsia="Times New Roman" w:hAnsi="Times New Roman" w:cs="Calibri"/>
          <w:noProof/>
          <w:sz w:val="24"/>
          <w:szCs w:val="24"/>
          <w:lang w:eastAsia="en-GB"/>
        </w:rPr>
        <w:t xml:space="preserve"> are seen as innovation-friendly if certain conditions, such as the balanced scope of water quality parameters and stringency of limit values, are met: </w:t>
      </w:r>
    </w:p>
    <w:p w:rsidR="00AB50C5" w:rsidRDefault="00724275">
      <w:pPr>
        <w:numPr>
          <w:ilvl w:val="0"/>
          <w:numId w:val="94"/>
        </w:numPr>
        <w:suppressAutoHyphens/>
        <w:spacing w:before="120" w:after="0" w:line="240" w:lineRule="auto"/>
        <w:contextualSpacing/>
        <w:jc w:val="both"/>
        <w:rPr>
          <w:rFonts w:ascii="Times New Roman" w:eastAsia="Times New Roman" w:hAnsi="Times New Roman" w:cs="Calibri"/>
          <w:noProof/>
          <w:sz w:val="24"/>
          <w:szCs w:val="24"/>
          <w:lang w:eastAsia="en-GB"/>
        </w:rPr>
      </w:pPr>
      <w:r>
        <w:rPr>
          <w:rFonts w:ascii="Times New Roman" w:eastAsia="Times New Roman" w:hAnsi="Times New Roman" w:cs="Times New Roman"/>
          <w:noProof/>
          <w:sz w:val="24"/>
          <w:szCs w:val="24"/>
          <w:lang w:eastAsia="ar-SA"/>
        </w:rPr>
        <w:t xml:space="preserve">This policy option </w:t>
      </w:r>
      <w:r>
        <w:rPr>
          <w:rFonts w:ascii="Times New Roman" w:eastAsia="Times New Roman" w:hAnsi="Times New Roman" w:cs="Calibri"/>
          <w:noProof/>
          <w:sz w:val="24"/>
          <w:szCs w:val="24"/>
          <w:lang w:eastAsia="en-GB"/>
        </w:rPr>
        <w:t>can stimulate and drive R&amp;I in technologies and solutions that will help to reach th</w:t>
      </w:r>
      <w:r>
        <w:rPr>
          <w:rFonts w:ascii="Times New Roman" w:eastAsia="Times New Roman" w:hAnsi="Times New Roman" w:cs="Calibri"/>
          <w:noProof/>
          <w:sz w:val="24"/>
          <w:szCs w:val="24"/>
          <w:lang w:eastAsia="en-GB"/>
        </w:rPr>
        <w:t>e limit values of defined parameters.</w:t>
      </w:r>
      <w:r>
        <w:rPr>
          <w:rFonts w:ascii="Times New Roman" w:eastAsia="Times New Roman" w:hAnsi="Times New Roman" w:cs="Times New Roman"/>
          <w:noProof/>
          <w:sz w:val="24"/>
          <w:szCs w:val="24"/>
          <w:lang w:eastAsia="ar-SA"/>
        </w:rPr>
        <w:t xml:space="preserve"> </w:t>
      </w:r>
      <w:r>
        <w:rPr>
          <w:rFonts w:ascii="Times New Roman" w:eastAsia="Times New Roman" w:hAnsi="Times New Roman" w:cs="Calibri"/>
          <w:noProof/>
          <w:sz w:val="24"/>
          <w:szCs w:val="24"/>
          <w:lang w:eastAsia="en-GB"/>
        </w:rPr>
        <w:t>They will boost R&amp;I at all phases driven by the needs to demonstrate technical performance, efficiency and reliability of conventional and new technologies (filtration, disinfection, membranes, advanced oxidation, etc.</w:t>
      </w:r>
      <w:r>
        <w:rPr>
          <w:rFonts w:ascii="Times New Roman" w:eastAsia="Times New Roman" w:hAnsi="Times New Roman" w:cs="Calibri"/>
          <w:noProof/>
          <w:sz w:val="24"/>
          <w:szCs w:val="24"/>
          <w:lang w:eastAsia="en-GB"/>
        </w:rPr>
        <w:t xml:space="preserve">), economic viability of water reuse projects, and social and environmental benefits. </w:t>
      </w:r>
    </w:p>
    <w:p w:rsidR="00AB50C5" w:rsidRDefault="00724275">
      <w:pPr>
        <w:numPr>
          <w:ilvl w:val="0"/>
          <w:numId w:val="94"/>
        </w:numPr>
        <w:suppressAutoHyphens/>
        <w:spacing w:before="120" w:after="0" w:line="240" w:lineRule="auto"/>
        <w:contextualSpacing/>
        <w:jc w:val="both"/>
        <w:rPr>
          <w:rFonts w:ascii="Times New Roman" w:eastAsia="Times New Roman" w:hAnsi="Times New Roman" w:cs="Calibri"/>
          <w:noProof/>
          <w:sz w:val="24"/>
          <w:szCs w:val="24"/>
          <w:lang w:eastAsia="en-GB"/>
        </w:rPr>
      </w:pPr>
      <w:r>
        <w:rPr>
          <w:rFonts w:ascii="Times New Roman" w:eastAsia="Times New Roman" w:hAnsi="Times New Roman" w:cs="Calibri"/>
          <w:noProof/>
          <w:sz w:val="24"/>
          <w:szCs w:val="24"/>
          <w:lang w:eastAsia="en-GB"/>
        </w:rPr>
        <w:t>New and innovative ways of monitoring will be stimulated, in particular online (continuous) monitoring, development of new microbiological and chemical indicators. New a</w:t>
      </w:r>
      <w:r>
        <w:rPr>
          <w:rFonts w:ascii="Times New Roman" w:eastAsia="Times New Roman" w:hAnsi="Times New Roman" w:cs="Calibri"/>
          <w:noProof/>
          <w:sz w:val="24"/>
          <w:szCs w:val="24"/>
          <w:lang w:eastAsia="en-GB"/>
        </w:rPr>
        <w:t>nalytical methods will be developed for instance for pathogens (based on RNA- ribonucleic acid analysis) or effect based analysis for chemicals (bioassays). Setting standards for online monitoring techniques will produce an incentive to bring more R&amp;D resu</w:t>
      </w:r>
      <w:r>
        <w:rPr>
          <w:rFonts w:ascii="Times New Roman" w:eastAsia="Times New Roman" w:hAnsi="Times New Roman" w:cs="Calibri"/>
          <w:noProof/>
          <w:sz w:val="24"/>
          <w:szCs w:val="24"/>
          <w:lang w:eastAsia="en-GB"/>
        </w:rPr>
        <w:t xml:space="preserve">lts to the market. </w:t>
      </w:r>
    </w:p>
    <w:p w:rsidR="00AB50C5" w:rsidRDefault="00724275">
      <w:pPr>
        <w:numPr>
          <w:ilvl w:val="0"/>
          <w:numId w:val="94"/>
        </w:numPr>
        <w:suppressAutoHyphens/>
        <w:spacing w:before="120" w:after="0" w:line="240" w:lineRule="auto"/>
        <w:contextualSpacing/>
        <w:jc w:val="both"/>
        <w:rPr>
          <w:rFonts w:ascii="Times New Roman" w:eastAsia="Times New Roman" w:hAnsi="Times New Roman" w:cs="Calibri"/>
          <w:noProof/>
          <w:sz w:val="24"/>
          <w:szCs w:val="24"/>
          <w:lang w:eastAsia="en-GB"/>
        </w:rPr>
      </w:pPr>
      <w:r>
        <w:rPr>
          <w:rFonts w:ascii="Times New Roman" w:eastAsia="Times New Roman" w:hAnsi="Times New Roman" w:cs="Calibri"/>
          <w:noProof/>
          <w:sz w:val="24"/>
          <w:szCs w:val="24"/>
          <w:lang w:eastAsia="en-GB"/>
        </w:rPr>
        <w:t>Minimum quality requirements will establish a stable market and speed up application of innovative solutions and exploiting existing results;</w:t>
      </w:r>
    </w:p>
    <w:p w:rsidR="00AB50C5" w:rsidRDefault="00724275">
      <w:pPr>
        <w:numPr>
          <w:ilvl w:val="0"/>
          <w:numId w:val="94"/>
        </w:numPr>
        <w:suppressAutoHyphens/>
        <w:spacing w:before="120" w:after="0" w:line="240" w:lineRule="auto"/>
        <w:contextualSpacing/>
        <w:jc w:val="both"/>
        <w:rPr>
          <w:rFonts w:ascii="Times New Roman" w:eastAsia="Times New Roman" w:hAnsi="Times New Roman" w:cs="Calibri"/>
          <w:noProof/>
          <w:sz w:val="24"/>
          <w:szCs w:val="24"/>
          <w:lang w:eastAsia="en-GB"/>
        </w:rPr>
      </w:pPr>
      <w:r>
        <w:rPr>
          <w:rFonts w:ascii="Times New Roman" w:eastAsia="Times New Roman" w:hAnsi="Times New Roman" w:cs="Calibri"/>
          <w:noProof/>
          <w:sz w:val="24"/>
          <w:szCs w:val="24"/>
          <w:lang w:eastAsia="en-GB"/>
        </w:rPr>
        <w:t>The harmonization of quality requirements (parameters and limit values) and procedures will pr</w:t>
      </w:r>
      <w:r>
        <w:rPr>
          <w:rFonts w:ascii="Times New Roman" w:eastAsia="Times New Roman" w:hAnsi="Times New Roman" w:cs="Calibri"/>
          <w:noProof/>
          <w:sz w:val="24"/>
          <w:szCs w:val="24"/>
          <w:lang w:eastAsia="en-GB"/>
        </w:rPr>
        <w:t>ovide innovative companies the opportunity to scale up.</w:t>
      </w:r>
    </w:p>
    <w:p w:rsidR="00AB50C5" w:rsidRDefault="00724275">
      <w:pPr>
        <w:numPr>
          <w:ilvl w:val="0"/>
          <w:numId w:val="94"/>
        </w:numPr>
        <w:suppressAutoHyphens/>
        <w:spacing w:before="120" w:after="0" w:line="240" w:lineRule="auto"/>
        <w:contextualSpacing/>
        <w:jc w:val="both"/>
        <w:rPr>
          <w:rFonts w:ascii="Times New Roman" w:eastAsia="Times New Roman" w:hAnsi="Times New Roman" w:cs="Calibri"/>
          <w:noProof/>
          <w:sz w:val="24"/>
          <w:szCs w:val="24"/>
          <w:lang w:eastAsia="en-GB"/>
        </w:rPr>
      </w:pPr>
      <w:r>
        <w:rPr>
          <w:rFonts w:ascii="Times New Roman" w:eastAsia="Times New Roman" w:hAnsi="Times New Roman" w:cs="Calibri"/>
          <w:noProof/>
          <w:sz w:val="24"/>
          <w:szCs w:val="24"/>
          <w:lang w:eastAsia="en-GB"/>
        </w:rPr>
        <w:t xml:space="preserve">This option will reduce compliance costs and time for the development of innovative technologies/solutions due to the need to meet the challenges within the deadlines set by the legislation. </w:t>
      </w:r>
    </w:p>
    <w:p w:rsidR="00AB50C5" w:rsidRDefault="00724275">
      <w:pPr>
        <w:numPr>
          <w:ilvl w:val="0"/>
          <w:numId w:val="94"/>
        </w:numPr>
        <w:suppressAutoHyphens/>
        <w:spacing w:before="120" w:after="0" w:line="240" w:lineRule="auto"/>
        <w:contextualSpacing/>
        <w:jc w:val="both"/>
        <w:rPr>
          <w:rFonts w:ascii="Times New Roman" w:eastAsia="Times New Roman" w:hAnsi="Times New Roman" w:cs="Calibri"/>
          <w:noProof/>
          <w:sz w:val="24"/>
          <w:szCs w:val="24"/>
          <w:lang w:eastAsia="en-GB"/>
        </w:rPr>
      </w:pPr>
      <w:r>
        <w:rPr>
          <w:rFonts w:ascii="Times New Roman" w:eastAsia="Times New Roman" w:hAnsi="Times New Roman" w:cs="Calibri"/>
          <w:noProof/>
          <w:sz w:val="24"/>
          <w:szCs w:val="24"/>
          <w:lang w:eastAsia="en-GB"/>
        </w:rPr>
        <w:t xml:space="preserve">It will </w:t>
      </w:r>
      <w:r>
        <w:rPr>
          <w:rFonts w:ascii="Times New Roman" w:eastAsia="Times New Roman" w:hAnsi="Times New Roman" w:cs="Calibri"/>
          <w:noProof/>
          <w:sz w:val="24"/>
          <w:szCs w:val="24"/>
          <w:lang w:eastAsia="en-GB"/>
        </w:rPr>
        <w:t>positively affect cooperation between public and corporate R&amp;D throughout Europe. Large demonstration projects applying results of public and private research will be necessary to validate water reuse schemes’ performances;</w:t>
      </w:r>
    </w:p>
    <w:p w:rsidR="00AB50C5" w:rsidRDefault="00724275">
      <w:pPr>
        <w:numPr>
          <w:ilvl w:val="0"/>
          <w:numId w:val="94"/>
        </w:numPr>
        <w:suppressAutoHyphens/>
        <w:spacing w:before="120" w:after="0" w:line="240" w:lineRule="auto"/>
        <w:contextualSpacing/>
        <w:jc w:val="both"/>
        <w:rPr>
          <w:rFonts w:ascii="Times New Roman" w:eastAsia="Times New Roman" w:hAnsi="Times New Roman" w:cs="Calibri"/>
          <w:noProof/>
          <w:sz w:val="24"/>
          <w:szCs w:val="24"/>
          <w:lang w:eastAsia="en-GB"/>
        </w:rPr>
      </w:pPr>
      <w:r>
        <w:rPr>
          <w:rFonts w:ascii="Times New Roman" w:eastAsia="Times New Roman" w:hAnsi="Times New Roman" w:cs="Calibri"/>
          <w:noProof/>
          <w:sz w:val="24"/>
          <w:szCs w:val="24"/>
          <w:lang w:eastAsia="en-GB"/>
        </w:rPr>
        <w:t>It will also stimulate social in</w:t>
      </w:r>
      <w:r>
        <w:rPr>
          <w:rFonts w:ascii="Times New Roman" w:eastAsia="Times New Roman" w:hAnsi="Times New Roman" w:cs="Calibri"/>
          <w:noProof/>
          <w:sz w:val="24"/>
          <w:szCs w:val="24"/>
          <w:lang w:eastAsia="en-GB"/>
        </w:rPr>
        <w:t>novation, better cooperation between stakeholders, multidisciplinary research, improved public education, integrated and holistic approach to water resource management, sustainable development and the application of the circular economy concept in the wate</w:t>
      </w:r>
      <w:r>
        <w:rPr>
          <w:rFonts w:ascii="Times New Roman" w:eastAsia="Times New Roman" w:hAnsi="Times New Roman" w:cs="Calibri"/>
          <w:noProof/>
          <w:sz w:val="24"/>
          <w:szCs w:val="24"/>
          <w:lang w:eastAsia="en-GB"/>
        </w:rPr>
        <w:t xml:space="preserve">r sector. </w:t>
      </w:r>
    </w:p>
    <w:p w:rsidR="00AB50C5" w:rsidRDefault="00AB50C5">
      <w:pPr>
        <w:suppressAutoHyphens/>
        <w:spacing w:before="120" w:after="0" w:line="240" w:lineRule="auto"/>
        <w:ind w:left="360"/>
        <w:contextualSpacing/>
        <w:jc w:val="both"/>
        <w:rPr>
          <w:rFonts w:ascii="Times New Roman" w:eastAsia="Times New Roman" w:hAnsi="Times New Roman" w:cs="Calibri"/>
          <w:noProof/>
          <w:sz w:val="24"/>
          <w:szCs w:val="24"/>
          <w:lang w:eastAsia="en-GB"/>
        </w:rPr>
      </w:pPr>
    </w:p>
    <w:p w:rsidR="00AB50C5" w:rsidRDefault="00724275">
      <w:pPr>
        <w:suppressAutoHyphens/>
        <w:spacing w:before="120" w:after="0" w:line="240" w:lineRule="auto"/>
        <w:contextualSpacing/>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Experts supported these impacts by the following comments:</w:t>
      </w:r>
    </w:p>
    <w:p w:rsidR="00AB50C5" w:rsidRDefault="00AB50C5">
      <w:pPr>
        <w:suppressAutoHyphens/>
        <w:spacing w:before="120" w:after="0" w:line="240" w:lineRule="auto"/>
        <w:contextualSpacing/>
        <w:jc w:val="both"/>
        <w:rPr>
          <w:rFonts w:ascii="Times New Roman" w:eastAsia="Times New Roman" w:hAnsi="Times New Roman" w:cs="Times New Roman"/>
          <w:noProof/>
          <w:sz w:val="24"/>
          <w:szCs w:val="24"/>
          <w:lang w:eastAsia="ar-SA"/>
        </w:rPr>
      </w:pPr>
    </w:p>
    <w:p w:rsidR="00AB50C5" w:rsidRDefault="00724275">
      <w:pPr>
        <w:suppressAutoHyphens/>
        <w:spacing w:before="120" w:after="0" w:line="240" w:lineRule="auto"/>
        <w:contextualSpacing/>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 xml:space="preserve">The above-mentioned positive impacts will only realise if a balanced scope of parameters and appropriate stringency of limit values is found. If too many parameters and very stringent </w:t>
      </w:r>
      <w:r>
        <w:rPr>
          <w:rFonts w:ascii="Times New Roman" w:eastAsia="Times New Roman" w:hAnsi="Times New Roman" w:cs="Times New Roman"/>
          <w:noProof/>
          <w:sz w:val="24"/>
          <w:szCs w:val="24"/>
          <w:lang w:eastAsia="ar-SA"/>
        </w:rPr>
        <w:t>limit values become obligatory this can discourage application of water reuse and the driving effect for innovation would disappear. If these are too low and easy to achieve with the conventional technology it will not provide additional drivers for innova</w:t>
      </w:r>
      <w:r>
        <w:rPr>
          <w:rFonts w:ascii="Times New Roman" w:eastAsia="Times New Roman" w:hAnsi="Times New Roman" w:cs="Times New Roman"/>
          <w:noProof/>
          <w:sz w:val="24"/>
          <w:szCs w:val="24"/>
          <w:lang w:eastAsia="ar-SA"/>
        </w:rPr>
        <w:t>tion compared to the current situation. On setting the balanced scope of parameters and stringency of limit values the following comments were made:</w:t>
      </w:r>
    </w:p>
    <w:p w:rsidR="00AB50C5" w:rsidRDefault="00AB50C5">
      <w:pPr>
        <w:suppressAutoHyphens/>
        <w:spacing w:before="120" w:after="0" w:line="240" w:lineRule="auto"/>
        <w:contextualSpacing/>
        <w:jc w:val="both"/>
        <w:rPr>
          <w:rFonts w:ascii="Times New Roman" w:eastAsia="Times New Roman" w:hAnsi="Times New Roman" w:cs="Times New Roman"/>
          <w:noProof/>
          <w:sz w:val="24"/>
          <w:szCs w:val="24"/>
          <w:lang w:eastAsia="ar-SA"/>
        </w:rPr>
      </w:pPr>
    </w:p>
    <w:p w:rsidR="00AB50C5" w:rsidRDefault="00724275">
      <w:pPr>
        <w:numPr>
          <w:ilvl w:val="0"/>
          <w:numId w:val="94"/>
        </w:numPr>
        <w:suppressAutoHyphens/>
        <w:spacing w:before="120" w:after="0" w:line="240" w:lineRule="auto"/>
        <w:contextualSpacing/>
        <w:jc w:val="both"/>
        <w:rPr>
          <w:rFonts w:ascii="Times New Roman" w:eastAsia="Times New Roman" w:hAnsi="Times New Roman" w:cs="Calibri"/>
          <w:noProof/>
          <w:sz w:val="24"/>
          <w:szCs w:val="24"/>
          <w:lang w:eastAsia="en-GB"/>
        </w:rPr>
      </w:pPr>
      <w:r>
        <w:rPr>
          <w:rFonts w:ascii="Times New Roman" w:eastAsia="Times New Roman" w:hAnsi="Times New Roman" w:cs="Calibri"/>
          <w:noProof/>
          <w:sz w:val="24"/>
          <w:szCs w:val="24"/>
          <w:lang w:eastAsia="en-GB"/>
        </w:rPr>
        <w:t xml:space="preserve">The balanced scope of parameters related to health concerns could be based on FAO recommendations and the </w:t>
      </w:r>
      <w:r>
        <w:rPr>
          <w:rFonts w:ascii="Times New Roman" w:eastAsia="Times New Roman" w:hAnsi="Times New Roman" w:cs="Calibri"/>
          <w:noProof/>
          <w:sz w:val="24"/>
          <w:szCs w:val="24"/>
          <w:lang w:eastAsia="en-GB"/>
        </w:rPr>
        <w:t>recent DG SANTE guidance document</w:t>
      </w:r>
      <w:r>
        <w:rPr>
          <w:rFonts w:ascii="Times New Roman" w:eastAsia="Times New Roman" w:hAnsi="Times New Roman" w:cs="Calibri"/>
          <w:noProof/>
          <w:sz w:val="24"/>
          <w:szCs w:val="24"/>
          <w:vertAlign w:val="superscript"/>
          <w:lang w:eastAsia="en-GB"/>
        </w:rPr>
        <w:footnoteReference w:id="3"/>
      </w:r>
      <w:r>
        <w:rPr>
          <w:rFonts w:ascii="Times New Roman" w:eastAsia="Times New Roman" w:hAnsi="Times New Roman" w:cs="Calibri"/>
          <w:noProof/>
          <w:sz w:val="24"/>
          <w:szCs w:val="24"/>
          <w:lang w:eastAsia="en-GB"/>
        </w:rPr>
        <w:t xml:space="preserve"> (the guidance document to support the implementation of Regulation 852/2004). Parameters of environmental concern should be identified on a case by case basis and adopted at local level for the local water reuse schemes i</w:t>
      </w:r>
      <w:r>
        <w:rPr>
          <w:rFonts w:ascii="Times New Roman" w:eastAsia="Times New Roman" w:hAnsi="Times New Roman" w:cs="Calibri"/>
          <w:noProof/>
          <w:sz w:val="24"/>
          <w:szCs w:val="24"/>
          <w:lang w:eastAsia="en-GB"/>
        </w:rPr>
        <w:t xml:space="preserve">n specific local environmental conditions related to soil and local water bodies. </w:t>
      </w:r>
    </w:p>
    <w:p w:rsidR="00AB50C5" w:rsidRDefault="00724275">
      <w:pPr>
        <w:numPr>
          <w:ilvl w:val="0"/>
          <w:numId w:val="94"/>
        </w:numPr>
        <w:suppressAutoHyphens/>
        <w:spacing w:before="120" w:after="0" w:line="240" w:lineRule="auto"/>
        <w:contextualSpacing/>
        <w:jc w:val="both"/>
        <w:rPr>
          <w:rFonts w:ascii="Times New Roman" w:eastAsia="Times New Roman" w:hAnsi="Times New Roman" w:cs="Calibri"/>
          <w:noProof/>
          <w:sz w:val="24"/>
          <w:szCs w:val="24"/>
          <w:lang w:eastAsia="en-GB"/>
        </w:rPr>
      </w:pPr>
      <w:r>
        <w:rPr>
          <w:rFonts w:ascii="Times New Roman" w:eastAsia="Times New Roman" w:hAnsi="Times New Roman" w:cs="Calibri"/>
          <w:noProof/>
          <w:sz w:val="24"/>
          <w:szCs w:val="24"/>
          <w:lang w:eastAsia="en-GB"/>
        </w:rPr>
        <w:t>The experts expect that the majority of new water reuse projects will start at local level as at small scale – on average 500-3000 m3/day – and end-users and local municipal</w:t>
      </w:r>
      <w:r>
        <w:rPr>
          <w:rFonts w:ascii="Times New Roman" w:eastAsia="Times New Roman" w:hAnsi="Times New Roman" w:cs="Calibri"/>
          <w:noProof/>
          <w:sz w:val="24"/>
          <w:szCs w:val="24"/>
          <w:lang w:eastAsia="en-GB"/>
        </w:rPr>
        <w:t>ities will not be able to afford excessively expensive and complex technology and monitoring systems.</w:t>
      </w:r>
    </w:p>
    <w:p w:rsidR="00AB50C5" w:rsidRDefault="00724275">
      <w:pPr>
        <w:numPr>
          <w:ilvl w:val="0"/>
          <w:numId w:val="94"/>
        </w:numPr>
        <w:suppressAutoHyphens/>
        <w:spacing w:before="120" w:after="0" w:line="240" w:lineRule="auto"/>
        <w:contextualSpacing/>
        <w:jc w:val="both"/>
        <w:rPr>
          <w:rFonts w:ascii="Times New Roman" w:eastAsia="Times New Roman" w:hAnsi="Times New Roman" w:cs="Calibri"/>
          <w:noProof/>
          <w:sz w:val="24"/>
          <w:szCs w:val="24"/>
          <w:lang w:eastAsia="en-GB"/>
        </w:rPr>
      </w:pPr>
      <w:r>
        <w:rPr>
          <w:rFonts w:ascii="Times New Roman" w:eastAsia="Times New Roman" w:hAnsi="Times New Roman" w:cs="Calibri"/>
          <w:noProof/>
          <w:sz w:val="24"/>
          <w:szCs w:val="24"/>
          <w:lang w:eastAsia="en-GB"/>
        </w:rPr>
        <w:t>On the other hand the monitoring requirements should be based on advanced scientific knowledge. Traditional monitoring frequencies (once per week or per m</w:t>
      </w:r>
      <w:r>
        <w:rPr>
          <w:rFonts w:ascii="Times New Roman" w:eastAsia="Times New Roman" w:hAnsi="Times New Roman" w:cs="Calibri"/>
          <w:noProof/>
          <w:sz w:val="24"/>
          <w:szCs w:val="24"/>
          <w:lang w:eastAsia="en-GB"/>
        </w:rPr>
        <w:t>onth) are hampering the development and application of new smart sampling strategies and thus new innovative solutions</w:t>
      </w:r>
      <w:r>
        <w:rPr>
          <w:rFonts w:ascii="Times New Roman" w:eastAsia="Times New Roman" w:hAnsi="Times New Roman" w:cs="Calibri"/>
          <w:noProof/>
          <w:sz w:val="24"/>
          <w:szCs w:val="24"/>
          <w:vertAlign w:val="superscript"/>
          <w:lang w:eastAsia="en-GB"/>
        </w:rPr>
        <w:footnoteReference w:id="4"/>
      </w:r>
      <w:r>
        <w:rPr>
          <w:rFonts w:ascii="Times New Roman" w:eastAsia="Times New Roman" w:hAnsi="Times New Roman" w:cs="Calibri"/>
          <w:noProof/>
          <w:sz w:val="24"/>
          <w:szCs w:val="24"/>
          <w:lang w:eastAsia="en-GB"/>
        </w:rPr>
        <w:t xml:space="preserve"> while preventing the application of innovative online monitoring technologies. At the same time the traditional monitoring based on low </w:t>
      </w:r>
      <w:r>
        <w:rPr>
          <w:rFonts w:ascii="Times New Roman" w:eastAsia="Times New Roman" w:hAnsi="Times New Roman" w:cs="Calibri"/>
          <w:noProof/>
          <w:sz w:val="24"/>
          <w:szCs w:val="24"/>
          <w:lang w:eastAsia="en-GB"/>
        </w:rPr>
        <w:t>frequency sampling and limited laboratory analysis is not sufficient to ensure a high level of health protection and provide public confidence in reuse practices. Also, a European Innovation Partnership for Water Action Group RTWQM</w:t>
      </w:r>
      <w:r>
        <w:rPr>
          <w:rFonts w:ascii="Times New Roman" w:eastAsia="Times New Roman" w:hAnsi="Times New Roman" w:cs="Calibri"/>
          <w:noProof/>
          <w:sz w:val="24"/>
          <w:szCs w:val="24"/>
          <w:vertAlign w:val="superscript"/>
          <w:lang w:eastAsia="en-GB"/>
        </w:rPr>
        <w:footnoteReference w:id="5"/>
      </w:r>
      <w:r>
        <w:rPr>
          <w:rFonts w:ascii="Times New Roman" w:eastAsia="Times New Roman" w:hAnsi="Times New Roman" w:cs="Calibri"/>
          <w:noProof/>
          <w:sz w:val="24"/>
          <w:szCs w:val="24"/>
          <w:lang w:eastAsia="en-GB"/>
        </w:rPr>
        <w:t xml:space="preserve"> survey concluded that t</w:t>
      </w:r>
      <w:r>
        <w:rPr>
          <w:rFonts w:ascii="Times New Roman" w:eastAsia="Times New Roman" w:hAnsi="Times New Roman" w:cs="Calibri"/>
          <w:noProof/>
          <w:sz w:val="24"/>
          <w:szCs w:val="24"/>
          <w:lang w:eastAsia="en-GB"/>
        </w:rPr>
        <w:t>he current standard water sampling strategies not properly representing the real status of the water bodies and the efficacy of treatment processes</w:t>
      </w:r>
      <w:r>
        <w:rPr>
          <w:rFonts w:ascii="Times New Roman" w:eastAsia="Times New Roman" w:hAnsi="Times New Roman" w:cs="Times New Roman"/>
          <w:noProof/>
          <w:sz w:val="24"/>
          <w:szCs w:val="24"/>
          <w:vertAlign w:val="superscript"/>
          <w:lang w:eastAsia="ar-SA"/>
        </w:rPr>
        <w:footnoteReference w:id="6"/>
      </w:r>
      <w:r>
        <w:rPr>
          <w:rFonts w:ascii="Times New Roman" w:eastAsia="Times New Roman" w:hAnsi="Times New Roman" w:cs="Calibri"/>
          <w:noProof/>
          <w:sz w:val="24"/>
          <w:szCs w:val="24"/>
          <w:lang w:eastAsia="en-GB"/>
        </w:rPr>
        <w:t>.</w:t>
      </w:r>
    </w:p>
    <w:p w:rsidR="00AB50C5" w:rsidRDefault="00724275">
      <w:pPr>
        <w:numPr>
          <w:ilvl w:val="0"/>
          <w:numId w:val="94"/>
        </w:numPr>
        <w:suppressAutoHyphens/>
        <w:spacing w:before="120" w:after="0" w:line="240" w:lineRule="auto"/>
        <w:contextualSpacing/>
        <w:jc w:val="both"/>
        <w:rPr>
          <w:rFonts w:ascii="Times New Roman" w:eastAsia="Times New Roman" w:hAnsi="Times New Roman" w:cs="Calibri"/>
          <w:noProof/>
          <w:sz w:val="24"/>
          <w:szCs w:val="24"/>
          <w:lang w:eastAsia="en-GB"/>
        </w:rPr>
      </w:pPr>
      <w:r>
        <w:rPr>
          <w:rFonts w:ascii="Times New Roman" w:eastAsia="Times New Roman" w:hAnsi="Times New Roman" w:cs="Calibri"/>
          <w:noProof/>
          <w:sz w:val="24"/>
          <w:szCs w:val="24"/>
          <w:lang w:eastAsia="en-GB"/>
        </w:rPr>
        <w:t>Quality requirements for additional parameters should be left at the discretion of each MS or regional and local authorities to allow for the consideration of local conditions. Additional prevention measures, such as those recommended by WHO guidelines and</w:t>
      </w:r>
      <w:r>
        <w:rPr>
          <w:rFonts w:ascii="Times New Roman" w:eastAsia="Times New Roman" w:hAnsi="Times New Roman" w:cs="Calibri"/>
          <w:noProof/>
          <w:sz w:val="24"/>
          <w:szCs w:val="24"/>
          <w:lang w:eastAsia="en-GB"/>
        </w:rPr>
        <w:t xml:space="preserve"> in the ISO 16075 standard, could be included, for water categories with lower quality depending on health risks on a case to case basis as part of a risk management plan. </w:t>
      </w:r>
    </w:p>
    <w:p w:rsidR="00AB50C5" w:rsidRDefault="00AB50C5">
      <w:pPr>
        <w:suppressAutoHyphens/>
        <w:spacing w:before="120" w:after="0" w:line="240" w:lineRule="auto"/>
        <w:contextualSpacing/>
        <w:jc w:val="both"/>
        <w:rPr>
          <w:rFonts w:ascii="Times New Roman" w:eastAsia="Times New Roman" w:hAnsi="Times New Roman" w:cs="Calibri"/>
          <w:noProof/>
          <w:sz w:val="24"/>
          <w:szCs w:val="24"/>
          <w:lang w:eastAsia="en-GB"/>
        </w:rPr>
      </w:pPr>
    </w:p>
    <w:p w:rsidR="00AB50C5" w:rsidRDefault="00724275">
      <w:pPr>
        <w:suppressAutoHyphens/>
        <w:spacing w:before="120" w:after="0" w:line="240" w:lineRule="auto"/>
        <w:contextualSpacing/>
        <w:jc w:val="both"/>
        <w:rPr>
          <w:rFonts w:ascii="Times New Roman" w:eastAsia="Times New Roman" w:hAnsi="Times New Roman" w:cs="Calibri"/>
          <w:b/>
          <w:noProof/>
          <w:sz w:val="24"/>
          <w:szCs w:val="24"/>
          <w:lang w:eastAsia="en-GB"/>
        </w:rPr>
      </w:pPr>
      <w:r>
        <w:rPr>
          <w:rFonts w:ascii="Times New Roman" w:eastAsia="Times New Roman" w:hAnsi="Times New Roman" w:cs="Calibri"/>
          <w:b/>
          <w:noProof/>
          <w:sz w:val="24"/>
          <w:szCs w:val="24"/>
          <w:lang w:eastAsia="en-GB"/>
        </w:rPr>
        <w:t>Actions recommended:</w:t>
      </w:r>
    </w:p>
    <w:p w:rsidR="00AB50C5" w:rsidRDefault="00AB50C5">
      <w:pPr>
        <w:suppressAutoHyphens/>
        <w:spacing w:before="120" w:after="0" w:line="240" w:lineRule="auto"/>
        <w:contextualSpacing/>
        <w:jc w:val="both"/>
        <w:rPr>
          <w:rFonts w:ascii="Times New Roman" w:eastAsia="Times New Roman" w:hAnsi="Times New Roman" w:cs="Calibri"/>
          <w:noProof/>
          <w:sz w:val="24"/>
          <w:szCs w:val="24"/>
          <w:lang w:eastAsia="en-GB"/>
        </w:rPr>
      </w:pPr>
    </w:p>
    <w:p w:rsidR="00AB50C5" w:rsidRDefault="00724275">
      <w:pPr>
        <w:suppressAutoHyphens/>
        <w:spacing w:before="120" w:after="0" w:line="240" w:lineRule="auto"/>
        <w:contextualSpacing/>
        <w:jc w:val="both"/>
        <w:rPr>
          <w:rFonts w:ascii="Times New Roman" w:eastAsia="Times New Roman" w:hAnsi="Times New Roman" w:cs="Times New Roman"/>
          <w:noProof/>
          <w:sz w:val="24"/>
          <w:szCs w:val="24"/>
          <w:lang w:eastAsia="ar-SA"/>
        </w:rPr>
      </w:pPr>
      <w:r>
        <w:rPr>
          <w:rFonts w:ascii="Times New Roman" w:eastAsia="Times New Roman" w:hAnsi="Times New Roman" w:cs="Calibri"/>
          <w:noProof/>
          <w:sz w:val="24"/>
          <w:szCs w:val="24"/>
          <w:lang w:eastAsia="en-GB"/>
        </w:rPr>
        <w:t>The positive effects stated above will only be achieved if t</w:t>
      </w:r>
      <w:r>
        <w:rPr>
          <w:rFonts w:ascii="Times New Roman" w:eastAsia="Times New Roman" w:hAnsi="Times New Roman" w:cs="Calibri"/>
          <w:noProof/>
          <w:sz w:val="24"/>
          <w:szCs w:val="24"/>
          <w:lang w:eastAsia="en-GB"/>
        </w:rPr>
        <w:t xml:space="preserve">he legislative proposal succeeds in setting a balanced scope of water quality parameters and the appropriate stringency of limit values. Experts suggested that the </w:t>
      </w:r>
      <w:r>
        <w:rPr>
          <w:rFonts w:ascii="Times New Roman" w:eastAsia="Times New Roman" w:hAnsi="Times New Roman" w:cs="Times New Roman"/>
          <w:noProof/>
          <w:sz w:val="24"/>
          <w:szCs w:val="24"/>
          <w:lang w:eastAsia="ar-SA"/>
        </w:rPr>
        <w:t>parameters and limit values should be reviewed on a periodic basis according to the challeng</w:t>
      </w:r>
      <w:r>
        <w:rPr>
          <w:rFonts w:ascii="Times New Roman" w:eastAsia="Times New Roman" w:hAnsi="Times New Roman" w:cs="Times New Roman"/>
          <w:noProof/>
          <w:sz w:val="24"/>
          <w:szCs w:val="24"/>
          <w:lang w:eastAsia="ar-SA"/>
        </w:rPr>
        <w:t xml:space="preserve">es and the development of the scientific knowledge. </w:t>
      </w:r>
    </w:p>
    <w:p w:rsidR="00AB50C5" w:rsidRDefault="00AB50C5">
      <w:pPr>
        <w:suppressAutoHyphens/>
        <w:spacing w:before="120" w:after="0" w:line="240" w:lineRule="auto"/>
        <w:contextualSpacing/>
        <w:jc w:val="both"/>
        <w:rPr>
          <w:rFonts w:ascii="Times New Roman" w:eastAsia="Times New Roman" w:hAnsi="Times New Roman" w:cs="Calibri"/>
          <w:noProof/>
          <w:sz w:val="24"/>
          <w:szCs w:val="24"/>
          <w:lang w:eastAsia="en-GB"/>
        </w:rPr>
      </w:pPr>
    </w:p>
    <w:p w:rsidR="00AB50C5" w:rsidRDefault="00724275">
      <w:pPr>
        <w:keepNext/>
        <w:numPr>
          <w:ilvl w:val="1"/>
          <w:numId w:val="89"/>
        </w:numPr>
        <w:suppressAutoHyphens/>
        <w:spacing w:before="120" w:after="240" w:line="240" w:lineRule="auto"/>
        <w:jc w:val="both"/>
        <w:outlineLvl w:val="1"/>
        <w:rPr>
          <w:rFonts w:ascii="Times New Roman" w:eastAsia="Times New Roman" w:hAnsi="Times New Roman" w:cs="Times New Roman"/>
          <w:b/>
          <w:bCs/>
          <w:iCs/>
          <w:noProof/>
          <w:sz w:val="24"/>
          <w:szCs w:val="28"/>
          <w:lang w:eastAsia="de-DE"/>
        </w:rPr>
      </w:pPr>
      <w:bookmarkStart w:id="120" w:name="_Toc493963509"/>
      <w:bookmarkStart w:id="121" w:name="_Toc516234790"/>
      <w:r>
        <w:rPr>
          <w:rFonts w:ascii="Times New Roman" w:eastAsia="Times New Roman" w:hAnsi="Times New Roman" w:cs="Times New Roman"/>
          <w:b/>
          <w:bCs/>
          <w:iCs/>
          <w:noProof/>
          <w:sz w:val="24"/>
          <w:szCs w:val="28"/>
          <w:lang w:eastAsia="de-DE"/>
        </w:rPr>
        <w:t>OPTION – MEASURES TO ADDRESS REAL OR PERCEIVED PUBLIC HEALTH RISKS (RISK MANAGEMENT REQUIREMENTS)</w:t>
      </w:r>
      <w:bookmarkEnd w:id="120"/>
      <w:bookmarkEnd w:id="121"/>
    </w:p>
    <w:p w:rsidR="00AB50C5" w:rsidRDefault="00724275">
      <w:pPr>
        <w:suppressAutoHyphens/>
        <w:spacing w:before="120" w:after="0" w:line="240" w:lineRule="auto"/>
        <w:contextualSpacing/>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 xml:space="preserve">The experts concluded that in general, the promotion of the risk management approach (whether mandatory </w:t>
      </w:r>
      <w:r>
        <w:rPr>
          <w:rFonts w:ascii="Times New Roman" w:eastAsia="Times New Roman" w:hAnsi="Times New Roman" w:cs="Times New Roman"/>
          <w:noProof/>
          <w:sz w:val="24"/>
          <w:szCs w:val="24"/>
          <w:lang w:eastAsia="ar-SA"/>
        </w:rPr>
        <w:t>or voluntary at EU level but assuming that risk management will be required at national, regional or local level) will have a positive impact on innovation:</w:t>
      </w:r>
    </w:p>
    <w:p w:rsidR="00AB50C5" w:rsidRDefault="00AB50C5">
      <w:pPr>
        <w:suppressAutoHyphens/>
        <w:spacing w:before="120" w:after="0" w:line="240" w:lineRule="auto"/>
        <w:contextualSpacing/>
        <w:jc w:val="both"/>
        <w:rPr>
          <w:rFonts w:ascii="Times New Roman" w:eastAsia="Times New Roman" w:hAnsi="Times New Roman" w:cs="Calibri"/>
          <w:noProof/>
          <w:sz w:val="24"/>
          <w:szCs w:val="24"/>
          <w:lang w:eastAsia="en-GB"/>
        </w:rPr>
      </w:pPr>
    </w:p>
    <w:p w:rsidR="00AB50C5" w:rsidRDefault="00724275">
      <w:pPr>
        <w:numPr>
          <w:ilvl w:val="0"/>
          <w:numId w:val="105"/>
        </w:numPr>
        <w:suppressAutoHyphens/>
        <w:spacing w:before="120" w:after="0" w:line="240" w:lineRule="auto"/>
        <w:contextualSpacing/>
        <w:jc w:val="both"/>
        <w:rPr>
          <w:rFonts w:ascii="Times New Roman" w:eastAsia="Times New Roman" w:hAnsi="Times New Roman" w:cs="Calibri"/>
          <w:noProof/>
          <w:sz w:val="24"/>
          <w:szCs w:val="24"/>
          <w:lang w:eastAsia="en-GB"/>
        </w:rPr>
      </w:pPr>
      <w:r>
        <w:rPr>
          <w:rFonts w:ascii="Times New Roman" w:eastAsia="Times New Roman" w:hAnsi="Times New Roman" w:cs="Calibri"/>
          <w:noProof/>
          <w:sz w:val="24"/>
          <w:szCs w:val="24"/>
          <w:lang w:eastAsia="en-GB"/>
        </w:rPr>
        <w:t>The application of a health risk management at any scale will facilitate the introduction of futur</w:t>
      </w:r>
      <w:r>
        <w:rPr>
          <w:rFonts w:ascii="Times New Roman" w:eastAsia="Times New Roman" w:hAnsi="Times New Roman" w:cs="Calibri"/>
          <w:noProof/>
          <w:sz w:val="24"/>
          <w:szCs w:val="24"/>
          <w:lang w:eastAsia="en-GB"/>
        </w:rPr>
        <w:t xml:space="preserve">e innovative solutions to address the risks identified. These solutions will be cost-effective as they reduce the need for monitoring and avoid unnecessary or inefficient measures. </w:t>
      </w:r>
    </w:p>
    <w:p w:rsidR="00AB50C5" w:rsidRDefault="00724275">
      <w:pPr>
        <w:numPr>
          <w:ilvl w:val="0"/>
          <w:numId w:val="105"/>
        </w:numPr>
        <w:suppressAutoHyphens/>
        <w:spacing w:before="120" w:after="0" w:line="240" w:lineRule="auto"/>
        <w:contextualSpacing/>
        <w:jc w:val="both"/>
        <w:rPr>
          <w:rFonts w:ascii="Times New Roman" w:eastAsia="Times New Roman" w:hAnsi="Times New Roman" w:cs="Calibri"/>
          <w:noProof/>
          <w:sz w:val="24"/>
          <w:szCs w:val="24"/>
          <w:lang w:eastAsia="en-GB"/>
        </w:rPr>
      </w:pPr>
      <w:r>
        <w:rPr>
          <w:rFonts w:ascii="Times New Roman" w:eastAsia="Times New Roman" w:hAnsi="Times New Roman" w:cs="Calibri"/>
          <w:noProof/>
          <w:sz w:val="24"/>
          <w:szCs w:val="24"/>
          <w:lang w:eastAsia="en-GB"/>
        </w:rPr>
        <w:t xml:space="preserve">Health risk management naturally stimulates multi-disciplinary scientific </w:t>
      </w:r>
      <w:r>
        <w:rPr>
          <w:rFonts w:ascii="Times New Roman" w:eastAsia="Times New Roman" w:hAnsi="Times New Roman" w:cs="Calibri"/>
          <w:noProof/>
          <w:sz w:val="24"/>
          <w:szCs w:val="24"/>
          <w:lang w:eastAsia="en-GB"/>
        </w:rPr>
        <w:t xml:space="preserve">research and brings together specialists in microbiology, chemistry, ecology, IT and other areas. </w:t>
      </w:r>
    </w:p>
    <w:p w:rsidR="00AB50C5" w:rsidRDefault="00AB50C5">
      <w:pPr>
        <w:suppressAutoHyphens/>
        <w:spacing w:before="120" w:after="0" w:line="240" w:lineRule="auto"/>
        <w:contextualSpacing/>
        <w:jc w:val="both"/>
        <w:rPr>
          <w:rFonts w:ascii="Times New Roman" w:eastAsia="Times New Roman" w:hAnsi="Times New Roman" w:cs="Times New Roman"/>
          <w:noProof/>
          <w:sz w:val="24"/>
          <w:szCs w:val="24"/>
          <w:u w:val="single"/>
          <w:lang w:eastAsia="ar-SA"/>
        </w:rPr>
      </w:pPr>
    </w:p>
    <w:p w:rsidR="00AB50C5" w:rsidRDefault="00724275">
      <w:pPr>
        <w:suppressAutoHyphens/>
        <w:spacing w:before="120" w:after="0" w:line="240" w:lineRule="auto"/>
        <w:contextualSpacing/>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 xml:space="preserve">The main difference between the voluntary and mandatory approach at EU level is in the scale of application of new solutions with all implications on </w:t>
      </w:r>
      <w:r>
        <w:rPr>
          <w:rFonts w:ascii="Times New Roman" w:eastAsia="Times New Roman" w:hAnsi="Times New Roman" w:cs="Times New Roman"/>
          <w:noProof/>
          <w:sz w:val="24"/>
          <w:szCs w:val="24"/>
          <w:lang w:eastAsia="ar-SA"/>
        </w:rPr>
        <w:t>economy of scale, sharing of data and knowledge, building of research infrastructure and collaboration between different actors.</w:t>
      </w:r>
    </w:p>
    <w:p w:rsidR="00AB50C5" w:rsidRDefault="00AB50C5">
      <w:pPr>
        <w:suppressAutoHyphens/>
        <w:spacing w:before="120" w:after="0" w:line="240" w:lineRule="auto"/>
        <w:contextualSpacing/>
        <w:jc w:val="both"/>
        <w:rPr>
          <w:rFonts w:ascii="Times New Roman" w:eastAsia="Times New Roman" w:hAnsi="Times New Roman" w:cs="Times New Roman"/>
          <w:noProof/>
          <w:sz w:val="24"/>
          <w:szCs w:val="24"/>
          <w:lang w:eastAsia="ar-SA"/>
        </w:rPr>
      </w:pPr>
    </w:p>
    <w:p w:rsidR="00AB50C5" w:rsidRDefault="00724275">
      <w:pPr>
        <w:suppressAutoHyphens/>
        <w:spacing w:before="120" w:after="0" w:line="240" w:lineRule="auto"/>
        <w:contextualSpacing/>
        <w:jc w:val="both"/>
        <w:rPr>
          <w:rFonts w:ascii="Times New Roman" w:eastAsia="Times New Roman" w:hAnsi="Times New Roman" w:cs="Calibri"/>
          <w:noProof/>
          <w:sz w:val="24"/>
          <w:szCs w:val="24"/>
          <w:lang w:eastAsia="en-GB"/>
        </w:rPr>
      </w:pPr>
      <w:r>
        <w:rPr>
          <w:rFonts w:ascii="Times New Roman" w:eastAsia="Times New Roman" w:hAnsi="Times New Roman" w:cs="Times New Roman"/>
          <w:b/>
          <w:noProof/>
          <w:sz w:val="24"/>
          <w:szCs w:val="24"/>
          <w:lang w:eastAsia="ar-SA"/>
        </w:rPr>
        <w:t>3.2.1 Risk management approach addressing health issues (RMA-H) – voluntary measures</w:t>
      </w:r>
      <w:r>
        <w:rPr>
          <w:rFonts w:ascii="Times New Roman" w:eastAsia="Times New Roman" w:hAnsi="Times New Roman" w:cs="Calibri"/>
          <w:noProof/>
          <w:sz w:val="24"/>
          <w:szCs w:val="24"/>
          <w:lang w:eastAsia="en-GB"/>
        </w:rPr>
        <w:t xml:space="preserve">: </w:t>
      </w:r>
    </w:p>
    <w:p w:rsidR="00AB50C5" w:rsidRDefault="00AB50C5">
      <w:pPr>
        <w:suppressAutoHyphens/>
        <w:spacing w:before="120" w:after="0" w:line="240" w:lineRule="auto"/>
        <w:jc w:val="both"/>
        <w:rPr>
          <w:rFonts w:ascii="Times New Roman" w:eastAsia="Times New Roman" w:hAnsi="Times New Roman" w:cs="Calibri"/>
          <w:noProof/>
          <w:sz w:val="24"/>
          <w:szCs w:val="24"/>
          <w:lang w:eastAsia="en-GB"/>
        </w:rPr>
      </w:pPr>
    </w:p>
    <w:p w:rsidR="00AB50C5" w:rsidRDefault="00724275">
      <w:pPr>
        <w:suppressAutoHyphens/>
        <w:spacing w:before="120" w:after="0" w:line="240" w:lineRule="auto"/>
        <w:contextualSpacing/>
        <w:jc w:val="both"/>
        <w:rPr>
          <w:rFonts w:ascii="Times New Roman" w:eastAsia="Times New Roman" w:hAnsi="Times New Roman" w:cs="Calibri"/>
          <w:noProof/>
          <w:sz w:val="24"/>
          <w:szCs w:val="24"/>
          <w:lang w:eastAsia="en-GB"/>
        </w:rPr>
      </w:pPr>
      <w:r>
        <w:rPr>
          <w:rFonts w:ascii="Times New Roman" w:eastAsia="Times New Roman" w:hAnsi="Times New Roman" w:cs="Calibri"/>
          <w:b/>
          <w:noProof/>
          <w:sz w:val="24"/>
          <w:szCs w:val="24"/>
          <w:lang w:eastAsia="en-GB"/>
        </w:rPr>
        <w:t xml:space="preserve">Voluntary RMA-H </w:t>
      </w:r>
      <w:r>
        <w:rPr>
          <w:rFonts w:ascii="Times New Roman" w:eastAsia="Times New Roman" w:hAnsi="Times New Roman" w:cs="Calibri"/>
          <w:noProof/>
          <w:sz w:val="24"/>
          <w:szCs w:val="24"/>
          <w:lang w:eastAsia="en-GB"/>
        </w:rPr>
        <w:t>measures</w:t>
      </w:r>
      <w:r>
        <w:rPr>
          <w:rFonts w:ascii="Times New Roman" w:eastAsia="Times New Roman" w:hAnsi="Times New Roman" w:cs="Calibri"/>
          <w:b/>
          <w:noProof/>
          <w:sz w:val="24"/>
          <w:szCs w:val="24"/>
          <w:lang w:eastAsia="en-GB"/>
        </w:rPr>
        <w:t xml:space="preserve"> </w:t>
      </w:r>
      <w:r>
        <w:rPr>
          <w:rFonts w:ascii="Times New Roman" w:eastAsia="Times New Roman" w:hAnsi="Times New Roman" w:cs="Calibri"/>
          <w:noProof/>
          <w:sz w:val="24"/>
          <w:szCs w:val="24"/>
          <w:lang w:eastAsia="en-GB"/>
        </w:rPr>
        <w:t xml:space="preserve">have a very limited potential to drive innovation. </w:t>
      </w:r>
    </w:p>
    <w:p w:rsidR="00AB50C5" w:rsidRDefault="00AB50C5">
      <w:pPr>
        <w:suppressAutoHyphens/>
        <w:spacing w:before="120" w:after="0" w:line="240" w:lineRule="auto"/>
        <w:contextualSpacing/>
        <w:jc w:val="both"/>
        <w:rPr>
          <w:rFonts w:ascii="Times New Roman" w:eastAsia="Times New Roman" w:hAnsi="Times New Roman" w:cs="Calibri"/>
          <w:noProof/>
          <w:sz w:val="24"/>
          <w:szCs w:val="24"/>
          <w:lang w:eastAsia="en-GB"/>
        </w:rPr>
      </w:pPr>
    </w:p>
    <w:p w:rsidR="00AB50C5" w:rsidRDefault="00724275">
      <w:pPr>
        <w:numPr>
          <w:ilvl w:val="0"/>
          <w:numId w:val="95"/>
        </w:numPr>
        <w:suppressAutoHyphens/>
        <w:spacing w:before="120" w:after="0" w:line="240" w:lineRule="auto"/>
        <w:contextualSpacing/>
        <w:jc w:val="both"/>
        <w:rPr>
          <w:rFonts w:ascii="Times New Roman" w:eastAsia="Times New Roman" w:hAnsi="Times New Roman" w:cs="Calibri"/>
          <w:noProof/>
          <w:sz w:val="24"/>
          <w:szCs w:val="24"/>
          <w:lang w:eastAsia="en-GB"/>
        </w:rPr>
      </w:pPr>
      <w:r>
        <w:rPr>
          <w:rFonts w:ascii="Times New Roman" w:eastAsia="Times New Roman" w:hAnsi="Times New Roman" w:cs="Calibri"/>
          <w:noProof/>
          <w:sz w:val="24"/>
          <w:szCs w:val="24"/>
          <w:lang w:eastAsia="en-GB"/>
        </w:rPr>
        <w:t xml:space="preserve">This option will result in fragmented local applications of different risk management systems and will not drive the generation of new RMA-H ideas at EU level. </w:t>
      </w:r>
    </w:p>
    <w:p w:rsidR="00AB50C5" w:rsidRDefault="00724275">
      <w:pPr>
        <w:numPr>
          <w:ilvl w:val="0"/>
          <w:numId w:val="95"/>
        </w:numPr>
        <w:suppressAutoHyphens/>
        <w:spacing w:before="120" w:after="0" w:line="240" w:lineRule="auto"/>
        <w:contextualSpacing/>
        <w:jc w:val="both"/>
        <w:rPr>
          <w:rFonts w:ascii="Times New Roman" w:eastAsia="Times New Roman" w:hAnsi="Times New Roman" w:cs="Calibri"/>
          <w:noProof/>
          <w:sz w:val="24"/>
          <w:szCs w:val="24"/>
          <w:lang w:eastAsia="en-GB"/>
        </w:rPr>
      </w:pPr>
      <w:r>
        <w:rPr>
          <w:rFonts w:ascii="Times New Roman" w:eastAsia="Times New Roman" w:hAnsi="Times New Roman" w:cs="Calibri"/>
          <w:noProof/>
          <w:sz w:val="24"/>
          <w:szCs w:val="24"/>
          <w:lang w:eastAsia="en-GB"/>
        </w:rPr>
        <w:t>The cooperation on R&amp;I will be limited onl</w:t>
      </w:r>
      <w:r>
        <w:rPr>
          <w:rFonts w:ascii="Times New Roman" w:eastAsia="Times New Roman" w:hAnsi="Times New Roman" w:cs="Calibri"/>
          <w:noProof/>
          <w:sz w:val="24"/>
          <w:szCs w:val="24"/>
          <w:lang w:eastAsia="en-GB"/>
        </w:rPr>
        <w:t xml:space="preserve">y to the areas where the same risk management requirements exist. </w:t>
      </w:r>
    </w:p>
    <w:p w:rsidR="00AB50C5" w:rsidRDefault="00724275">
      <w:pPr>
        <w:numPr>
          <w:ilvl w:val="0"/>
          <w:numId w:val="95"/>
        </w:numPr>
        <w:suppressAutoHyphens/>
        <w:spacing w:before="120" w:after="0" w:line="240" w:lineRule="auto"/>
        <w:contextualSpacing/>
        <w:jc w:val="both"/>
        <w:rPr>
          <w:rFonts w:ascii="Times New Roman" w:eastAsia="Times New Roman" w:hAnsi="Times New Roman" w:cs="Calibri"/>
          <w:noProof/>
          <w:sz w:val="24"/>
          <w:szCs w:val="24"/>
          <w:lang w:eastAsia="en-GB"/>
        </w:rPr>
      </w:pPr>
      <w:r>
        <w:rPr>
          <w:rFonts w:ascii="Times New Roman" w:eastAsia="Times New Roman" w:hAnsi="Times New Roman" w:cs="Calibri"/>
          <w:noProof/>
          <w:sz w:val="24"/>
          <w:szCs w:val="24"/>
          <w:lang w:eastAsia="en-GB"/>
        </w:rPr>
        <w:t xml:space="preserve">These measures will lead to the fragmentation of information and knowledge, to localised data and consequently to small-scale innovation development, applicable only for a certain area. </w:t>
      </w:r>
    </w:p>
    <w:p w:rsidR="00AB50C5" w:rsidRDefault="00724275">
      <w:pPr>
        <w:numPr>
          <w:ilvl w:val="0"/>
          <w:numId w:val="95"/>
        </w:numPr>
        <w:suppressAutoHyphens/>
        <w:spacing w:before="120" w:after="0" w:line="240" w:lineRule="auto"/>
        <w:contextualSpacing/>
        <w:jc w:val="both"/>
        <w:rPr>
          <w:rFonts w:ascii="Times New Roman" w:eastAsia="Times New Roman" w:hAnsi="Times New Roman" w:cs="Calibri"/>
          <w:noProof/>
          <w:sz w:val="24"/>
          <w:szCs w:val="24"/>
          <w:lang w:eastAsia="en-GB"/>
        </w:rPr>
      </w:pPr>
      <w:r>
        <w:rPr>
          <w:rFonts w:ascii="Times New Roman" w:eastAsia="Times New Roman" w:hAnsi="Times New Roman" w:cs="Calibri"/>
          <w:noProof/>
          <w:sz w:val="24"/>
          <w:szCs w:val="24"/>
          <w:lang w:eastAsia="en-GB"/>
        </w:rPr>
        <w:t>It</w:t>
      </w:r>
      <w:r>
        <w:rPr>
          <w:rFonts w:ascii="Times New Roman" w:eastAsia="Times New Roman" w:hAnsi="Times New Roman" w:cs="Calibri"/>
          <w:noProof/>
          <w:sz w:val="24"/>
          <w:szCs w:val="24"/>
          <w:lang w:eastAsia="en-GB"/>
        </w:rPr>
        <w:t xml:space="preserve"> will negatively affect the incentives for companies to scale up in Europe due to the limited area of application of RMA at local level.</w:t>
      </w:r>
    </w:p>
    <w:p w:rsidR="00AB50C5" w:rsidRDefault="00724275">
      <w:pPr>
        <w:numPr>
          <w:ilvl w:val="0"/>
          <w:numId w:val="95"/>
        </w:numPr>
        <w:suppressAutoHyphens/>
        <w:spacing w:before="120" w:after="0" w:line="240" w:lineRule="auto"/>
        <w:contextualSpacing/>
        <w:jc w:val="both"/>
        <w:rPr>
          <w:rFonts w:ascii="Times New Roman" w:eastAsia="Times New Roman" w:hAnsi="Times New Roman" w:cs="Calibri"/>
          <w:noProof/>
          <w:sz w:val="24"/>
          <w:szCs w:val="24"/>
          <w:lang w:eastAsia="en-GB"/>
        </w:rPr>
      </w:pPr>
      <w:r>
        <w:rPr>
          <w:rFonts w:ascii="Times New Roman" w:eastAsia="Times New Roman" w:hAnsi="Times New Roman" w:cs="Calibri"/>
          <w:noProof/>
          <w:sz w:val="24"/>
          <w:szCs w:val="24"/>
          <w:lang w:eastAsia="en-GB"/>
        </w:rPr>
        <w:t xml:space="preserve">The overall compliance costs and time for the development of innovative RMA-H solutions will increase. </w:t>
      </w:r>
    </w:p>
    <w:p w:rsidR="00AB50C5" w:rsidRDefault="00AB50C5">
      <w:pPr>
        <w:suppressAutoHyphens/>
        <w:spacing w:before="120" w:after="0" w:line="240" w:lineRule="auto"/>
        <w:contextualSpacing/>
        <w:jc w:val="both"/>
        <w:rPr>
          <w:rFonts w:ascii="Times New Roman" w:eastAsia="Times New Roman" w:hAnsi="Times New Roman" w:cs="Calibri"/>
          <w:noProof/>
          <w:sz w:val="24"/>
          <w:szCs w:val="24"/>
          <w:lang w:eastAsia="en-GB"/>
        </w:rPr>
      </w:pPr>
    </w:p>
    <w:p w:rsidR="00AB50C5" w:rsidRDefault="00724275">
      <w:pPr>
        <w:suppressAutoHyphens/>
        <w:spacing w:before="120" w:after="160" w:line="259" w:lineRule="auto"/>
        <w:contextualSpacing/>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However, exper</w:t>
      </w:r>
      <w:r>
        <w:rPr>
          <w:rFonts w:ascii="Times New Roman" w:eastAsia="Times New Roman" w:hAnsi="Times New Roman" w:cs="Times New Roman"/>
          <w:noProof/>
          <w:sz w:val="24"/>
          <w:szCs w:val="24"/>
          <w:lang w:eastAsia="ar-SA"/>
        </w:rPr>
        <w:t>ts pointed out that despite the fragmented and localised development of innovation in the case of voluntary approach (assuming the RMA is promoted at MS or regional level) there may be a positive impact on innovation:</w:t>
      </w:r>
    </w:p>
    <w:p w:rsidR="00AB50C5" w:rsidRDefault="00AB50C5">
      <w:pPr>
        <w:suppressAutoHyphens/>
        <w:spacing w:before="120" w:after="120" w:line="259" w:lineRule="auto"/>
        <w:contextualSpacing/>
        <w:jc w:val="both"/>
        <w:rPr>
          <w:rFonts w:ascii="Times New Roman" w:eastAsia="Times New Roman" w:hAnsi="Times New Roman" w:cs="Calibri"/>
          <w:noProof/>
          <w:sz w:val="24"/>
          <w:szCs w:val="24"/>
          <w:lang w:eastAsia="en-GB"/>
        </w:rPr>
      </w:pPr>
    </w:p>
    <w:p w:rsidR="00AB50C5" w:rsidRDefault="00724275">
      <w:pPr>
        <w:numPr>
          <w:ilvl w:val="0"/>
          <w:numId w:val="105"/>
        </w:numPr>
        <w:suppressAutoHyphens/>
        <w:spacing w:before="120" w:after="120" w:line="259" w:lineRule="auto"/>
        <w:contextualSpacing/>
        <w:jc w:val="both"/>
        <w:rPr>
          <w:rFonts w:ascii="Times New Roman" w:eastAsia="Times New Roman" w:hAnsi="Times New Roman" w:cs="Calibri"/>
          <w:noProof/>
          <w:sz w:val="24"/>
          <w:szCs w:val="24"/>
          <w:lang w:eastAsia="en-GB"/>
        </w:rPr>
      </w:pPr>
      <w:r>
        <w:rPr>
          <w:rFonts w:ascii="Times New Roman" w:eastAsia="Times New Roman" w:hAnsi="Times New Roman" w:cs="Calibri"/>
          <w:noProof/>
          <w:sz w:val="24"/>
          <w:szCs w:val="24"/>
          <w:lang w:eastAsia="en-GB"/>
        </w:rPr>
        <w:t>RMA-H application at any scale will f</w:t>
      </w:r>
      <w:r>
        <w:rPr>
          <w:rFonts w:ascii="Times New Roman" w:eastAsia="Times New Roman" w:hAnsi="Times New Roman" w:cs="Calibri"/>
          <w:noProof/>
          <w:sz w:val="24"/>
          <w:szCs w:val="24"/>
          <w:lang w:eastAsia="en-GB"/>
        </w:rPr>
        <w:t xml:space="preserve">acilitate the introduction of future innovative solutions to address the risks identified and these solutions can be cost effective as they reduce the need for monitoring and unnecessary of inefficient measures. </w:t>
      </w:r>
    </w:p>
    <w:p w:rsidR="00AB50C5" w:rsidRDefault="00724275">
      <w:pPr>
        <w:numPr>
          <w:ilvl w:val="0"/>
          <w:numId w:val="105"/>
        </w:numPr>
        <w:suppressAutoHyphens/>
        <w:spacing w:before="120" w:after="120" w:line="259" w:lineRule="auto"/>
        <w:contextualSpacing/>
        <w:jc w:val="both"/>
        <w:rPr>
          <w:rFonts w:ascii="Times New Roman" w:eastAsia="Times New Roman" w:hAnsi="Times New Roman" w:cs="Calibri"/>
          <w:noProof/>
          <w:sz w:val="24"/>
          <w:szCs w:val="24"/>
          <w:lang w:eastAsia="en-GB"/>
        </w:rPr>
      </w:pPr>
      <w:r>
        <w:rPr>
          <w:rFonts w:ascii="Times New Roman" w:eastAsia="Times New Roman" w:hAnsi="Times New Roman" w:cs="Calibri"/>
          <w:noProof/>
          <w:sz w:val="24"/>
          <w:szCs w:val="24"/>
          <w:lang w:eastAsia="en-GB"/>
        </w:rPr>
        <w:t>RMA-H naturally stimulate multi-disciplinar</w:t>
      </w:r>
      <w:r>
        <w:rPr>
          <w:rFonts w:ascii="Times New Roman" w:eastAsia="Times New Roman" w:hAnsi="Times New Roman" w:cs="Calibri"/>
          <w:noProof/>
          <w:sz w:val="24"/>
          <w:szCs w:val="24"/>
          <w:lang w:eastAsia="en-GB"/>
        </w:rPr>
        <w:t xml:space="preserve">y scientific research and bring together specialists in microbiology, chemistry, ecology, IT and other areas. </w:t>
      </w:r>
    </w:p>
    <w:p w:rsidR="00AB50C5" w:rsidRDefault="00AB50C5">
      <w:pPr>
        <w:suppressAutoHyphens/>
        <w:spacing w:before="120" w:after="0" w:line="240" w:lineRule="auto"/>
        <w:contextualSpacing/>
        <w:jc w:val="both"/>
        <w:rPr>
          <w:rFonts w:ascii="Times New Roman" w:eastAsia="Times New Roman" w:hAnsi="Times New Roman" w:cs="Calibri"/>
          <w:noProof/>
          <w:sz w:val="24"/>
          <w:szCs w:val="24"/>
          <w:lang w:eastAsia="en-GB"/>
        </w:rPr>
      </w:pPr>
    </w:p>
    <w:p w:rsidR="00AB50C5" w:rsidRDefault="00AB50C5">
      <w:pPr>
        <w:suppressAutoHyphens/>
        <w:spacing w:before="120" w:after="0" w:line="240" w:lineRule="auto"/>
        <w:contextualSpacing/>
        <w:jc w:val="both"/>
        <w:rPr>
          <w:rFonts w:ascii="Times New Roman" w:eastAsia="Times New Roman" w:hAnsi="Times New Roman" w:cs="Times New Roman"/>
          <w:noProof/>
          <w:sz w:val="24"/>
          <w:szCs w:val="24"/>
          <w:u w:val="single"/>
          <w:lang w:eastAsia="ar-SA"/>
        </w:rPr>
      </w:pPr>
    </w:p>
    <w:p w:rsidR="00AB50C5" w:rsidRDefault="00724275">
      <w:pPr>
        <w:suppressAutoHyphens/>
        <w:spacing w:before="120" w:after="0" w:line="240" w:lineRule="auto"/>
        <w:contextualSpacing/>
        <w:jc w:val="both"/>
        <w:rPr>
          <w:rFonts w:ascii="Times New Roman" w:eastAsia="Times New Roman" w:hAnsi="Times New Roman" w:cs="Calibri"/>
          <w:noProof/>
          <w:sz w:val="24"/>
          <w:szCs w:val="24"/>
          <w:lang w:eastAsia="en-GB"/>
        </w:rPr>
      </w:pPr>
      <w:r>
        <w:rPr>
          <w:rFonts w:ascii="Times New Roman" w:eastAsia="Times New Roman" w:hAnsi="Times New Roman" w:cs="Calibri"/>
          <w:b/>
          <w:noProof/>
          <w:sz w:val="24"/>
          <w:szCs w:val="24"/>
          <w:lang w:eastAsia="en-GB"/>
        </w:rPr>
        <w:t xml:space="preserve">3.2.2 </w:t>
      </w:r>
      <w:r>
        <w:rPr>
          <w:rFonts w:ascii="Times New Roman" w:eastAsia="Times New Roman" w:hAnsi="Times New Roman" w:cs="Times New Roman"/>
          <w:b/>
          <w:noProof/>
          <w:sz w:val="24"/>
          <w:szCs w:val="24"/>
          <w:lang w:eastAsia="ar-SA"/>
        </w:rPr>
        <w:t>Risk management approach addressing health issues (RMA-H) – mandatory measures:</w:t>
      </w:r>
    </w:p>
    <w:p w:rsidR="00AB50C5" w:rsidRDefault="00AB50C5">
      <w:pPr>
        <w:suppressAutoHyphens/>
        <w:spacing w:before="120" w:after="0" w:line="240" w:lineRule="auto"/>
        <w:contextualSpacing/>
        <w:jc w:val="both"/>
        <w:rPr>
          <w:rFonts w:ascii="Times New Roman" w:eastAsia="Times New Roman" w:hAnsi="Times New Roman" w:cs="Calibri"/>
          <w:b/>
          <w:noProof/>
          <w:sz w:val="24"/>
          <w:szCs w:val="24"/>
          <w:lang w:eastAsia="en-GB"/>
        </w:rPr>
      </w:pPr>
    </w:p>
    <w:p w:rsidR="00AB50C5" w:rsidRDefault="00724275">
      <w:pPr>
        <w:suppressAutoHyphens/>
        <w:spacing w:before="120" w:after="0" w:line="240" w:lineRule="auto"/>
        <w:contextualSpacing/>
        <w:jc w:val="both"/>
        <w:rPr>
          <w:rFonts w:ascii="Times New Roman" w:eastAsia="Times New Roman" w:hAnsi="Times New Roman" w:cs="Calibri"/>
          <w:noProof/>
          <w:sz w:val="24"/>
          <w:szCs w:val="24"/>
          <w:lang w:eastAsia="en-GB"/>
        </w:rPr>
      </w:pPr>
      <w:r>
        <w:rPr>
          <w:rFonts w:ascii="Times New Roman" w:eastAsia="Times New Roman" w:hAnsi="Times New Roman" w:cs="Calibri"/>
          <w:noProof/>
          <w:sz w:val="24"/>
          <w:szCs w:val="24"/>
          <w:lang w:eastAsia="en-GB"/>
        </w:rPr>
        <w:t xml:space="preserve">Mandatory RMA-H measures will have a positive impact on </w:t>
      </w:r>
      <w:r>
        <w:rPr>
          <w:rFonts w:ascii="Times New Roman" w:eastAsia="Times New Roman" w:hAnsi="Times New Roman" w:cs="Calibri"/>
          <w:noProof/>
          <w:sz w:val="24"/>
          <w:szCs w:val="24"/>
          <w:lang w:eastAsia="en-GB"/>
        </w:rPr>
        <w:t>the development and scale-up of innovative approaches to health risk management and solutions to address the risks related to water reuse. They will:</w:t>
      </w:r>
    </w:p>
    <w:p w:rsidR="00AB50C5" w:rsidRDefault="00724275">
      <w:pPr>
        <w:numPr>
          <w:ilvl w:val="0"/>
          <w:numId w:val="96"/>
        </w:numPr>
        <w:suppressAutoHyphens/>
        <w:spacing w:before="120" w:after="0" w:line="240" w:lineRule="auto"/>
        <w:contextualSpacing/>
        <w:jc w:val="both"/>
        <w:rPr>
          <w:rFonts w:ascii="Times New Roman" w:eastAsia="Times New Roman" w:hAnsi="Times New Roman" w:cs="Calibri"/>
          <w:noProof/>
          <w:sz w:val="24"/>
          <w:szCs w:val="24"/>
          <w:lang w:eastAsia="en-GB"/>
        </w:rPr>
      </w:pPr>
      <w:r>
        <w:rPr>
          <w:rFonts w:ascii="Times New Roman" w:eastAsia="Times New Roman" w:hAnsi="Times New Roman" w:cs="Calibri"/>
          <w:noProof/>
          <w:sz w:val="24"/>
          <w:szCs w:val="24"/>
          <w:lang w:eastAsia="en-GB"/>
        </w:rPr>
        <w:t xml:space="preserve">Facilitate the realisation of the methodology for the development of Water Safety Plans for each water </w:t>
      </w:r>
      <w:r>
        <w:rPr>
          <w:rFonts w:ascii="Times New Roman" w:eastAsia="Times New Roman" w:hAnsi="Times New Roman" w:cs="Calibri"/>
          <w:noProof/>
          <w:sz w:val="24"/>
          <w:szCs w:val="24"/>
          <w:lang w:eastAsia="en-GB"/>
        </w:rPr>
        <w:t>reuse scheme, e.g. as already demonstrated by the DEMOWARE project</w:t>
      </w:r>
      <w:r>
        <w:rPr>
          <w:rFonts w:ascii="Times New Roman" w:eastAsia="Times New Roman" w:hAnsi="Times New Roman" w:cs="Times New Roman"/>
          <w:noProof/>
          <w:sz w:val="24"/>
          <w:szCs w:val="24"/>
          <w:vertAlign w:val="superscript"/>
          <w:lang w:eastAsia="ar-SA"/>
        </w:rPr>
        <w:footnoteReference w:id="7"/>
      </w:r>
      <w:r>
        <w:rPr>
          <w:rFonts w:ascii="Times New Roman" w:eastAsia="Times New Roman" w:hAnsi="Times New Roman" w:cs="Calibri"/>
          <w:noProof/>
          <w:sz w:val="24"/>
          <w:szCs w:val="24"/>
          <w:lang w:eastAsia="en-GB"/>
        </w:rPr>
        <w:t>;</w:t>
      </w:r>
    </w:p>
    <w:p w:rsidR="00AB50C5" w:rsidRDefault="00724275">
      <w:pPr>
        <w:numPr>
          <w:ilvl w:val="0"/>
          <w:numId w:val="96"/>
        </w:numPr>
        <w:suppressAutoHyphens/>
        <w:spacing w:before="120" w:after="0" w:line="240" w:lineRule="auto"/>
        <w:contextualSpacing/>
        <w:jc w:val="both"/>
        <w:rPr>
          <w:rFonts w:ascii="Times New Roman" w:eastAsia="Times New Roman" w:hAnsi="Times New Roman" w:cs="Calibri"/>
          <w:noProof/>
          <w:sz w:val="24"/>
          <w:szCs w:val="24"/>
          <w:lang w:eastAsia="en-GB"/>
        </w:rPr>
      </w:pPr>
      <w:r>
        <w:rPr>
          <w:rFonts w:ascii="Times New Roman" w:eastAsia="Times New Roman" w:hAnsi="Times New Roman" w:cs="Calibri"/>
          <w:noProof/>
          <w:sz w:val="24"/>
          <w:szCs w:val="24"/>
          <w:lang w:eastAsia="en-GB"/>
        </w:rPr>
        <w:t xml:space="preserve">Ensure a strong cooperation and a substantial participation of industrial partners and end-users, enhancing public and corporate R&amp;D to develop leading-edge EU innovative health risk </w:t>
      </w:r>
      <w:r>
        <w:rPr>
          <w:rFonts w:ascii="Times New Roman" w:eastAsia="Times New Roman" w:hAnsi="Times New Roman" w:cs="Calibri"/>
          <w:noProof/>
          <w:sz w:val="24"/>
          <w:szCs w:val="24"/>
          <w:lang w:eastAsia="en-GB"/>
        </w:rPr>
        <w:t>management tools;</w:t>
      </w:r>
    </w:p>
    <w:p w:rsidR="00AB50C5" w:rsidRDefault="00724275">
      <w:pPr>
        <w:numPr>
          <w:ilvl w:val="0"/>
          <w:numId w:val="96"/>
        </w:numPr>
        <w:suppressAutoHyphens/>
        <w:spacing w:before="120" w:after="0" w:line="240" w:lineRule="auto"/>
        <w:contextualSpacing/>
        <w:jc w:val="both"/>
        <w:rPr>
          <w:rFonts w:ascii="Times New Roman" w:eastAsia="Times New Roman" w:hAnsi="Times New Roman" w:cs="Calibri"/>
          <w:noProof/>
          <w:sz w:val="24"/>
          <w:szCs w:val="24"/>
          <w:lang w:eastAsia="en-GB"/>
        </w:rPr>
      </w:pPr>
      <w:r>
        <w:rPr>
          <w:rFonts w:ascii="Times New Roman" w:eastAsia="Times New Roman" w:hAnsi="Times New Roman" w:cs="Calibri"/>
          <w:noProof/>
          <w:sz w:val="24"/>
          <w:szCs w:val="24"/>
          <w:lang w:eastAsia="en-GB"/>
        </w:rPr>
        <w:t>Stimulate multidisciplinary scientific research, such as ecotoxicology, chemistry, microbiology, parasitology, and develop a holistic approach to water reuse risks;</w:t>
      </w:r>
    </w:p>
    <w:p w:rsidR="00AB50C5" w:rsidRDefault="00724275">
      <w:pPr>
        <w:numPr>
          <w:ilvl w:val="0"/>
          <w:numId w:val="96"/>
        </w:numPr>
        <w:suppressAutoHyphens/>
        <w:spacing w:before="120" w:after="0" w:line="240" w:lineRule="auto"/>
        <w:contextualSpacing/>
        <w:jc w:val="both"/>
        <w:rPr>
          <w:rFonts w:ascii="Times New Roman" w:eastAsia="Times New Roman" w:hAnsi="Times New Roman" w:cs="Calibri"/>
          <w:noProof/>
          <w:sz w:val="24"/>
          <w:szCs w:val="24"/>
          <w:lang w:eastAsia="en-GB"/>
        </w:rPr>
      </w:pPr>
      <w:r>
        <w:rPr>
          <w:rFonts w:ascii="Times New Roman" w:eastAsia="Times New Roman" w:hAnsi="Times New Roman" w:cs="Calibri"/>
          <w:noProof/>
          <w:sz w:val="24"/>
          <w:szCs w:val="24"/>
          <w:lang w:eastAsia="en-GB"/>
        </w:rPr>
        <w:t>Positively affect innovation dynamics of specific markets such as those f</w:t>
      </w:r>
      <w:r>
        <w:rPr>
          <w:rFonts w:ascii="Times New Roman" w:eastAsia="Times New Roman" w:hAnsi="Times New Roman" w:cs="Calibri"/>
          <w:noProof/>
          <w:sz w:val="24"/>
          <w:szCs w:val="24"/>
          <w:lang w:eastAsia="en-GB"/>
        </w:rPr>
        <w:t>or treatment technologies, monitoring equipment, analytical techniques for identification and detection of relevant pollutants;</w:t>
      </w:r>
    </w:p>
    <w:p w:rsidR="00AB50C5" w:rsidRDefault="00724275">
      <w:pPr>
        <w:numPr>
          <w:ilvl w:val="0"/>
          <w:numId w:val="97"/>
        </w:numPr>
        <w:suppressAutoHyphens/>
        <w:spacing w:before="120" w:after="0" w:line="240" w:lineRule="auto"/>
        <w:contextualSpacing/>
        <w:jc w:val="both"/>
        <w:rPr>
          <w:rFonts w:ascii="Times New Roman" w:eastAsia="Times New Roman" w:hAnsi="Times New Roman" w:cs="Calibri"/>
          <w:noProof/>
          <w:sz w:val="24"/>
          <w:szCs w:val="24"/>
          <w:lang w:eastAsia="en-GB"/>
        </w:rPr>
      </w:pPr>
      <w:r>
        <w:rPr>
          <w:rFonts w:ascii="Times New Roman" w:eastAsia="Times New Roman" w:hAnsi="Times New Roman" w:cs="Calibri"/>
          <w:noProof/>
          <w:sz w:val="24"/>
          <w:szCs w:val="24"/>
          <w:lang w:eastAsia="en-GB"/>
        </w:rPr>
        <w:t xml:space="preserve">Facilitate spreading knowledge and information leading to well-informed stakeholders which are able to make sound decisions. It </w:t>
      </w:r>
      <w:r>
        <w:rPr>
          <w:rFonts w:ascii="Times New Roman" w:eastAsia="Times New Roman" w:hAnsi="Times New Roman" w:cs="Calibri"/>
          <w:noProof/>
          <w:sz w:val="24"/>
          <w:szCs w:val="24"/>
          <w:lang w:eastAsia="en-GB"/>
        </w:rPr>
        <w:t>is expected that risk management measures will be better implemented and more effective. The cost of risk management systems, and of risk prevention measures and technologies, will be reduced due to the efficiencies related to the scale. Also administrativ</w:t>
      </w:r>
      <w:r>
        <w:rPr>
          <w:rFonts w:ascii="Times New Roman" w:eastAsia="Times New Roman" w:hAnsi="Times New Roman" w:cs="Calibri"/>
          <w:noProof/>
          <w:sz w:val="24"/>
          <w:szCs w:val="24"/>
          <w:lang w:eastAsia="en-GB"/>
        </w:rPr>
        <w:t xml:space="preserve">e costs can be reduced due to harmonisation and standardisation of RMA procedures; </w:t>
      </w:r>
    </w:p>
    <w:p w:rsidR="00AB50C5" w:rsidRDefault="00724275">
      <w:pPr>
        <w:numPr>
          <w:ilvl w:val="0"/>
          <w:numId w:val="96"/>
        </w:numPr>
        <w:suppressAutoHyphens/>
        <w:spacing w:before="120" w:after="0" w:line="240" w:lineRule="auto"/>
        <w:contextualSpacing/>
        <w:jc w:val="both"/>
        <w:rPr>
          <w:rFonts w:ascii="Times New Roman" w:eastAsia="Times New Roman" w:hAnsi="Times New Roman" w:cs="Calibri"/>
          <w:noProof/>
          <w:sz w:val="24"/>
          <w:szCs w:val="24"/>
          <w:lang w:eastAsia="en-GB"/>
        </w:rPr>
      </w:pPr>
      <w:r>
        <w:rPr>
          <w:rFonts w:ascii="Times New Roman" w:eastAsia="Times New Roman" w:hAnsi="Times New Roman" w:cs="Calibri"/>
          <w:noProof/>
          <w:sz w:val="24"/>
          <w:szCs w:val="24"/>
          <w:lang w:eastAsia="en-GB"/>
        </w:rPr>
        <w:t>Enhance the development of more robust and less risky technologies that will be further promoted by regularly evaluating the risks of water reuse;</w:t>
      </w:r>
    </w:p>
    <w:p w:rsidR="00AB50C5" w:rsidRDefault="00724275">
      <w:pPr>
        <w:numPr>
          <w:ilvl w:val="0"/>
          <w:numId w:val="96"/>
        </w:numPr>
        <w:suppressAutoHyphens/>
        <w:spacing w:before="120" w:after="0" w:line="240" w:lineRule="auto"/>
        <w:contextualSpacing/>
        <w:jc w:val="both"/>
        <w:rPr>
          <w:rFonts w:ascii="Times New Roman" w:eastAsia="Times New Roman" w:hAnsi="Times New Roman" w:cs="Calibri"/>
          <w:noProof/>
          <w:sz w:val="24"/>
          <w:szCs w:val="24"/>
          <w:lang w:eastAsia="en-GB"/>
        </w:rPr>
      </w:pPr>
      <w:r>
        <w:rPr>
          <w:rFonts w:ascii="Times New Roman" w:eastAsia="Times New Roman" w:hAnsi="Times New Roman" w:cs="Calibri"/>
          <w:noProof/>
          <w:sz w:val="24"/>
          <w:szCs w:val="24"/>
          <w:lang w:eastAsia="en-GB"/>
        </w:rPr>
        <w:t>Facilitate the adaptation</w:t>
      </w:r>
      <w:r>
        <w:rPr>
          <w:rFonts w:ascii="Times New Roman" w:eastAsia="Times New Roman" w:hAnsi="Times New Roman" w:cs="Calibri"/>
          <w:noProof/>
          <w:sz w:val="24"/>
          <w:szCs w:val="24"/>
          <w:lang w:eastAsia="en-GB"/>
        </w:rPr>
        <w:t xml:space="preserve"> of R+D infrastructures to the new approach; </w:t>
      </w:r>
    </w:p>
    <w:p w:rsidR="00AB50C5" w:rsidRDefault="00724275">
      <w:pPr>
        <w:numPr>
          <w:ilvl w:val="0"/>
          <w:numId w:val="96"/>
        </w:numPr>
        <w:suppressAutoHyphens/>
        <w:spacing w:before="120" w:after="0" w:line="240" w:lineRule="auto"/>
        <w:contextualSpacing/>
        <w:jc w:val="both"/>
        <w:rPr>
          <w:rFonts w:ascii="Times New Roman" w:eastAsia="Times New Roman" w:hAnsi="Times New Roman" w:cs="Calibri"/>
          <w:b/>
          <w:noProof/>
          <w:sz w:val="24"/>
          <w:szCs w:val="24"/>
          <w:lang w:eastAsia="en-GB"/>
        </w:rPr>
      </w:pPr>
      <w:r>
        <w:rPr>
          <w:rFonts w:ascii="Times New Roman" w:eastAsia="Times New Roman" w:hAnsi="Times New Roman" w:cs="Calibri"/>
          <w:noProof/>
          <w:sz w:val="24"/>
          <w:szCs w:val="24"/>
          <w:lang w:eastAsia="en-GB"/>
        </w:rPr>
        <w:t>Produce great potential for companies to scale up, and to apply large business models which will ensure the successful commercialization of the systems developed. At the same time it will create markets for hig</w:t>
      </w:r>
      <w:r>
        <w:rPr>
          <w:rFonts w:ascii="Times New Roman" w:eastAsia="Times New Roman" w:hAnsi="Times New Roman" w:cs="Calibri"/>
          <w:noProof/>
          <w:sz w:val="24"/>
          <w:szCs w:val="24"/>
          <w:lang w:eastAsia="en-GB"/>
        </w:rPr>
        <w:t xml:space="preserve">hly specialized SMEs;  </w:t>
      </w:r>
    </w:p>
    <w:p w:rsidR="00AB50C5" w:rsidRDefault="00724275">
      <w:pPr>
        <w:numPr>
          <w:ilvl w:val="0"/>
          <w:numId w:val="96"/>
        </w:numPr>
        <w:suppressAutoHyphens/>
        <w:spacing w:before="120" w:after="0" w:line="240" w:lineRule="auto"/>
        <w:contextualSpacing/>
        <w:jc w:val="both"/>
        <w:rPr>
          <w:rFonts w:ascii="Times New Roman" w:eastAsia="Times New Roman" w:hAnsi="Times New Roman" w:cs="Calibri"/>
          <w:noProof/>
          <w:sz w:val="24"/>
          <w:szCs w:val="24"/>
          <w:lang w:eastAsia="en-GB"/>
        </w:rPr>
      </w:pPr>
      <w:r>
        <w:rPr>
          <w:rFonts w:ascii="Times New Roman" w:eastAsia="Times New Roman" w:hAnsi="Times New Roman" w:cs="Calibri"/>
          <w:noProof/>
          <w:sz w:val="24"/>
          <w:szCs w:val="24"/>
          <w:lang w:eastAsia="en-GB"/>
        </w:rPr>
        <w:t xml:space="preserve">The dynamic and repetitive character of RMA will allow introducing new findings and innovations in the successive revisions of the Water Safety Plans for the specific water reuse schema in a more dynamic way. </w:t>
      </w:r>
    </w:p>
    <w:p w:rsidR="00AB50C5" w:rsidRDefault="00AB50C5">
      <w:pPr>
        <w:suppressAutoHyphens/>
        <w:spacing w:before="120" w:after="0" w:line="240" w:lineRule="auto"/>
        <w:ind w:left="360"/>
        <w:contextualSpacing/>
        <w:jc w:val="both"/>
        <w:rPr>
          <w:rFonts w:ascii="Times New Roman" w:eastAsia="Times New Roman" w:hAnsi="Times New Roman" w:cs="Calibri"/>
          <w:noProof/>
          <w:sz w:val="24"/>
          <w:szCs w:val="24"/>
          <w:lang w:eastAsia="en-GB"/>
        </w:rPr>
      </w:pPr>
    </w:p>
    <w:p w:rsidR="00AB50C5" w:rsidRDefault="00724275">
      <w:pPr>
        <w:suppressAutoHyphens/>
        <w:spacing w:before="120" w:after="0" w:line="240" w:lineRule="auto"/>
        <w:contextualSpacing/>
        <w:jc w:val="both"/>
        <w:rPr>
          <w:rFonts w:ascii="Times New Roman" w:eastAsia="Times New Roman" w:hAnsi="Times New Roman" w:cs="Calibri"/>
          <w:noProof/>
          <w:sz w:val="24"/>
          <w:szCs w:val="24"/>
          <w:lang w:eastAsia="en-GB"/>
        </w:rPr>
      </w:pPr>
      <w:r>
        <w:rPr>
          <w:rFonts w:ascii="Times New Roman" w:eastAsia="Times New Roman" w:hAnsi="Times New Roman" w:cs="Calibri"/>
          <w:noProof/>
          <w:sz w:val="24"/>
          <w:szCs w:val="24"/>
          <w:lang w:eastAsia="en-GB"/>
        </w:rPr>
        <w:t xml:space="preserve">However, a mandatory </w:t>
      </w:r>
      <w:r>
        <w:rPr>
          <w:rFonts w:ascii="Times New Roman" w:eastAsia="Times New Roman" w:hAnsi="Times New Roman" w:cs="Calibri"/>
          <w:noProof/>
          <w:sz w:val="24"/>
          <w:szCs w:val="24"/>
          <w:lang w:eastAsia="en-GB"/>
        </w:rPr>
        <w:t>RMA-H may also:</w:t>
      </w:r>
    </w:p>
    <w:p w:rsidR="00AB50C5" w:rsidRDefault="00AB50C5">
      <w:pPr>
        <w:suppressAutoHyphens/>
        <w:spacing w:before="120" w:after="0" w:line="240" w:lineRule="auto"/>
        <w:contextualSpacing/>
        <w:jc w:val="both"/>
        <w:rPr>
          <w:rFonts w:ascii="Times New Roman" w:eastAsia="Times New Roman" w:hAnsi="Times New Roman" w:cs="Calibri"/>
          <w:noProof/>
          <w:sz w:val="24"/>
          <w:szCs w:val="24"/>
          <w:lang w:eastAsia="en-GB"/>
        </w:rPr>
      </w:pPr>
    </w:p>
    <w:p w:rsidR="00AB50C5" w:rsidRDefault="00724275">
      <w:pPr>
        <w:numPr>
          <w:ilvl w:val="0"/>
          <w:numId w:val="97"/>
        </w:numPr>
        <w:suppressAutoHyphens/>
        <w:spacing w:before="120" w:after="0" w:line="240" w:lineRule="auto"/>
        <w:contextualSpacing/>
        <w:jc w:val="both"/>
        <w:rPr>
          <w:rFonts w:ascii="Times New Roman" w:eastAsia="Times New Roman" w:hAnsi="Times New Roman" w:cs="Calibri"/>
          <w:noProof/>
          <w:sz w:val="24"/>
          <w:szCs w:val="24"/>
          <w:lang w:eastAsia="en-GB"/>
        </w:rPr>
      </w:pPr>
      <w:r>
        <w:rPr>
          <w:rFonts w:ascii="Times New Roman" w:eastAsia="Times New Roman" w:hAnsi="Times New Roman" w:cs="Calibri"/>
          <w:noProof/>
          <w:sz w:val="24"/>
          <w:szCs w:val="24"/>
          <w:lang w:eastAsia="en-GB"/>
        </w:rPr>
        <w:t>Create administrative burdens and increase costs related to initial testing, piloting or demonstrating RMA-H approach;</w:t>
      </w:r>
    </w:p>
    <w:p w:rsidR="00AB50C5" w:rsidRDefault="00AB50C5">
      <w:pPr>
        <w:suppressAutoHyphens/>
        <w:spacing w:before="120" w:after="0" w:line="240" w:lineRule="auto"/>
        <w:contextualSpacing/>
        <w:jc w:val="both"/>
        <w:rPr>
          <w:rFonts w:ascii="Times New Roman" w:eastAsia="Times New Roman" w:hAnsi="Times New Roman" w:cs="Calibri"/>
          <w:noProof/>
          <w:sz w:val="24"/>
          <w:szCs w:val="24"/>
          <w:lang w:eastAsia="en-GB"/>
        </w:rPr>
      </w:pPr>
    </w:p>
    <w:p w:rsidR="00AB50C5" w:rsidRDefault="00724275">
      <w:pPr>
        <w:suppressAutoHyphens/>
        <w:spacing w:before="120" w:after="0" w:line="240" w:lineRule="auto"/>
        <w:jc w:val="both"/>
        <w:rPr>
          <w:rFonts w:ascii="Times New Roman" w:eastAsia="Times New Roman" w:hAnsi="Times New Roman" w:cs="Calibri"/>
          <w:noProof/>
          <w:sz w:val="24"/>
          <w:szCs w:val="24"/>
          <w:lang w:eastAsia="en-GB"/>
        </w:rPr>
      </w:pPr>
      <w:r>
        <w:rPr>
          <w:rFonts w:ascii="Times New Roman" w:eastAsia="Times New Roman" w:hAnsi="Times New Roman" w:cs="Calibri"/>
          <w:noProof/>
          <w:sz w:val="24"/>
          <w:szCs w:val="24"/>
          <w:lang w:eastAsia="en-GB"/>
        </w:rPr>
        <w:t>Experts pointed out that the positive effects above will materialize only if the mandatory requirements for RMA are sen</w:t>
      </w:r>
      <w:r>
        <w:rPr>
          <w:rFonts w:ascii="Times New Roman" w:eastAsia="Times New Roman" w:hAnsi="Times New Roman" w:cs="Calibri"/>
          <w:noProof/>
          <w:sz w:val="24"/>
          <w:szCs w:val="24"/>
          <w:lang w:eastAsia="en-GB"/>
        </w:rPr>
        <w:t>sible and balanced and do not entail high costs. Setting these requirements will also include the decision whether qualitative or quantitative methods of RMA will be promoted. Some experts were of the opinion that the RMA should be based on the qualitative</w:t>
      </w:r>
      <w:r>
        <w:rPr>
          <w:rFonts w:ascii="Times New Roman" w:eastAsia="Times New Roman" w:hAnsi="Times New Roman" w:cs="Calibri"/>
          <w:noProof/>
          <w:sz w:val="24"/>
          <w:szCs w:val="24"/>
          <w:lang w:eastAsia="en-GB"/>
        </w:rPr>
        <w:t xml:space="preserve"> approach such as the WHO Water Reuse Safety Plans. The EU regulation could stimulate the development of a methodology how such plans should be constructed and applied including practical tools. According to these experts the quantitative microbial or chem</w:t>
      </w:r>
      <w:r>
        <w:rPr>
          <w:rFonts w:ascii="Times New Roman" w:eastAsia="Times New Roman" w:hAnsi="Times New Roman" w:cs="Calibri"/>
          <w:noProof/>
          <w:sz w:val="24"/>
          <w:szCs w:val="24"/>
          <w:lang w:eastAsia="en-GB"/>
        </w:rPr>
        <w:t>ical risk assessment is neither applicable nor affordable for each water reuse project and is characterised by a number of important disadvantages such as the lack of scientific evidence and consensus on the assumptions on the choice of representative path</w:t>
      </w:r>
      <w:r>
        <w:rPr>
          <w:rFonts w:ascii="Times New Roman" w:eastAsia="Times New Roman" w:hAnsi="Times New Roman" w:cs="Calibri"/>
          <w:noProof/>
          <w:sz w:val="24"/>
          <w:szCs w:val="24"/>
          <w:lang w:eastAsia="en-GB"/>
        </w:rPr>
        <w:t>ogens, its infection dose, vulnerability of the population, etc.</w:t>
      </w:r>
    </w:p>
    <w:p w:rsidR="00AB50C5" w:rsidRDefault="00724275">
      <w:pPr>
        <w:suppressAutoHyphens/>
        <w:spacing w:before="120" w:after="0" w:line="240" w:lineRule="auto"/>
        <w:jc w:val="both"/>
        <w:rPr>
          <w:rFonts w:ascii="Times New Roman" w:eastAsia="Times New Roman" w:hAnsi="Times New Roman" w:cs="Calibri"/>
          <w:b/>
          <w:noProof/>
          <w:sz w:val="24"/>
          <w:szCs w:val="24"/>
          <w:lang w:eastAsia="en-GB"/>
        </w:rPr>
      </w:pPr>
      <w:r>
        <w:rPr>
          <w:rFonts w:ascii="Times New Roman" w:eastAsia="Times New Roman" w:hAnsi="Times New Roman" w:cs="Calibri"/>
          <w:b/>
          <w:noProof/>
          <w:sz w:val="24"/>
          <w:szCs w:val="24"/>
          <w:lang w:eastAsia="en-GB"/>
        </w:rPr>
        <w:t>Actions recommended:</w:t>
      </w:r>
    </w:p>
    <w:p w:rsidR="00AB50C5" w:rsidRDefault="00724275">
      <w:pPr>
        <w:suppressAutoHyphens/>
        <w:spacing w:before="120" w:after="0" w:line="240" w:lineRule="auto"/>
        <w:jc w:val="both"/>
        <w:rPr>
          <w:rFonts w:ascii="Times New Roman" w:eastAsia="Times New Roman" w:hAnsi="Times New Roman" w:cs="Calibri"/>
          <w:noProof/>
          <w:sz w:val="24"/>
          <w:szCs w:val="24"/>
          <w:lang w:eastAsia="en-GB"/>
        </w:rPr>
      </w:pPr>
      <w:r>
        <w:rPr>
          <w:rFonts w:ascii="Times New Roman" w:eastAsia="Times New Roman" w:hAnsi="Times New Roman" w:cs="Calibri"/>
          <w:noProof/>
          <w:sz w:val="24"/>
          <w:szCs w:val="24"/>
          <w:lang w:eastAsia="en-GB"/>
        </w:rPr>
        <w:t>The positive effects described above will again depend on a proper definition of the RMA requirements (e.g. RMA methodology). An assessment of feasibility and costs of th</w:t>
      </w:r>
      <w:r>
        <w:rPr>
          <w:rFonts w:ascii="Times New Roman" w:eastAsia="Times New Roman" w:hAnsi="Times New Roman" w:cs="Calibri"/>
          <w:noProof/>
          <w:sz w:val="24"/>
          <w:szCs w:val="24"/>
          <w:lang w:eastAsia="en-GB"/>
        </w:rPr>
        <w:t xml:space="preserve">e preferred methodologies should be performed to ensure that the requirements do not hamper the application of the RMA. The legislation should be dynamic and reflect R&amp;D progress while taking into consideration future assessments. </w:t>
      </w:r>
    </w:p>
    <w:p w:rsidR="00AB50C5" w:rsidRDefault="00AB50C5">
      <w:pPr>
        <w:suppressAutoHyphens/>
        <w:spacing w:before="120" w:after="0" w:line="240" w:lineRule="auto"/>
        <w:contextualSpacing/>
        <w:jc w:val="both"/>
        <w:rPr>
          <w:rFonts w:ascii="Times New Roman" w:eastAsia="Times New Roman" w:hAnsi="Times New Roman" w:cs="Calibri"/>
          <w:noProof/>
          <w:sz w:val="24"/>
          <w:szCs w:val="24"/>
          <w:lang w:eastAsia="en-GB"/>
        </w:rPr>
      </w:pPr>
    </w:p>
    <w:p w:rsidR="00AB50C5" w:rsidRDefault="00724275">
      <w:pPr>
        <w:keepNext/>
        <w:numPr>
          <w:ilvl w:val="1"/>
          <w:numId w:val="89"/>
        </w:numPr>
        <w:suppressAutoHyphens/>
        <w:spacing w:before="120" w:after="240" w:line="240" w:lineRule="auto"/>
        <w:jc w:val="both"/>
        <w:outlineLvl w:val="1"/>
        <w:rPr>
          <w:rFonts w:ascii="Times New Roman" w:eastAsia="Times New Roman" w:hAnsi="Times New Roman" w:cs="Times New Roman"/>
          <w:b/>
          <w:bCs/>
          <w:iCs/>
          <w:noProof/>
          <w:sz w:val="24"/>
          <w:szCs w:val="28"/>
          <w:lang w:eastAsia="en-GB"/>
        </w:rPr>
      </w:pPr>
      <w:bookmarkStart w:id="122" w:name="_Toc493963510"/>
      <w:bookmarkStart w:id="123" w:name="_Toc516234791"/>
      <w:r>
        <w:rPr>
          <w:rFonts w:ascii="Times New Roman" w:eastAsia="Times New Roman" w:hAnsi="Times New Roman" w:cs="Times New Roman"/>
          <w:b/>
          <w:bCs/>
          <w:iCs/>
          <w:noProof/>
          <w:sz w:val="24"/>
          <w:szCs w:val="28"/>
          <w:lang w:eastAsia="en-GB"/>
        </w:rPr>
        <w:t xml:space="preserve">OPTION – MEASURES TO </w:t>
      </w:r>
      <w:r>
        <w:rPr>
          <w:rFonts w:ascii="Times New Roman" w:eastAsia="Times New Roman" w:hAnsi="Times New Roman" w:cs="Times New Roman"/>
          <w:b/>
          <w:bCs/>
          <w:iCs/>
          <w:noProof/>
          <w:sz w:val="24"/>
          <w:szCs w:val="28"/>
          <w:lang w:eastAsia="en-GB"/>
        </w:rPr>
        <w:t>ADDRESS REAL OR PERCEIVED ENVIRONMENTAL RISKS (RISK MANAGEMENT REQUIREMENTS)</w:t>
      </w:r>
      <w:bookmarkEnd w:id="122"/>
      <w:bookmarkEnd w:id="123"/>
    </w:p>
    <w:p w:rsidR="00AB50C5" w:rsidRDefault="00724275">
      <w:pPr>
        <w:suppressAutoHyphens/>
        <w:spacing w:before="120" w:after="0" w:line="240" w:lineRule="auto"/>
        <w:contextualSpacing/>
        <w:jc w:val="both"/>
        <w:rPr>
          <w:rFonts w:ascii="Times New Roman" w:eastAsia="Times New Roman" w:hAnsi="Times New Roman" w:cs="Calibri"/>
          <w:noProof/>
          <w:sz w:val="24"/>
          <w:szCs w:val="24"/>
          <w:lang w:eastAsia="en-GB"/>
        </w:rPr>
      </w:pPr>
      <w:r>
        <w:rPr>
          <w:rFonts w:ascii="Times New Roman" w:eastAsia="Times New Roman" w:hAnsi="Times New Roman" w:cs="Calibri"/>
          <w:noProof/>
          <w:sz w:val="24"/>
          <w:szCs w:val="24"/>
          <w:lang w:eastAsia="en-GB"/>
        </w:rPr>
        <w:t xml:space="preserve">The application of environmental risk management in relation to water reuse, both on voluntary and mandatory basis, will stimulate multi-disciplinary scientific research reacting </w:t>
      </w:r>
      <w:r>
        <w:rPr>
          <w:rFonts w:ascii="Times New Roman" w:eastAsia="Times New Roman" w:hAnsi="Times New Roman" w:cs="Calibri"/>
          <w:noProof/>
          <w:sz w:val="24"/>
          <w:szCs w:val="24"/>
          <w:lang w:eastAsia="en-GB"/>
        </w:rPr>
        <w:t xml:space="preserve">to the need to assess environmental pressures (on receiving water bodies and soil) and the vulnerability of ecosystems, to set requirements for quality of reclaimed water and monitoring, and define mitigation measures. </w:t>
      </w:r>
    </w:p>
    <w:p w:rsidR="00AB50C5" w:rsidRDefault="00AB50C5">
      <w:pPr>
        <w:suppressAutoHyphens/>
        <w:spacing w:before="120" w:after="0" w:line="240" w:lineRule="auto"/>
        <w:contextualSpacing/>
        <w:jc w:val="both"/>
        <w:rPr>
          <w:rFonts w:ascii="Times New Roman" w:eastAsia="Times New Roman" w:hAnsi="Times New Roman" w:cs="Times New Roman"/>
          <w:b/>
          <w:noProof/>
          <w:sz w:val="24"/>
          <w:szCs w:val="24"/>
          <w:lang w:eastAsia="ar-SA"/>
        </w:rPr>
      </w:pPr>
    </w:p>
    <w:p w:rsidR="00AB50C5" w:rsidRDefault="00724275">
      <w:pPr>
        <w:suppressAutoHyphens/>
        <w:spacing w:before="120" w:after="0" w:line="240" w:lineRule="auto"/>
        <w:contextualSpacing/>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 xml:space="preserve">The optimal way to manage the </w:t>
      </w:r>
      <w:r>
        <w:rPr>
          <w:rFonts w:ascii="Times New Roman" w:eastAsia="Times New Roman" w:hAnsi="Times New Roman" w:cs="Times New Roman"/>
          <w:noProof/>
          <w:sz w:val="24"/>
          <w:szCs w:val="24"/>
          <w:lang w:eastAsia="ar-SA"/>
        </w:rPr>
        <w:t>environmental risks related to water reuse will very much depend on the local conditions, including hydrological regime and characteristics of local water bodies, soil composition, climate, local ecosystems, etc. It is therefore difficult to define the bes</w:t>
      </w:r>
      <w:r>
        <w:rPr>
          <w:rFonts w:ascii="Times New Roman" w:eastAsia="Times New Roman" w:hAnsi="Times New Roman" w:cs="Times New Roman"/>
          <w:noProof/>
          <w:sz w:val="24"/>
          <w:szCs w:val="24"/>
          <w:lang w:eastAsia="ar-SA"/>
        </w:rPr>
        <w:t>t risk management approach that would be equally effective at all locations across Europe. A mandatory system to manage environmental risks of water reuse can only be prescribed in general terms with a lot of discretion for action at local level. Therefore</w:t>
      </w:r>
      <w:r>
        <w:rPr>
          <w:rFonts w:ascii="Times New Roman" w:eastAsia="Times New Roman" w:hAnsi="Times New Roman" w:cs="Times New Roman"/>
          <w:noProof/>
          <w:sz w:val="24"/>
          <w:szCs w:val="24"/>
          <w:lang w:eastAsia="ar-SA"/>
        </w:rPr>
        <w:t xml:space="preserve"> the mandatory and voluntary approaches may not differ significantly under the assumption that the voluntary approach will mean that national, regional or local authorities will mandate or effectively promote risk management at local level.</w:t>
      </w:r>
    </w:p>
    <w:p w:rsidR="00AB50C5" w:rsidRDefault="00AB50C5">
      <w:pPr>
        <w:suppressAutoHyphens/>
        <w:spacing w:before="120" w:after="0" w:line="240" w:lineRule="auto"/>
        <w:contextualSpacing/>
        <w:jc w:val="both"/>
        <w:rPr>
          <w:rFonts w:ascii="Times New Roman" w:eastAsia="Times New Roman" w:hAnsi="Times New Roman" w:cs="Times New Roman"/>
          <w:b/>
          <w:noProof/>
          <w:sz w:val="24"/>
          <w:szCs w:val="24"/>
          <w:lang w:eastAsia="ar-SA"/>
        </w:rPr>
      </w:pPr>
    </w:p>
    <w:p w:rsidR="00AB50C5" w:rsidRDefault="00724275">
      <w:pPr>
        <w:suppressAutoHyphens/>
        <w:spacing w:before="120" w:after="0" w:line="240" w:lineRule="auto"/>
        <w:contextualSpacing/>
        <w:jc w:val="both"/>
        <w:rPr>
          <w:rFonts w:ascii="Times New Roman" w:eastAsia="Times New Roman" w:hAnsi="Times New Roman" w:cs="Times New Roman"/>
          <w:b/>
          <w:noProof/>
          <w:sz w:val="24"/>
          <w:szCs w:val="24"/>
          <w:lang w:eastAsia="ar-SA"/>
        </w:rPr>
      </w:pPr>
      <w:r>
        <w:rPr>
          <w:rFonts w:ascii="Times New Roman" w:eastAsia="Times New Roman" w:hAnsi="Times New Roman" w:cs="Times New Roman"/>
          <w:b/>
          <w:noProof/>
          <w:sz w:val="24"/>
          <w:szCs w:val="24"/>
          <w:lang w:eastAsia="ar-SA"/>
        </w:rPr>
        <w:t>3.3.1 Risk man</w:t>
      </w:r>
      <w:r>
        <w:rPr>
          <w:rFonts w:ascii="Times New Roman" w:eastAsia="Times New Roman" w:hAnsi="Times New Roman" w:cs="Times New Roman"/>
          <w:b/>
          <w:noProof/>
          <w:sz w:val="24"/>
          <w:szCs w:val="24"/>
          <w:lang w:eastAsia="ar-SA"/>
        </w:rPr>
        <w:t xml:space="preserve">agement approach addressing environmental protection (RMA-E) – voluntary measures: </w:t>
      </w:r>
    </w:p>
    <w:p w:rsidR="00AB50C5" w:rsidRDefault="00AB50C5">
      <w:pPr>
        <w:suppressAutoHyphens/>
        <w:spacing w:before="120" w:after="0" w:line="240" w:lineRule="auto"/>
        <w:contextualSpacing/>
        <w:jc w:val="both"/>
        <w:rPr>
          <w:rFonts w:ascii="Times New Roman" w:eastAsia="Times New Roman" w:hAnsi="Times New Roman" w:cs="Times New Roman"/>
          <w:i/>
          <w:noProof/>
          <w:sz w:val="24"/>
          <w:szCs w:val="24"/>
          <w:u w:val="single"/>
          <w:lang w:eastAsia="ar-SA"/>
        </w:rPr>
      </w:pPr>
    </w:p>
    <w:p w:rsidR="00AB50C5" w:rsidRDefault="00724275">
      <w:pPr>
        <w:suppressAutoHyphens/>
        <w:spacing w:before="120" w:after="0" w:line="240" w:lineRule="auto"/>
        <w:contextualSpacing/>
        <w:jc w:val="both"/>
        <w:rPr>
          <w:rFonts w:ascii="Times New Roman" w:eastAsia="Times New Roman" w:hAnsi="Times New Roman" w:cs="Times New Roman"/>
          <w:noProof/>
          <w:sz w:val="24"/>
          <w:szCs w:val="24"/>
          <w:lang w:eastAsia="ar-SA"/>
        </w:rPr>
      </w:pPr>
      <w:r>
        <w:rPr>
          <w:rFonts w:ascii="Times New Roman" w:eastAsia="Times New Roman" w:hAnsi="Times New Roman" w:cs="Calibri"/>
          <w:noProof/>
          <w:sz w:val="24"/>
          <w:szCs w:val="24"/>
          <w:lang w:eastAsia="en-GB"/>
        </w:rPr>
        <w:t xml:space="preserve">The voluntary RMA-E corresponds to a large extent to the current situation and therefore the impact on innovation and research is limited. </w:t>
      </w:r>
    </w:p>
    <w:p w:rsidR="00AB50C5" w:rsidRDefault="00AB50C5">
      <w:pPr>
        <w:suppressAutoHyphens/>
        <w:spacing w:before="120" w:after="0" w:line="240" w:lineRule="auto"/>
        <w:contextualSpacing/>
        <w:jc w:val="both"/>
        <w:rPr>
          <w:rFonts w:ascii="Times New Roman" w:eastAsia="Times New Roman" w:hAnsi="Times New Roman" w:cs="Times New Roman"/>
          <w:noProof/>
          <w:sz w:val="24"/>
          <w:szCs w:val="24"/>
          <w:lang w:eastAsia="ar-SA"/>
        </w:rPr>
      </w:pPr>
    </w:p>
    <w:p w:rsidR="00AB50C5" w:rsidRDefault="00724275">
      <w:pPr>
        <w:suppressAutoHyphens/>
        <w:spacing w:before="120" w:after="0" w:line="240" w:lineRule="auto"/>
        <w:contextualSpacing/>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 xml:space="preserve">Nevertheless, RMA-E voluntary </w:t>
      </w:r>
      <w:r>
        <w:rPr>
          <w:rFonts w:ascii="Times New Roman" w:eastAsia="Times New Roman" w:hAnsi="Times New Roman" w:cs="Times New Roman"/>
          <w:noProof/>
          <w:sz w:val="24"/>
          <w:szCs w:val="24"/>
          <w:lang w:eastAsia="ar-SA"/>
        </w:rPr>
        <w:t xml:space="preserve">measures would have an impact on the generation of new ideas and their adaptation and application, because: </w:t>
      </w:r>
    </w:p>
    <w:p w:rsidR="00AB50C5" w:rsidRDefault="00AB50C5">
      <w:pPr>
        <w:suppressAutoHyphens/>
        <w:spacing w:before="120" w:after="0" w:line="240" w:lineRule="auto"/>
        <w:contextualSpacing/>
        <w:jc w:val="both"/>
        <w:rPr>
          <w:rFonts w:ascii="Times New Roman" w:eastAsia="Times New Roman" w:hAnsi="Times New Roman" w:cs="Times New Roman"/>
          <w:noProof/>
          <w:sz w:val="24"/>
          <w:szCs w:val="24"/>
          <w:lang w:eastAsia="ar-SA"/>
        </w:rPr>
      </w:pPr>
    </w:p>
    <w:p w:rsidR="00AB50C5" w:rsidRDefault="00724275">
      <w:pPr>
        <w:numPr>
          <w:ilvl w:val="0"/>
          <w:numId w:val="100"/>
        </w:numPr>
        <w:suppressAutoHyphens/>
        <w:spacing w:before="120" w:after="0" w:line="240" w:lineRule="auto"/>
        <w:contextualSpacing/>
        <w:jc w:val="both"/>
        <w:rPr>
          <w:rFonts w:ascii="Times New Roman" w:eastAsia="Times New Roman" w:hAnsi="Times New Roman" w:cs="Calibri"/>
          <w:noProof/>
          <w:sz w:val="24"/>
          <w:szCs w:val="24"/>
          <w:lang w:eastAsia="en-GB"/>
        </w:rPr>
      </w:pPr>
      <w:r>
        <w:rPr>
          <w:rFonts w:ascii="Times New Roman" w:eastAsia="Times New Roman" w:hAnsi="Times New Roman" w:cs="Times New Roman"/>
          <w:noProof/>
          <w:sz w:val="24"/>
          <w:szCs w:val="24"/>
          <w:lang w:eastAsia="ar-SA"/>
        </w:rPr>
        <w:t>T</w:t>
      </w:r>
      <w:r>
        <w:rPr>
          <w:rFonts w:ascii="Times New Roman" w:eastAsia="Times New Roman" w:hAnsi="Times New Roman" w:cs="Calibri"/>
          <w:noProof/>
          <w:sz w:val="24"/>
          <w:szCs w:val="24"/>
          <w:lang w:eastAsia="en-GB"/>
        </w:rPr>
        <w:t xml:space="preserve">he relation between wastewater treatment, disposal and reuse would arise and require new ways to manage waste and reclaimed water disposal; </w:t>
      </w:r>
    </w:p>
    <w:p w:rsidR="00AB50C5" w:rsidRDefault="00724275">
      <w:pPr>
        <w:numPr>
          <w:ilvl w:val="0"/>
          <w:numId w:val="100"/>
        </w:numPr>
        <w:suppressAutoHyphens/>
        <w:spacing w:before="120" w:after="0" w:line="240" w:lineRule="auto"/>
        <w:contextualSpacing/>
        <w:jc w:val="both"/>
        <w:rPr>
          <w:rFonts w:ascii="Times New Roman" w:eastAsia="Times New Roman" w:hAnsi="Times New Roman" w:cs="Calibri"/>
          <w:noProof/>
          <w:sz w:val="24"/>
          <w:szCs w:val="24"/>
          <w:lang w:eastAsia="en-GB"/>
        </w:rPr>
      </w:pPr>
      <w:r>
        <w:rPr>
          <w:rFonts w:ascii="Times New Roman" w:eastAsia="Times New Roman" w:hAnsi="Times New Roman" w:cs="Calibri"/>
          <w:noProof/>
          <w:sz w:val="24"/>
          <w:szCs w:val="24"/>
          <w:lang w:eastAsia="en-GB"/>
        </w:rPr>
        <w:t>Ther</w:t>
      </w:r>
      <w:r>
        <w:rPr>
          <w:rFonts w:ascii="Times New Roman" w:eastAsia="Times New Roman" w:hAnsi="Times New Roman" w:cs="Calibri"/>
          <w:noProof/>
          <w:sz w:val="24"/>
          <w:szCs w:val="24"/>
          <w:lang w:eastAsia="en-GB"/>
        </w:rPr>
        <w:t>e will be a need to share knowledge in order to develop and apply risk management tools;</w:t>
      </w:r>
    </w:p>
    <w:p w:rsidR="00AB50C5" w:rsidRDefault="00724275">
      <w:pPr>
        <w:numPr>
          <w:ilvl w:val="0"/>
          <w:numId w:val="100"/>
        </w:numPr>
        <w:suppressAutoHyphens/>
        <w:spacing w:before="120" w:after="0" w:line="240" w:lineRule="auto"/>
        <w:contextualSpacing/>
        <w:jc w:val="both"/>
        <w:rPr>
          <w:rFonts w:ascii="Times New Roman" w:eastAsia="Times New Roman" w:hAnsi="Times New Roman" w:cs="Calibri"/>
          <w:noProof/>
          <w:sz w:val="24"/>
          <w:szCs w:val="24"/>
          <w:lang w:eastAsia="en-GB"/>
        </w:rPr>
      </w:pPr>
      <w:r>
        <w:rPr>
          <w:rFonts w:ascii="Times New Roman" w:eastAsia="Times New Roman" w:hAnsi="Times New Roman" w:cs="Calibri"/>
          <w:noProof/>
          <w:sz w:val="24"/>
          <w:szCs w:val="24"/>
          <w:lang w:eastAsia="en-GB"/>
        </w:rPr>
        <w:t xml:space="preserve">The basic knowledge will likely be generated in public research institutions, while practical application tends to be performed at the corporate actors. </w:t>
      </w:r>
    </w:p>
    <w:p w:rsidR="00AB50C5" w:rsidRDefault="00724275">
      <w:pPr>
        <w:numPr>
          <w:ilvl w:val="0"/>
          <w:numId w:val="100"/>
        </w:numPr>
        <w:suppressAutoHyphens/>
        <w:spacing w:before="120" w:after="0" w:line="240" w:lineRule="auto"/>
        <w:contextualSpacing/>
        <w:jc w:val="both"/>
        <w:rPr>
          <w:rFonts w:ascii="Times New Roman" w:eastAsia="Times New Roman" w:hAnsi="Times New Roman" w:cs="Calibri"/>
          <w:noProof/>
          <w:sz w:val="24"/>
          <w:szCs w:val="24"/>
          <w:lang w:eastAsia="en-GB"/>
        </w:rPr>
      </w:pPr>
      <w:r>
        <w:rPr>
          <w:rFonts w:ascii="Times New Roman" w:eastAsia="Times New Roman" w:hAnsi="Times New Roman" w:cs="Calibri"/>
          <w:noProof/>
          <w:sz w:val="24"/>
          <w:szCs w:val="24"/>
          <w:lang w:eastAsia="en-GB"/>
        </w:rPr>
        <w:t>Risk manageme</w:t>
      </w:r>
      <w:r>
        <w:rPr>
          <w:rFonts w:ascii="Times New Roman" w:eastAsia="Times New Roman" w:hAnsi="Times New Roman" w:cs="Calibri"/>
          <w:noProof/>
          <w:sz w:val="24"/>
          <w:szCs w:val="24"/>
          <w:lang w:eastAsia="en-GB"/>
        </w:rPr>
        <w:t xml:space="preserve">nt approaches create new objectives and lead to new ways in the establishing of R&amp;D infrastructures for water reuse. </w:t>
      </w:r>
    </w:p>
    <w:p w:rsidR="00AB50C5" w:rsidRDefault="00724275">
      <w:pPr>
        <w:numPr>
          <w:ilvl w:val="0"/>
          <w:numId w:val="100"/>
        </w:numPr>
        <w:suppressAutoHyphens/>
        <w:spacing w:before="120" w:after="0" w:line="240" w:lineRule="auto"/>
        <w:contextualSpacing/>
        <w:jc w:val="both"/>
        <w:rPr>
          <w:rFonts w:ascii="Times New Roman" w:eastAsia="Times New Roman" w:hAnsi="Times New Roman" w:cs="Calibri"/>
          <w:noProof/>
          <w:sz w:val="24"/>
          <w:szCs w:val="24"/>
          <w:lang w:eastAsia="en-GB"/>
        </w:rPr>
      </w:pPr>
      <w:r>
        <w:rPr>
          <w:rFonts w:ascii="Times New Roman" w:eastAsia="Times New Roman" w:hAnsi="Times New Roman" w:cs="Calibri"/>
          <w:noProof/>
          <w:sz w:val="24"/>
          <w:szCs w:val="24"/>
          <w:lang w:eastAsia="en-GB"/>
        </w:rPr>
        <w:t xml:space="preserve">If properly performed, innovation in RMA-E field would reduce costs (less analysis, fewer costly mistakes) and save time. </w:t>
      </w:r>
    </w:p>
    <w:p w:rsidR="00AB50C5" w:rsidRDefault="00AB50C5">
      <w:pPr>
        <w:suppressAutoHyphens/>
        <w:spacing w:before="120" w:after="0" w:line="240" w:lineRule="auto"/>
        <w:contextualSpacing/>
        <w:jc w:val="both"/>
        <w:rPr>
          <w:rFonts w:ascii="Times New Roman" w:eastAsia="Times New Roman" w:hAnsi="Times New Roman" w:cs="Calibri"/>
          <w:noProof/>
          <w:sz w:val="24"/>
          <w:szCs w:val="24"/>
          <w:lang w:eastAsia="en-GB"/>
        </w:rPr>
      </w:pPr>
    </w:p>
    <w:p w:rsidR="00AB50C5" w:rsidRDefault="00724275">
      <w:pPr>
        <w:suppressAutoHyphens/>
        <w:spacing w:before="120" w:after="0" w:line="240" w:lineRule="auto"/>
        <w:contextualSpacing/>
        <w:jc w:val="both"/>
        <w:rPr>
          <w:rFonts w:ascii="Times New Roman" w:eastAsia="Times New Roman" w:hAnsi="Times New Roman" w:cs="Calibri"/>
          <w:noProof/>
          <w:sz w:val="24"/>
          <w:szCs w:val="24"/>
          <w:lang w:eastAsia="en-GB"/>
        </w:rPr>
      </w:pPr>
      <w:r>
        <w:rPr>
          <w:rFonts w:ascii="Times New Roman" w:eastAsia="Times New Roman" w:hAnsi="Times New Roman" w:cs="Calibri"/>
          <w:noProof/>
          <w:sz w:val="24"/>
          <w:szCs w:val="24"/>
          <w:lang w:eastAsia="en-GB"/>
        </w:rPr>
        <w:t>However, volun</w:t>
      </w:r>
      <w:r>
        <w:rPr>
          <w:rFonts w:ascii="Times New Roman" w:eastAsia="Times New Roman" w:hAnsi="Times New Roman" w:cs="Calibri"/>
          <w:noProof/>
          <w:sz w:val="24"/>
          <w:szCs w:val="24"/>
          <w:lang w:eastAsia="en-GB"/>
        </w:rPr>
        <w:t>tary RMA-E</w:t>
      </w:r>
    </w:p>
    <w:p w:rsidR="00AB50C5" w:rsidRDefault="00724275">
      <w:pPr>
        <w:numPr>
          <w:ilvl w:val="0"/>
          <w:numId w:val="101"/>
        </w:numPr>
        <w:suppressAutoHyphens/>
        <w:spacing w:before="120" w:after="0" w:line="240" w:lineRule="auto"/>
        <w:contextualSpacing/>
        <w:jc w:val="both"/>
        <w:rPr>
          <w:rFonts w:ascii="Times New Roman" w:eastAsia="Times New Roman" w:hAnsi="Times New Roman" w:cs="Calibri"/>
          <w:noProof/>
          <w:sz w:val="24"/>
          <w:szCs w:val="24"/>
          <w:lang w:eastAsia="en-GB"/>
        </w:rPr>
      </w:pPr>
      <w:r>
        <w:rPr>
          <w:rFonts w:ascii="Times New Roman" w:eastAsia="Times New Roman" w:hAnsi="Times New Roman" w:cs="Calibri"/>
          <w:noProof/>
          <w:sz w:val="24"/>
          <w:szCs w:val="24"/>
          <w:lang w:eastAsia="en-GB"/>
        </w:rPr>
        <w:t xml:space="preserve">May lead to small and scattered areas of different standard application and may present obstacles for any pertinent development; </w:t>
      </w:r>
    </w:p>
    <w:p w:rsidR="00AB50C5" w:rsidRDefault="00724275">
      <w:pPr>
        <w:numPr>
          <w:ilvl w:val="0"/>
          <w:numId w:val="101"/>
        </w:numPr>
        <w:suppressAutoHyphens/>
        <w:spacing w:before="120" w:after="0" w:line="240" w:lineRule="auto"/>
        <w:contextualSpacing/>
        <w:jc w:val="both"/>
        <w:rPr>
          <w:rFonts w:ascii="Times New Roman" w:eastAsia="Times New Roman" w:hAnsi="Times New Roman" w:cs="Calibri"/>
          <w:noProof/>
          <w:sz w:val="24"/>
          <w:szCs w:val="24"/>
          <w:lang w:eastAsia="en-GB"/>
        </w:rPr>
      </w:pPr>
      <w:r>
        <w:rPr>
          <w:rFonts w:ascii="Times New Roman" w:eastAsia="Times New Roman" w:hAnsi="Times New Roman" w:cs="Calibri"/>
          <w:noProof/>
          <w:sz w:val="24"/>
          <w:szCs w:val="24"/>
          <w:lang w:eastAsia="en-GB"/>
        </w:rPr>
        <w:t>Will not create incentives for companies to scale up in Europe, due to limited area of application, since these dif</w:t>
      </w:r>
      <w:r>
        <w:rPr>
          <w:rFonts w:ascii="Times New Roman" w:eastAsia="Times New Roman" w:hAnsi="Times New Roman" w:cs="Calibri"/>
          <w:noProof/>
          <w:sz w:val="24"/>
          <w:szCs w:val="24"/>
          <w:lang w:eastAsia="en-GB"/>
        </w:rPr>
        <w:t>ferences in requirements may lead to unacceptable costs;</w:t>
      </w:r>
    </w:p>
    <w:p w:rsidR="00AB50C5" w:rsidRDefault="00724275">
      <w:pPr>
        <w:numPr>
          <w:ilvl w:val="0"/>
          <w:numId w:val="101"/>
        </w:numPr>
        <w:suppressAutoHyphens/>
        <w:spacing w:before="120" w:after="0" w:line="240" w:lineRule="auto"/>
        <w:contextualSpacing/>
        <w:jc w:val="both"/>
        <w:rPr>
          <w:rFonts w:ascii="Times New Roman" w:eastAsia="Times New Roman" w:hAnsi="Times New Roman" w:cs="Calibri"/>
          <w:noProof/>
          <w:sz w:val="24"/>
          <w:szCs w:val="24"/>
          <w:lang w:eastAsia="en-GB"/>
        </w:rPr>
      </w:pPr>
      <w:r>
        <w:rPr>
          <w:rFonts w:ascii="Times New Roman" w:eastAsia="Times New Roman" w:hAnsi="Times New Roman" w:cs="Calibri"/>
          <w:noProof/>
          <w:sz w:val="24"/>
          <w:szCs w:val="24"/>
          <w:lang w:eastAsia="en-GB"/>
        </w:rPr>
        <w:t xml:space="preserve">May limit cooperation only to the areas where the same standards exist. In other areas different needs call for different solutions and thus localise again the circulation of data and ideas; </w:t>
      </w:r>
    </w:p>
    <w:p w:rsidR="00AB50C5" w:rsidRDefault="00724275">
      <w:pPr>
        <w:numPr>
          <w:ilvl w:val="0"/>
          <w:numId w:val="101"/>
        </w:numPr>
        <w:suppressAutoHyphens/>
        <w:spacing w:before="120" w:after="0" w:line="240" w:lineRule="auto"/>
        <w:contextualSpacing/>
        <w:jc w:val="both"/>
        <w:rPr>
          <w:rFonts w:ascii="Times New Roman" w:eastAsia="Times New Roman" w:hAnsi="Times New Roman" w:cs="Calibri"/>
          <w:noProof/>
          <w:sz w:val="24"/>
          <w:szCs w:val="24"/>
          <w:lang w:eastAsia="en-GB"/>
        </w:rPr>
      </w:pPr>
      <w:r>
        <w:rPr>
          <w:rFonts w:ascii="Times New Roman" w:eastAsia="Times New Roman" w:hAnsi="Times New Roman" w:cs="Calibri"/>
          <w:noProof/>
          <w:sz w:val="24"/>
          <w:szCs w:val="24"/>
          <w:lang w:eastAsia="en-GB"/>
        </w:rPr>
        <w:t xml:space="preserve">May produce higher costs due to local specialised RMA-E approaches and focus on particular technologies and measures. </w:t>
      </w:r>
    </w:p>
    <w:p w:rsidR="00AB50C5" w:rsidRDefault="00724275">
      <w:pPr>
        <w:numPr>
          <w:ilvl w:val="0"/>
          <w:numId w:val="101"/>
        </w:numPr>
        <w:suppressAutoHyphens/>
        <w:spacing w:before="120" w:after="0" w:line="240" w:lineRule="auto"/>
        <w:contextualSpacing/>
        <w:jc w:val="both"/>
        <w:rPr>
          <w:rFonts w:ascii="Times New Roman" w:eastAsia="Times New Roman" w:hAnsi="Times New Roman" w:cs="Calibri"/>
          <w:noProof/>
          <w:sz w:val="24"/>
          <w:szCs w:val="24"/>
          <w:lang w:eastAsia="en-GB"/>
        </w:rPr>
      </w:pPr>
      <w:r>
        <w:rPr>
          <w:rFonts w:ascii="Times New Roman" w:eastAsia="Times New Roman" w:hAnsi="Times New Roman" w:cs="Calibri"/>
          <w:noProof/>
          <w:sz w:val="24"/>
          <w:szCs w:val="24"/>
          <w:lang w:eastAsia="en-GB"/>
        </w:rPr>
        <w:t xml:space="preserve">The voluntary approach will likely not lead to improving the capacity of small private users of reclaimed waters (e.g. farmers) to apply </w:t>
      </w:r>
      <w:r>
        <w:rPr>
          <w:rFonts w:ascii="Times New Roman" w:eastAsia="Times New Roman" w:hAnsi="Times New Roman" w:cs="Calibri"/>
          <w:noProof/>
          <w:sz w:val="24"/>
          <w:szCs w:val="24"/>
          <w:lang w:eastAsia="en-GB"/>
        </w:rPr>
        <w:t>risk management in their operations. It will only be larger companies and public bodies who will have the capacity to develop and properly apply environmental risk management.</w:t>
      </w:r>
    </w:p>
    <w:p w:rsidR="00AB50C5" w:rsidRDefault="00AB50C5">
      <w:pPr>
        <w:suppressAutoHyphens/>
        <w:spacing w:before="120" w:after="0" w:line="240" w:lineRule="auto"/>
        <w:contextualSpacing/>
        <w:jc w:val="both"/>
        <w:rPr>
          <w:rFonts w:ascii="Times New Roman" w:eastAsia="Times New Roman" w:hAnsi="Times New Roman" w:cs="Calibri"/>
          <w:noProof/>
          <w:sz w:val="24"/>
          <w:szCs w:val="24"/>
          <w:lang w:eastAsia="en-GB"/>
        </w:rPr>
      </w:pPr>
    </w:p>
    <w:p w:rsidR="00AB50C5" w:rsidRDefault="00724275">
      <w:pPr>
        <w:suppressAutoHyphens/>
        <w:spacing w:before="120" w:after="0" w:line="240" w:lineRule="auto"/>
        <w:contextualSpacing/>
        <w:jc w:val="both"/>
        <w:rPr>
          <w:rFonts w:ascii="Times New Roman" w:eastAsia="Times New Roman" w:hAnsi="Times New Roman" w:cs="Times New Roman"/>
          <w:b/>
          <w:noProof/>
          <w:sz w:val="24"/>
          <w:szCs w:val="24"/>
          <w:lang w:eastAsia="ar-SA"/>
        </w:rPr>
      </w:pPr>
      <w:r>
        <w:rPr>
          <w:rFonts w:ascii="Times New Roman" w:eastAsia="Times New Roman" w:hAnsi="Times New Roman" w:cs="Times New Roman"/>
          <w:b/>
          <w:noProof/>
          <w:sz w:val="24"/>
          <w:szCs w:val="24"/>
          <w:lang w:eastAsia="ar-SA"/>
        </w:rPr>
        <w:t xml:space="preserve">3.3.2 Risk management approach addressing environmental protection – mandatory </w:t>
      </w:r>
      <w:r>
        <w:rPr>
          <w:rFonts w:ascii="Times New Roman" w:eastAsia="Times New Roman" w:hAnsi="Times New Roman" w:cs="Times New Roman"/>
          <w:b/>
          <w:noProof/>
          <w:sz w:val="24"/>
          <w:szCs w:val="24"/>
          <w:lang w:eastAsia="ar-SA"/>
        </w:rPr>
        <w:t xml:space="preserve">measures: </w:t>
      </w:r>
    </w:p>
    <w:p w:rsidR="00AB50C5" w:rsidRDefault="00AB50C5">
      <w:pPr>
        <w:suppressAutoHyphens/>
        <w:spacing w:before="120" w:after="0" w:line="240" w:lineRule="auto"/>
        <w:contextualSpacing/>
        <w:jc w:val="both"/>
        <w:rPr>
          <w:rFonts w:ascii="Times New Roman" w:eastAsia="Times New Roman" w:hAnsi="Times New Roman" w:cs="Times New Roman"/>
          <w:i/>
          <w:noProof/>
          <w:sz w:val="24"/>
          <w:szCs w:val="24"/>
          <w:u w:val="single"/>
          <w:lang w:eastAsia="ar-SA"/>
        </w:rPr>
      </w:pPr>
    </w:p>
    <w:p w:rsidR="00AB50C5" w:rsidRDefault="00724275">
      <w:pPr>
        <w:suppressAutoHyphens/>
        <w:spacing w:before="120" w:after="0" w:line="240" w:lineRule="auto"/>
        <w:jc w:val="both"/>
        <w:rPr>
          <w:rFonts w:ascii="Times New Roman" w:eastAsia="Times New Roman" w:hAnsi="Times New Roman" w:cs="Calibri"/>
          <w:noProof/>
          <w:sz w:val="24"/>
          <w:szCs w:val="24"/>
          <w:lang w:val="pt-PT" w:eastAsia="en-GB"/>
        </w:rPr>
      </w:pPr>
      <w:r>
        <w:rPr>
          <w:rFonts w:ascii="Times New Roman" w:eastAsia="Times New Roman" w:hAnsi="Times New Roman" w:cs="Calibri"/>
          <w:noProof/>
          <w:sz w:val="24"/>
          <w:szCs w:val="24"/>
          <w:lang w:val="pt-PT" w:eastAsia="en-GB"/>
        </w:rPr>
        <w:t>Mandatory RMA-E will enhance R&amp;I:</w:t>
      </w:r>
    </w:p>
    <w:p w:rsidR="00AB50C5" w:rsidRDefault="00724275">
      <w:pPr>
        <w:numPr>
          <w:ilvl w:val="0"/>
          <w:numId w:val="102"/>
        </w:numPr>
        <w:suppressAutoHyphens/>
        <w:spacing w:before="120" w:after="0" w:line="240" w:lineRule="auto"/>
        <w:jc w:val="both"/>
        <w:rPr>
          <w:rFonts w:ascii="Times New Roman" w:eastAsia="Times New Roman" w:hAnsi="Times New Roman" w:cs="Calibri"/>
          <w:noProof/>
          <w:sz w:val="24"/>
          <w:szCs w:val="24"/>
          <w:lang w:eastAsia="en-GB"/>
        </w:rPr>
      </w:pPr>
      <w:r>
        <w:rPr>
          <w:rFonts w:ascii="Times New Roman" w:eastAsia="Times New Roman" w:hAnsi="Times New Roman" w:cs="Calibri"/>
          <w:noProof/>
          <w:sz w:val="24"/>
          <w:szCs w:val="24"/>
          <w:lang w:eastAsia="en-GB"/>
        </w:rPr>
        <w:t xml:space="preserve">It will drive the generation of new risk assessment solutions, their adaptation and application and it will boost the industrial base; </w:t>
      </w:r>
    </w:p>
    <w:p w:rsidR="00AB50C5" w:rsidRDefault="00724275">
      <w:pPr>
        <w:numPr>
          <w:ilvl w:val="0"/>
          <w:numId w:val="102"/>
        </w:numPr>
        <w:suppressAutoHyphens/>
        <w:spacing w:before="120" w:after="0" w:line="240" w:lineRule="auto"/>
        <w:jc w:val="both"/>
        <w:rPr>
          <w:rFonts w:ascii="Times New Roman" w:eastAsia="Times New Roman" w:hAnsi="Times New Roman" w:cs="Calibri"/>
          <w:noProof/>
          <w:sz w:val="24"/>
          <w:szCs w:val="24"/>
          <w:lang w:eastAsia="en-GB"/>
        </w:rPr>
      </w:pPr>
      <w:r>
        <w:rPr>
          <w:rFonts w:ascii="Times New Roman" w:eastAsia="Times New Roman" w:hAnsi="Times New Roman" w:cs="Calibri"/>
          <w:noProof/>
          <w:sz w:val="24"/>
          <w:szCs w:val="24"/>
          <w:lang w:eastAsia="en-GB"/>
        </w:rPr>
        <w:t>It will enhance the R&amp;</w:t>
      </w:r>
      <w:r>
        <w:rPr>
          <w:rFonts w:ascii="Times New Roman" w:eastAsia="Times New Roman" w:hAnsi="Times New Roman" w:cs="Calibri"/>
          <w:noProof/>
          <w:sz w:val="24"/>
          <w:szCs w:val="24"/>
          <w:lang w:eastAsia="en-GB"/>
        </w:rPr>
        <w:t xml:space="preserve">D of more robust technologies and will be greatly promoted together with the evaluation of the acceptability of reuse and recycling options to end-users. </w:t>
      </w:r>
    </w:p>
    <w:p w:rsidR="00AB50C5" w:rsidRDefault="00724275">
      <w:pPr>
        <w:numPr>
          <w:ilvl w:val="0"/>
          <w:numId w:val="102"/>
        </w:numPr>
        <w:suppressAutoHyphens/>
        <w:spacing w:before="120" w:after="0" w:line="240" w:lineRule="auto"/>
        <w:jc w:val="both"/>
        <w:rPr>
          <w:rFonts w:ascii="Times New Roman" w:eastAsia="Times New Roman" w:hAnsi="Times New Roman" w:cs="Calibri"/>
          <w:noProof/>
          <w:sz w:val="24"/>
          <w:szCs w:val="24"/>
          <w:lang w:eastAsia="en-GB"/>
        </w:rPr>
      </w:pPr>
      <w:r>
        <w:rPr>
          <w:rFonts w:ascii="Times New Roman" w:eastAsia="Times New Roman" w:hAnsi="Times New Roman" w:cs="Calibri"/>
          <w:noProof/>
          <w:sz w:val="24"/>
          <w:szCs w:val="24"/>
          <w:lang w:eastAsia="en-GB"/>
        </w:rPr>
        <w:t>It will develop capacity and methods for assessing, mapping and valuing multiple water reuse and recy</w:t>
      </w:r>
      <w:r>
        <w:rPr>
          <w:rFonts w:ascii="Times New Roman" w:eastAsia="Times New Roman" w:hAnsi="Times New Roman" w:cs="Calibri"/>
          <w:noProof/>
          <w:sz w:val="24"/>
          <w:szCs w:val="24"/>
          <w:lang w:eastAsia="en-GB"/>
        </w:rPr>
        <w:t xml:space="preserve">cling technologies, across space and time for informed integrated management </w:t>
      </w:r>
    </w:p>
    <w:p w:rsidR="00AB50C5" w:rsidRDefault="00724275">
      <w:pPr>
        <w:numPr>
          <w:ilvl w:val="0"/>
          <w:numId w:val="102"/>
        </w:numPr>
        <w:suppressAutoHyphens/>
        <w:spacing w:before="120" w:after="0" w:line="240" w:lineRule="auto"/>
        <w:jc w:val="both"/>
        <w:rPr>
          <w:rFonts w:ascii="Times New Roman" w:eastAsia="Times New Roman" w:hAnsi="Times New Roman" w:cs="Calibri"/>
          <w:noProof/>
          <w:sz w:val="24"/>
          <w:szCs w:val="24"/>
          <w:lang w:eastAsia="en-GB"/>
        </w:rPr>
      </w:pPr>
      <w:r>
        <w:rPr>
          <w:rFonts w:ascii="Times New Roman" w:eastAsia="Times New Roman" w:hAnsi="Times New Roman" w:cs="Calibri"/>
          <w:noProof/>
          <w:sz w:val="24"/>
          <w:szCs w:val="24"/>
          <w:lang w:eastAsia="en-GB"/>
        </w:rPr>
        <w:t>It prevents both over- and under-engineering solutions;</w:t>
      </w:r>
    </w:p>
    <w:p w:rsidR="00AB50C5" w:rsidRDefault="00724275">
      <w:pPr>
        <w:numPr>
          <w:ilvl w:val="0"/>
          <w:numId w:val="102"/>
        </w:numPr>
        <w:suppressAutoHyphens/>
        <w:spacing w:before="120" w:after="0" w:line="240" w:lineRule="auto"/>
        <w:jc w:val="both"/>
        <w:rPr>
          <w:rFonts w:ascii="Times New Roman" w:eastAsia="Times New Roman" w:hAnsi="Times New Roman" w:cs="Calibri"/>
          <w:noProof/>
          <w:sz w:val="24"/>
          <w:szCs w:val="24"/>
          <w:lang w:eastAsia="en-GB"/>
        </w:rPr>
      </w:pPr>
      <w:r>
        <w:rPr>
          <w:rFonts w:ascii="Times New Roman" w:eastAsia="Times New Roman" w:hAnsi="Times New Roman" w:cs="Calibri"/>
          <w:noProof/>
          <w:sz w:val="24"/>
          <w:szCs w:val="24"/>
          <w:lang w:eastAsia="en-GB"/>
        </w:rPr>
        <w:t xml:space="preserve">It will ensure a substantial participation of industrial partners and end-users, enhancing public and corporate R&amp;D; </w:t>
      </w:r>
    </w:p>
    <w:p w:rsidR="00AB50C5" w:rsidRDefault="00724275">
      <w:pPr>
        <w:numPr>
          <w:ilvl w:val="0"/>
          <w:numId w:val="102"/>
        </w:numPr>
        <w:suppressAutoHyphens/>
        <w:spacing w:before="120" w:after="0" w:line="240" w:lineRule="auto"/>
        <w:jc w:val="both"/>
        <w:rPr>
          <w:rFonts w:ascii="Times New Roman" w:eastAsia="Times New Roman" w:hAnsi="Times New Roman" w:cs="Calibri"/>
          <w:noProof/>
          <w:sz w:val="24"/>
          <w:szCs w:val="24"/>
          <w:lang w:eastAsia="en-GB"/>
        </w:rPr>
      </w:pPr>
      <w:r>
        <w:rPr>
          <w:rFonts w:ascii="Times New Roman" w:eastAsia="Times New Roman" w:hAnsi="Times New Roman" w:cs="Calibri"/>
          <w:noProof/>
          <w:sz w:val="24"/>
          <w:szCs w:val="24"/>
          <w:lang w:eastAsia="en-GB"/>
        </w:rPr>
        <w:t>It w</w:t>
      </w:r>
      <w:r>
        <w:rPr>
          <w:rFonts w:ascii="Times New Roman" w:eastAsia="Times New Roman" w:hAnsi="Times New Roman" w:cs="Calibri"/>
          <w:noProof/>
          <w:sz w:val="24"/>
          <w:szCs w:val="24"/>
          <w:lang w:eastAsia="en-GB"/>
        </w:rPr>
        <w:t>ill affect the application of innovation dynamics of specific water reuse market fostering innovative solutions in the area of monitoring, new analytical techniques, and bioassays at the same time coinciding with the advancement of new technologies for wat</w:t>
      </w:r>
      <w:r>
        <w:rPr>
          <w:rFonts w:ascii="Times New Roman" w:eastAsia="Times New Roman" w:hAnsi="Times New Roman" w:cs="Calibri"/>
          <w:noProof/>
          <w:sz w:val="24"/>
          <w:szCs w:val="24"/>
          <w:lang w:eastAsia="en-GB"/>
        </w:rPr>
        <w:t xml:space="preserve">er treatment for reuse.  </w:t>
      </w:r>
    </w:p>
    <w:p w:rsidR="00AB50C5" w:rsidRDefault="00724275">
      <w:pPr>
        <w:numPr>
          <w:ilvl w:val="0"/>
          <w:numId w:val="102"/>
        </w:numPr>
        <w:suppressAutoHyphens/>
        <w:spacing w:before="120" w:after="0" w:line="240" w:lineRule="auto"/>
        <w:jc w:val="both"/>
        <w:rPr>
          <w:rFonts w:ascii="Times New Roman" w:eastAsia="Times New Roman" w:hAnsi="Times New Roman" w:cs="Calibri"/>
          <w:noProof/>
          <w:sz w:val="24"/>
          <w:szCs w:val="24"/>
          <w:lang w:eastAsia="en-GB"/>
        </w:rPr>
      </w:pPr>
      <w:r>
        <w:rPr>
          <w:rFonts w:ascii="Times New Roman" w:eastAsia="Times New Roman" w:hAnsi="Times New Roman" w:cs="Calibri"/>
          <w:noProof/>
          <w:sz w:val="24"/>
          <w:szCs w:val="24"/>
          <w:lang w:eastAsia="en-GB"/>
        </w:rPr>
        <w:t xml:space="preserve">Via multi-disciplinary scientific research it will stimulate social equity, economic efficiency, and environmental integrity. </w:t>
      </w:r>
    </w:p>
    <w:p w:rsidR="00AB50C5" w:rsidRDefault="00724275">
      <w:pPr>
        <w:numPr>
          <w:ilvl w:val="0"/>
          <w:numId w:val="102"/>
        </w:numPr>
        <w:suppressAutoHyphens/>
        <w:spacing w:before="120" w:after="0" w:line="240" w:lineRule="auto"/>
        <w:jc w:val="both"/>
        <w:rPr>
          <w:rFonts w:ascii="Times New Roman" w:eastAsia="Times New Roman" w:hAnsi="Times New Roman" w:cs="Calibri"/>
          <w:noProof/>
          <w:sz w:val="24"/>
          <w:szCs w:val="24"/>
          <w:lang w:eastAsia="en-GB"/>
        </w:rPr>
      </w:pPr>
      <w:r>
        <w:rPr>
          <w:rFonts w:ascii="Times New Roman" w:eastAsia="Times New Roman" w:hAnsi="Times New Roman" w:cs="Calibri"/>
          <w:noProof/>
          <w:sz w:val="24"/>
          <w:szCs w:val="24"/>
          <w:lang w:eastAsia="en-GB"/>
        </w:rPr>
        <w:t>It will contribute to the thriving EU economic water reuse sector producing a great potential for the c</w:t>
      </w:r>
      <w:r>
        <w:rPr>
          <w:rFonts w:ascii="Times New Roman" w:eastAsia="Times New Roman" w:hAnsi="Times New Roman" w:cs="Calibri"/>
          <w:noProof/>
          <w:sz w:val="24"/>
          <w:szCs w:val="24"/>
          <w:lang w:eastAsia="en-GB"/>
        </w:rPr>
        <w:t xml:space="preserve">ompanies to scale up applying large-scale business models which will ensure the successful commercialisation; </w:t>
      </w:r>
    </w:p>
    <w:p w:rsidR="00AB50C5" w:rsidRDefault="00724275">
      <w:pPr>
        <w:numPr>
          <w:ilvl w:val="0"/>
          <w:numId w:val="102"/>
        </w:numPr>
        <w:suppressAutoHyphens/>
        <w:spacing w:before="120" w:after="0" w:line="240" w:lineRule="auto"/>
        <w:jc w:val="both"/>
        <w:rPr>
          <w:rFonts w:ascii="Times New Roman" w:eastAsia="Times New Roman" w:hAnsi="Times New Roman" w:cs="Calibri"/>
          <w:noProof/>
          <w:sz w:val="24"/>
          <w:szCs w:val="24"/>
          <w:lang w:eastAsia="en-GB"/>
        </w:rPr>
      </w:pPr>
      <w:r>
        <w:rPr>
          <w:rFonts w:ascii="Times New Roman" w:eastAsia="Times New Roman" w:hAnsi="Times New Roman" w:cs="Calibri"/>
          <w:noProof/>
          <w:sz w:val="24"/>
          <w:szCs w:val="24"/>
          <w:lang w:eastAsia="en-GB"/>
        </w:rPr>
        <w:t>A unified regulatory environment having similarly assessed the risks and opportunities across Europe will then correspondingly boost R&amp;D investme</w:t>
      </w:r>
      <w:r>
        <w:rPr>
          <w:rFonts w:ascii="Times New Roman" w:eastAsia="Times New Roman" w:hAnsi="Times New Roman" w:cs="Calibri"/>
          <w:noProof/>
          <w:sz w:val="24"/>
          <w:szCs w:val="24"/>
          <w:lang w:eastAsia="en-GB"/>
        </w:rPr>
        <w:t xml:space="preserve">nts and could help maintain the leading position of the EU in the field of research on emerging substances and bioassays. </w:t>
      </w:r>
    </w:p>
    <w:p w:rsidR="00AB50C5" w:rsidRDefault="00724275">
      <w:pPr>
        <w:numPr>
          <w:ilvl w:val="0"/>
          <w:numId w:val="102"/>
        </w:numPr>
        <w:suppressAutoHyphens/>
        <w:spacing w:before="120" w:after="0" w:line="240" w:lineRule="auto"/>
        <w:jc w:val="both"/>
        <w:rPr>
          <w:rFonts w:ascii="Times New Roman" w:eastAsia="Times New Roman" w:hAnsi="Times New Roman" w:cs="Calibri"/>
          <w:noProof/>
          <w:sz w:val="24"/>
          <w:szCs w:val="24"/>
          <w:lang w:eastAsia="en-GB"/>
        </w:rPr>
      </w:pPr>
      <w:r>
        <w:rPr>
          <w:rFonts w:ascii="Times New Roman" w:eastAsia="Times New Roman" w:hAnsi="Times New Roman" w:cs="Calibri"/>
          <w:noProof/>
          <w:sz w:val="24"/>
          <w:szCs w:val="24"/>
          <w:lang w:eastAsia="en-GB"/>
        </w:rPr>
        <w:t xml:space="preserve">Across Europe, it will result in lowered costs for risk assessment and for risk mitigation measures. </w:t>
      </w:r>
    </w:p>
    <w:p w:rsidR="00AB50C5" w:rsidRDefault="00AB50C5">
      <w:pPr>
        <w:suppressAutoHyphens/>
        <w:spacing w:before="120" w:after="0" w:line="240" w:lineRule="auto"/>
        <w:jc w:val="both"/>
        <w:rPr>
          <w:rFonts w:ascii="Times New Roman" w:eastAsia="Times New Roman" w:hAnsi="Times New Roman" w:cs="Calibri"/>
          <w:noProof/>
          <w:sz w:val="24"/>
          <w:szCs w:val="24"/>
          <w:lang w:eastAsia="en-GB"/>
        </w:rPr>
      </w:pPr>
    </w:p>
    <w:p w:rsidR="00AB50C5" w:rsidRDefault="00724275">
      <w:pPr>
        <w:suppressAutoHyphens/>
        <w:spacing w:before="120" w:after="0" w:line="240" w:lineRule="auto"/>
        <w:jc w:val="both"/>
        <w:rPr>
          <w:rFonts w:ascii="Times New Roman" w:eastAsia="Times New Roman" w:hAnsi="Times New Roman" w:cs="Calibri"/>
          <w:noProof/>
          <w:sz w:val="24"/>
          <w:szCs w:val="24"/>
          <w:lang w:eastAsia="en-GB"/>
        </w:rPr>
      </w:pPr>
      <w:r>
        <w:rPr>
          <w:rFonts w:ascii="Times New Roman" w:eastAsia="Times New Roman" w:hAnsi="Times New Roman" w:cs="Calibri"/>
          <w:noProof/>
          <w:sz w:val="24"/>
          <w:szCs w:val="24"/>
          <w:lang w:eastAsia="en-GB"/>
        </w:rPr>
        <w:t>However, if the mandatory RMA-</w:t>
      </w:r>
      <w:r>
        <w:rPr>
          <w:rFonts w:ascii="Times New Roman" w:eastAsia="Times New Roman" w:hAnsi="Times New Roman" w:cs="Calibri"/>
          <w:noProof/>
          <w:sz w:val="24"/>
          <w:szCs w:val="24"/>
          <w:lang w:eastAsia="en-GB"/>
        </w:rPr>
        <w:t xml:space="preserve">E is too complicated it could: </w:t>
      </w:r>
    </w:p>
    <w:p w:rsidR="00AB50C5" w:rsidRDefault="00724275">
      <w:pPr>
        <w:numPr>
          <w:ilvl w:val="0"/>
          <w:numId w:val="103"/>
        </w:numPr>
        <w:suppressAutoHyphens/>
        <w:spacing w:before="120" w:after="0" w:line="240" w:lineRule="auto"/>
        <w:jc w:val="both"/>
        <w:rPr>
          <w:rFonts w:ascii="Times New Roman" w:eastAsia="Times New Roman" w:hAnsi="Times New Roman" w:cs="Calibri"/>
          <w:noProof/>
          <w:sz w:val="24"/>
          <w:szCs w:val="24"/>
          <w:lang w:eastAsia="en-GB"/>
        </w:rPr>
      </w:pPr>
      <w:r>
        <w:rPr>
          <w:rFonts w:ascii="Times New Roman" w:eastAsia="Times New Roman" w:hAnsi="Times New Roman" w:cs="Calibri"/>
          <w:noProof/>
          <w:sz w:val="24"/>
          <w:szCs w:val="24"/>
          <w:lang w:eastAsia="en-GB"/>
        </w:rPr>
        <w:t xml:space="preserve">Make the implementation more expensive and slow down the development of innovative technologies and solutions of water reuse schemes; and  </w:t>
      </w:r>
    </w:p>
    <w:p w:rsidR="00AB50C5" w:rsidRDefault="00724275">
      <w:pPr>
        <w:numPr>
          <w:ilvl w:val="0"/>
          <w:numId w:val="103"/>
        </w:numPr>
        <w:suppressAutoHyphens/>
        <w:spacing w:before="120" w:after="0" w:line="240" w:lineRule="auto"/>
        <w:jc w:val="both"/>
        <w:rPr>
          <w:rFonts w:ascii="Times New Roman" w:eastAsia="Times New Roman" w:hAnsi="Times New Roman" w:cs="Calibri"/>
          <w:noProof/>
          <w:sz w:val="24"/>
          <w:szCs w:val="24"/>
          <w:lang w:eastAsia="en-GB"/>
        </w:rPr>
      </w:pPr>
      <w:r>
        <w:rPr>
          <w:rFonts w:ascii="Times New Roman" w:eastAsia="Times New Roman" w:hAnsi="Times New Roman" w:cs="Calibri"/>
          <w:noProof/>
          <w:sz w:val="24"/>
          <w:szCs w:val="24"/>
          <w:lang w:eastAsia="en-GB"/>
        </w:rPr>
        <w:t xml:space="preserve">Increase administrative burden. </w:t>
      </w:r>
    </w:p>
    <w:p w:rsidR="00AB50C5" w:rsidRDefault="00AB50C5">
      <w:pPr>
        <w:suppressAutoHyphens/>
        <w:spacing w:before="120" w:after="0" w:line="240" w:lineRule="auto"/>
        <w:jc w:val="both"/>
        <w:rPr>
          <w:rFonts w:ascii="Times New Roman" w:eastAsia="Times New Roman" w:hAnsi="Times New Roman" w:cs="Calibri"/>
          <w:b/>
          <w:noProof/>
          <w:sz w:val="24"/>
          <w:szCs w:val="24"/>
          <w:lang w:eastAsia="en-GB"/>
        </w:rPr>
      </w:pPr>
    </w:p>
    <w:p w:rsidR="00AB50C5" w:rsidRDefault="00724275">
      <w:pPr>
        <w:suppressAutoHyphens/>
        <w:spacing w:before="120" w:after="0" w:line="240" w:lineRule="auto"/>
        <w:jc w:val="both"/>
        <w:rPr>
          <w:rFonts w:ascii="Times New Roman" w:eastAsia="Times New Roman" w:hAnsi="Times New Roman" w:cs="Calibri"/>
          <w:b/>
          <w:noProof/>
          <w:sz w:val="24"/>
          <w:szCs w:val="24"/>
          <w:lang w:eastAsia="en-GB"/>
        </w:rPr>
      </w:pPr>
      <w:r>
        <w:rPr>
          <w:rFonts w:ascii="Times New Roman" w:eastAsia="Times New Roman" w:hAnsi="Times New Roman" w:cs="Calibri"/>
          <w:b/>
          <w:noProof/>
          <w:sz w:val="24"/>
          <w:szCs w:val="24"/>
          <w:lang w:eastAsia="en-GB"/>
        </w:rPr>
        <w:t>Actions recommended:</w:t>
      </w:r>
    </w:p>
    <w:p w:rsidR="00AB50C5" w:rsidRDefault="00724275">
      <w:pPr>
        <w:suppressAutoHyphens/>
        <w:spacing w:before="120" w:after="0" w:line="240" w:lineRule="auto"/>
        <w:jc w:val="both"/>
        <w:rPr>
          <w:rFonts w:ascii="Times New Roman" w:eastAsia="Times New Roman" w:hAnsi="Times New Roman" w:cs="Calibri"/>
          <w:noProof/>
          <w:sz w:val="24"/>
          <w:szCs w:val="24"/>
          <w:lang w:eastAsia="en-GB"/>
        </w:rPr>
      </w:pPr>
      <w:r>
        <w:rPr>
          <w:rFonts w:ascii="Times New Roman" w:eastAsia="Times New Roman" w:hAnsi="Times New Roman" w:cs="Calibri"/>
          <w:noProof/>
          <w:sz w:val="24"/>
          <w:szCs w:val="24"/>
          <w:lang w:eastAsia="en-GB"/>
        </w:rPr>
        <w:t xml:space="preserve">Again, positive effects will </w:t>
      </w:r>
      <w:r>
        <w:rPr>
          <w:rFonts w:ascii="Times New Roman" w:eastAsia="Times New Roman" w:hAnsi="Times New Roman" w:cs="Calibri"/>
          <w:noProof/>
          <w:sz w:val="24"/>
          <w:szCs w:val="24"/>
          <w:lang w:eastAsia="en-GB"/>
        </w:rPr>
        <w:t>only be achieved if the measures proposed will be defined in a balanced and adequate way in order to avoid excessive administrative burden or costs. The mandatory approach should still give room for a wide range of solutions that make use of local structur</w:t>
      </w:r>
      <w:r>
        <w:rPr>
          <w:rFonts w:ascii="Times New Roman" w:eastAsia="Times New Roman" w:hAnsi="Times New Roman" w:cs="Calibri"/>
          <w:noProof/>
          <w:sz w:val="24"/>
          <w:szCs w:val="24"/>
          <w:lang w:eastAsia="en-GB"/>
        </w:rPr>
        <w:t>es and resources, as long as they prevent the environmental risks for the specific case.</w:t>
      </w:r>
    </w:p>
    <w:p w:rsidR="00AB50C5" w:rsidRDefault="00724275">
      <w:pPr>
        <w:suppressAutoHyphens/>
        <w:spacing w:before="120" w:after="0" w:line="240" w:lineRule="auto"/>
        <w:jc w:val="both"/>
        <w:rPr>
          <w:rFonts w:ascii="Times New Roman" w:eastAsia="Times New Roman" w:hAnsi="Times New Roman" w:cs="Calibri"/>
          <w:noProof/>
          <w:sz w:val="24"/>
          <w:szCs w:val="24"/>
          <w:lang w:eastAsia="en-GB"/>
        </w:rPr>
      </w:pPr>
      <w:r>
        <w:rPr>
          <w:rFonts w:ascii="Times New Roman" w:eastAsia="Times New Roman" w:hAnsi="Times New Roman" w:cs="Calibri"/>
          <w:noProof/>
          <w:sz w:val="24"/>
          <w:szCs w:val="24"/>
          <w:lang w:eastAsia="en-GB"/>
        </w:rPr>
        <w:t>Introduction of mandatory risk management in relation to water reuse should be consistent with the planned revision of the Urban Waste Water Treatment Directive that m</w:t>
      </w:r>
      <w:r>
        <w:rPr>
          <w:rFonts w:ascii="Times New Roman" w:eastAsia="Times New Roman" w:hAnsi="Times New Roman" w:cs="Calibri"/>
          <w:noProof/>
          <w:sz w:val="24"/>
          <w:szCs w:val="24"/>
          <w:lang w:eastAsia="en-GB"/>
        </w:rPr>
        <w:t>ay introduce similar requirements for the management of risks related to the discharge of treated wastewater to the environment.</w:t>
      </w:r>
    </w:p>
    <w:p w:rsidR="00AB50C5" w:rsidRDefault="00AB50C5">
      <w:pPr>
        <w:suppressAutoHyphens/>
        <w:spacing w:before="120" w:after="0" w:line="240" w:lineRule="auto"/>
        <w:contextualSpacing/>
        <w:jc w:val="both"/>
        <w:rPr>
          <w:rFonts w:ascii="Times New Roman" w:eastAsia="Times New Roman" w:hAnsi="Times New Roman" w:cs="Calibri"/>
          <w:b/>
          <w:noProof/>
          <w:sz w:val="24"/>
          <w:szCs w:val="24"/>
          <w:lang w:eastAsia="en-GB"/>
        </w:rPr>
      </w:pPr>
    </w:p>
    <w:p w:rsidR="00AB50C5" w:rsidRDefault="00724275">
      <w:pPr>
        <w:keepNext/>
        <w:numPr>
          <w:ilvl w:val="1"/>
          <w:numId w:val="89"/>
        </w:numPr>
        <w:suppressAutoHyphens/>
        <w:spacing w:before="120" w:after="240" w:line="240" w:lineRule="auto"/>
        <w:jc w:val="both"/>
        <w:outlineLvl w:val="1"/>
        <w:rPr>
          <w:rFonts w:ascii="Times New Roman" w:eastAsia="Times New Roman" w:hAnsi="Times New Roman" w:cs="Calibri"/>
          <w:b/>
          <w:bCs/>
          <w:iCs/>
          <w:noProof/>
          <w:sz w:val="24"/>
          <w:szCs w:val="28"/>
          <w:lang w:eastAsia="en-GB"/>
        </w:rPr>
      </w:pPr>
      <w:bookmarkStart w:id="124" w:name="_Toc493963511"/>
      <w:bookmarkStart w:id="125" w:name="_Toc516234792"/>
      <w:r>
        <w:rPr>
          <w:rFonts w:ascii="Times New Roman" w:eastAsia="Times New Roman" w:hAnsi="Times New Roman" w:cs="Times New Roman"/>
          <w:b/>
          <w:bCs/>
          <w:iCs/>
          <w:noProof/>
          <w:sz w:val="24"/>
          <w:szCs w:val="28"/>
          <w:lang w:eastAsia="en-GB"/>
        </w:rPr>
        <w:t>ANALYSIS OF IMPACTS OF POSSIBLE REQUIREMENTS ON GOVERNANCE AND ECONOMIC ASPECTS AND ON TECHNOLOGY</w:t>
      </w:r>
      <w:bookmarkEnd w:id="124"/>
      <w:bookmarkEnd w:id="125"/>
    </w:p>
    <w:p w:rsidR="00AB50C5" w:rsidRDefault="00724275">
      <w:pPr>
        <w:suppressAutoHyphens/>
        <w:spacing w:before="120" w:after="0" w:line="240" w:lineRule="auto"/>
        <w:contextualSpacing/>
        <w:jc w:val="both"/>
        <w:rPr>
          <w:rFonts w:ascii="Times New Roman" w:eastAsia="Times New Roman" w:hAnsi="Times New Roman" w:cs="Calibri"/>
          <w:b/>
          <w:noProof/>
          <w:sz w:val="24"/>
          <w:szCs w:val="24"/>
          <w:lang w:eastAsia="en-GB"/>
        </w:rPr>
      </w:pPr>
      <w:r>
        <w:rPr>
          <w:rFonts w:ascii="Times New Roman" w:eastAsia="Times New Roman" w:hAnsi="Times New Roman" w:cs="Calibri"/>
          <w:b/>
          <w:noProof/>
          <w:sz w:val="24"/>
          <w:szCs w:val="24"/>
          <w:lang w:eastAsia="en-GB"/>
        </w:rPr>
        <w:t xml:space="preserve">3.4.1 Governance and </w:t>
      </w:r>
      <w:r>
        <w:rPr>
          <w:rFonts w:ascii="Times New Roman" w:eastAsia="Times New Roman" w:hAnsi="Times New Roman" w:cs="Calibri"/>
          <w:b/>
          <w:noProof/>
          <w:sz w:val="24"/>
          <w:szCs w:val="24"/>
          <w:lang w:eastAsia="en-GB"/>
        </w:rPr>
        <w:t>economic aspects</w:t>
      </w:r>
    </w:p>
    <w:p w:rsidR="00AB50C5" w:rsidRDefault="00724275">
      <w:pPr>
        <w:suppressAutoHyphens/>
        <w:spacing w:before="120" w:after="0" w:line="240" w:lineRule="auto"/>
        <w:contextualSpacing/>
        <w:jc w:val="both"/>
        <w:rPr>
          <w:rFonts w:ascii="Times New Roman" w:eastAsia="Times New Roman" w:hAnsi="Times New Roman" w:cs="Calibri"/>
          <w:noProof/>
          <w:sz w:val="24"/>
          <w:szCs w:val="24"/>
          <w:lang w:eastAsia="en-GB"/>
        </w:rPr>
      </w:pPr>
      <w:r>
        <w:rPr>
          <w:rFonts w:ascii="Times New Roman" w:eastAsia="Times New Roman" w:hAnsi="Times New Roman" w:cs="Calibri"/>
          <w:noProof/>
          <w:sz w:val="24"/>
          <w:szCs w:val="24"/>
          <w:lang w:eastAsia="en-GB"/>
        </w:rPr>
        <w:t>No specific options for governance set-up were proposed but the experts discussed in general terms the impact of governance of water reuse schemes</w:t>
      </w:r>
      <w:r>
        <w:rPr>
          <w:rFonts w:ascii="Times New Roman" w:eastAsia="Times New Roman" w:hAnsi="Times New Roman" w:cs="Calibri"/>
          <w:noProof/>
          <w:sz w:val="24"/>
          <w:szCs w:val="24"/>
          <w:vertAlign w:val="superscript"/>
          <w:lang w:eastAsia="en-GB"/>
        </w:rPr>
        <w:footnoteReference w:id="8"/>
      </w:r>
      <w:r>
        <w:rPr>
          <w:rFonts w:ascii="Times New Roman" w:eastAsia="Times New Roman" w:hAnsi="Times New Roman" w:cs="Calibri"/>
          <w:noProof/>
          <w:sz w:val="24"/>
          <w:szCs w:val="24"/>
          <w:lang w:eastAsia="en-GB"/>
        </w:rPr>
        <w:t xml:space="preserve"> on innovation:</w:t>
      </w:r>
    </w:p>
    <w:p w:rsidR="00AB50C5" w:rsidRDefault="00AB50C5">
      <w:pPr>
        <w:suppressAutoHyphens/>
        <w:spacing w:before="120" w:after="0" w:line="240" w:lineRule="auto"/>
        <w:contextualSpacing/>
        <w:jc w:val="both"/>
        <w:rPr>
          <w:rFonts w:ascii="Times New Roman" w:eastAsia="Times New Roman" w:hAnsi="Times New Roman" w:cs="Calibri"/>
          <w:noProof/>
          <w:sz w:val="24"/>
          <w:szCs w:val="24"/>
          <w:lang w:eastAsia="en-GB"/>
        </w:rPr>
      </w:pPr>
    </w:p>
    <w:p w:rsidR="00AB50C5" w:rsidRDefault="00724275">
      <w:pPr>
        <w:numPr>
          <w:ilvl w:val="0"/>
          <w:numId w:val="98"/>
        </w:numPr>
        <w:suppressAutoHyphens/>
        <w:spacing w:before="120" w:after="0" w:line="240" w:lineRule="auto"/>
        <w:ind w:left="360"/>
        <w:contextualSpacing/>
        <w:jc w:val="both"/>
        <w:rPr>
          <w:rFonts w:ascii="Times New Roman" w:eastAsia="Times New Roman" w:hAnsi="Times New Roman" w:cs="Times New Roman"/>
          <w:noProof/>
          <w:sz w:val="24"/>
          <w:szCs w:val="24"/>
          <w:lang w:eastAsia="ar-SA"/>
        </w:rPr>
      </w:pPr>
      <w:r>
        <w:rPr>
          <w:rFonts w:ascii="Times New Roman" w:eastAsia="Times New Roman" w:hAnsi="Times New Roman" w:cs="Calibri"/>
          <w:noProof/>
          <w:sz w:val="24"/>
          <w:szCs w:val="24"/>
          <w:lang w:eastAsia="en-GB"/>
        </w:rPr>
        <w:t>One of the main market barriers for water reuse is the fragmentation of the</w:t>
      </w:r>
      <w:r>
        <w:rPr>
          <w:rFonts w:ascii="Times New Roman" w:eastAsia="Times New Roman" w:hAnsi="Times New Roman" w:cs="Calibri"/>
          <w:noProof/>
          <w:sz w:val="24"/>
          <w:szCs w:val="24"/>
          <w:lang w:eastAsia="en-GB"/>
        </w:rPr>
        <w:t xml:space="preserve"> urban water cycle. The management of the water value chain is often distributed among different actors, resulting in a lack of a holistic view and poor synergies. Individual actors hesitate to innovate until other stakeholders do.</w:t>
      </w:r>
    </w:p>
    <w:p w:rsidR="00AB50C5" w:rsidRDefault="00724275">
      <w:pPr>
        <w:numPr>
          <w:ilvl w:val="0"/>
          <w:numId w:val="98"/>
        </w:numPr>
        <w:suppressAutoHyphens/>
        <w:spacing w:before="120" w:after="0" w:line="240" w:lineRule="auto"/>
        <w:ind w:left="360"/>
        <w:jc w:val="both"/>
        <w:rPr>
          <w:rFonts w:ascii="Times New Roman" w:eastAsia="Times New Roman" w:hAnsi="Times New Roman" w:cs="Calibri"/>
          <w:noProof/>
          <w:sz w:val="24"/>
          <w:szCs w:val="24"/>
          <w:lang w:eastAsia="en-GB"/>
        </w:rPr>
      </w:pPr>
      <w:r>
        <w:rPr>
          <w:rFonts w:ascii="Times New Roman" w:eastAsia="Times New Roman" w:hAnsi="Times New Roman" w:cs="Calibri"/>
          <w:noProof/>
          <w:sz w:val="24"/>
          <w:szCs w:val="24"/>
          <w:lang w:eastAsia="en-GB"/>
        </w:rPr>
        <w:t xml:space="preserve">Any mandatory EU policy </w:t>
      </w:r>
      <w:r>
        <w:rPr>
          <w:rFonts w:ascii="Times New Roman" w:eastAsia="Times New Roman" w:hAnsi="Times New Roman" w:cs="Calibri"/>
          <w:noProof/>
          <w:sz w:val="24"/>
          <w:szCs w:val="24"/>
          <w:lang w:eastAsia="en-GB"/>
        </w:rPr>
        <w:t>should include a clarification of the role and responsibility for meeting the mandatory requirements of each actor involved (producer of reclaimed water, end user, reuse management authority), the permitting procedure and monitoring programs. Assigning res</w:t>
      </w:r>
      <w:r>
        <w:rPr>
          <w:rFonts w:ascii="Times New Roman" w:eastAsia="Times New Roman" w:hAnsi="Times New Roman" w:cs="Calibri"/>
          <w:noProof/>
          <w:sz w:val="24"/>
          <w:szCs w:val="24"/>
          <w:lang w:eastAsia="en-GB"/>
        </w:rPr>
        <w:t xml:space="preserve">ponsibility to these actors can motivate them to look for effective solutions including innovative and cost effective ways to meet the mandatory requirements. </w:t>
      </w:r>
    </w:p>
    <w:p w:rsidR="00AB50C5" w:rsidRDefault="00724275">
      <w:pPr>
        <w:numPr>
          <w:ilvl w:val="0"/>
          <w:numId w:val="98"/>
        </w:numPr>
        <w:suppressAutoHyphens/>
        <w:spacing w:before="120" w:after="0" w:line="240" w:lineRule="auto"/>
        <w:ind w:left="360"/>
        <w:jc w:val="both"/>
        <w:rPr>
          <w:rFonts w:ascii="Times New Roman" w:eastAsia="Times New Roman" w:hAnsi="Times New Roman" w:cs="Calibri"/>
          <w:noProof/>
          <w:sz w:val="24"/>
          <w:szCs w:val="24"/>
          <w:lang w:eastAsia="en-GB"/>
        </w:rPr>
      </w:pPr>
      <w:r>
        <w:rPr>
          <w:rFonts w:ascii="Times New Roman" w:eastAsia="Times New Roman" w:hAnsi="Times New Roman" w:cs="Calibri"/>
          <w:noProof/>
          <w:sz w:val="24"/>
          <w:szCs w:val="24"/>
          <w:lang w:eastAsia="en-GB"/>
        </w:rPr>
        <w:t>There is a need for some degree of flexibility in allocating the responsibility because mandatin</w:t>
      </w:r>
      <w:r>
        <w:rPr>
          <w:rFonts w:ascii="Times New Roman" w:eastAsia="Times New Roman" w:hAnsi="Times New Roman" w:cs="Calibri"/>
          <w:noProof/>
          <w:sz w:val="24"/>
          <w:szCs w:val="24"/>
          <w:lang w:eastAsia="en-GB"/>
        </w:rPr>
        <w:t xml:space="preserve">g exclusive responsibility either to “point of use” or “point of treatment” might hamper the development of alternative innovative business models. </w:t>
      </w:r>
    </w:p>
    <w:p w:rsidR="00AB50C5" w:rsidRDefault="00724275">
      <w:pPr>
        <w:numPr>
          <w:ilvl w:val="0"/>
          <w:numId w:val="98"/>
        </w:numPr>
        <w:suppressAutoHyphens/>
        <w:spacing w:before="120" w:after="0" w:line="240" w:lineRule="auto"/>
        <w:ind w:left="360"/>
        <w:jc w:val="both"/>
        <w:rPr>
          <w:rFonts w:ascii="Times New Roman" w:eastAsia="Times New Roman" w:hAnsi="Times New Roman" w:cs="Calibri"/>
          <w:noProof/>
          <w:sz w:val="24"/>
          <w:szCs w:val="24"/>
          <w:lang w:eastAsia="en-GB"/>
        </w:rPr>
      </w:pPr>
      <w:r>
        <w:rPr>
          <w:rFonts w:ascii="Times New Roman" w:eastAsia="Times New Roman" w:hAnsi="Times New Roman" w:cs="Calibri"/>
          <w:noProof/>
          <w:sz w:val="24"/>
          <w:szCs w:val="24"/>
          <w:lang w:eastAsia="en-GB"/>
        </w:rPr>
        <w:t>Although the point of treatment is well defined and allows creating specific rules and regulations, the def</w:t>
      </w:r>
      <w:r>
        <w:rPr>
          <w:rFonts w:ascii="Times New Roman" w:eastAsia="Times New Roman" w:hAnsi="Times New Roman" w:cs="Calibri"/>
          <w:noProof/>
          <w:sz w:val="24"/>
          <w:szCs w:val="24"/>
          <w:lang w:eastAsia="en-GB"/>
        </w:rPr>
        <w:t>inition of point of use is not always clear and it remains difficult to comply with requirements due to the lack of real control of reclaimed water quality after the point of treatment. Therefore new solutions to coordinate the reclaimed water quality betw</w:t>
      </w:r>
      <w:r>
        <w:rPr>
          <w:rFonts w:ascii="Times New Roman" w:eastAsia="Times New Roman" w:hAnsi="Times New Roman" w:cs="Calibri"/>
          <w:noProof/>
          <w:sz w:val="24"/>
          <w:szCs w:val="24"/>
          <w:lang w:eastAsia="en-GB"/>
        </w:rPr>
        <w:t>een the point of treatment and the point of use are needed.</w:t>
      </w:r>
    </w:p>
    <w:p w:rsidR="00AB50C5" w:rsidRDefault="00724275">
      <w:pPr>
        <w:numPr>
          <w:ilvl w:val="0"/>
          <w:numId w:val="98"/>
        </w:numPr>
        <w:suppressAutoHyphens/>
        <w:spacing w:before="120" w:after="0" w:line="240" w:lineRule="auto"/>
        <w:ind w:left="360"/>
        <w:contextualSpacing/>
        <w:jc w:val="both"/>
        <w:rPr>
          <w:rFonts w:ascii="Times New Roman" w:eastAsia="Times New Roman" w:hAnsi="Times New Roman" w:cs="Times New Roman"/>
          <w:noProof/>
          <w:sz w:val="24"/>
          <w:szCs w:val="24"/>
          <w:lang w:eastAsia="ar-SA"/>
        </w:rPr>
      </w:pPr>
      <w:r>
        <w:rPr>
          <w:rFonts w:ascii="Times New Roman" w:eastAsia="Times New Roman" w:hAnsi="Times New Roman" w:cs="Calibri"/>
          <w:noProof/>
          <w:sz w:val="24"/>
          <w:szCs w:val="24"/>
          <w:lang w:eastAsia="en-GB"/>
        </w:rPr>
        <w:t xml:space="preserve">New water reuse schemes are hampered by several economic factors that impede a broader adoption through the EU, including: </w:t>
      </w:r>
    </w:p>
    <w:p w:rsidR="00AB50C5" w:rsidRDefault="00724275">
      <w:pPr>
        <w:numPr>
          <w:ilvl w:val="0"/>
          <w:numId w:val="104"/>
        </w:numPr>
        <w:suppressAutoHyphens/>
        <w:spacing w:before="120" w:after="0" w:line="240" w:lineRule="auto"/>
        <w:contextualSpacing/>
        <w:jc w:val="both"/>
        <w:rPr>
          <w:rFonts w:ascii="Times New Roman" w:eastAsia="Times New Roman" w:hAnsi="Times New Roman" w:cs="Times New Roman"/>
          <w:noProof/>
          <w:sz w:val="24"/>
          <w:szCs w:val="24"/>
          <w:lang w:eastAsia="ar-SA"/>
        </w:rPr>
      </w:pPr>
      <w:r>
        <w:rPr>
          <w:rFonts w:ascii="Times New Roman" w:eastAsia="Times New Roman" w:hAnsi="Times New Roman" w:cs="Calibri"/>
          <w:noProof/>
          <w:sz w:val="24"/>
          <w:szCs w:val="24"/>
          <w:lang w:eastAsia="en-GB"/>
        </w:rPr>
        <w:t>doubts about the economic sustainability of the current business models;</w:t>
      </w:r>
      <w:r>
        <w:rPr>
          <w:rFonts w:ascii="Times New Roman" w:eastAsia="Times New Roman" w:hAnsi="Times New Roman" w:cs="Calibri"/>
          <w:noProof/>
          <w:sz w:val="24"/>
          <w:szCs w:val="24"/>
          <w:lang w:eastAsia="en-GB"/>
        </w:rPr>
        <w:t xml:space="preserve"> and </w:t>
      </w:r>
    </w:p>
    <w:p w:rsidR="00AB50C5" w:rsidRDefault="00724275">
      <w:pPr>
        <w:numPr>
          <w:ilvl w:val="0"/>
          <w:numId w:val="104"/>
        </w:numPr>
        <w:suppressAutoHyphens/>
        <w:spacing w:before="120" w:after="0" w:line="240" w:lineRule="auto"/>
        <w:contextualSpacing/>
        <w:jc w:val="both"/>
        <w:rPr>
          <w:rFonts w:ascii="Times New Roman" w:eastAsia="Times New Roman" w:hAnsi="Times New Roman" w:cs="Times New Roman"/>
          <w:noProof/>
          <w:sz w:val="24"/>
          <w:szCs w:val="24"/>
          <w:lang w:eastAsia="ar-SA"/>
        </w:rPr>
      </w:pPr>
      <w:r>
        <w:rPr>
          <w:rFonts w:ascii="Times New Roman" w:eastAsia="Times New Roman" w:hAnsi="Times New Roman" w:cs="Calibri"/>
          <w:noProof/>
          <w:sz w:val="24"/>
          <w:szCs w:val="24"/>
          <w:lang w:eastAsia="en-GB"/>
        </w:rPr>
        <w:t xml:space="preserve">pricing strategies. </w:t>
      </w:r>
    </w:p>
    <w:p w:rsidR="00AB50C5" w:rsidRDefault="00724275">
      <w:pPr>
        <w:numPr>
          <w:ilvl w:val="0"/>
          <w:numId w:val="98"/>
        </w:numPr>
        <w:suppressAutoHyphens/>
        <w:spacing w:before="120" w:after="0" w:line="240" w:lineRule="auto"/>
        <w:ind w:left="360"/>
        <w:jc w:val="both"/>
        <w:rPr>
          <w:rFonts w:ascii="Times New Roman" w:eastAsia="Times New Roman" w:hAnsi="Times New Roman" w:cs="Calibri"/>
          <w:noProof/>
          <w:color w:val="000000"/>
          <w:sz w:val="24"/>
          <w:szCs w:val="24"/>
          <w:lang w:eastAsia="en-GB"/>
        </w:rPr>
      </w:pPr>
      <w:r>
        <w:rPr>
          <w:rFonts w:ascii="Times New Roman" w:eastAsia="Times New Roman" w:hAnsi="Times New Roman" w:cs="Calibri"/>
          <w:noProof/>
          <w:sz w:val="24"/>
          <w:szCs w:val="24"/>
          <w:lang w:eastAsia="en-GB"/>
        </w:rPr>
        <w:t xml:space="preserve">Subsidising current technological solutions might hamper the development of more cost-effective innovative solutions. Cost-effective innovation relies on users paying the true costs of resources. On the other hand to improve the </w:t>
      </w:r>
      <w:r>
        <w:rPr>
          <w:rFonts w:ascii="Times New Roman" w:eastAsia="Times New Roman" w:hAnsi="Times New Roman" w:cs="Calibri"/>
          <w:noProof/>
          <w:sz w:val="24"/>
          <w:szCs w:val="24"/>
          <w:lang w:eastAsia="en-GB"/>
        </w:rPr>
        <w:t>economic viability of water reuse schemes economic stimuli for actors may be needed, e.g. in the form of sharing the costs and benefits between the utility that provides the reclaimed water, distribution system and final users (farmers). For example, it wa</w:t>
      </w:r>
      <w:r>
        <w:rPr>
          <w:rFonts w:ascii="Times New Roman" w:eastAsia="Times New Roman" w:hAnsi="Times New Roman" w:cs="Calibri"/>
          <w:noProof/>
          <w:sz w:val="24"/>
          <w:szCs w:val="24"/>
          <w:lang w:eastAsia="en-GB"/>
        </w:rPr>
        <w:t>s</w:t>
      </w:r>
      <w:r>
        <w:rPr>
          <w:rFonts w:ascii="Times New Roman" w:eastAsia="Times New Roman" w:hAnsi="Times New Roman" w:cs="Calibri"/>
          <w:noProof/>
          <w:color w:val="000000"/>
          <w:sz w:val="24"/>
          <w:szCs w:val="24"/>
          <w:lang w:eastAsia="en-GB"/>
        </w:rPr>
        <w:t xml:space="preserve"> indicated that innovative solutions based on “win-win” approaches which will not rely on the farmers paying all reclamation and reuse costs should be considered according to the FAO book issued in 2010 on the economy of reuse.</w:t>
      </w:r>
    </w:p>
    <w:p w:rsidR="00AB50C5" w:rsidRDefault="00724275">
      <w:pPr>
        <w:numPr>
          <w:ilvl w:val="0"/>
          <w:numId w:val="98"/>
        </w:numPr>
        <w:suppressAutoHyphens/>
        <w:spacing w:before="120" w:after="0" w:line="240" w:lineRule="auto"/>
        <w:ind w:left="360"/>
        <w:jc w:val="both"/>
        <w:rPr>
          <w:rFonts w:ascii="Times New Roman" w:eastAsia="Times New Roman" w:hAnsi="Times New Roman" w:cs="Calibri"/>
          <w:noProof/>
          <w:sz w:val="24"/>
          <w:szCs w:val="24"/>
          <w:lang w:eastAsia="en-GB"/>
        </w:rPr>
      </w:pPr>
      <w:r>
        <w:rPr>
          <w:rFonts w:ascii="Times New Roman" w:eastAsia="Times New Roman" w:hAnsi="Times New Roman" w:cs="Times New Roman"/>
          <w:noProof/>
          <w:sz w:val="24"/>
          <w:szCs w:val="24"/>
          <w:lang w:eastAsia="ar-SA"/>
        </w:rPr>
        <w:t>There is still need for R&amp;I</w:t>
      </w:r>
      <w:r>
        <w:rPr>
          <w:rFonts w:ascii="Times New Roman" w:eastAsia="Times New Roman" w:hAnsi="Times New Roman" w:cs="Times New Roman"/>
          <w:noProof/>
          <w:sz w:val="24"/>
          <w:szCs w:val="24"/>
          <w:lang w:eastAsia="ar-SA"/>
        </w:rPr>
        <w:t xml:space="preserve"> on the economic sustainability of the reclaimed water services, business models and pricing strategies.</w:t>
      </w:r>
    </w:p>
    <w:p w:rsidR="00AB50C5" w:rsidRDefault="00724275">
      <w:pPr>
        <w:numPr>
          <w:ilvl w:val="0"/>
          <w:numId w:val="98"/>
        </w:numPr>
        <w:suppressAutoHyphens/>
        <w:spacing w:before="120" w:after="0" w:line="240" w:lineRule="auto"/>
        <w:ind w:left="360"/>
        <w:contextualSpacing/>
        <w:jc w:val="both"/>
        <w:rPr>
          <w:rFonts w:ascii="Times New Roman" w:eastAsia="Times New Roman" w:hAnsi="Times New Roman" w:cs="Calibri"/>
          <w:noProof/>
          <w:sz w:val="24"/>
          <w:szCs w:val="24"/>
          <w:lang w:eastAsia="en-GB"/>
        </w:rPr>
      </w:pPr>
      <w:r>
        <w:rPr>
          <w:rFonts w:ascii="Times New Roman" w:eastAsia="Times New Roman" w:hAnsi="Times New Roman" w:cs="Calibri"/>
          <w:noProof/>
          <w:sz w:val="24"/>
          <w:szCs w:val="24"/>
          <w:lang w:eastAsia="en-GB"/>
        </w:rPr>
        <w:t>In order to improve public trust in use of reclaimed waste water the regulatory and risk management measures should be accompanied with public awarenes</w:t>
      </w:r>
      <w:r>
        <w:rPr>
          <w:rFonts w:ascii="Times New Roman" w:eastAsia="Times New Roman" w:hAnsi="Times New Roman" w:cs="Calibri"/>
          <w:noProof/>
          <w:sz w:val="24"/>
          <w:szCs w:val="24"/>
          <w:lang w:eastAsia="en-GB"/>
        </w:rPr>
        <w:t xml:space="preserve">s and communication measures. </w:t>
      </w:r>
    </w:p>
    <w:p w:rsidR="00AB50C5" w:rsidRDefault="00AB50C5">
      <w:pPr>
        <w:suppressAutoHyphens/>
        <w:spacing w:before="120" w:after="0" w:line="240" w:lineRule="auto"/>
        <w:contextualSpacing/>
        <w:jc w:val="both"/>
        <w:rPr>
          <w:rFonts w:ascii="Times New Roman" w:eastAsia="Times New Roman" w:hAnsi="Times New Roman" w:cs="Calibri"/>
          <w:b/>
          <w:noProof/>
          <w:sz w:val="24"/>
          <w:szCs w:val="24"/>
          <w:lang w:eastAsia="en-GB"/>
        </w:rPr>
      </w:pPr>
    </w:p>
    <w:p w:rsidR="00AB50C5" w:rsidRDefault="00724275">
      <w:pPr>
        <w:suppressAutoHyphens/>
        <w:spacing w:before="120" w:after="0" w:line="240" w:lineRule="auto"/>
        <w:contextualSpacing/>
        <w:jc w:val="both"/>
        <w:rPr>
          <w:rFonts w:ascii="Times New Roman" w:eastAsia="Times New Roman" w:hAnsi="Times New Roman" w:cs="Calibri"/>
          <w:b/>
          <w:noProof/>
          <w:sz w:val="24"/>
          <w:szCs w:val="24"/>
          <w:lang w:eastAsia="en-GB"/>
        </w:rPr>
      </w:pPr>
      <w:r>
        <w:rPr>
          <w:rFonts w:ascii="Times New Roman" w:eastAsia="Times New Roman" w:hAnsi="Times New Roman" w:cs="Calibri"/>
          <w:b/>
          <w:noProof/>
          <w:sz w:val="24"/>
          <w:szCs w:val="24"/>
          <w:lang w:eastAsia="en-GB"/>
        </w:rPr>
        <w:t>3.4.2 Technology</w:t>
      </w:r>
    </w:p>
    <w:p w:rsidR="00AB50C5" w:rsidRDefault="00AB50C5">
      <w:pPr>
        <w:suppressAutoHyphens/>
        <w:spacing w:before="120" w:after="0" w:line="240" w:lineRule="auto"/>
        <w:contextualSpacing/>
        <w:jc w:val="both"/>
        <w:rPr>
          <w:rFonts w:ascii="Times New Roman" w:eastAsia="Times New Roman" w:hAnsi="Times New Roman" w:cs="Calibri"/>
          <w:noProof/>
          <w:sz w:val="24"/>
          <w:szCs w:val="24"/>
          <w:lang w:eastAsia="en-GB"/>
        </w:rPr>
      </w:pPr>
    </w:p>
    <w:p w:rsidR="00AB50C5" w:rsidRDefault="00724275">
      <w:pPr>
        <w:suppressAutoHyphens/>
        <w:spacing w:before="120" w:after="0" w:line="240" w:lineRule="auto"/>
        <w:contextualSpacing/>
        <w:jc w:val="both"/>
        <w:rPr>
          <w:rFonts w:ascii="Times New Roman" w:eastAsia="Times New Roman" w:hAnsi="Times New Roman" w:cs="Calibri"/>
          <w:noProof/>
          <w:sz w:val="24"/>
          <w:szCs w:val="24"/>
          <w:lang w:eastAsia="en-GB"/>
        </w:rPr>
      </w:pPr>
      <w:r>
        <w:rPr>
          <w:rFonts w:ascii="Times New Roman" w:eastAsia="Times New Roman" w:hAnsi="Times New Roman" w:cs="Calibri"/>
          <w:noProof/>
          <w:sz w:val="24"/>
          <w:szCs w:val="24"/>
          <w:lang w:eastAsia="en-GB"/>
        </w:rPr>
        <w:t>No specific options for technology requirements were proposed but the experts discussed in general terms the impact of setting technology requirements on innovation:</w:t>
      </w:r>
    </w:p>
    <w:p w:rsidR="00AB50C5" w:rsidRDefault="00AB50C5">
      <w:pPr>
        <w:suppressAutoHyphens/>
        <w:spacing w:before="120" w:after="0" w:line="240" w:lineRule="auto"/>
        <w:contextualSpacing/>
        <w:jc w:val="both"/>
        <w:rPr>
          <w:rFonts w:ascii="Times New Roman" w:eastAsia="Times New Roman" w:hAnsi="Times New Roman" w:cs="Calibri"/>
          <w:b/>
          <w:noProof/>
          <w:sz w:val="24"/>
          <w:szCs w:val="24"/>
          <w:lang w:eastAsia="en-GB"/>
        </w:rPr>
      </w:pPr>
    </w:p>
    <w:p w:rsidR="00AB50C5" w:rsidRDefault="00724275">
      <w:pPr>
        <w:numPr>
          <w:ilvl w:val="0"/>
          <w:numId w:val="99"/>
        </w:numPr>
        <w:suppressAutoHyphens/>
        <w:spacing w:before="120" w:after="0" w:line="240" w:lineRule="auto"/>
        <w:ind w:left="360"/>
        <w:contextualSpacing/>
        <w:jc w:val="both"/>
        <w:rPr>
          <w:rFonts w:ascii="Times New Roman" w:eastAsia="Times New Roman" w:hAnsi="Times New Roman" w:cs="Times New Roman"/>
          <w:noProof/>
          <w:sz w:val="24"/>
          <w:szCs w:val="24"/>
          <w:lang w:eastAsia="ar-SA"/>
        </w:rPr>
      </w:pPr>
      <w:r>
        <w:rPr>
          <w:rFonts w:ascii="Times New Roman" w:eastAsia="Times New Roman" w:hAnsi="Times New Roman" w:cs="Calibri"/>
          <w:noProof/>
          <w:sz w:val="24"/>
          <w:szCs w:val="24"/>
          <w:lang w:eastAsia="en-GB"/>
        </w:rPr>
        <w:t>The Urban Wastewater Treatment Directiv</w:t>
      </w:r>
      <w:r>
        <w:rPr>
          <w:rFonts w:ascii="Times New Roman" w:eastAsia="Times New Roman" w:hAnsi="Times New Roman" w:cs="Calibri"/>
          <w:noProof/>
          <w:sz w:val="24"/>
          <w:szCs w:val="24"/>
          <w:lang w:eastAsia="en-GB"/>
        </w:rPr>
        <w:t xml:space="preserve">e contributed to a high growth of R&amp;I on new treatment technologies, in particular for nutrient removal. The same effect on R&amp;I could be expected with the new Water Reuse legislation. </w:t>
      </w:r>
    </w:p>
    <w:p w:rsidR="00AB50C5" w:rsidRDefault="00724275">
      <w:pPr>
        <w:numPr>
          <w:ilvl w:val="0"/>
          <w:numId w:val="99"/>
        </w:numPr>
        <w:suppressAutoHyphens/>
        <w:spacing w:before="120" w:after="0" w:line="240" w:lineRule="auto"/>
        <w:ind w:left="360"/>
        <w:contextualSpacing/>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The measure should not be limited to a parametric approach (meeting out</w:t>
      </w:r>
      <w:r>
        <w:rPr>
          <w:rFonts w:ascii="Times New Roman" w:eastAsia="Times New Roman" w:hAnsi="Times New Roman" w:cs="Times New Roman"/>
          <w:noProof/>
          <w:sz w:val="24"/>
          <w:szCs w:val="24"/>
          <w:lang w:eastAsia="ar-SA"/>
        </w:rPr>
        <w:t>put requirements only) but it should be coupled with defining minimum suitable treatment processes. These recommended processes should be indicative, leaving room for novel alternatives (such as green and/or grey infrastructures) achieving similar results.</w:t>
      </w:r>
      <w:r>
        <w:rPr>
          <w:rFonts w:ascii="Times New Roman" w:eastAsia="Times New Roman" w:hAnsi="Times New Roman" w:cs="Times New Roman"/>
          <w:noProof/>
          <w:sz w:val="24"/>
          <w:szCs w:val="24"/>
          <w:lang w:eastAsia="ar-SA"/>
        </w:rPr>
        <w:t xml:space="preserve"> </w:t>
      </w:r>
    </w:p>
    <w:p w:rsidR="00AB50C5" w:rsidRDefault="00724275">
      <w:pPr>
        <w:numPr>
          <w:ilvl w:val="0"/>
          <w:numId w:val="99"/>
        </w:numPr>
        <w:suppressAutoHyphens/>
        <w:spacing w:before="120" w:after="0" w:line="240" w:lineRule="auto"/>
        <w:ind w:left="360"/>
        <w:contextualSpacing/>
        <w:jc w:val="both"/>
        <w:rPr>
          <w:rFonts w:ascii="Times New Roman" w:eastAsia="Times New Roman" w:hAnsi="Times New Roman" w:cs="Times New Roman"/>
          <w:noProof/>
          <w:sz w:val="24"/>
          <w:szCs w:val="24"/>
          <w:lang w:eastAsia="ar-SA"/>
        </w:rPr>
      </w:pPr>
      <w:r>
        <w:rPr>
          <w:rFonts w:ascii="Times New Roman" w:eastAsia="Times New Roman" w:hAnsi="Times New Roman" w:cs="Calibri"/>
          <w:noProof/>
          <w:sz w:val="24"/>
          <w:szCs w:val="24"/>
          <w:lang w:eastAsia="en-GB"/>
        </w:rPr>
        <w:t xml:space="preserve">Promoting strongly specific established technologies might hamper the development of new more effective technologies. </w:t>
      </w:r>
    </w:p>
    <w:p w:rsidR="00AB50C5" w:rsidRDefault="00724275">
      <w:pPr>
        <w:numPr>
          <w:ilvl w:val="0"/>
          <w:numId w:val="99"/>
        </w:numPr>
        <w:suppressAutoHyphens/>
        <w:spacing w:before="120" w:after="0" w:line="240" w:lineRule="auto"/>
        <w:ind w:left="360"/>
        <w:contextualSpacing/>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The choice of the appropriate reuse and recycling technology is the most important step in planning an effective and efficient water re</w:t>
      </w:r>
      <w:r>
        <w:rPr>
          <w:rFonts w:ascii="Times New Roman" w:eastAsia="Times New Roman" w:hAnsi="Times New Roman" w:cs="Times New Roman"/>
          <w:noProof/>
          <w:sz w:val="24"/>
          <w:szCs w:val="24"/>
          <w:lang w:eastAsia="ar-SA"/>
        </w:rPr>
        <w:t>use system. It is the key element in decreasing the potential risk comprising technical, economic, environmental and social parameters. In order to choose a technology pertinent for an area or region, it is possible to build on successful results of certai</w:t>
      </w:r>
      <w:r>
        <w:rPr>
          <w:rFonts w:ascii="Times New Roman" w:eastAsia="Times New Roman" w:hAnsi="Times New Roman" w:cs="Times New Roman"/>
          <w:noProof/>
          <w:sz w:val="24"/>
          <w:szCs w:val="24"/>
          <w:lang w:eastAsia="ar-SA"/>
        </w:rPr>
        <w:t xml:space="preserve">n European projects in this domain. </w:t>
      </w:r>
    </w:p>
    <w:p w:rsidR="00AB50C5" w:rsidRDefault="00724275">
      <w:pPr>
        <w:numPr>
          <w:ilvl w:val="0"/>
          <w:numId w:val="99"/>
        </w:numPr>
        <w:suppressAutoHyphens/>
        <w:spacing w:before="120" w:after="0" w:line="240" w:lineRule="auto"/>
        <w:ind w:left="360"/>
        <w:contextualSpacing/>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The problem is not the lack of treatment techniques and technologies, but rather how such schemes may become more efficient and implementable in conjunction with integrated water resources management. Currently there ar</w:t>
      </w:r>
      <w:r>
        <w:rPr>
          <w:rFonts w:ascii="Times New Roman" w:eastAsia="Times New Roman" w:hAnsi="Times New Roman" w:cs="Times New Roman"/>
          <w:noProof/>
          <w:sz w:val="24"/>
          <w:szCs w:val="24"/>
          <w:lang w:eastAsia="ar-SA"/>
        </w:rPr>
        <w:t xml:space="preserve">e no decision-making tools available to enable decision-makers and water resource users to view, assess and value different reuse and recycling technologies and approaches, and consider their respective advantages and disadvantages. </w:t>
      </w:r>
    </w:p>
    <w:p w:rsidR="00AB50C5" w:rsidRDefault="00724275">
      <w:pPr>
        <w:numPr>
          <w:ilvl w:val="0"/>
          <w:numId w:val="99"/>
        </w:numPr>
        <w:suppressAutoHyphens/>
        <w:spacing w:before="120" w:after="0" w:line="240" w:lineRule="auto"/>
        <w:ind w:left="360"/>
        <w:contextualSpacing/>
        <w:jc w:val="both"/>
        <w:rPr>
          <w:rFonts w:ascii="Times New Roman" w:eastAsia="Times New Roman" w:hAnsi="Times New Roman" w:cs="Times New Roman"/>
          <w:noProof/>
          <w:sz w:val="24"/>
          <w:szCs w:val="24"/>
          <w:lang w:eastAsia="ar-SA"/>
        </w:rPr>
      </w:pPr>
      <w:r>
        <w:rPr>
          <w:rFonts w:ascii="Times New Roman" w:eastAsia="Times New Roman" w:hAnsi="Times New Roman" w:cs="Calibri"/>
          <w:noProof/>
          <w:sz w:val="24"/>
          <w:szCs w:val="24"/>
          <w:lang w:eastAsia="en-GB"/>
        </w:rPr>
        <w:t>New more efficient and</w:t>
      </w:r>
      <w:r>
        <w:rPr>
          <w:rFonts w:ascii="Times New Roman" w:eastAsia="Times New Roman" w:hAnsi="Times New Roman" w:cs="Calibri"/>
          <w:noProof/>
          <w:sz w:val="24"/>
          <w:szCs w:val="24"/>
          <w:lang w:eastAsia="en-GB"/>
        </w:rPr>
        <w:t xml:space="preserve"> reliable treatment technologies are being developed. Membrane technologies, such as MBR, UF, MF, etc. are a proven and efficient barrier to pathogens, but their investment and O&amp;M costs are very high. In addition to the requirement for affordable cost </w:t>
      </w:r>
      <w:r>
        <w:rPr>
          <w:rFonts w:ascii="Times New Roman" w:eastAsia="Times New Roman" w:hAnsi="Times New Roman" w:cs="Calibri"/>
          <w:noProof/>
          <w:color w:val="000000"/>
          <w:sz w:val="24"/>
          <w:szCs w:val="24"/>
          <w:lang w:eastAsia="en-GB"/>
        </w:rPr>
        <w:t>and</w:t>
      </w:r>
      <w:r>
        <w:rPr>
          <w:rFonts w:ascii="Times New Roman" w:eastAsia="Times New Roman" w:hAnsi="Times New Roman" w:cs="Calibri"/>
          <w:noProof/>
          <w:color w:val="000000"/>
          <w:sz w:val="24"/>
          <w:szCs w:val="24"/>
          <w:lang w:eastAsia="en-GB"/>
        </w:rPr>
        <w:t xml:space="preserve"> easy maintenance, the new treatment technologies for reclamation and irrigation should be</w:t>
      </w:r>
      <w:r>
        <w:rPr>
          <w:rFonts w:ascii="Times New Roman" w:eastAsia="Times New Roman" w:hAnsi="Times New Roman" w:cs="Calibri"/>
          <w:noProof/>
          <w:sz w:val="24"/>
          <w:szCs w:val="24"/>
          <w:lang w:eastAsia="en-GB"/>
        </w:rPr>
        <w:t xml:space="preserve"> adapted for intermittent operation only during the period of irrigation, which is not the case of the majority of the available technologies nowadays. For example, t</w:t>
      </w:r>
      <w:r>
        <w:rPr>
          <w:rFonts w:ascii="Times New Roman" w:eastAsia="Times New Roman" w:hAnsi="Times New Roman" w:cs="Calibri"/>
          <w:noProof/>
          <w:sz w:val="24"/>
          <w:szCs w:val="24"/>
          <w:lang w:eastAsia="en-GB"/>
        </w:rPr>
        <w:t>he MARSOL (FP7) project</w:t>
      </w:r>
      <w:r>
        <w:rPr>
          <w:rFonts w:ascii="Times New Roman" w:eastAsia="Times New Roman" w:hAnsi="Times New Roman" w:cs="Calibri"/>
          <w:noProof/>
          <w:sz w:val="24"/>
          <w:szCs w:val="24"/>
          <w:vertAlign w:val="superscript"/>
          <w:lang w:eastAsia="en-GB"/>
        </w:rPr>
        <w:footnoteReference w:id="9"/>
      </w:r>
      <w:r>
        <w:rPr>
          <w:rFonts w:ascii="Times New Roman" w:eastAsia="Times New Roman" w:hAnsi="Times New Roman" w:cs="Calibri"/>
          <w:noProof/>
          <w:sz w:val="24"/>
          <w:szCs w:val="24"/>
          <w:lang w:eastAsia="en-GB"/>
        </w:rPr>
        <w:t xml:space="preserve"> demonstrated an application of a</w:t>
      </w:r>
      <w:r>
        <w:rPr>
          <w:rFonts w:ascii="Times New Roman" w:eastAsia="Times New Roman" w:hAnsi="Times New Roman" w:cs="Times New Roman"/>
          <w:noProof/>
          <w:sz w:val="24"/>
          <w:szCs w:val="24"/>
          <w:lang w:eastAsia="ar-SA"/>
        </w:rPr>
        <w:t xml:space="preserve"> sound, safe and sustainable strategy of Managed Aquifer Recharge (MAR) and shown that it can be applied with great confidence. The MAR approach demonstrated that</w:t>
      </w:r>
      <w:r>
        <w:rPr>
          <w:rFonts w:ascii="Times New Roman" w:eastAsia="Times New Roman" w:hAnsi="Times New Roman" w:cs="Calibri"/>
          <w:noProof/>
          <w:sz w:val="24"/>
          <w:szCs w:val="24"/>
          <w:lang w:eastAsia="en-GB"/>
        </w:rPr>
        <w:t xml:space="preserve"> </w:t>
      </w:r>
      <w:r>
        <w:rPr>
          <w:rFonts w:ascii="Times New Roman" w:eastAsia="Times New Roman" w:hAnsi="Times New Roman" w:cs="Times New Roman"/>
          <w:noProof/>
          <w:sz w:val="24"/>
          <w:szCs w:val="24"/>
          <w:lang w:eastAsia="ar-SA"/>
        </w:rPr>
        <w:t>the use of reclaimed water and other</w:t>
      </w:r>
      <w:r>
        <w:rPr>
          <w:rFonts w:ascii="Times New Roman" w:eastAsia="Times New Roman" w:hAnsi="Times New Roman" w:cs="Times New Roman"/>
          <w:noProof/>
          <w:sz w:val="24"/>
          <w:szCs w:val="24"/>
          <w:lang w:eastAsia="ar-SA"/>
        </w:rPr>
        <w:t xml:space="preserve"> alternative water sources in MAR can optimize water resources management in times of water shortage.</w:t>
      </w:r>
    </w:p>
    <w:p w:rsidR="00AB50C5" w:rsidRDefault="00724275">
      <w:pPr>
        <w:numPr>
          <w:ilvl w:val="0"/>
          <w:numId w:val="99"/>
        </w:numPr>
        <w:suppressAutoHyphens/>
        <w:spacing w:before="120" w:after="0" w:line="240" w:lineRule="auto"/>
        <w:ind w:left="360"/>
        <w:contextualSpacing/>
        <w:jc w:val="both"/>
        <w:rPr>
          <w:rFonts w:ascii="Times New Roman" w:eastAsia="Times New Roman" w:hAnsi="Times New Roman" w:cs="Times New Roman"/>
          <w:noProof/>
          <w:sz w:val="24"/>
          <w:szCs w:val="24"/>
          <w:lang w:eastAsia="ar-SA"/>
        </w:rPr>
      </w:pPr>
      <w:r>
        <w:rPr>
          <w:rFonts w:ascii="Times New Roman" w:eastAsia="Times New Roman" w:hAnsi="Times New Roman" w:cs="Calibri"/>
          <w:noProof/>
          <w:sz w:val="24"/>
          <w:szCs w:val="24"/>
          <w:lang w:eastAsia="en-GB"/>
        </w:rPr>
        <w:t>The further development of optimal technologies for the main categories of water reuse application still needs significant R&amp;I efforts and in-situ demonst</w:t>
      </w:r>
      <w:r>
        <w:rPr>
          <w:rFonts w:ascii="Times New Roman" w:eastAsia="Times New Roman" w:hAnsi="Times New Roman" w:cs="Calibri"/>
          <w:noProof/>
          <w:sz w:val="24"/>
          <w:szCs w:val="24"/>
          <w:lang w:eastAsia="en-GB"/>
        </w:rPr>
        <w:t xml:space="preserve">ration. Due to the small scale of the majority of water reuse projects for irrigation and aquifer recharge the investment in the development limited. </w:t>
      </w:r>
    </w:p>
    <w:p w:rsidR="00AB50C5" w:rsidRDefault="00724275">
      <w:pPr>
        <w:numPr>
          <w:ilvl w:val="0"/>
          <w:numId w:val="99"/>
        </w:numPr>
        <w:suppressAutoHyphens/>
        <w:spacing w:before="120" w:after="0" w:line="240" w:lineRule="auto"/>
        <w:ind w:left="360"/>
        <w:contextualSpacing/>
        <w:jc w:val="both"/>
        <w:rPr>
          <w:rFonts w:ascii="Times New Roman" w:eastAsia="Times New Roman" w:hAnsi="Times New Roman" w:cs="Times New Roman"/>
          <w:noProof/>
          <w:sz w:val="24"/>
          <w:szCs w:val="24"/>
          <w:lang w:eastAsia="ar-SA"/>
        </w:rPr>
      </w:pPr>
      <w:r>
        <w:rPr>
          <w:rFonts w:ascii="Times New Roman" w:eastAsia="Times New Roman" w:hAnsi="Times New Roman" w:cs="Calibri"/>
          <w:noProof/>
          <w:sz w:val="24"/>
          <w:szCs w:val="24"/>
          <w:lang w:eastAsia="en-GB"/>
        </w:rPr>
        <w:t>Monitoring, and in particular online monitoring of reclaimed water quality, presents major challenges. Af</w:t>
      </w:r>
      <w:r>
        <w:rPr>
          <w:rFonts w:ascii="Times New Roman" w:eastAsia="Times New Roman" w:hAnsi="Times New Roman" w:cs="Calibri"/>
          <w:noProof/>
          <w:sz w:val="24"/>
          <w:szCs w:val="24"/>
          <w:lang w:eastAsia="en-GB"/>
        </w:rPr>
        <w:t>fordable and easy to maintain sensors should be developed for monitoring of conventional parameters (turbidity, chlorine residual, conductivity, etc.), microbiological parameters (E. coli, coliphages, etc.) and emerging parameters and pathogens including s</w:t>
      </w:r>
      <w:r>
        <w:rPr>
          <w:rFonts w:ascii="Times New Roman" w:eastAsia="Times New Roman" w:hAnsi="Times New Roman" w:cs="Calibri"/>
          <w:noProof/>
          <w:sz w:val="24"/>
          <w:szCs w:val="24"/>
          <w:lang w:eastAsia="en-GB"/>
        </w:rPr>
        <w:t xml:space="preserve">urrogate monitoring and methods for broad spectrum analysis. </w:t>
      </w:r>
    </w:p>
    <w:p w:rsidR="00AB50C5" w:rsidRDefault="00AB50C5">
      <w:pPr>
        <w:suppressAutoHyphens/>
        <w:spacing w:before="120" w:after="0" w:line="240" w:lineRule="auto"/>
        <w:contextualSpacing/>
        <w:jc w:val="both"/>
        <w:rPr>
          <w:rFonts w:ascii="Times New Roman" w:eastAsia="Times New Roman" w:hAnsi="Times New Roman" w:cs="Times New Roman"/>
          <w:noProof/>
          <w:sz w:val="24"/>
          <w:szCs w:val="24"/>
          <w:lang w:eastAsia="ar-SA"/>
        </w:rPr>
      </w:pPr>
    </w:p>
    <w:p w:rsidR="00AB50C5" w:rsidRDefault="00AB50C5">
      <w:pPr>
        <w:suppressAutoHyphens/>
        <w:spacing w:before="120" w:after="0" w:line="240" w:lineRule="auto"/>
        <w:contextualSpacing/>
        <w:jc w:val="both"/>
        <w:rPr>
          <w:rFonts w:ascii="Times New Roman" w:eastAsia="Times New Roman" w:hAnsi="Times New Roman" w:cs="Times New Roman"/>
          <w:noProof/>
          <w:sz w:val="24"/>
          <w:szCs w:val="24"/>
          <w:lang w:eastAsia="ar-SA"/>
        </w:rPr>
      </w:pPr>
    </w:p>
    <w:p w:rsidR="00AB50C5" w:rsidRDefault="00724275">
      <w:pPr>
        <w:keepNext/>
        <w:numPr>
          <w:ilvl w:val="0"/>
          <w:numId w:val="89"/>
        </w:numPr>
        <w:suppressAutoHyphens/>
        <w:spacing w:before="120" w:after="0" w:line="240" w:lineRule="auto"/>
        <w:jc w:val="both"/>
        <w:outlineLvl w:val="0"/>
        <w:rPr>
          <w:rFonts w:ascii="Times New Roman" w:eastAsia="Times New Roman" w:hAnsi="Times New Roman" w:cs="Times New Roman"/>
          <w:b/>
          <w:bCs/>
          <w:smallCaps/>
          <w:noProof/>
          <w:sz w:val="24"/>
          <w:szCs w:val="32"/>
          <w:lang w:eastAsia="de-DE"/>
        </w:rPr>
      </w:pPr>
      <w:bookmarkStart w:id="126" w:name="_Toc493963512"/>
      <w:bookmarkStart w:id="127" w:name="_Toc516234793"/>
      <w:r>
        <w:rPr>
          <w:rFonts w:ascii="Times New Roman" w:eastAsia="Times New Roman" w:hAnsi="Times New Roman" w:cs="Times New Roman"/>
          <w:b/>
          <w:bCs/>
          <w:smallCaps/>
          <w:noProof/>
          <w:sz w:val="24"/>
          <w:szCs w:val="32"/>
          <w:lang w:eastAsia="de-DE"/>
        </w:rPr>
        <w:t>Conclusions and Recommendations</w:t>
      </w:r>
      <w:bookmarkEnd w:id="126"/>
      <w:bookmarkEnd w:id="127"/>
    </w:p>
    <w:p w:rsidR="00AB50C5" w:rsidRDefault="00724275">
      <w:pPr>
        <w:keepNext/>
        <w:numPr>
          <w:ilvl w:val="1"/>
          <w:numId w:val="89"/>
        </w:numPr>
        <w:suppressAutoHyphens/>
        <w:spacing w:before="120" w:after="240" w:line="240" w:lineRule="auto"/>
        <w:jc w:val="both"/>
        <w:outlineLvl w:val="1"/>
        <w:rPr>
          <w:rFonts w:ascii="Times New Roman" w:eastAsia="Times New Roman" w:hAnsi="Times New Roman" w:cs="Times New Roman"/>
          <w:b/>
          <w:bCs/>
          <w:iCs/>
          <w:noProof/>
          <w:sz w:val="24"/>
          <w:szCs w:val="28"/>
          <w:lang w:eastAsia="de-DE"/>
        </w:rPr>
      </w:pPr>
      <w:bookmarkStart w:id="128" w:name="_Toc493963513"/>
      <w:bookmarkStart w:id="129" w:name="_Toc516234794"/>
      <w:r>
        <w:rPr>
          <w:rFonts w:ascii="Times New Roman" w:eastAsia="Times New Roman" w:hAnsi="Times New Roman" w:cs="Times New Roman"/>
          <w:b/>
          <w:bCs/>
          <w:iCs/>
          <w:noProof/>
          <w:sz w:val="24"/>
          <w:szCs w:val="28"/>
          <w:lang w:eastAsia="de-DE"/>
        </w:rPr>
        <w:t>Conclusions and Recommendations concerning the new legislative instrument on minimum quality requirements for water reuse in agricultural irrigation and aquifer</w:t>
      </w:r>
      <w:r>
        <w:rPr>
          <w:rFonts w:ascii="Times New Roman" w:eastAsia="Times New Roman" w:hAnsi="Times New Roman" w:cs="Times New Roman"/>
          <w:b/>
          <w:bCs/>
          <w:iCs/>
          <w:noProof/>
          <w:sz w:val="24"/>
          <w:szCs w:val="28"/>
          <w:lang w:eastAsia="de-DE"/>
        </w:rPr>
        <w:t xml:space="preserve"> recharge</w:t>
      </w:r>
      <w:bookmarkEnd w:id="128"/>
      <w:bookmarkEnd w:id="129"/>
      <w:r>
        <w:rPr>
          <w:rFonts w:ascii="Times New Roman" w:eastAsia="Times New Roman" w:hAnsi="Times New Roman" w:cs="Times New Roman"/>
          <w:b/>
          <w:bCs/>
          <w:iCs/>
          <w:noProof/>
          <w:sz w:val="24"/>
          <w:szCs w:val="28"/>
          <w:lang w:eastAsia="de-DE"/>
        </w:rPr>
        <w:t xml:space="preserve">  </w:t>
      </w:r>
    </w:p>
    <w:p w:rsidR="00AB50C5" w:rsidRDefault="00724275">
      <w:pPr>
        <w:suppressAutoHyphens/>
        <w:spacing w:before="120" w:after="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In addition to the assessments as set out in section 3, experts also drew the following conclusions and recommendations:</w:t>
      </w:r>
    </w:p>
    <w:p w:rsidR="00AB50C5" w:rsidRDefault="00724275">
      <w:pPr>
        <w:numPr>
          <w:ilvl w:val="0"/>
          <w:numId w:val="107"/>
        </w:numPr>
        <w:suppressAutoHyphens/>
        <w:spacing w:before="120" w:after="0" w:line="240" w:lineRule="auto"/>
        <w:ind w:left="357" w:hanging="357"/>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4"/>
          <w:lang w:eastAsia="ar-SA"/>
        </w:rPr>
        <w:t>The EU has the potential to become a leader in the water reuse field, instead of following foreign developments. It would c</w:t>
      </w:r>
      <w:r>
        <w:rPr>
          <w:rFonts w:ascii="Times New Roman" w:eastAsia="Times New Roman" w:hAnsi="Times New Roman" w:cs="Times New Roman"/>
          <w:noProof/>
          <w:sz w:val="24"/>
          <w:szCs w:val="24"/>
          <w:lang w:eastAsia="ar-SA"/>
        </w:rPr>
        <w:t>ontribute to the EU competitiveness, innovation, and global technological leadership.</w:t>
      </w:r>
    </w:p>
    <w:p w:rsidR="00AB50C5" w:rsidRDefault="00724275">
      <w:pPr>
        <w:numPr>
          <w:ilvl w:val="0"/>
          <w:numId w:val="107"/>
        </w:numPr>
        <w:suppressAutoHyphens/>
        <w:spacing w:before="120" w:after="0" w:line="240" w:lineRule="auto"/>
        <w:ind w:left="357" w:hanging="357"/>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For the development of an efficient and widely applicable European legislation in the field of water reuse three criteria should be met: effectiveness from the perspectiv</w:t>
      </w:r>
      <w:r>
        <w:rPr>
          <w:rFonts w:ascii="Times New Roman" w:eastAsia="Times New Roman" w:hAnsi="Times New Roman" w:cs="Times New Roman"/>
          <w:noProof/>
          <w:sz w:val="24"/>
          <w:szCs w:val="20"/>
          <w:lang w:eastAsia="en-GB"/>
        </w:rPr>
        <w:t xml:space="preserve">e of the protection of public health and the environment, the affordability of practical application and the implementation of the latest advance in science and practice. </w:t>
      </w:r>
    </w:p>
    <w:p w:rsidR="00AB50C5" w:rsidRDefault="00724275">
      <w:pPr>
        <w:numPr>
          <w:ilvl w:val="0"/>
          <w:numId w:val="107"/>
        </w:numPr>
        <w:suppressAutoHyphens/>
        <w:spacing w:before="120" w:after="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There is a need to have an innovation-friendly legislation. Minimum quality requirem</w:t>
      </w:r>
      <w:r>
        <w:rPr>
          <w:rFonts w:ascii="Times New Roman" w:eastAsia="Times New Roman" w:hAnsi="Times New Roman" w:cs="Times New Roman"/>
          <w:noProof/>
          <w:sz w:val="24"/>
          <w:szCs w:val="20"/>
          <w:lang w:eastAsia="en-GB"/>
        </w:rPr>
        <w:t xml:space="preserve">ents for reclaimed water are likely to incentivise further innovation in this field. However too stringent quality requirements can be counterproductive and kill water reuse practice and related market opportunities. </w:t>
      </w:r>
    </w:p>
    <w:p w:rsidR="00AB50C5" w:rsidRDefault="00724275">
      <w:pPr>
        <w:numPr>
          <w:ilvl w:val="0"/>
          <w:numId w:val="107"/>
        </w:numPr>
        <w:suppressAutoHyphens/>
        <w:spacing w:before="120" w:after="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A combination of limit values for sele</w:t>
      </w:r>
      <w:r>
        <w:rPr>
          <w:rFonts w:ascii="Times New Roman" w:eastAsia="Times New Roman" w:hAnsi="Times New Roman" w:cs="Times New Roman"/>
          <w:noProof/>
          <w:sz w:val="24"/>
          <w:szCs w:val="20"/>
          <w:lang w:eastAsia="en-GB"/>
        </w:rPr>
        <w:t>cted quality parameters and risk management is the way to go. The decision which aspects of reclaimed water quality will be regulated through parametric limit values and which well be subject of risk management will be critical to the effectiveness and eff</w:t>
      </w:r>
      <w:r>
        <w:rPr>
          <w:rFonts w:ascii="Times New Roman" w:eastAsia="Times New Roman" w:hAnsi="Times New Roman" w:cs="Times New Roman"/>
          <w:noProof/>
          <w:sz w:val="24"/>
          <w:szCs w:val="20"/>
          <w:lang w:eastAsia="en-GB"/>
        </w:rPr>
        <w:t>iciency of the legislation.</w:t>
      </w:r>
    </w:p>
    <w:p w:rsidR="00AB50C5" w:rsidRDefault="00724275">
      <w:pPr>
        <w:numPr>
          <w:ilvl w:val="0"/>
          <w:numId w:val="107"/>
        </w:numPr>
        <w:suppressAutoHyphens/>
        <w:spacing w:before="120" w:after="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 xml:space="preserve">Limit values and the scope of parameters should be dynamic and allow for adaptation to progress in scientific knowledge and technological development. </w:t>
      </w:r>
    </w:p>
    <w:p w:rsidR="00AB50C5" w:rsidRDefault="00724275">
      <w:pPr>
        <w:numPr>
          <w:ilvl w:val="0"/>
          <w:numId w:val="107"/>
        </w:numPr>
        <w:suppressAutoHyphens/>
        <w:spacing w:before="120" w:after="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Risk management should be effectively promoted by the new legislation. The l</w:t>
      </w:r>
      <w:r>
        <w:rPr>
          <w:rFonts w:ascii="Times New Roman" w:eastAsia="Times New Roman" w:hAnsi="Times New Roman" w:cs="Times New Roman"/>
          <w:noProof/>
          <w:sz w:val="24"/>
          <w:szCs w:val="24"/>
          <w:lang w:eastAsia="ar-SA"/>
        </w:rPr>
        <w:t xml:space="preserve">egislation should set essential requirements of risk management system for water reuse but the application and adaptation to the local conditions has to be left to local actors. </w:t>
      </w:r>
    </w:p>
    <w:p w:rsidR="00AB50C5" w:rsidRDefault="00724275">
      <w:pPr>
        <w:numPr>
          <w:ilvl w:val="0"/>
          <w:numId w:val="107"/>
        </w:numPr>
        <w:suppressAutoHyphens/>
        <w:spacing w:before="120" w:after="0" w:line="240" w:lineRule="auto"/>
        <w:jc w:val="both"/>
        <w:rPr>
          <w:rFonts w:ascii="Times New Roman" w:eastAsia="Times New Roman" w:hAnsi="Times New Roman" w:cs="Times New Roman"/>
          <w:noProof/>
          <w:sz w:val="24"/>
          <w:szCs w:val="20"/>
          <w:lang w:eastAsia="en-GB"/>
        </w:rPr>
      </w:pPr>
      <w:r>
        <w:rPr>
          <w:rFonts w:ascii="Times New Roman" w:eastAsia="Times New Roman" w:hAnsi="Times New Roman" w:cs="Times New Roman"/>
          <w:noProof/>
          <w:sz w:val="24"/>
          <w:szCs w:val="20"/>
          <w:lang w:eastAsia="en-GB"/>
        </w:rPr>
        <w:t>The discussion also pointed to a communication challenge and experts recommen</w:t>
      </w:r>
      <w:r>
        <w:rPr>
          <w:rFonts w:ascii="Times New Roman" w:eastAsia="Times New Roman" w:hAnsi="Times New Roman" w:cs="Times New Roman"/>
          <w:noProof/>
          <w:sz w:val="24"/>
          <w:szCs w:val="20"/>
          <w:lang w:eastAsia="en-GB"/>
        </w:rPr>
        <w:t>d using the terms "reclaimed water" rather than "treated waste water" which are too negatively connoted.</w:t>
      </w:r>
    </w:p>
    <w:p w:rsidR="00AB50C5" w:rsidRDefault="00724275">
      <w:pPr>
        <w:numPr>
          <w:ilvl w:val="0"/>
          <w:numId w:val="107"/>
        </w:numPr>
        <w:suppressAutoHyphens/>
        <w:spacing w:before="120" w:after="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Due to the lack of information on health or environmental risks of the existing water reuse projects in Europe and worldwide it will be difficult to es</w:t>
      </w:r>
      <w:r>
        <w:rPr>
          <w:rFonts w:ascii="Times New Roman" w:eastAsia="Times New Roman" w:hAnsi="Times New Roman" w:cs="Times New Roman"/>
          <w:noProof/>
          <w:sz w:val="24"/>
          <w:szCs w:val="24"/>
          <w:lang w:eastAsia="ar-SA"/>
        </w:rPr>
        <w:t>tablish a realistic baseline for evaluation of the impacts of this initiative. To retrieve reliable and up-to-date information from existing and planned water reuse schemes new R&amp;I projects should be considered.</w:t>
      </w:r>
    </w:p>
    <w:p w:rsidR="00AB50C5" w:rsidRDefault="00AB50C5">
      <w:pPr>
        <w:suppressAutoHyphens/>
        <w:spacing w:before="120" w:after="120" w:line="240" w:lineRule="auto"/>
        <w:jc w:val="both"/>
        <w:rPr>
          <w:rFonts w:ascii="Times New Roman" w:eastAsia="Times New Roman" w:hAnsi="Times New Roman" w:cs="Times New Roman"/>
          <w:noProof/>
          <w:sz w:val="24"/>
          <w:szCs w:val="24"/>
          <w:lang w:eastAsia="ar-SA"/>
        </w:rPr>
      </w:pPr>
    </w:p>
    <w:p w:rsidR="00AB50C5" w:rsidRDefault="00724275">
      <w:pPr>
        <w:suppressAutoHyphens/>
        <w:spacing w:before="120" w:after="120" w:line="240" w:lineRule="auto"/>
        <w:jc w:val="both"/>
        <w:rPr>
          <w:rFonts w:ascii="Times New Roman" w:eastAsia="Times New Roman" w:hAnsi="Times New Roman" w:cs="Times New Roman"/>
          <w:b/>
          <w:noProof/>
          <w:sz w:val="24"/>
          <w:szCs w:val="24"/>
          <w:lang w:eastAsia="ar-SA"/>
        </w:rPr>
      </w:pPr>
      <w:r>
        <w:rPr>
          <w:rFonts w:ascii="Times New Roman" w:eastAsia="Times New Roman" w:hAnsi="Times New Roman" w:cs="Times New Roman"/>
          <w:b/>
          <w:noProof/>
          <w:sz w:val="24"/>
          <w:szCs w:val="24"/>
          <w:lang w:eastAsia="ar-SA"/>
        </w:rPr>
        <w:t xml:space="preserve">Specific recommendation for drafting the </w:t>
      </w:r>
      <w:r>
        <w:rPr>
          <w:rFonts w:ascii="Times New Roman" w:eastAsia="Times New Roman" w:hAnsi="Times New Roman" w:cs="Times New Roman"/>
          <w:b/>
          <w:noProof/>
          <w:sz w:val="24"/>
          <w:szCs w:val="24"/>
          <w:lang w:eastAsia="ar-SA"/>
        </w:rPr>
        <w:t>legislative text:</w:t>
      </w:r>
    </w:p>
    <w:p w:rsidR="00AB50C5" w:rsidRDefault="00724275">
      <w:pPr>
        <w:numPr>
          <w:ilvl w:val="0"/>
          <w:numId w:val="99"/>
        </w:numPr>
        <w:suppressAutoHyphens/>
        <w:spacing w:before="120" w:after="0" w:line="240" w:lineRule="auto"/>
        <w:ind w:left="360"/>
        <w:contextualSpacing/>
        <w:jc w:val="both"/>
        <w:rPr>
          <w:rFonts w:ascii="Times New Roman" w:eastAsia="Times New Roman" w:hAnsi="Times New Roman" w:cs="Calibri"/>
          <w:noProof/>
          <w:sz w:val="24"/>
          <w:szCs w:val="24"/>
          <w:lang w:eastAsia="en-GB"/>
        </w:rPr>
      </w:pPr>
      <w:r>
        <w:rPr>
          <w:rFonts w:ascii="Times New Roman" w:eastAsia="Times New Roman" w:hAnsi="Times New Roman" w:cs="Calibri"/>
          <w:noProof/>
          <w:sz w:val="24"/>
          <w:szCs w:val="24"/>
          <w:lang w:eastAsia="en-GB"/>
        </w:rPr>
        <w:t>Introduce flexible and dynamic requirements for regulating selected parameters and their limit values, e.g. through the regular review mechanism;</w:t>
      </w:r>
    </w:p>
    <w:p w:rsidR="00AB50C5" w:rsidRDefault="00724275">
      <w:pPr>
        <w:numPr>
          <w:ilvl w:val="0"/>
          <w:numId w:val="99"/>
        </w:numPr>
        <w:suppressAutoHyphens/>
        <w:spacing w:before="120" w:after="0" w:line="240" w:lineRule="auto"/>
        <w:ind w:left="360"/>
        <w:contextualSpacing/>
        <w:jc w:val="both"/>
        <w:rPr>
          <w:rFonts w:ascii="Times New Roman" w:eastAsia="Times New Roman" w:hAnsi="Times New Roman" w:cs="Calibri"/>
          <w:noProof/>
          <w:sz w:val="24"/>
          <w:szCs w:val="24"/>
          <w:lang w:eastAsia="en-GB"/>
        </w:rPr>
      </w:pPr>
      <w:r>
        <w:rPr>
          <w:rFonts w:ascii="Times New Roman" w:eastAsia="Times New Roman" w:hAnsi="Times New Roman" w:cs="Calibri"/>
          <w:noProof/>
          <w:sz w:val="24"/>
          <w:szCs w:val="24"/>
          <w:lang w:eastAsia="en-GB"/>
        </w:rPr>
        <w:t xml:space="preserve">Set essential requirements for RMA-H and RMA-E and dynamic requirements for specific </w:t>
      </w:r>
      <w:r>
        <w:rPr>
          <w:rFonts w:ascii="Times New Roman" w:eastAsia="Times New Roman" w:hAnsi="Times New Roman" w:cs="Calibri"/>
          <w:noProof/>
          <w:sz w:val="24"/>
          <w:szCs w:val="24"/>
          <w:lang w:eastAsia="en-GB"/>
        </w:rPr>
        <w:t>requirements, e.g. through the review mechanism;</w:t>
      </w:r>
    </w:p>
    <w:p w:rsidR="00AB50C5" w:rsidRDefault="00724275">
      <w:pPr>
        <w:numPr>
          <w:ilvl w:val="0"/>
          <w:numId w:val="99"/>
        </w:numPr>
        <w:suppressAutoHyphens/>
        <w:spacing w:before="120" w:after="0" w:line="240" w:lineRule="auto"/>
        <w:ind w:left="360"/>
        <w:contextualSpacing/>
        <w:jc w:val="both"/>
        <w:rPr>
          <w:rFonts w:ascii="Times New Roman" w:eastAsia="Times New Roman" w:hAnsi="Times New Roman" w:cs="Calibri"/>
          <w:noProof/>
          <w:sz w:val="24"/>
          <w:szCs w:val="24"/>
          <w:lang w:eastAsia="en-GB"/>
        </w:rPr>
      </w:pPr>
      <w:r>
        <w:rPr>
          <w:rFonts w:ascii="Times New Roman" w:eastAsia="Times New Roman" w:hAnsi="Times New Roman" w:cs="Calibri"/>
          <w:noProof/>
          <w:sz w:val="24"/>
          <w:szCs w:val="24"/>
          <w:lang w:eastAsia="en-GB"/>
        </w:rPr>
        <w:t>Set the dynamic minimum technology requirements and foresee their review to adapt them to technological development;</w:t>
      </w:r>
    </w:p>
    <w:p w:rsidR="00AB50C5" w:rsidRDefault="00724275">
      <w:pPr>
        <w:numPr>
          <w:ilvl w:val="0"/>
          <w:numId w:val="99"/>
        </w:numPr>
        <w:suppressAutoHyphens/>
        <w:spacing w:before="120" w:after="0" w:line="240" w:lineRule="auto"/>
        <w:ind w:left="360"/>
        <w:contextualSpacing/>
        <w:jc w:val="both"/>
        <w:rPr>
          <w:rFonts w:ascii="Times New Roman" w:eastAsia="Times New Roman" w:hAnsi="Times New Roman" w:cs="Calibri"/>
          <w:noProof/>
          <w:sz w:val="24"/>
          <w:szCs w:val="24"/>
          <w:lang w:eastAsia="en-GB"/>
        </w:rPr>
      </w:pPr>
      <w:r>
        <w:rPr>
          <w:rFonts w:ascii="Times New Roman" w:eastAsia="Times New Roman" w:hAnsi="Times New Roman" w:cs="Calibri"/>
          <w:noProof/>
          <w:sz w:val="24"/>
          <w:szCs w:val="24"/>
          <w:lang w:eastAsia="en-GB"/>
        </w:rPr>
        <w:t>Set the dynamic monitoring requirements that will open the possibility for the online moni</w:t>
      </w:r>
      <w:r>
        <w:rPr>
          <w:rFonts w:ascii="Times New Roman" w:eastAsia="Times New Roman" w:hAnsi="Times New Roman" w:cs="Calibri"/>
          <w:noProof/>
          <w:sz w:val="24"/>
          <w:szCs w:val="24"/>
          <w:lang w:eastAsia="en-GB"/>
        </w:rPr>
        <w:t>toring techniques provided that the online method has proven its equivalency e.g. through Environmental Technology Verification (ETV). Remove suboptimal monitoring methods in the future, e.g. by a sunset clause;</w:t>
      </w:r>
    </w:p>
    <w:p w:rsidR="00AB50C5" w:rsidRDefault="00724275">
      <w:pPr>
        <w:numPr>
          <w:ilvl w:val="0"/>
          <w:numId w:val="99"/>
        </w:numPr>
        <w:suppressAutoHyphens/>
        <w:spacing w:before="120" w:after="0" w:line="240" w:lineRule="auto"/>
        <w:ind w:left="360"/>
        <w:contextualSpacing/>
        <w:jc w:val="both"/>
        <w:rPr>
          <w:rFonts w:ascii="Times New Roman" w:eastAsia="Times New Roman" w:hAnsi="Times New Roman" w:cs="Calibri"/>
          <w:noProof/>
          <w:sz w:val="24"/>
          <w:szCs w:val="24"/>
          <w:lang w:eastAsia="en-GB"/>
        </w:rPr>
      </w:pPr>
      <w:r>
        <w:rPr>
          <w:rFonts w:ascii="Times New Roman" w:eastAsia="Times New Roman" w:hAnsi="Times New Roman" w:cs="Calibri"/>
          <w:noProof/>
          <w:sz w:val="24"/>
          <w:szCs w:val="24"/>
          <w:lang w:eastAsia="en-GB"/>
        </w:rPr>
        <w:t>Establish the requirement for a Life-Cycle A</w:t>
      </w:r>
      <w:r>
        <w:rPr>
          <w:rFonts w:ascii="Times New Roman" w:eastAsia="Times New Roman" w:hAnsi="Times New Roman" w:cs="Calibri"/>
          <w:noProof/>
          <w:sz w:val="24"/>
          <w:szCs w:val="24"/>
          <w:lang w:eastAsia="en-GB"/>
        </w:rPr>
        <w:t>ssessment (LCA) for each water reuse scheme and in particular the requirement to demonstrate environmental benefits by providing Key Performance Indicators (KPI).</w:t>
      </w:r>
    </w:p>
    <w:p w:rsidR="00AB50C5" w:rsidRDefault="00AB50C5">
      <w:pPr>
        <w:suppressAutoHyphens/>
        <w:spacing w:before="120" w:after="0" w:line="240" w:lineRule="auto"/>
        <w:jc w:val="both"/>
        <w:rPr>
          <w:rFonts w:ascii="Times New Roman" w:eastAsia="Times New Roman" w:hAnsi="Times New Roman" w:cs="Times New Roman"/>
          <w:b/>
          <w:smallCaps/>
          <w:noProof/>
          <w:sz w:val="24"/>
          <w:szCs w:val="24"/>
          <w:lang w:eastAsia="ar-SA"/>
        </w:rPr>
      </w:pPr>
    </w:p>
    <w:p w:rsidR="00AB50C5" w:rsidRDefault="00724275">
      <w:pPr>
        <w:keepNext/>
        <w:numPr>
          <w:ilvl w:val="1"/>
          <w:numId w:val="89"/>
        </w:numPr>
        <w:suppressAutoHyphens/>
        <w:spacing w:before="120" w:after="240" w:line="240" w:lineRule="auto"/>
        <w:jc w:val="both"/>
        <w:outlineLvl w:val="1"/>
        <w:rPr>
          <w:rFonts w:ascii="Times New Roman" w:eastAsia="Times New Roman" w:hAnsi="Times New Roman" w:cs="Times New Roman"/>
          <w:b/>
          <w:bCs/>
          <w:iCs/>
          <w:noProof/>
          <w:sz w:val="24"/>
          <w:szCs w:val="28"/>
          <w:lang w:eastAsia="de-DE"/>
        </w:rPr>
      </w:pPr>
      <w:bookmarkStart w:id="130" w:name="_Toc493963514"/>
      <w:bookmarkStart w:id="131" w:name="_Toc516234795"/>
      <w:r>
        <w:rPr>
          <w:rFonts w:ascii="Times New Roman" w:eastAsia="Times New Roman" w:hAnsi="Times New Roman" w:cs="Times New Roman"/>
          <w:b/>
          <w:bCs/>
          <w:iCs/>
          <w:noProof/>
          <w:sz w:val="24"/>
          <w:szCs w:val="28"/>
          <w:lang w:eastAsia="de-DE"/>
        </w:rPr>
        <w:t>Broader Policy Recommendations</w:t>
      </w:r>
      <w:bookmarkEnd w:id="130"/>
      <w:bookmarkEnd w:id="131"/>
      <w:r>
        <w:rPr>
          <w:rFonts w:ascii="Times New Roman" w:eastAsia="Times New Roman" w:hAnsi="Times New Roman" w:cs="Times New Roman"/>
          <w:b/>
          <w:bCs/>
          <w:iCs/>
          <w:noProof/>
          <w:sz w:val="24"/>
          <w:szCs w:val="28"/>
          <w:lang w:eastAsia="de-DE"/>
        </w:rPr>
        <w:t xml:space="preserve"> </w:t>
      </w:r>
    </w:p>
    <w:p w:rsidR="00AB50C5" w:rsidRDefault="00724275">
      <w:pPr>
        <w:suppressAutoHyphens/>
        <w:spacing w:before="120" w:after="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In addition to the assessment of options for the future EU l</w:t>
      </w:r>
      <w:r>
        <w:rPr>
          <w:rFonts w:ascii="Times New Roman" w:eastAsia="Times New Roman" w:hAnsi="Times New Roman" w:cs="Times New Roman"/>
          <w:noProof/>
          <w:sz w:val="24"/>
          <w:szCs w:val="24"/>
          <w:lang w:eastAsia="ar-SA"/>
        </w:rPr>
        <w:t>egislative instruments analysed for their innovation friendliness, the experts made, in the course of discussion, the following general recommendations on the broader policy context in which this new legislative will be implemented:</w:t>
      </w:r>
    </w:p>
    <w:p w:rsidR="00AB50C5" w:rsidRDefault="00724275">
      <w:pPr>
        <w:numPr>
          <w:ilvl w:val="0"/>
          <w:numId w:val="106"/>
        </w:numPr>
        <w:suppressAutoHyphens/>
        <w:spacing w:before="120" w:after="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When addressing water r</w:t>
      </w:r>
      <w:r>
        <w:rPr>
          <w:rFonts w:ascii="Times New Roman" w:eastAsia="Times New Roman" w:hAnsi="Times New Roman" w:cs="Times New Roman"/>
          <w:noProof/>
          <w:sz w:val="24"/>
          <w:szCs w:val="24"/>
          <w:lang w:eastAsia="ar-SA"/>
        </w:rPr>
        <w:t xml:space="preserve">euse a holistic approach is needed. The whole value chain of water reuse should be considered from a systemic point of view, looking beyond environmental, health and trade aspects. </w:t>
      </w:r>
    </w:p>
    <w:p w:rsidR="00AB50C5" w:rsidRDefault="00724275">
      <w:pPr>
        <w:numPr>
          <w:ilvl w:val="0"/>
          <w:numId w:val="106"/>
        </w:numPr>
        <w:suppressAutoHyphens/>
        <w:spacing w:before="120" w:after="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Any water reuse initiative needs to be also put in the context of the inte</w:t>
      </w:r>
      <w:r>
        <w:rPr>
          <w:rFonts w:ascii="Times New Roman" w:eastAsia="Times New Roman" w:hAnsi="Times New Roman" w:cs="Times New Roman"/>
          <w:noProof/>
          <w:sz w:val="24"/>
          <w:szCs w:val="24"/>
          <w:lang w:eastAsia="ar-SA"/>
        </w:rPr>
        <w:t xml:space="preserve">raction of water policy with other policy areas. For example, the relationship water-energy (nexus) should also be considered. </w:t>
      </w:r>
    </w:p>
    <w:p w:rsidR="00AB50C5" w:rsidRDefault="00724275">
      <w:pPr>
        <w:numPr>
          <w:ilvl w:val="0"/>
          <w:numId w:val="106"/>
        </w:numPr>
        <w:suppressAutoHyphens/>
        <w:spacing w:before="120" w:after="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The present water reuse legislative initiative focuses on the use of reclaimed water in agriculture and groundwater recharge. In</w:t>
      </w:r>
      <w:r>
        <w:rPr>
          <w:rFonts w:ascii="Times New Roman" w:eastAsia="Times New Roman" w:hAnsi="Times New Roman" w:cs="Times New Roman"/>
          <w:noProof/>
          <w:sz w:val="24"/>
          <w:szCs w:val="24"/>
          <w:lang w:eastAsia="ar-SA"/>
        </w:rPr>
        <w:t xml:space="preserve"> the future it will be equally important to address water reuse for other purposes such as urban uses, industrial uses, etc.</w:t>
      </w:r>
    </w:p>
    <w:p w:rsidR="00AB50C5" w:rsidRDefault="00724275">
      <w:pPr>
        <w:numPr>
          <w:ilvl w:val="0"/>
          <w:numId w:val="106"/>
        </w:numPr>
        <w:suppressAutoHyphens/>
        <w:spacing w:before="120" w:after="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Water reuse legislation will interact with other legislative instruments such as the Urban Waste Water Directive and the Environmental Quality Standards Directive. Water reuse needs to be considered in the upcoming review of different pieces of EU water le</w:t>
      </w:r>
      <w:r>
        <w:rPr>
          <w:rFonts w:ascii="Times New Roman" w:eastAsia="Times New Roman" w:hAnsi="Times New Roman" w:cs="Times New Roman"/>
          <w:noProof/>
          <w:sz w:val="24"/>
          <w:szCs w:val="24"/>
          <w:lang w:eastAsia="ar-SA"/>
        </w:rPr>
        <w:t xml:space="preserve">gislation. </w:t>
      </w:r>
    </w:p>
    <w:p w:rsidR="00AB50C5" w:rsidRDefault="00724275">
      <w:pPr>
        <w:numPr>
          <w:ilvl w:val="0"/>
          <w:numId w:val="106"/>
        </w:numPr>
        <w:suppressAutoHyphens/>
        <w:spacing w:before="120" w:after="0" w:line="240" w:lineRule="auto"/>
        <w:contextualSpacing/>
        <w:jc w:val="both"/>
        <w:rPr>
          <w:rFonts w:ascii="Times New Roman" w:eastAsia="Times New Roman" w:hAnsi="Times New Roman" w:cs="Calibri"/>
          <w:noProof/>
          <w:sz w:val="24"/>
          <w:szCs w:val="24"/>
          <w:lang w:eastAsia="en-GB"/>
        </w:rPr>
      </w:pPr>
      <w:r>
        <w:rPr>
          <w:rFonts w:ascii="Times New Roman" w:eastAsia="Times New Roman" w:hAnsi="Times New Roman" w:cs="Calibri"/>
          <w:noProof/>
          <w:sz w:val="24"/>
          <w:szCs w:val="24"/>
          <w:lang w:eastAsia="en-GB"/>
        </w:rPr>
        <w:t>Emerging pollutants should be regulated at appropriate level. Parameters like antibiotic resistance, microplastics, nanoparticles, etc. are not of specific concern for water reuse and should be identified in the context of other, more global EU</w:t>
      </w:r>
      <w:r>
        <w:rPr>
          <w:rFonts w:ascii="Times New Roman" w:eastAsia="Times New Roman" w:hAnsi="Times New Roman" w:cs="Calibri"/>
          <w:noProof/>
          <w:sz w:val="24"/>
          <w:szCs w:val="24"/>
          <w:lang w:eastAsia="en-GB"/>
        </w:rPr>
        <w:t xml:space="preserve"> legislation, e.g. the Water Framework Directive and its daughter directives.</w:t>
      </w:r>
    </w:p>
    <w:p w:rsidR="00AB50C5" w:rsidRDefault="00724275">
      <w:pPr>
        <w:numPr>
          <w:ilvl w:val="0"/>
          <w:numId w:val="106"/>
        </w:numPr>
        <w:suppressAutoHyphens/>
        <w:spacing w:before="120" w:after="0" w:line="240" w:lineRule="auto"/>
        <w:jc w:val="both"/>
        <w:rPr>
          <w:rFonts w:ascii="Times New Roman" w:eastAsia="Times New Roman" w:hAnsi="Times New Roman" w:cs="Times New Roman"/>
          <w:noProof/>
          <w:sz w:val="24"/>
          <w:szCs w:val="24"/>
          <w:lang w:eastAsia="ar-SA"/>
        </w:rPr>
      </w:pPr>
      <w:r>
        <w:rPr>
          <w:rFonts w:ascii="Times New Roman" w:eastAsia="Times New Roman" w:hAnsi="Times New Roman" w:cs="Times New Roman"/>
          <w:noProof/>
          <w:sz w:val="24"/>
          <w:szCs w:val="24"/>
          <w:lang w:eastAsia="ar-SA"/>
        </w:rPr>
        <w:t>To support the implementation of this new EU legislation, there is a need to develop an EU network or a platform to valorise and exploit European R&amp;I projects’ results and to fac</w:t>
      </w:r>
      <w:r>
        <w:rPr>
          <w:rFonts w:ascii="Times New Roman" w:eastAsia="Times New Roman" w:hAnsi="Times New Roman" w:cs="Times New Roman"/>
          <w:noProof/>
          <w:sz w:val="24"/>
          <w:szCs w:val="24"/>
          <w:lang w:eastAsia="ar-SA"/>
        </w:rPr>
        <w:t>ilitate practical application of projects as currently their uptake and upscaling is very low.</w:t>
      </w:r>
    </w:p>
    <w:p w:rsidR="00AB50C5" w:rsidRDefault="00AB50C5">
      <w:pPr>
        <w:suppressAutoHyphens/>
        <w:spacing w:before="120" w:after="0" w:line="259" w:lineRule="auto"/>
        <w:contextualSpacing/>
        <w:jc w:val="both"/>
        <w:rPr>
          <w:rFonts w:ascii="Times New Roman" w:eastAsia="Times New Roman" w:hAnsi="Times New Roman" w:cs="Times New Roman"/>
          <w:noProof/>
          <w:sz w:val="24"/>
          <w:szCs w:val="24"/>
          <w:lang w:val="en" w:eastAsia="ar-SA"/>
        </w:rPr>
      </w:pPr>
    </w:p>
    <w:p w:rsidR="00AB50C5" w:rsidRDefault="00AB50C5">
      <w:pPr>
        <w:keepNext/>
        <w:spacing w:before="120" w:after="120" w:line="240" w:lineRule="auto"/>
        <w:jc w:val="both"/>
        <w:outlineLvl w:val="1"/>
        <w:rPr>
          <w:rFonts w:ascii="Times New Roman" w:eastAsia="Times New Roman" w:hAnsi="Times New Roman" w:cs="Times New Roman"/>
          <w:b/>
          <w:bCs/>
          <w:iCs/>
          <w:noProof/>
          <w:sz w:val="24"/>
          <w:szCs w:val="28"/>
          <w:lang w:val="en" w:eastAsia="de-DE"/>
        </w:rPr>
        <w:sectPr w:rsidR="00AB50C5">
          <w:headerReference w:type="even" r:id="rId45"/>
          <w:headerReference w:type="default" r:id="rId46"/>
          <w:footerReference w:type="even" r:id="rId47"/>
          <w:footerReference w:type="default" r:id="rId48"/>
          <w:headerReference w:type="first" r:id="rId49"/>
          <w:footerReference w:type="first" r:id="rId50"/>
          <w:endnotePr>
            <w:numFmt w:val="decimal"/>
          </w:endnotePr>
          <w:pgSz w:w="11906" w:h="16838" w:code="9"/>
          <w:pgMar w:top="1417" w:right="1417" w:bottom="1417" w:left="1417" w:header="708" w:footer="708" w:gutter="0"/>
          <w:cols w:space="708"/>
          <w:docGrid w:linePitch="360"/>
        </w:sectPr>
      </w:pPr>
      <w:bookmarkStart w:id="132" w:name="_Toc494034266"/>
      <w:bookmarkStart w:id="133" w:name="_Toc507407448"/>
    </w:p>
    <w:p w:rsidR="00AB50C5" w:rsidRDefault="00724275">
      <w:pPr>
        <w:pStyle w:val="Annexes"/>
      </w:pPr>
      <w:bookmarkStart w:id="134" w:name="_Toc516234796"/>
      <w:r>
        <w:t>Annex 9 - Assessment of territorial impacts</w:t>
      </w:r>
      <w:bookmarkEnd w:id="132"/>
      <w:r>
        <w:rPr>
          <w:rStyle w:val="FootnoteReference"/>
          <w:bCs/>
          <w:iCs/>
        </w:rPr>
        <w:footnoteReference w:id="10"/>
      </w:r>
      <w:bookmarkEnd w:id="133"/>
      <w:bookmarkEnd w:id="134"/>
    </w:p>
    <w:p w:rsidR="00AB50C5" w:rsidRDefault="00AB50C5">
      <w:pPr>
        <w:jc w:val="center"/>
        <w:rPr>
          <w:rFonts w:ascii="Times New Roman" w:hAnsi="Times New Roman" w:cs="Times New Roman"/>
          <w:b/>
          <w:noProof/>
          <w:sz w:val="28"/>
          <w:szCs w:val="28"/>
        </w:rPr>
      </w:pPr>
    </w:p>
    <w:p w:rsidR="00AB50C5" w:rsidRDefault="00724275">
      <w:pPr>
        <w:jc w:val="center"/>
        <w:rPr>
          <w:rFonts w:ascii="Times New Roman" w:hAnsi="Times New Roman" w:cs="Times New Roman"/>
          <w:b/>
          <w:noProof/>
          <w:sz w:val="28"/>
          <w:szCs w:val="28"/>
        </w:rPr>
      </w:pPr>
      <w:r>
        <w:rPr>
          <w:rFonts w:ascii="Times New Roman" w:hAnsi="Times New Roman" w:cs="Times New Roman"/>
          <w:b/>
          <w:noProof/>
          <w:sz w:val="28"/>
          <w:szCs w:val="28"/>
        </w:rPr>
        <w:t>Territorial Impact Assessment Report</w:t>
      </w:r>
    </w:p>
    <w:p w:rsidR="00AB50C5" w:rsidRDefault="00AB50C5">
      <w:pPr>
        <w:jc w:val="center"/>
        <w:rPr>
          <w:rFonts w:ascii="Times New Roman" w:hAnsi="Times New Roman" w:cs="Times New Roman"/>
          <w:b/>
          <w:noProof/>
          <w:sz w:val="28"/>
          <w:szCs w:val="28"/>
        </w:rPr>
      </w:pPr>
    </w:p>
    <w:p w:rsidR="00AB50C5" w:rsidRDefault="00724275">
      <w:pPr>
        <w:jc w:val="center"/>
        <w:rPr>
          <w:rFonts w:ascii="Times New Roman" w:hAnsi="Times New Roman" w:cs="Times New Roman"/>
          <w:b/>
          <w:noProof/>
          <w:sz w:val="28"/>
          <w:szCs w:val="28"/>
        </w:rPr>
      </w:pPr>
      <w:r>
        <w:rPr>
          <w:rFonts w:ascii="Times New Roman" w:hAnsi="Times New Roman" w:cs="Times New Roman"/>
          <w:b/>
          <w:noProof/>
          <w:sz w:val="28"/>
          <w:szCs w:val="28"/>
        </w:rPr>
        <w:t xml:space="preserve">Development of </w:t>
      </w:r>
      <w:r>
        <w:rPr>
          <w:rFonts w:ascii="Times New Roman" w:hAnsi="Times New Roman" w:cs="Times New Roman"/>
          <w:b/>
          <w:noProof/>
          <w:sz w:val="28"/>
          <w:szCs w:val="28"/>
        </w:rPr>
        <w:t>Minimum Quality Requirements for Reused Water</w:t>
      </w:r>
      <w:r>
        <w:rPr>
          <w:rFonts w:ascii="Times New Roman" w:hAnsi="Times New Roman" w:cs="Times New Roman"/>
          <w:b/>
          <w:noProof/>
          <w:sz w:val="28"/>
          <w:szCs w:val="28"/>
        </w:rPr>
        <w:br/>
        <w:t>in Agricultural Irrigation and Aquifer Recharge</w:t>
      </w:r>
    </w:p>
    <w:p w:rsidR="00AB50C5" w:rsidRDefault="00AB50C5">
      <w:pPr>
        <w:jc w:val="center"/>
        <w:rPr>
          <w:rFonts w:ascii="Times New Roman" w:hAnsi="Times New Roman" w:cs="Times New Roman"/>
          <w:b/>
          <w:noProof/>
          <w:sz w:val="28"/>
          <w:szCs w:val="28"/>
        </w:rPr>
      </w:pPr>
    </w:p>
    <w:p w:rsidR="00AB50C5" w:rsidRDefault="00724275">
      <w:pPr>
        <w:jc w:val="center"/>
        <w:rPr>
          <w:rFonts w:ascii="Times New Roman" w:hAnsi="Times New Roman" w:cs="Times New Roman"/>
          <w:b/>
          <w:noProof/>
          <w:sz w:val="24"/>
          <w:szCs w:val="24"/>
        </w:rPr>
      </w:pPr>
      <w:r>
        <w:rPr>
          <w:rFonts w:ascii="Times New Roman" w:hAnsi="Times New Roman" w:cs="Times New Roman"/>
          <w:b/>
          <w:noProof/>
          <w:sz w:val="24"/>
          <w:szCs w:val="24"/>
        </w:rPr>
        <w:t>Based on workshop carried out using ESPON TIA tool</w:t>
      </w:r>
    </w:p>
    <w:p w:rsidR="00AB50C5" w:rsidRDefault="00AB50C5">
      <w:pPr>
        <w:jc w:val="center"/>
        <w:rPr>
          <w:rFonts w:ascii="Times New Roman" w:hAnsi="Times New Roman" w:cs="Times New Roman"/>
          <w:b/>
          <w:noProof/>
          <w:sz w:val="24"/>
          <w:szCs w:val="24"/>
        </w:rPr>
      </w:pPr>
    </w:p>
    <w:p w:rsidR="00AB50C5" w:rsidRDefault="00724275">
      <w:pPr>
        <w:jc w:val="center"/>
        <w:rPr>
          <w:rFonts w:ascii="Times New Roman" w:hAnsi="Times New Roman" w:cs="Times New Roman"/>
          <w:b/>
          <w:noProof/>
          <w:sz w:val="24"/>
          <w:szCs w:val="24"/>
        </w:rPr>
      </w:pPr>
      <w:r>
        <w:rPr>
          <w:rFonts w:ascii="Times New Roman" w:hAnsi="Times New Roman" w:cs="Times New Roman"/>
          <w:b/>
          <w:noProof/>
          <w:sz w:val="24"/>
          <w:szCs w:val="24"/>
        </w:rPr>
        <w:t xml:space="preserve">24/04/2017 </w:t>
      </w:r>
    </w:p>
    <w:p w:rsidR="00AB50C5" w:rsidRDefault="00724275">
      <w:pPr>
        <w:spacing w:line="240" w:lineRule="auto"/>
        <w:jc w:val="both"/>
        <w:rPr>
          <w:rFonts w:ascii="Times New Roman" w:eastAsia="Calibri" w:hAnsi="Times New Roman" w:cs="Times New Roman"/>
          <w:noProof/>
          <w:color w:val="000000"/>
          <w:sz w:val="24"/>
          <w:szCs w:val="24"/>
        </w:rPr>
      </w:pPr>
      <w:r>
        <w:rPr>
          <w:rFonts w:ascii="Times New Roman" w:eastAsia="Calibri" w:hAnsi="Times New Roman" w:cs="Times New Roman"/>
          <w:noProof/>
          <w:color w:val="000000"/>
          <w:sz w:val="24"/>
          <w:szCs w:val="24"/>
        </w:rPr>
        <w:t>This territorial impact assessment report is the outcome of an expert workshop organised by Direc</w:t>
      </w:r>
      <w:r>
        <w:rPr>
          <w:rFonts w:ascii="Times New Roman" w:eastAsia="Calibri" w:hAnsi="Times New Roman" w:cs="Times New Roman"/>
          <w:noProof/>
          <w:color w:val="000000"/>
          <w:sz w:val="24"/>
          <w:szCs w:val="24"/>
        </w:rPr>
        <w:t>torate General of Regional and Urban Policy (DG REGIO) in collaboration with Directorate General for Environment (DG ENV) within the framework of the Better Regulation, applying  tool No. 29 from the Better Regulation toolbox, in particular the TIA tool of</w:t>
      </w:r>
      <w:r>
        <w:rPr>
          <w:rFonts w:ascii="Times New Roman" w:eastAsia="Calibri" w:hAnsi="Times New Roman" w:cs="Times New Roman"/>
          <w:noProof/>
          <w:color w:val="000000"/>
          <w:sz w:val="24"/>
          <w:szCs w:val="24"/>
        </w:rPr>
        <w:t xml:space="preserve"> the ESPON 2020 Cooperation Programme, partly financed by the European Regional Development Fund.</w:t>
      </w:r>
    </w:p>
    <w:p w:rsidR="00AB50C5" w:rsidRDefault="00724275">
      <w:pPr>
        <w:spacing w:line="240" w:lineRule="auto"/>
        <w:jc w:val="both"/>
        <w:rPr>
          <w:rFonts w:ascii="Times New Roman" w:eastAsia="Calibri" w:hAnsi="Times New Roman" w:cs="Times New Roman"/>
          <w:noProof/>
          <w:color w:val="000000"/>
          <w:sz w:val="24"/>
          <w:szCs w:val="24"/>
        </w:rPr>
      </w:pPr>
      <w:r>
        <w:rPr>
          <w:rFonts w:ascii="Times New Roman" w:eastAsia="Calibri" w:hAnsi="Times New Roman" w:cs="Times New Roman"/>
          <w:noProof/>
          <w:color w:val="000000"/>
          <w:sz w:val="24"/>
          <w:szCs w:val="24"/>
        </w:rPr>
        <w:t>The ESPON TIA Tool is designed to support the quantitative assessment of potential territorial impacts according to the Better Regulation guidelines. It is an</w:t>
      </w:r>
      <w:r>
        <w:rPr>
          <w:rFonts w:ascii="Times New Roman" w:eastAsia="Calibri" w:hAnsi="Times New Roman" w:cs="Times New Roman"/>
          <w:noProof/>
          <w:color w:val="000000"/>
          <w:sz w:val="24"/>
          <w:szCs w:val="24"/>
        </w:rPr>
        <w:t xml:space="preserve"> interactive web application that can be used to support policy makers and practitioners with identifying, ex-ante, potential territorial impacts of new EU Legislations, Policies and Directives (LPDs). </w:t>
      </w:r>
    </w:p>
    <w:p w:rsidR="00AB50C5" w:rsidRDefault="00724275">
      <w:pPr>
        <w:spacing w:line="240" w:lineRule="auto"/>
        <w:jc w:val="both"/>
        <w:rPr>
          <w:rFonts w:ascii="Times New Roman" w:eastAsia="Calibri" w:hAnsi="Times New Roman" w:cs="Times New Roman"/>
          <w:noProof/>
          <w:color w:val="000000"/>
          <w:sz w:val="24"/>
          <w:szCs w:val="24"/>
        </w:rPr>
      </w:pPr>
      <w:r>
        <w:rPr>
          <w:rFonts w:ascii="Times New Roman" w:eastAsia="Calibri" w:hAnsi="Times New Roman" w:cs="Times New Roman"/>
          <w:noProof/>
          <w:color w:val="000000"/>
          <w:sz w:val="24"/>
          <w:szCs w:val="24"/>
        </w:rPr>
        <w:t>This report documents results of the territorial impa</w:t>
      </w:r>
      <w:r>
        <w:rPr>
          <w:rFonts w:ascii="Times New Roman" w:eastAsia="Calibri" w:hAnsi="Times New Roman" w:cs="Times New Roman"/>
          <w:noProof/>
          <w:color w:val="000000"/>
          <w:sz w:val="24"/>
          <w:szCs w:val="24"/>
        </w:rPr>
        <w:t>ct assessment expert workshop on the development of minimum quality requirements for reused water in agricultural irrigation and aquifer recharge. It serves for information purposes only. This report and the maps represent views and experiences of the part</w:t>
      </w:r>
      <w:r>
        <w:rPr>
          <w:rFonts w:ascii="Times New Roman" w:eastAsia="Calibri" w:hAnsi="Times New Roman" w:cs="Times New Roman"/>
          <w:noProof/>
          <w:color w:val="000000"/>
          <w:sz w:val="24"/>
          <w:szCs w:val="24"/>
        </w:rPr>
        <w:t>icipants of the workshop. It is meant to be used for decision support only and does not necessarily reflect the opinion of the members of the ESPON 2020 Monitoring Committee as well as DG REGIO and DG ENV.</w:t>
      </w:r>
    </w:p>
    <w:p w:rsidR="00AB50C5" w:rsidRDefault="00724275">
      <w:pPr>
        <w:spacing w:line="240" w:lineRule="auto"/>
        <w:jc w:val="both"/>
        <w:rPr>
          <w:rFonts w:ascii="Times New Roman" w:eastAsia="Calibri" w:hAnsi="Times New Roman" w:cs="Times New Roman"/>
          <w:noProof/>
          <w:color w:val="000000"/>
          <w:sz w:val="24"/>
          <w:szCs w:val="24"/>
        </w:rPr>
      </w:pPr>
      <w:r>
        <w:rPr>
          <w:rFonts w:ascii="Times New Roman" w:eastAsia="Calibri" w:hAnsi="Times New Roman" w:cs="Times New Roman"/>
          <w:noProof/>
          <w:color w:val="000000"/>
          <w:sz w:val="24"/>
          <w:szCs w:val="24"/>
        </w:rPr>
        <w:t>The ESPON EGTC is the Single Beneficiary of the ES</w:t>
      </w:r>
      <w:r>
        <w:rPr>
          <w:rFonts w:ascii="Times New Roman" w:eastAsia="Calibri" w:hAnsi="Times New Roman" w:cs="Times New Roman"/>
          <w:noProof/>
          <w:color w:val="000000"/>
          <w:sz w:val="24"/>
          <w:szCs w:val="24"/>
        </w:rPr>
        <w:t>PON 2020 Cooperation Programme. The Single Operation within the programme is implemented by the ESPON EGTC and co-financed by the European Regional Development Fund, the EU Member States and the Partner States, Iceland, Liechtenstein, Norway and Switzerlan</w:t>
      </w:r>
      <w:r>
        <w:rPr>
          <w:rFonts w:ascii="Times New Roman" w:eastAsia="Calibri" w:hAnsi="Times New Roman" w:cs="Times New Roman"/>
          <w:noProof/>
          <w:color w:val="000000"/>
          <w:sz w:val="24"/>
          <w:szCs w:val="24"/>
        </w:rPr>
        <w:t>d.</w:t>
      </w:r>
    </w:p>
    <w:p w:rsidR="00AB50C5" w:rsidRDefault="00724275">
      <w:pPr>
        <w:jc w:val="both"/>
        <w:rPr>
          <w:rFonts w:ascii="Times New Roman" w:eastAsia="Calibri" w:hAnsi="Times New Roman" w:cs="Times New Roman"/>
          <w:b/>
          <w:bCs/>
          <w:noProof/>
          <w:color w:val="000000"/>
          <w:sz w:val="24"/>
          <w:szCs w:val="24"/>
        </w:rPr>
      </w:pPr>
      <w:r>
        <w:rPr>
          <w:rFonts w:ascii="Times New Roman" w:eastAsia="Calibri" w:hAnsi="Times New Roman" w:cs="Times New Roman"/>
          <w:b/>
          <w:bCs/>
          <w:noProof/>
          <w:color w:val="000000"/>
          <w:sz w:val="24"/>
          <w:szCs w:val="24"/>
        </w:rPr>
        <w:t>Authors</w:t>
      </w:r>
    </w:p>
    <w:p w:rsidR="00AB50C5" w:rsidRDefault="00724275">
      <w:pPr>
        <w:spacing w:line="240" w:lineRule="auto"/>
        <w:jc w:val="both"/>
        <w:rPr>
          <w:rFonts w:ascii="Times New Roman" w:eastAsia="Calibri" w:hAnsi="Times New Roman" w:cs="Times New Roman"/>
          <w:noProof/>
          <w:color w:val="000000"/>
          <w:sz w:val="24"/>
          <w:szCs w:val="24"/>
        </w:rPr>
      </w:pPr>
      <w:r>
        <w:rPr>
          <w:rFonts w:ascii="Times New Roman" w:eastAsia="Calibri" w:hAnsi="Times New Roman" w:cs="Times New Roman"/>
          <w:noProof/>
          <w:color w:val="000000"/>
          <w:sz w:val="24"/>
          <w:szCs w:val="24"/>
        </w:rPr>
        <w:t xml:space="preserve">Erich Dallhammer and Bernd Schuh, ÖIR GmbH </w:t>
      </w:r>
    </w:p>
    <w:p w:rsidR="00AB50C5" w:rsidRDefault="00724275">
      <w:pPr>
        <w:spacing w:line="240" w:lineRule="auto"/>
        <w:jc w:val="both"/>
        <w:rPr>
          <w:rFonts w:ascii="Times New Roman" w:eastAsia="Calibri" w:hAnsi="Times New Roman" w:cs="Times New Roman"/>
          <w:noProof/>
          <w:color w:val="000000"/>
          <w:sz w:val="24"/>
          <w:szCs w:val="24"/>
        </w:rPr>
      </w:pPr>
      <w:r>
        <w:rPr>
          <w:rFonts w:ascii="Times New Roman" w:eastAsia="Calibri" w:hAnsi="Times New Roman" w:cs="Times New Roman"/>
          <w:noProof/>
          <w:color w:val="000000"/>
          <w:sz w:val="24"/>
          <w:szCs w:val="24"/>
        </w:rPr>
        <w:t>Eleftherios Stavropoulos, DG REGIO</w:t>
      </w:r>
    </w:p>
    <w:p w:rsidR="00AB50C5" w:rsidRDefault="00724275">
      <w:pPr>
        <w:spacing w:line="240" w:lineRule="auto"/>
        <w:jc w:val="both"/>
        <w:rPr>
          <w:rFonts w:ascii="Times New Roman" w:eastAsia="Calibri" w:hAnsi="Times New Roman" w:cs="Times New Roman"/>
          <w:b/>
          <w:bCs/>
          <w:noProof/>
          <w:color w:val="000000"/>
          <w:sz w:val="24"/>
          <w:szCs w:val="24"/>
        </w:rPr>
      </w:pPr>
      <w:r>
        <w:rPr>
          <w:rFonts w:ascii="Times New Roman" w:eastAsia="Calibri" w:hAnsi="Times New Roman" w:cs="Times New Roman"/>
          <w:b/>
          <w:bCs/>
          <w:noProof/>
          <w:color w:val="000000"/>
          <w:sz w:val="24"/>
          <w:szCs w:val="24"/>
        </w:rPr>
        <w:t>Institutions and organisations involved in the territorial impact assessment on the Deve</w:t>
      </w:r>
      <w:r>
        <w:rPr>
          <w:rFonts w:ascii="Times New Roman" w:eastAsia="Calibri" w:hAnsi="Times New Roman" w:cs="Times New Roman"/>
          <w:b/>
          <w:bCs/>
          <w:noProof/>
          <w:color w:val="000000"/>
          <w:sz w:val="24"/>
          <w:szCs w:val="24"/>
        </w:rPr>
        <w:softHyphen/>
        <w:t>lopment of Minimum Quality Requirements for Reused Water in Agricultural Irri</w:t>
      </w:r>
      <w:r>
        <w:rPr>
          <w:rFonts w:ascii="Times New Roman" w:eastAsia="Calibri" w:hAnsi="Times New Roman" w:cs="Times New Roman"/>
          <w:b/>
          <w:bCs/>
          <w:noProof/>
          <w:color w:val="000000"/>
          <w:sz w:val="24"/>
          <w:szCs w:val="24"/>
        </w:rPr>
        <w:t>gation and Aquifer Recharge</w:t>
      </w:r>
    </w:p>
    <w:p w:rsidR="00AB50C5" w:rsidRDefault="00724275">
      <w:pPr>
        <w:spacing w:line="240" w:lineRule="auto"/>
        <w:jc w:val="both"/>
        <w:rPr>
          <w:rFonts w:ascii="Times New Roman" w:eastAsia="Calibri" w:hAnsi="Times New Roman" w:cs="Times New Roman"/>
          <w:noProof/>
          <w:color w:val="000000"/>
          <w:sz w:val="24"/>
          <w:szCs w:val="24"/>
        </w:rPr>
      </w:pPr>
      <w:r>
        <w:rPr>
          <w:rFonts w:ascii="Times New Roman" w:eastAsia="Calibri" w:hAnsi="Times New Roman" w:cs="Times New Roman"/>
          <w:noProof/>
          <w:color w:val="000000"/>
          <w:sz w:val="24"/>
          <w:szCs w:val="24"/>
        </w:rPr>
        <w:t>European Commission (DG REGIO, DG ENV, DG SANTE, DG AGRI); European Committee of the Regions, ESPON EGTC.</w:t>
      </w:r>
    </w:p>
    <w:p w:rsidR="00AB50C5" w:rsidRDefault="00724275">
      <w:pPr>
        <w:spacing w:line="240" w:lineRule="auto"/>
        <w:jc w:val="both"/>
        <w:rPr>
          <w:rFonts w:ascii="Times New Roman" w:eastAsia="Calibri" w:hAnsi="Times New Roman" w:cs="Times New Roman"/>
          <w:b/>
          <w:bCs/>
          <w:noProof/>
          <w:color w:val="000000"/>
          <w:sz w:val="24"/>
          <w:szCs w:val="24"/>
        </w:rPr>
      </w:pPr>
      <w:r>
        <w:rPr>
          <w:rFonts w:ascii="Times New Roman" w:eastAsia="Calibri" w:hAnsi="Times New Roman" w:cs="Times New Roman"/>
          <w:b/>
          <w:bCs/>
          <w:noProof/>
          <w:color w:val="000000"/>
          <w:sz w:val="24"/>
          <w:szCs w:val="24"/>
        </w:rPr>
        <w:t>Experts taking part in the TIA workshop</w:t>
      </w:r>
    </w:p>
    <w:p w:rsidR="00AB50C5" w:rsidRDefault="00724275">
      <w:pPr>
        <w:spacing w:line="240" w:lineRule="auto"/>
        <w:jc w:val="both"/>
        <w:rPr>
          <w:rFonts w:ascii="Times New Roman" w:eastAsia="Calibri" w:hAnsi="Times New Roman" w:cs="Times New Roman"/>
          <w:noProof/>
          <w:color w:val="000000"/>
          <w:sz w:val="24"/>
          <w:szCs w:val="24"/>
        </w:rPr>
      </w:pPr>
      <w:r>
        <w:rPr>
          <w:rFonts w:ascii="Times New Roman" w:eastAsia="Calibri" w:hAnsi="Times New Roman" w:cs="Times New Roman"/>
          <w:noProof/>
          <w:color w:val="000000"/>
          <w:sz w:val="24"/>
          <w:szCs w:val="24"/>
        </w:rPr>
        <w:t xml:space="preserve">Denis Bonvillain (SUEZ), Steffen Ochs (Bavarian State Ministry of the Environment </w:t>
      </w:r>
      <w:r>
        <w:rPr>
          <w:rFonts w:ascii="Times New Roman" w:eastAsia="Calibri" w:hAnsi="Times New Roman" w:cs="Times New Roman"/>
          <w:noProof/>
          <w:color w:val="000000"/>
          <w:sz w:val="24"/>
          <w:szCs w:val="24"/>
        </w:rPr>
        <w:t>and Consumer Protection), Ioannis Kalavrouziotis (School of Science and Technology, Hellenic Open University), Manuel Herrera Artilles (Canaria Environmental Health Service), Pilar Megia Rico (City of Murcia), Marcos Calderon Asenjo (Spanish Ministry of Ag</w:t>
      </w:r>
      <w:r>
        <w:rPr>
          <w:rFonts w:ascii="Times New Roman" w:eastAsia="Calibri" w:hAnsi="Times New Roman" w:cs="Times New Roman"/>
          <w:noProof/>
          <w:color w:val="000000"/>
          <w:sz w:val="24"/>
          <w:szCs w:val="24"/>
        </w:rPr>
        <w:t>riculture, Food and Environment), Adriano Battilani (Canale Emiliano Romagnolo), Anabela Rebelo (Portuguese Environment Agency), Ruzandra Balaet (Ministry of Water and Forests of Ro</w:t>
      </w:r>
      <w:r>
        <w:rPr>
          <w:rFonts w:ascii="Times New Roman" w:eastAsia="Calibri" w:hAnsi="Times New Roman" w:cs="Times New Roman"/>
          <w:noProof/>
          <w:color w:val="000000"/>
          <w:sz w:val="24"/>
          <w:szCs w:val="24"/>
        </w:rPr>
        <w:softHyphen/>
        <w:t>mania), Pedro Simon (Regional Government of Murcia), Claire Baffert (EUROC</w:t>
      </w:r>
      <w:r>
        <w:rPr>
          <w:rFonts w:ascii="Times New Roman" w:eastAsia="Calibri" w:hAnsi="Times New Roman" w:cs="Times New Roman"/>
          <w:noProof/>
          <w:color w:val="000000"/>
          <w:sz w:val="24"/>
          <w:szCs w:val="24"/>
        </w:rPr>
        <w:t>ITIES), Nicolas Condom (European Irrigation Association), Liliana Rastocka (Depart</w:t>
      </w:r>
      <w:r>
        <w:rPr>
          <w:rFonts w:ascii="Times New Roman" w:eastAsia="Calibri" w:hAnsi="Times New Roman" w:cs="Times New Roman"/>
          <w:noProof/>
          <w:color w:val="000000"/>
          <w:sz w:val="24"/>
          <w:szCs w:val="24"/>
        </w:rPr>
        <w:softHyphen/>
        <w:t>ment of River Basin Management and Flood Protection,  Ministry of Environment of the Slovak Republic), Bertand Vallet (EurEau), Thomas Petit</w:t>
      </w:r>
      <w:r>
        <w:rPr>
          <w:rFonts w:ascii="Times New Roman" w:eastAsia="Calibri" w:hAnsi="Times New Roman" w:cs="Times New Roman"/>
          <w:noProof/>
          <w:color w:val="000000"/>
          <w:sz w:val="24"/>
          <w:szCs w:val="24"/>
        </w:rPr>
        <w:softHyphen/>
        <w:t>guyot (DG ENV), Angelo Innamorat</w:t>
      </w:r>
      <w:r>
        <w:rPr>
          <w:rFonts w:ascii="Times New Roman" w:eastAsia="Calibri" w:hAnsi="Times New Roman" w:cs="Times New Roman"/>
          <w:noProof/>
          <w:color w:val="000000"/>
          <w:sz w:val="24"/>
          <w:szCs w:val="24"/>
        </w:rPr>
        <w:t>i (DG AGRI), Christof Mainz (DG ENV), Petra Kleinin</w:t>
      </w:r>
      <w:r>
        <w:rPr>
          <w:rFonts w:ascii="Times New Roman" w:eastAsia="Calibri" w:hAnsi="Times New Roman" w:cs="Times New Roman"/>
          <w:noProof/>
          <w:color w:val="000000"/>
          <w:sz w:val="24"/>
          <w:szCs w:val="24"/>
        </w:rPr>
        <w:softHyphen/>
        <w:t>ger (DG ENV), Dagmar Kaljarikova (DG ENV), Zeljka Zgaga (DG REGIO), Marielle Riche (DG REGIO), Peter Takacs (DG REGIO), Sylvie Coulon (DG SANTE), Oliver Heiden (CoR).</w:t>
      </w:r>
    </w:p>
    <w:p w:rsidR="00AB50C5" w:rsidRDefault="00724275">
      <w:pPr>
        <w:spacing w:line="240" w:lineRule="auto"/>
        <w:jc w:val="both"/>
        <w:rPr>
          <w:rFonts w:ascii="Times New Roman" w:eastAsia="Calibri" w:hAnsi="Times New Roman" w:cs="Times New Roman"/>
          <w:noProof/>
          <w:color w:val="000000"/>
          <w:sz w:val="24"/>
          <w:szCs w:val="24"/>
        </w:rPr>
      </w:pPr>
      <w:r>
        <w:rPr>
          <w:rFonts w:ascii="Times New Roman" w:eastAsia="Calibri" w:hAnsi="Times New Roman" w:cs="Times New Roman"/>
          <w:noProof/>
          <w:color w:val="000000"/>
          <w:sz w:val="24"/>
          <w:szCs w:val="24"/>
        </w:rPr>
        <w:t>Information on ESPON and its projects</w:t>
      </w:r>
      <w:r>
        <w:rPr>
          <w:rFonts w:ascii="Times New Roman" w:eastAsia="Calibri" w:hAnsi="Times New Roman" w:cs="Times New Roman"/>
          <w:noProof/>
          <w:color w:val="000000"/>
          <w:sz w:val="24"/>
          <w:szCs w:val="24"/>
        </w:rPr>
        <w:t xml:space="preserve"> can be found on </w:t>
      </w:r>
      <w:hyperlink r:id="rId51" w:history="1">
        <w:r>
          <w:rPr>
            <w:rStyle w:val="Hyperlink"/>
            <w:rFonts w:ascii="Times New Roman" w:eastAsia="Calibri" w:hAnsi="Times New Roman" w:cs="Times New Roman"/>
            <w:noProof/>
            <w:sz w:val="24"/>
            <w:szCs w:val="24"/>
          </w:rPr>
          <w:t>www.espon.eu</w:t>
        </w:r>
      </w:hyperlink>
      <w:r>
        <w:rPr>
          <w:rFonts w:ascii="Times New Roman" w:eastAsia="Calibri" w:hAnsi="Times New Roman" w:cs="Times New Roman"/>
          <w:noProof/>
          <w:color w:val="000000"/>
          <w:sz w:val="24"/>
          <w:szCs w:val="24"/>
        </w:rPr>
        <w:t>.</w:t>
      </w:r>
    </w:p>
    <w:p w:rsidR="00AB50C5" w:rsidRDefault="00724275">
      <w:pPr>
        <w:spacing w:line="240" w:lineRule="auto"/>
        <w:jc w:val="both"/>
        <w:rPr>
          <w:rFonts w:ascii="Times New Roman" w:eastAsia="Calibri" w:hAnsi="Times New Roman" w:cs="Times New Roman"/>
          <w:noProof/>
          <w:color w:val="000000"/>
          <w:sz w:val="24"/>
          <w:szCs w:val="24"/>
        </w:rPr>
      </w:pPr>
      <w:r>
        <w:rPr>
          <w:rFonts w:ascii="Times New Roman" w:eastAsia="Calibri" w:hAnsi="Times New Roman" w:cs="Times New Roman"/>
          <w:noProof/>
          <w:color w:val="000000"/>
          <w:sz w:val="24"/>
          <w:szCs w:val="24"/>
        </w:rPr>
        <w:t>The web site provides the possibility to download and examine the most recent documents produced by finalised and ongoing ESPON projects.</w:t>
      </w:r>
    </w:p>
    <w:p w:rsidR="00AB50C5" w:rsidRDefault="00724275">
      <w:pPr>
        <w:spacing w:line="240" w:lineRule="auto"/>
        <w:jc w:val="both"/>
        <w:rPr>
          <w:rFonts w:ascii="Times New Roman" w:eastAsia="Calibri" w:hAnsi="Times New Roman" w:cs="Times New Roman"/>
          <w:noProof/>
          <w:color w:val="000000"/>
          <w:sz w:val="24"/>
          <w:szCs w:val="24"/>
        </w:rPr>
      </w:pPr>
      <w:r>
        <w:rPr>
          <w:rFonts w:ascii="Times New Roman" w:eastAsia="Calibri" w:hAnsi="Times New Roman" w:cs="Times New Roman"/>
          <w:noProof/>
          <w:color w:val="000000"/>
          <w:sz w:val="24"/>
          <w:szCs w:val="24"/>
        </w:rPr>
        <w:t xml:space="preserve">This delivery exists only in an electronic </w:t>
      </w:r>
      <w:r>
        <w:rPr>
          <w:rFonts w:ascii="Times New Roman" w:eastAsia="Calibri" w:hAnsi="Times New Roman" w:cs="Times New Roman"/>
          <w:noProof/>
          <w:color w:val="000000"/>
          <w:sz w:val="24"/>
          <w:szCs w:val="24"/>
        </w:rPr>
        <w:t>version.</w:t>
      </w:r>
    </w:p>
    <w:p w:rsidR="00AB50C5" w:rsidRDefault="00724275">
      <w:pPr>
        <w:spacing w:line="240" w:lineRule="auto"/>
        <w:jc w:val="both"/>
        <w:rPr>
          <w:rFonts w:ascii="Times New Roman" w:eastAsia="Calibri" w:hAnsi="Times New Roman" w:cs="Times New Roman"/>
          <w:noProof/>
          <w:color w:val="000000"/>
          <w:sz w:val="24"/>
          <w:szCs w:val="24"/>
        </w:rPr>
      </w:pPr>
      <w:r>
        <w:rPr>
          <w:rFonts w:ascii="Times New Roman" w:eastAsia="Calibri" w:hAnsi="Times New Roman" w:cs="Times New Roman"/>
          <w:noProof/>
          <w:color w:val="000000"/>
          <w:sz w:val="24"/>
          <w:szCs w:val="24"/>
        </w:rPr>
        <w:t>© ESPON, 2017</w:t>
      </w:r>
    </w:p>
    <w:p w:rsidR="00AB50C5" w:rsidRDefault="00724275">
      <w:pPr>
        <w:spacing w:line="240" w:lineRule="auto"/>
        <w:jc w:val="both"/>
        <w:rPr>
          <w:rFonts w:ascii="Times New Roman" w:eastAsia="Calibri" w:hAnsi="Times New Roman" w:cs="Times New Roman"/>
          <w:noProof/>
          <w:color w:val="000000"/>
          <w:sz w:val="24"/>
          <w:szCs w:val="24"/>
        </w:rPr>
      </w:pPr>
      <w:r>
        <w:rPr>
          <w:rFonts w:ascii="Times New Roman" w:eastAsia="Calibri" w:hAnsi="Times New Roman" w:cs="Times New Roman"/>
          <w:noProof/>
          <w:color w:val="000000"/>
          <w:sz w:val="24"/>
          <w:szCs w:val="24"/>
        </w:rPr>
        <w:t>Printing, reproduction or quotation is authorised provided the source is acknowledged and a copy is forwarded to the ESPON EGTC in Luxembourg.</w:t>
      </w:r>
    </w:p>
    <w:p w:rsidR="00AB50C5" w:rsidRDefault="00724275">
      <w:pPr>
        <w:spacing w:line="240" w:lineRule="auto"/>
        <w:jc w:val="both"/>
        <w:rPr>
          <w:rFonts w:ascii="Times New Roman" w:eastAsia="Calibri" w:hAnsi="Times New Roman" w:cs="Times New Roman"/>
          <w:noProof/>
          <w:color w:val="000000"/>
          <w:sz w:val="24"/>
          <w:szCs w:val="24"/>
        </w:rPr>
      </w:pPr>
      <w:r>
        <w:rPr>
          <w:rFonts w:ascii="Times New Roman" w:eastAsia="Calibri" w:hAnsi="Times New Roman" w:cs="Times New Roman"/>
          <w:noProof/>
          <w:color w:val="000000"/>
          <w:sz w:val="24"/>
          <w:szCs w:val="24"/>
        </w:rPr>
        <w:t xml:space="preserve">Contact: </w:t>
      </w:r>
      <w:hyperlink r:id="rId52" w:history="1">
        <w:r>
          <w:rPr>
            <w:rStyle w:val="Hyperlink"/>
            <w:rFonts w:ascii="Times New Roman" w:eastAsia="Calibri" w:hAnsi="Times New Roman" w:cs="Times New Roman"/>
            <w:noProof/>
            <w:sz w:val="24"/>
            <w:szCs w:val="24"/>
          </w:rPr>
          <w:t>info@espon.eu</w:t>
        </w:r>
      </w:hyperlink>
    </w:p>
    <w:p w:rsidR="00AB50C5" w:rsidRDefault="00724275">
      <w:pPr>
        <w:pStyle w:val="TEMPLATEHeadingPartsnotinTOC"/>
        <w:jc w:val="both"/>
        <w:rPr>
          <w:rFonts w:ascii="Times New Roman" w:hAnsi="Times New Roman"/>
          <w:noProof/>
          <w:sz w:val="24"/>
          <w:szCs w:val="24"/>
        </w:rPr>
      </w:pPr>
      <w:r>
        <w:rPr>
          <w:rFonts w:ascii="Times New Roman" w:hAnsi="Times New Roman"/>
          <w:noProof/>
          <w:sz w:val="24"/>
          <w:szCs w:val="24"/>
        </w:rPr>
        <w:t>Table of contents</w:t>
      </w:r>
    </w:p>
    <w:p w:rsidR="00AB50C5" w:rsidRDefault="00724275">
      <w:pPr>
        <w:pStyle w:val="TOC1"/>
        <w:jc w:val="both"/>
        <w:rPr>
          <w:rFonts w:asciiTheme="minorHAnsi" w:eastAsiaTheme="minorEastAsia" w:hAnsiTheme="minorHAnsi" w:cstheme="minorBidi"/>
          <w:noProof/>
          <w:sz w:val="22"/>
          <w:szCs w:val="22"/>
          <w:lang w:val="de-AT" w:eastAsia="de-AT"/>
        </w:rPr>
      </w:pPr>
      <w:r>
        <w:rPr>
          <w:noProof/>
        </w:rPr>
        <w:fldChar w:fldCharType="begin"/>
      </w:r>
      <w:r>
        <w:rPr>
          <w:noProof/>
        </w:rPr>
        <w:instrText xml:space="preserve"> TOC \o "1-3</w:instrText>
      </w:r>
      <w:r>
        <w:rPr>
          <w:noProof/>
        </w:rPr>
        <w:instrText xml:space="preserve">" \h \z \t "TEMPLATE Heading Lists and ExSummary;1" </w:instrText>
      </w:r>
      <w:r>
        <w:rPr>
          <w:noProof/>
        </w:rPr>
        <w:fldChar w:fldCharType="separate"/>
      </w:r>
      <w:hyperlink w:anchor="_Toc484768707" w:history="1">
        <w:r>
          <w:rPr>
            <w:rStyle w:val="Hyperlink"/>
            <w:noProof/>
            <w:lang w:val="en-US"/>
          </w:rPr>
          <w:t>List of Figures</w:t>
        </w:r>
        <w:r>
          <w:rPr>
            <w:noProof/>
            <w:webHidden/>
          </w:rPr>
          <w:tab/>
        </w:r>
        <w:r>
          <w:rPr>
            <w:noProof/>
            <w:webHidden/>
          </w:rPr>
          <w:fldChar w:fldCharType="begin"/>
        </w:r>
        <w:r>
          <w:rPr>
            <w:noProof/>
            <w:webHidden/>
          </w:rPr>
          <w:instrText xml:space="preserve"> PAGEREF _Toc484768707 \h </w:instrText>
        </w:r>
        <w:r>
          <w:rPr>
            <w:noProof/>
            <w:webHidden/>
          </w:rPr>
        </w:r>
        <w:r>
          <w:rPr>
            <w:noProof/>
            <w:webHidden/>
          </w:rPr>
          <w:fldChar w:fldCharType="separate"/>
        </w:r>
        <w:r>
          <w:rPr>
            <w:noProof/>
            <w:webHidden/>
          </w:rPr>
          <w:t>89</w:t>
        </w:r>
        <w:r>
          <w:rPr>
            <w:noProof/>
            <w:webHidden/>
          </w:rPr>
          <w:fldChar w:fldCharType="end"/>
        </w:r>
      </w:hyperlink>
    </w:p>
    <w:p w:rsidR="00AB50C5" w:rsidRDefault="00724275">
      <w:pPr>
        <w:pStyle w:val="TOC1"/>
        <w:jc w:val="both"/>
        <w:rPr>
          <w:rFonts w:asciiTheme="minorHAnsi" w:eastAsiaTheme="minorEastAsia" w:hAnsiTheme="minorHAnsi" w:cstheme="minorBidi"/>
          <w:noProof/>
          <w:sz w:val="22"/>
          <w:szCs w:val="22"/>
          <w:lang w:val="de-AT" w:eastAsia="de-AT"/>
        </w:rPr>
      </w:pPr>
      <w:hyperlink w:anchor="_Toc484768708" w:history="1">
        <w:r>
          <w:rPr>
            <w:rStyle w:val="Hyperlink"/>
            <w:noProof/>
            <w:lang w:val="en-US"/>
          </w:rPr>
          <w:t>List of Maps</w:t>
        </w:r>
        <w:r>
          <w:rPr>
            <w:noProof/>
            <w:webHidden/>
          </w:rPr>
          <w:tab/>
        </w:r>
        <w:r>
          <w:rPr>
            <w:noProof/>
            <w:webHidden/>
          </w:rPr>
          <w:fldChar w:fldCharType="begin"/>
        </w:r>
        <w:r>
          <w:rPr>
            <w:noProof/>
            <w:webHidden/>
          </w:rPr>
          <w:instrText xml:space="preserve"> PAGEREF _Toc</w:instrText>
        </w:r>
        <w:r>
          <w:rPr>
            <w:noProof/>
            <w:webHidden/>
          </w:rPr>
          <w:instrText xml:space="preserve">484768708 \h </w:instrText>
        </w:r>
        <w:r>
          <w:rPr>
            <w:noProof/>
            <w:webHidden/>
          </w:rPr>
        </w:r>
        <w:r>
          <w:rPr>
            <w:noProof/>
            <w:webHidden/>
          </w:rPr>
          <w:fldChar w:fldCharType="separate"/>
        </w:r>
        <w:r>
          <w:rPr>
            <w:noProof/>
            <w:webHidden/>
          </w:rPr>
          <w:t>90</w:t>
        </w:r>
        <w:r>
          <w:rPr>
            <w:noProof/>
            <w:webHidden/>
          </w:rPr>
          <w:fldChar w:fldCharType="end"/>
        </w:r>
      </w:hyperlink>
    </w:p>
    <w:p w:rsidR="00AB50C5" w:rsidRDefault="00724275">
      <w:pPr>
        <w:pStyle w:val="TOC1"/>
        <w:jc w:val="both"/>
        <w:rPr>
          <w:rFonts w:asciiTheme="minorHAnsi" w:eastAsiaTheme="minorEastAsia" w:hAnsiTheme="minorHAnsi" w:cstheme="minorBidi"/>
          <w:noProof/>
          <w:sz w:val="22"/>
          <w:szCs w:val="22"/>
          <w:lang w:val="de-AT" w:eastAsia="de-AT"/>
        </w:rPr>
      </w:pPr>
      <w:hyperlink w:anchor="_Toc484768709" w:history="1">
        <w:r>
          <w:rPr>
            <w:rStyle w:val="Hyperlink"/>
            <w:noProof/>
          </w:rPr>
          <w:t>Abbreviations</w:t>
        </w:r>
        <w:r>
          <w:rPr>
            <w:noProof/>
            <w:webHidden/>
          </w:rPr>
          <w:tab/>
        </w:r>
        <w:r>
          <w:rPr>
            <w:noProof/>
            <w:webHidden/>
          </w:rPr>
          <w:fldChar w:fldCharType="begin"/>
        </w:r>
        <w:r>
          <w:rPr>
            <w:noProof/>
            <w:webHidden/>
          </w:rPr>
          <w:instrText xml:space="preserve"> PAGEREF _Toc484768709 \h </w:instrText>
        </w:r>
        <w:r>
          <w:rPr>
            <w:noProof/>
            <w:webHidden/>
          </w:rPr>
        </w:r>
        <w:r>
          <w:rPr>
            <w:noProof/>
            <w:webHidden/>
          </w:rPr>
          <w:fldChar w:fldCharType="separate"/>
        </w:r>
        <w:r>
          <w:rPr>
            <w:noProof/>
            <w:webHidden/>
          </w:rPr>
          <w:t>92</w:t>
        </w:r>
        <w:r>
          <w:rPr>
            <w:noProof/>
            <w:webHidden/>
          </w:rPr>
          <w:fldChar w:fldCharType="end"/>
        </w:r>
      </w:hyperlink>
    </w:p>
    <w:p w:rsidR="00AB50C5" w:rsidRDefault="00724275">
      <w:pPr>
        <w:pStyle w:val="TOC1"/>
        <w:jc w:val="both"/>
        <w:rPr>
          <w:rFonts w:asciiTheme="minorHAnsi" w:eastAsiaTheme="minorEastAsia" w:hAnsiTheme="minorHAnsi" w:cstheme="minorBidi"/>
          <w:noProof/>
          <w:sz w:val="22"/>
          <w:szCs w:val="22"/>
          <w:lang w:val="de-AT" w:eastAsia="de-AT"/>
        </w:rPr>
      </w:pPr>
      <w:hyperlink w:anchor="_Toc484768710" w:history="1">
        <w:r>
          <w:rPr>
            <w:rStyle w:val="Hyperlink"/>
            <w:noProof/>
            <w:kern w:val="32"/>
          </w:rPr>
          <w:t>1</w:t>
        </w:r>
        <w:r>
          <w:rPr>
            <w:rFonts w:asciiTheme="minorHAnsi" w:eastAsiaTheme="minorEastAsia" w:hAnsiTheme="minorHAnsi" w:cstheme="minorBidi"/>
            <w:noProof/>
            <w:sz w:val="22"/>
            <w:szCs w:val="22"/>
            <w:lang w:val="de-AT" w:eastAsia="de-AT"/>
          </w:rPr>
          <w:tab/>
        </w:r>
        <w:r>
          <w:rPr>
            <w:rStyle w:val="Hyperlink"/>
            <w:noProof/>
            <w:kern w:val="32"/>
          </w:rPr>
          <w:t>Introduction</w:t>
        </w:r>
        <w:r>
          <w:rPr>
            <w:noProof/>
            <w:webHidden/>
          </w:rPr>
          <w:tab/>
        </w:r>
        <w:r>
          <w:rPr>
            <w:noProof/>
            <w:webHidden/>
          </w:rPr>
          <w:fldChar w:fldCharType="begin"/>
        </w:r>
        <w:r>
          <w:rPr>
            <w:noProof/>
            <w:webHidden/>
          </w:rPr>
          <w:instrText xml:space="preserve"> PAGEREF _Toc484768710 \h </w:instrText>
        </w:r>
        <w:r>
          <w:rPr>
            <w:noProof/>
            <w:webHidden/>
          </w:rPr>
        </w:r>
        <w:r>
          <w:rPr>
            <w:noProof/>
            <w:webHidden/>
          </w:rPr>
          <w:fldChar w:fldCharType="separate"/>
        </w:r>
        <w:r>
          <w:rPr>
            <w:noProof/>
            <w:webHidden/>
          </w:rPr>
          <w:t>93</w:t>
        </w:r>
        <w:r>
          <w:rPr>
            <w:noProof/>
            <w:webHidden/>
          </w:rPr>
          <w:fldChar w:fldCharType="end"/>
        </w:r>
      </w:hyperlink>
    </w:p>
    <w:p w:rsidR="00AB50C5" w:rsidRDefault="00724275">
      <w:pPr>
        <w:pStyle w:val="TOC2"/>
        <w:jc w:val="both"/>
        <w:rPr>
          <w:rFonts w:asciiTheme="minorHAnsi" w:eastAsiaTheme="minorEastAsia" w:hAnsiTheme="minorHAnsi" w:cstheme="minorBidi"/>
          <w:noProof/>
          <w:sz w:val="22"/>
          <w:szCs w:val="22"/>
          <w:lang w:val="de-AT" w:eastAsia="de-AT"/>
        </w:rPr>
      </w:pPr>
      <w:hyperlink w:anchor="_Toc484768711" w:history="1">
        <w:r>
          <w:rPr>
            <w:rStyle w:val="Hyperlink"/>
            <w:noProof/>
          </w:rPr>
          <w:t>1.1</w:t>
        </w:r>
        <w:r>
          <w:rPr>
            <w:rFonts w:asciiTheme="minorHAnsi" w:eastAsiaTheme="minorEastAsia" w:hAnsiTheme="minorHAnsi" w:cstheme="minorBidi"/>
            <w:noProof/>
            <w:sz w:val="22"/>
            <w:szCs w:val="22"/>
            <w:lang w:val="de-AT" w:eastAsia="de-AT"/>
          </w:rPr>
          <w:tab/>
        </w:r>
        <w:r>
          <w:rPr>
            <w:rStyle w:val="Hyperlink"/>
            <w:noProof/>
          </w:rPr>
          <w:t>The initia</w:t>
        </w:r>
        <w:r>
          <w:rPr>
            <w:rStyle w:val="Hyperlink"/>
            <w:noProof/>
          </w:rPr>
          <w:t>tive of the Commission</w:t>
        </w:r>
        <w:r>
          <w:rPr>
            <w:noProof/>
            <w:webHidden/>
          </w:rPr>
          <w:tab/>
        </w:r>
        <w:r>
          <w:rPr>
            <w:noProof/>
            <w:webHidden/>
          </w:rPr>
          <w:fldChar w:fldCharType="begin"/>
        </w:r>
        <w:r>
          <w:rPr>
            <w:noProof/>
            <w:webHidden/>
          </w:rPr>
          <w:instrText xml:space="preserve"> PAGEREF _Toc484768711 \h </w:instrText>
        </w:r>
        <w:r>
          <w:rPr>
            <w:noProof/>
            <w:webHidden/>
          </w:rPr>
        </w:r>
        <w:r>
          <w:rPr>
            <w:noProof/>
            <w:webHidden/>
          </w:rPr>
          <w:fldChar w:fldCharType="separate"/>
        </w:r>
        <w:r>
          <w:rPr>
            <w:noProof/>
            <w:webHidden/>
          </w:rPr>
          <w:t>93</w:t>
        </w:r>
        <w:r>
          <w:rPr>
            <w:noProof/>
            <w:webHidden/>
          </w:rPr>
          <w:fldChar w:fldCharType="end"/>
        </w:r>
      </w:hyperlink>
    </w:p>
    <w:p w:rsidR="00AB50C5" w:rsidRDefault="00724275">
      <w:pPr>
        <w:pStyle w:val="TOC2"/>
        <w:jc w:val="both"/>
        <w:rPr>
          <w:rFonts w:asciiTheme="minorHAnsi" w:eastAsiaTheme="minorEastAsia" w:hAnsiTheme="minorHAnsi" w:cstheme="minorBidi"/>
          <w:noProof/>
          <w:sz w:val="22"/>
          <w:szCs w:val="22"/>
          <w:lang w:val="de-AT" w:eastAsia="de-AT"/>
        </w:rPr>
      </w:pPr>
      <w:hyperlink w:anchor="_Toc484768712" w:history="1">
        <w:r>
          <w:rPr>
            <w:rStyle w:val="Hyperlink"/>
            <w:noProof/>
          </w:rPr>
          <w:t>1.2</w:t>
        </w:r>
        <w:r>
          <w:rPr>
            <w:rFonts w:asciiTheme="minorHAnsi" w:eastAsiaTheme="minorEastAsia" w:hAnsiTheme="minorHAnsi" w:cstheme="minorBidi"/>
            <w:noProof/>
            <w:sz w:val="22"/>
            <w:szCs w:val="22"/>
            <w:lang w:val="de-AT" w:eastAsia="de-AT"/>
          </w:rPr>
          <w:tab/>
        </w:r>
        <w:r>
          <w:rPr>
            <w:rStyle w:val="Hyperlink"/>
            <w:noProof/>
          </w:rPr>
          <w:t>The approach of the ESPON TIA quick check</w:t>
        </w:r>
        <w:r>
          <w:rPr>
            <w:noProof/>
            <w:webHidden/>
          </w:rPr>
          <w:tab/>
        </w:r>
        <w:r>
          <w:rPr>
            <w:noProof/>
            <w:webHidden/>
          </w:rPr>
          <w:fldChar w:fldCharType="begin"/>
        </w:r>
        <w:r>
          <w:rPr>
            <w:noProof/>
            <w:webHidden/>
          </w:rPr>
          <w:instrText xml:space="preserve"> PAGEREF _Toc484768712 \h </w:instrText>
        </w:r>
        <w:r>
          <w:rPr>
            <w:noProof/>
            <w:webHidden/>
          </w:rPr>
        </w:r>
        <w:r>
          <w:rPr>
            <w:noProof/>
            <w:webHidden/>
          </w:rPr>
          <w:fldChar w:fldCharType="separate"/>
        </w:r>
        <w:r>
          <w:rPr>
            <w:noProof/>
            <w:webHidden/>
          </w:rPr>
          <w:t>93</w:t>
        </w:r>
        <w:r>
          <w:rPr>
            <w:noProof/>
            <w:webHidden/>
          </w:rPr>
          <w:fldChar w:fldCharType="end"/>
        </w:r>
      </w:hyperlink>
    </w:p>
    <w:p w:rsidR="00AB50C5" w:rsidRDefault="00724275">
      <w:pPr>
        <w:pStyle w:val="TOC1"/>
        <w:jc w:val="both"/>
        <w:rPr>
          <w:rFonts w:asciiTheme="minorHAnsi" w:eastAsiaTheme="minorEastAsia" w:hAnsiTheme="minorHAnsi" w:cstheme="minorBidi"/>
          <w:noProof/>
          <w:sz w:val="22"/>
          <w:szCs w:val="22"/>
          <w:lang w:val="de-AT" w:eastAsia="de-AT"/>
        </w:rPr>
      </w:pPr>
      <w:hyperlink w:anchor="_Toc484768713" w:history="1">
        <w:r>
          <w:rPr>
            <w:rStyle w:val="Hyperlink"/>
            <w:noProof/>
            <w:kern w:val="32"/>
          </w:rPr>
          <w:t>2</w:t>
        </w:r>
        <w:r>
          <w:rPr>
            <w:rFonts w:asciiTheme="minorHAnsi" w:eastAsiaTheme="minorEastAsia" w:hAnsiTheme="minorHAnsi" w:cstheme="minorBidi"/>
            <w:noProof/>
            <w:sz w:val="22"/>
            <w:szCs w:val="22"/>
            <w:lang w:val="de-AT" w:eastAsia="de-AT"/>
          </w:rPr>
          <w:tab/>
        </w:r>
        <w:r>
          <w:rPr>
            <w:rStyle w:val="Hyperlink"/>
            <w:noProof/>
            <w:kern w:val="32"/>
          </w:rPr>
          <w:t>The ESPON TIA Quick Check workshop – identifying potential effects on the territory</w:t>
        </w:r>
        <w:r>
          <w:rPr>
            <w:noProof/>
            <w:webHidden/>
          </w:rPr>
          <w:tab/>
        </w:r>
        <w:r>
          <w:rPr>
            <w:noProof/>
            <w:webHidden/>
          </w:rPr>
          <w:fldChar w:fldCharType="begin"/>
        </w:r>
        <w:r>
          <w:rPr>
            <w:noProof/>
            <w:webHidden/>
          </w:rPr>
          <w:instrText xml:space="preserve"> PAGEREF _Toc484768713 \h </w:instrText>
        </w:r>
        <w:r>
          <w:rPr>
            <w:noProof/>
            <w:webHidden/>
          </w:rPr>
        </w:r>
        <w:r>
          <w:rPr>
            <w:noProof/>
            <w:webHidden/>
          </w:rPr>
          <w:fldChar w:fldCharType="separate"/>
        </w:r>
        <w:r>
          <w:rPr>
            <w:noProof/>
            <w:webHidden/>
          </w:rPr>
          <w:t>95</w:t>
        </w:r>
        <w:r>
          <w:rPr>
            <w:noProof/>
            <w:webHidden/>
          </w:rPr>
          <w:fldChar w:fldCharType="end"/>
        </w:r>
      </w:hyperlink>
    </w:p>
    <w:p w:rsidR="00AB50C5" w:rsidRDefault="00724275">
      <w:pPr>
        <w:pStyle w:val="TOC2"/>
        <w:jc w:val="both"/>
        <w:rPr>
          <w:rFonts w:asciiTheme="minorHAnsi" w:eastAsiaTheme="minorEastAsia" w:hAnsiTheme="minorHAnsi" w:cstheme="minorBidi"/>
          <w:noProof/>
          <w:sz w:val="22"/>
          <w:szCs w:val="22"/>
          <w:lang w:val="de-AT" w:eastAsia="de-AT"/>
        </w:rPr>
      </w:pPr>
      <w:hyperlink w:anchor="_Toc484768714" w:history="1">
        <w:r>
          <w:rPr>
            <w:rStyle w:val="Hyperlink"/>
            <w:noProof/>
            <w:kern w:val="32"/>
          </w:rPr>
          <w:t>2.1</w:t>
        </w:r>
        <w:r>
          <w:rPr>
            <w:rFonts w:asciiTheme="minorHAnsi" w:eastAsiaTheme="minorEastAsia" w:hAnsiTheme="minorHAnsi" w:cstheme="minorBidi"/>
            <w:noProof/>
            <w:sz w:val="22"/>
            <w:szCs w:val="22"/>
            <w:lang w:val="de-AT" w:eastAsia="de-AT"/>
          </w:rPr>
          <w:tab/>
        </w:r>
        <w:r>
          <w:rPr>
            <w:rStyle w:val="Hyperlink"/>
            <w:noProof/>
            <w:kern w:val="32"/>
          </w:rPr>
          <w:t xml:space="preserve">Identifying the effects considering </w:t>
        </w:r>
        <w:r>
          <w:rPr>
            <w:rStyle w:val="Hyperlink"/>
            <w:noProof/>
          </w:rPr>
          <w:t xml:space="preserve">economy, society, environment and governance related indicators – </w:t>
        </w:r>
        <w:r>
          <w:rPr>
            <w:rStyle w:val="Hyperlink"/>
            <w:noProof/>
            <w:kern w:val="32"/>
          </w:rPr>
          <w:t>drafting a conceptual model</w:t>
        </w:r>
        <w:r>
          <w:rPr>
            <w:noProof/>
            <w:webHidden/>
          </w:rPr>
          <w:tab/>
        </w:r>
        <w:r>
          <w:rPr>
            <w:noProof/>
            <w:webHidden/>
          </w:rPr>
          <w:fldChar w:fldCharType="begin"/>
        </w:r>
        <w:r>
          <w:rPr>
            <w:noProof/>
            <w:webHidden/>
          </w:rPr>
          <w:instrText xml:space="preserve"> PAGEREF _Toc484768714 \</w:instrText>
        </w:r>
        <w:r>
          <w:rPr>
            <w:noProof/>
            <w:webHidden/>
          </w:rPr>
          <w:instrText xml:space="preserve">h </w:instrText>
        </w:r>
        <w:r>
          <w:rPr>
            <w:noProof/>
            <w:webHidden/>
          </w:rPr>
        </w:r>
        <w:r>
          <w:rPr>
            <w:noProof/>
            <w:webHidden/>
          </w:rPr>
          <w:fldChar w:fldCharType="separate"/>
        </w:r>
        <w:r>
          <w:rPr>
            <w:noProof/>
            <w:webHidden/>
          </w:rPr>
          <w:t>95</w:t>
        </w:r>
        <w:r>
          <w:rPr>
            <w:noProof/>
            <w:webHidden/>
          </w:rPr>
          <w:fldChar w:fldCharType="end"/>
        </w:r>
      </w:hyperlink>
    </w:p>
    <w:p w:rsidR="00AB50C5" w:rsidRDefault="00724275">
      <w:pPr>
        <w:pStyle w:val="TOC2"/>
        <w:jc w:val="both"/>
        <w:rPr>
          <w:rFonts w:asciiTheme="minorHAnsi" w:eastAsiaTheme="minorEastAsia" w:hAnsiTheme="minorHAnsi" w:cstheme="minorBidi"/>
          <w:noProof/>
          <w:sz w:val="22"/>
          <w:szCs w:val="22"/>
          <w:lang w:val="de-AT" w:eastAsia="de-AT"/>
        </w:rPr>
      </w:pPr>
      <w:hyperlink w:anchor="_Toc484768715" w:history="1">
        <w:r>
          <w:rPr>
            <w:rStyle w:val="Hyperlink"/>
            <w:noProof/>
            <w:kern w:val="32"/>
          </w:rPr>
          <w:t>2.2</w:t>
        </w:r>
        <w:r>
          <w:rPr>
            <w:rFonts w:asciiTheme="minorHAnsi" w:eastAsiaTheme="minorEastAsia" w:hAnsiTheme="minorHAnsi" w:cstheme="minorBidi"/>
            <w:noProof/>
            <w:sz w:val="22"/>
            <w:szCs w:val="22"/>
            <w:lang w:val="de-AT" w:eastAsia="de-AT"/>
          </w:rPr>
          <w:tab/>
        </w:r>
        <w:r>
          <w:rPr>
            <w:rStyle w:val="Hyperlink"/>
            <w:noProof/>
            <w:kern w:val="32"/>
          </w:rPr>
          <w:t>Identifying the types of regions potentially affected</w:t>
        </w:r>
        <w:r>
          <w:rPr>
            <w:noProof/>
            <w:webHidden/>
          </w:rPr>
          <w:tab/>
        </w:r>
        <w:r>
          <w:rPr>
            <w:noProof/>
            <w:webHidden/>
          </w:rPr>
          <w:fldChar w:fldCharType="begin"/>
        </w:r>
        <w:r>
          <w:rPr>
            <w:noProof/>
            <w:webHidden/>
          </w:rPr>
          <w:instrText xml:space="preserve"> PAGEREF _Toc484768715 \h </w:instrText>
        </w:r>
        <w:r>
          <w:rPr>
            <w:noProof/>
            <w:webHidden/>
          </w:rPr>
        </w:r>
        <w:r>
          <w:rPr>
            <w:noProof/>
            <w:webHidden/>
          </w:rPr>
          <w:fldChar w:fldCharType="separate"/>
        </w:r>
        <w:r>
          <w:rPr>
            <w:noProof/>
            <w:webHidden/>
          </w:rPr>
          <w:t>96</w:t>
        </w:r>
        <w:r>
          <w:rPr>
            <w:noProof/>
            <w:webHidden/>
          </w:rPr>
          <w:fldChar w:fldCharType="end"/>
        </w:r>
      </w:hyperlink>
    </w:p>
    <w:p w:rsidR="00AB50C5" w:rsidRDefault="00724275">
      <w:pPr>
        <w:pStyle w:val="TOC2"/>
        <w:jc w:val="both"/>
        <w:rPr>
          <w:rFonts w:asciiTheme="minorHAnsi" w:eastAsiaTheme="minorEastAsia" w:hAnsiTheme="minorHAnsi" w:cstheme="minorBidi"/>
          <w:noProof/>
          <w:sz w:val="22"/>
          <w:szCs w:val="22"/>
          <w:lang w:val="de-AT" w:eastAsia="de-AT"/>
        </w:rPr>
      </w:pPr>
      <w:hyperlink w:anchor="_Toc484768716" w:history="1">
        <w:r>
          <w:rPr>
            <w:rStyle w:val="Hyperlink"/>
            <w:noProof/>
          </w:rPr>
          <w:t>2.3</w:t>
        </w:r>
        <w:r>
          <w:rPr>
            <w:rFonts w:asciiTheme="minorHAnsi" w:eastAsiaTheme="minorEastAsia" w:hAnsiTheme="minorHAnsi" w:cstheme="minorBidi"/>
            <w:noProof/>
            <w:sz w:val="22"/>
            <w:szCs w:val="22"/>
            <w:lang w:val="de-AT" w:eastAsia="de-AT"/>
          </w:rPr>
          <w:tab/>
        </w:r>
        <w:r>
          <w:rPr>
            <w:rStyle w:val="Hyperlink"/>
            <w:noProof/>
          </w:rPr>
          <w:t>Picturing the potential territorial effects through relevant indicators</w:t>
        </w:r>
        <w:r>
          <w:rPr>
            <w:noProof/>
            <w:webHidden/>
          </w:rPr>
          <w:tab/>
        </w:r>
        <w:r>
          <w:rPr>
            <w:noProof/>
            <w:webHidden/>
          </w:rPr>
          <w:fldChar w:fldCharType="begin"/>
        </w:r>
        <w:r>
          <w:rPr>
            <w:noProof/>
            <w:webHidden/>
          </w:rPr>
          <w:instrText xml:space="preserve"> PAGEREF _Toc484768716 \h </w:instrText>
        </w:r>
        <w:r>
          <w:rPr>
            <w:noProof/>
            <w:webHidden/>
          </w:rPr>
        </w:r>
        <w:r>
          <w:rPr>
            <w:noProof/>
            <w:webHidden/>
          </w:rPr>
          <w:fldChar w:fldCharType="separate"/>
        </w:r>
        <w:r>
          <w:rPr>
            <w:noProof/>
            <w:webHidden/>
          </w:rPr>
          <w:t>96</w:t>
        </w:r>
        <w:r>
          <w:rPr>
            <w:noProof/>
            <w:webHidden/>
          </w:rPr>
          <w:fldChar w:fldCharType="end"/>
        </w:r>
      </w:hyperlink>
    </w:p>
    <w:p w:rsidR="00AB50C5" w:rsidRDefault="00724275">
      <w:pPr>
        <w:pStyle w:val="TOC2"/>
        <w:jc w:val="both"/>
        <w:rPr>
          <w:rFonts w:asciiTheme="minorHAnsi" w:eastAsiaTheme="minorEastAsia" w:hAnsiTheme="minorHAnsi" w:cstheme="minorBidi"/>
          <w:noProof/>
          <w:sz w:val="22"/>
          <w:szCs w:val="22"/>
          <w:lang w:val="de-AT" w:eastAsia="de-AT"/>
        </w:rPr>
      </w:pPr>
      <w:hyperlink w:anchor="_Toc484768717" w:history="1">
        <w:r>
          <w:rPr>
            <w:rStyle w:val="Hyperlink"/>
            <w:noProof/>
            <w:kern w:val="32"/>
          </w:rPr>
          <w:t>2.4</w:t>
        </w:r>
        <w:r>
          <w:rPr>
            <w:rFonts w:asciiTheme="minorHAnsi" w:eastAsiaTheme="minorEastAsia" w:hAnsiTheme="minorHAnsi" w:cstheme="minorBidi"/>
            <w:noProof/>
            <w:sz w:val="22"/>
            <w:szCs w:val="22"/>
            <w:lang w:val="de-AT" w:eastAsia="de-AT"/>
          </w:rPr>
          <w:tab/>
        </w:r>
        <w:r>
          <w:rPr>
            <w:rStyle w:val="Hyperlink"/>
            <w:noProof/>
            <w:kern w:val="32"/>
          </w:rPr>
          <w:t xml:space="preserve">Judging </w:t>
        </w:r>
        <w:r>
          <w:rPr>
            <w:rStyle w:val="Hyperlink"/>
            <w:noProof/>
            <w:kern w:val="32"/>
          </w:rPr>
          <w:t>the intensity of the effects</w:t>
        </w:r>
        <w:r>
          <w:rPr>
            <w:noProof/>
            <w:webHidden/>
          </w:rPr>
          <w:tab/>
        </w:r>
        <w:r>
          <w:rPr>
            <w:noProof/>
            <w:webHidden/>
          </w:rPr>
          <w:fldChar w:fldCharType="begin"/>
        </w:r>
        <w:r>
          <w:rPr>
            <w:noProof/>
            <w:webHidden/>
          </w:rPr>
          <w:instrText xml:space="preserve"> PAGEREF _Toc484768717 \h </w:instrText>
        </w:r>
        <w:r>
          <w:rPr>
            <w:noProof/>
            <w:webHidden/>
          </w:rPr>
        </w:r>
        <w:r>
          <w:rPr>
            <w:noProof/>
            <w:webHidden/>
          </w:rPr>
          <w:fldChar w:fldCharType="separate"/>
        </w:r>
        <w:r>
          <w:rPr>
            <w:noProof/>
            <w:webHidden/>
          </w:rPr>
          <w:t>98</w:t>
        </w:r>
        <w:r>
          <w:rPr>
            <w:noProof/>
            <w:webHidden/>
          </w:rPr>
          <w:fldChar w:fldCharType="end"/>
        </w:r>
      </w:hyperlink>
    </w:p>
    <w:p w:rsidR="00AB50C5" w:rsidRDefault="00724275">
      <w:pPr>
        <w:pStyle w:val="TOC2"/>
        <w:jc w:val="both"/>
        <w:rPr>
          <w:rFonts w:asciiTheme="minorHAnsi" w:eastAsiaTheme="minorEastAsia" w:hAnsiTheme="minorHAnsi" w:cstheme="minorBidi"/>
          <w:noProof/>
          <w:sz w:val="22"/>
          <w:szCs w:val="22"/>
          <w:lang w:val="de-AT" w:eastAsia="de-AT"/>
        </w:rPr>
      </w:pPr>
      <w:hyperlink w:anchor="_Toc484768718" w:history="1">
        <w:r>
          <w:rPr>
            <w:rStyle w:val="Hyperlink"/>
            <w:noProof/>
            <w:kern w:val="32"/>
          </w:rPr>
          <w:t>2.5</w:t>
        </w:r>
        <w:r>
          <w:rPr>
            <w:rFonts w:asciiTheme="minorHAnsi" w:eastAsiaTheme="minorEastAsia" w:hAnsiTheme="minorHAnsi" w:cstheme="minorBidi"/>
            <w:noProof/>
            <w:sz w:val="22"/>
            <w:szCs w:val="22"/>
            <w:lang w:val="de-AT" w:eastAsia="de-AT"/>
          </w:rPr>
          <w:tab/>
        </w:r>
        <w:r>
          <w:rPr>
            <w:rStyle w:val="Hyperlink"/>
            <w:noProof/>
            <w:kern w:val="32"/>
          </w:rPr>
          <w:t>Calculating the potential “regional impact” – Combining the expert judgement with the regional sensitivity</w:t>
        </w:r>
        <w:r>
          <w:rPr>
            <w:noProof/>
            <w:webHidden/>
          </w:rPr>
          <w:tab/>
        </w:r>
        <w:r>
          <w:rPr>
            <w:noProof/>
            <w:webHidden/>
          </w:rPr>
          <w:fldChar w:fldCharType="begin"/>
        </w:r>
        <w:r>
          <w:rPr>
            <w:noProof/>
            <w:webHidden/>
          </w:rPr>
          <w:instrText xml:space="preserve"> PAGEREF _Toc484768718 \h </w:instrText>
        </w:r>
        <w:r>
          <w:rPr>
            <w:noProof/>
            <w:webHidden/>
          </w:rPr>
        </w:r>
        <w:r>
          <w:rPr>
            <w:noProof/>
            <w:webHidden/>
          </w:rPr>
          <w:fldChar w:fldCharType="separate"/>
        </w:r>
        <w:r>
          <w:rPr>
            <w:noProof/>
            <w:webHidden/>
          </w:rPr>
          <w:t>98</w:t>
        </w:r>
        <w:r>
          <w:rPr>
            <w:noProof/>
            <w:webHidden/>
          </w:rPr>
          <w:fldChar w:fldCharType="end"/>
        </w:r>
      </w:hyperlink>
    </w:p>
    <w:p w:rsidR="00AB50C5" w:rsidRDefault="00724275">
      <w:pPr>
        <w:pStyle w:val="TOC2"/>
        <w:jc w:val="both"/>
        <w:rPr>
          <w:rFonts w:asciiTheme="minorHAnsi" w:eastAsiaTheme="minorEastAsia" w:hAnsiTheme="minorHAnsi" w:cstheme="minorBidi"/>
          <w:noProof/>
          <w:sz w:val="22"/>
          <w:szCs w:val="22"/>
          <w:lang w:val="de-AT" w:eastAsia="de-AT"/>
        </w:rPr>
      </w:pPr>
      <w:hyperlink w:anchor="_Toc484768719" w:history="1">
        <w:r>
          <w:rPr>
            <w:rStyle w:val="Hyperlink"/>
            <w:noProof/>
            <w:kern w:val="32"/>
          </w:rPr>
          <w:t>2.6</w:t>
        </w:r>
        <w:r>
          <w:rPr>
            <w:rFonts w:asciiTheme="minorHAnsi" w:eastAsiaTheme="minorEastAsia" w:hAnsiTheme="minorHAnsi" w:cstheme="minorBidi"/>
            <w:noProof/>
            <w:sz w:val="22"/>
            <w:szCs w:val="22"/>
            <w:lang w:val="de-AT" w:eastAsia="de-AT"/>
          </w:rPr>
          <w:tab/>
        </w:r>
        <w:r>
          <w:rPr>
            <w:rStyle w:val="Hyperlink"/>
            <w:noProof/>
            <w:kern w:val="32"/>
          </w:rPr>
          <w:t>Mapping the potential territorial impact</w:t>
        </w:r>
        <w:r>
          <w:rPr>
            <w:noProof/>
            <w:webHidden/>
          </w:rPr>
          <w:tab/>
        </w:r>
        <w:r>
          <w:rPr>
            <w:noProof/>
            <w:webHidden/>
          </w:rPr>
          <w:fldChar w:fldCharType="begin"/>
        </w:r>
        <w:r>
          <w:rPr>
            <w:noProof/>
            <w:webHidden/>
          </w:rPr>
          <w:instrText xml:space="preserve"> PAGEREF _Toc484768719 \h </w:instrText>
        </w:r>
        <w:r>
          <w:rPr>
            <w:noProof/>
            <w:webHidden/>
          </w:rPr>
        </w:r>
        <w:r>
          <w:rPr>
            <w:noProof/>
            <w:webHidden/>
          </w:rPr>
          <w:fldChar w:fldCharType="separate"/>
        </w:r>
        <w:r>
          <w:rPr>
            <w:noProof/>
            <w:webHidden/>
          </w:rPr>
          <w:t>99</w:t>
        </w:r>
        <w:r>
          <w:rPr>
            <w:noProof/>
            <w:webHidden/>
          </w:rPr>
          <w:fldChar w:fldCharType="end"/>
        </w:r>
      </w:hyperlink>
    </w:p>
    <w:p w:rsidR="00AB50C5" w:rsidRDefault="00724275">
      <w:pPr>
        <w:pStyle w:val="TOC1"/>
        <w:jc w:val="both"/>
        <w:rPr>
          <w:rFonts w:eastAsiaTheme="minorEastAsia"/>
          <w:noProof/>
          <w:szCs w:val="22"/>
        </w:rPr>
      </w:pPr>
      <w:hyperlink w:anchor="_Toc484768720" w:history="1">
        <w:r>
          <w:rPr>
            <w:rStyle w:val="Hyperlink"/>
            <w:noProof/>
          </w:rPr>
          <w:t>3</w:t>
        </w:r>
        <w:r>
          <w:rPr>
            <w:rFonts w:eastAsiaTheme="minorEastAsia"/>
            <w:noProof/>
            <w:szCs w:val="22"/>
          </w:rPr>
          <w:tab/>
        </w:r>
        <w:r>
          <w:rPr>
            <w:rStyle w:val="Hyperlink"/>
            <w:noProof/>
          </w:rPr>
          <w:t>Results of the TIA quick check: Potential territorial impact considering environment aspects</w:t>
        </w:r>
        <w:r>
          <w:rPr>
            <w:noProof/>
            <w:webHidden/>
          </w:rPr>
          <w:tab/>
        </w:r>
        <w:r>
          <w:rPr>
            <w:noProof/>
            <w:webHidden/>
          </w:rPr>
          <w:fldChar w:fldCharType="begin"/>
        </w:r>
        <w:r>
          <w:rPr>
            <w:noProof/>
            <w:webHidden/>
          </w:rPr>
          <w:instrText xml:space="preserve"> PAGEREF _Toc484768720 \h </w:instrText>
        </w:r>
        <w:r>
          <w:rPr>
            <w:noProof/>
            <w:webHidden/>
          </w:rPr>
        </w:r>
        <w:r>
          <w:rPr>
            <w:noProof/>
            <w:webHidden/>
          </w:rPr>
          <w:fldChar w:fldCharType="separate"/>
        </w:r>
        <w:r>
          <w:rPr>
            <w:noProof/>
            <w:webHidden/>
          </w:rPr>
          <w:t>100</w:t>
        </w:r>
        <w:r>
          <w:rPr>
            <w:noProof/>
            <w:webHidden/>
          </w:rPr>
          <w:fldChar w:fldCharType="end"/>
        </w:r>
      </w:hyperlink>
    </w:p>
    <w:p w:rsidR="00AB50C5" w:rsidRDefault="00724275">
      <w:pPr>
        <w:pStyle w:val="TOC2"/>
        <w:jc w:val="both"/>
        <w:rPr>
          <w:rFonts w:asciiTheme="minorHAnsi" w:eastAsiaTheme="minorEastAsia" w:hAnsiTheme="minorHAnsi" w:cstheme="minorBidi"/>
          <w:noProof/>
          <w:sz w:val="22"/>
          <w:szCs w:val="22"/>
          <w:lang w:val="de-AT" w:eastAsia="de-AT"/>
        </w:rPr>
      </w:pPr>
      <w:hyperlink w:anchor="_Toc484768721" w:history="1">
        <w:r>
          <w:rPr>
            <w:rStyle w:val="Hyperlink"/>
            <w:noProof/>
          </w:rPr>
          <w:t>3.1</w:t>
        </w:r>
        <w:r>
          <w:rPr>
            <w:rFonts w:asciiTheme="minorHAnsi" w:eastAsiaTheme="minorEastAsia" w:hAnsiTheme="minorHAnsi" w:cstheme="minorBidi"/>
            <w:noProof/>
            <w:sz w:val="22"/>
            <w:szCs w:val="22"/>
            <w:lang w:val="de-AT" w:eastAsia="de-AT"/>
          </w:rPr>
          <w:tab/>
        </w:r>
        <w:r>
          <w:rPr>
            <w:rStyle w:val="Hyperlink"/>
            <w:noProof/>
            <w:kern w:val="32"/>
          </w:rPr>
          <w:t xml:space="preserve">The potential territorial </w:t>
        </w:r>
        <w:r>
          <w:rPr>
            <w:rStyle w:val="Hyperlink"/>
            <w:noProof/>
            <w:kern w:val="32"/>
          </w:rPr>
          <w:t>impact based on agriculture depending on</w:t>
        </w:r>
        <w:r>
          <w:rPr>
            <w:rStyle w:val="Hyperlink"/>
            <w:noProof/>
          </w:rPr>
          <w:t xml:space="preserve"> irrigated land</w:t>
        </w:r>
        <w:r>
          <w:rPr>
            <w:noProof/>
            <w:webHidden/>
          </w:rPr>
          <w:tab/>
        </w:r>
        <w:r>
          <w:rPr>
            <w:noProof/>
            <w:webHidden/>
          </w:rPr>
          <w:fldChar w:fldCharType="begin"/>
        </w:r>
        <w:r>
          <w:rPr>
            <w:noProof/>
            <w:webHidden/>
          </w:rPr>
          <w:instrText xml:space="preserve"> PAGEREF _Toc484768721 \h </w:instrText>
        </w:r>
        <w:r>
          <w:rPr>
            <w:noProof/>
            <w:webHidden/>
          </w:rPr>
        </w:r>
        <w:r>
          <w:rPr>
            <w:noProof/>
            <w:webHidden/>
          </w:rPr>
          <w:fldChar w:fldCharType="separate"/>
        </w:r>
        <w:r>
          <w:rPr>
            <w:noProof/>
            <w:webHidden/>
          </w:rPr>
          <w:t>100</w:t>
        </w:r>
        <w:r>
          <w:rPr>
            <w:noProof/>
            <w:webHidden/>
          </w:rPr>
          <w:fldChar w:fldCharType="end"/>
        </w:r>
      </w:hyperlink>
    </w:p>
    <w:p w:rsidR="00AB50C5" w:rsidRDefault="00724275">
      <w:pPr>
        <w:pStyle w:val="TOC2"/>
        <w:jc w:val="both"/>
        <w:rPr>
          <w:rFonts w:eastAsiaTheme="minorEastAsia"/>
          <w:noProof/>
          <w:szCs w:val="22"/>
        </w:rPr>
      </w:pPr>
      <w:hyperlink w:anchor="_Toc484768722" w:history="1">
        <w:r>
          <w:rPr>
            <w:rStyle w:val="Hyperlink"/>
            <w:noProof/>
          </w:rPr>
          <w:t>3.2</w:t>
        </w:r>
        <w:r>
          <w:rPr>
            <w:rFonts w:eastAsiaTheme="minorEastAsia"/>
            <w:noProof/>
            <w:szCs w:val="22"/>
          </w:rPr>
          <w:tab/>
        </w:r>
        <w:r>
          <w:rPr>
            <w:rStyle w:val="Hyperlink"/>
            <w:noProof/>
          </w:rPr>
          <w:t>The potential territorial impact on regions based on the facing danger of droughts</w:t>
        </w:r>
        <w:r>
          <w:rPr>
            <w:noProof/>
            <w:webHidden/>
          </w:rPr>
          <w:tab/>
        </w:r>
        <w:r>
          <w:rPr>
            <w:noProof/>
            <w:webHidden/>
          </w:rPr>
          <w:fldChar w:fldCharType="begin"/>
        </w:r>
        <w:r>
          <w:rPr>
            <w:noProof/>
            <w:webHidden/>
          </w:rPr>
          <w:instrText xml:space="preserve"> PAGEREF _Toc484768722 \h </w:instrText>
        </w:r>
        <w:r>
          <w:rPr>
            <w:noProof/>
            <w:webHidden/>
          </w:rPr>
        </w:r>
        <w:r>
          <w:rPr>
            <w:noProof/>
            <w:webHidden/>
          </w:rPr>
          <w:fldChar w:fldCharType="separate"/>
        </w:r>
        <w:r>
          <w:rPr>
            <w:noProof/>
            <w:webHidden/>
          </w:rPr>
          <w:t>101</w:t>
        </w:r>
        <w:r>
          <w:rPr>
            <w:noProof/>
            <w:webHidden/>
          </w:rPr>
          <w:fldChar w:fldCharType="end"/>
        </w:r>
      </w:hyperlink>
    </w:p>
    <w:p w:rsidR="00AB50C5" w:rsidRDefault="00724275">
      <w:pPr>
        <w:pStyle w:val="TOC2"/>
        <w:jc w:val="both"/>
        <w:rPr>
          <w:rFonts w:asciiTheme="minorHAnsi" w:eastAsiaTheme="minorEastAsia" w:hAnsiTheme="minorHAnsi" w:cstheme="minorBidi"/>
          <w:noProof/>
          <w:sz w:val="22"/>
          <w:szCs w:val="22"/>
          <w:lang w:val="de-AT" w:eastAsia="de-AT"/>
        </w:rPr>
      </w:pPr>
      <w:hyperlink w:anchor="_Toc484768723" w:history="1">
        <w:r>
          <w:rPr>
            <w:rStyle w:val="Hyperlink"/>
            <w:noProof/>
          </w:rPr>
          <w:t>3.3</w:t>
        </w:r>
        <w:r>
          <w:rPr>
            <w:rFonts w:asciiTheme="minorHAnsi" w:eastAsiaTheme="minorEastAsia" w:hAnsiTheme="minorHAnsi" w:cstheme="minorBidi"/>
            <w:noProof/>
            <w:sz w:val="22"/>
            <w:szCs w:val="22"/>
            <w:lang w:val="de-AT" w:eastAsia="de-AT"/>
          </w:rPr>
          <w:tab/>
        </w:r>
        <w:r>
          <w:rPr>
            <w:rStyle w:val="Hyperlink"/>
            <w:noProof/>
            <w:kern w:val="32"/>
          </w:rPr>
          <w:t xml:space="preserve">The potential territorial impact on regions facing </w:t>
        </w:r>
        <w:r>
          <w:rPr>
            <w:rStyle w:val="Hyperlink"/>
            <w:noProof/>
          </w:rPr>
          <w:t>heat waves</w:t>
        </w:r>
        <w:r>
          <w:rPr>
            <w:noProof/>
            <w:webHidden/>
          </w:rPr>
          <w:tab/>
        </w:r>
        <w:r>
          <w:rPr>
            <w:noProof/>
            <w:webHidden/>
          </w:rPr>
          <w:fldChar w:fldCharType="begin"/>
        </w:r>
        <w:r>
          <w:rPr>
            <w:noProof/>
            <w:webHidden/>
          </w:rPr>
          <w:instrText xml:space="preserve"> PAGEREF _Toc484768723 \h </w:instrText>
        </w:r>
        <w:r>
          <w:rPr>
            <w:noProof/>
            <w:webHidden/>
          </w:rPr>
        </w:r>
        <w:r>
          <w:rPr>
            <w:noProof/>
            <w:webHidden/>
          </w:rPr>
          <w:fldChar w:fldCharType="separate"/>
        </w:r>
        <w:r>
          <w:rPr>
            <w:noProof/>
            <w:webHidden/>
          </w:rPr>
          <w:t>104</w:t>
        </w:r>
        <w:r>
          <w:rPr>
            <w:noProof/>
            <w:webHidden/>
          </w:rPr>
          <w:fldChar w:fldCharType="end"/>
        </w:r>
      </w:hyperlink>
    </w:p>
    <w:p w:rsidR="00AB50C5" w:rsidRDefault="00724275">
      <w:pPr>
        <w:pStyle w:val="TOC2"/>
        <w:jc w:val="both"/>
        <w:rPr>
          <w:rFonts w:asciiTheme="minorHAnsi" w:eastAsiaTheme="minorEastAsia" w:hAnsiTheme="minorHAnsi" w:cstheme="minorBidi"/>
          <w:noProof/>
          <w:sz w:val="22"/>
          <w:szCs w:val="22"/>
          <w:lang w:val="de-AT" w:eastAsia="de-AT"/>
        </w:rPr>
      </w:pPr>
      <w:hyperlink w:anchor="_Toc484768724" w:history="1">
        <w:r>
          <w:rPr>
            <w:rStyle w:val="Hyperlink"/>
            <w:noProof/>
          </w:rPr>
          <w:t>3.4</w:t>
        </w:r>
        <w:r>
          <w:rPr>
            <w:rFonts w:asciiTheme="minorHAnsi" w:eastAsiaTheme="minorEastAsia" w:hAnsiTheme="minorHAnsi" w:cstheme="minorBidi"/>
            <w:noProof/>
            <w:sz w:val="22"/>
            <w:szCs w:val="22"/>
            <w:lang w:val="de-AT" w:eastAsia="de-AT"/>
          </w:rPr>
          <w:tab/>
        </w:r>
        <w:r>
          <w:rPr>
            <w:rStyle w:val="Hyperlink"/>
            <w:noProof/>
            <w:kern w:val="32"/>
          </w:rPr>
          <w:t xml:space="preserve">The potential territorial impact based on </w:t>
        </w:r>
        <w:r>
          <w:rPr>
            <w:rStyle w:val="Hyperlink"/>
            <w:noProof/>
          </w:rPr>
          <w:t>pollutants in soil and ground/surface water indicator</w:t>
        </w:r>
        <w:r>
          <w:rPr>
            <w:noProof/>
            <w:webHidden/>
          </w:rPr>
          <w:tab/>
        </w:r>
        <w:r>
          <w:rPr>
            <w:noProof/>
            <w:webHidden/>
          </w:rPr>
          <w:fldChar w:fldCharType="begin"/>
        </w:r>
        <w:r>
          <w:rPr>
            <w:noProof/>
            <w:webHidden/>
          </w:rPr>
          <w:instrText xml:space="preserve"> PAGEREF _Toc484768724 \h </w:instrText>
        </w:r>
        <w:r>
          <w:rPr>
            <w:noProof/>
            <w:webHidden/>
          </w:rPr>
        </w:r>
        <w:r>
          <w:rPr>
            <w:noProof/>
            <w:webHidden/>
          </w:rPr>
          <w:fldChar w:fldCharType="separate"/>
        </w:r>
        <w:r>
          <w:rPr>
            <w:noProof/>
            <w:webHidden/>
          </w:rPr>
          <w:t>105</w:t>
        </w:r>
        <w:r>
          <w:rPr>
            <w:noProof/>
            <w:webHidden/>
          </w:rPr>
          <w:fldChar w:fldCharType="end"/>
        </w:r>
      </w:hyperlink>
    </w:p>
    <w:p w:rsidR="00AB50C5" w:rsidRDefault="00724275">
      <w:pPr>
        <w:pStyle w:val="TOC1"/>
        <w:jc w:val="both"/>
        <w:rPr>
          <w:rFonts w:asciiTheme="minorHAnsi" w:eastAsiaTheme="minorEastAsia" w:hAnsiTheme="minorHAnsi" w:cstheme="minorBidi"/>
          <w:noProof/>
          <w:sz w:val="22"/>
          <w:szCs w:val="22"/>
          <w:lang w:val="de-AT" w:eastAsia="de-AT"/>
        </w:rPr>
      </w:pPr>
      <w:hyperlink w:anchor="_Toc484768725" w:history="1">
        <w:r>
          <w:rPr>
            <w:rStyle w:val="Hyperlink"/>
            <w:noProof/>
            <w:kern w:val="32"/>
          </w:rPr>
          <w:t>4</w:t>
        </w:r>
        <w:r>
          <w:rPr>
            <w:rFonts w:asciiTheme="minorHAnsi" w:eastAsiaTheme="minorEastAsia" w:hAnsiTheme="minorHAnsi" w:cstheme="minorBidi"/>
            <w:noProof/>
            <w:sz w:val="22"/>
            <w:szCs w:val="22"/>
            <w:lang w:val="de-AT" w:eastAsia="de-AT"/>
          </w:rPr>
          <w:tab/>
        </w:r>
        <w:r>
          <w:rPr>
            <w:rStyle w:val="Hyperlink"/>
            <w:noProof/>
            <w:kern w:val="32"/>
          </w:rPr>
          <w:t>Results of the TIA quick</w:t>
        </w:r>
        <w:r>
          <w:rPr>
            <w:rStyle w:val="Hyperlink"/>
            <w:noProof/>
            <w:kern w:val="32"/>
          </w:rPr>
          <w:t xml:space="preserve"> check: Potential territorial impact considering the economy aspects</w:t>
        </w:r>
        <w:r>
          <w:rPr>
            <w:noProof/>
            <w:webHidden/>
          </w:rPr>
          <w:tab/>
        </w:r>
        <w:r>
          <w:rPr>
            <w:noProof/>
            <w:webHidden/>
          </w:rPr>
          <w:fldChar w:fldCharType="begin"/>
        </w:r>
        <w:r>
          <w:rPr>
            <w:noProof/>
            <w:webHidden/>
          </w:rPr>
          <w:instrText xml:space="preserve"> PAGEREF _Toc484768725 \h </w:instrText>
        </w:r>
        <w:r>
          <w:rPr>
            <w:noProof/>
            <w:webHidden/>
          </w:rPr>
        </w:r>
        <w:r>
          <w:rPr>
            <w:noProof/>
            <w:webHidden/>
          </w:rPr>
          <w:fldChar w:fldCharType="separate"/>
        </w:r>
        <w:r>
          <w:rPr>
            <w:noProof/>
            <w:webHidden/>
          </w:rPr>
          <w:t>107</w:t>
        </w:r>
        <w:r>
          <w:rPr>
            <w:noProof/>
            <w:webHidden/>
          </w:rPr>
          <w:fldChar w:fldCharType="end"/>
        </w:r>
      </w:hyperlink>
    </w:p>
    <w:p w:rsidR="00AB50C5" w:rsidRDefault="00724275">
      <w:pPr>
        <w:pStyle w:val="TOC2"/>
        <w:jc w:val="both"/>
        <w:rPr>
          <w:rFonts w:asciiTheme="minorHAnsi" w:eastAsiaTheme="minorEastAsia" w:hAnsiTheme="minorHAnsi" w:cstheme="minorBidi"/>
          <w:noProof/>
          <w:sz w:val="22"/>
          <w:szCs w:val="22"/>
          <w:lang w:val="de-AT" w:eastAsia="de-AT"/>
        </w:rPr>
      </w:pPr>
      <w:hyperlink w:anchor="_Toc484768726" w:history="1">
        <w:r>
          <w:rPr>
            <w:rStyle w:val="Hyperlink"/>
            <w:noProof/>
            <w:kern w:val="32"/>
          </w:rPr>
          <w:t>4.1</w:t>
        </w:r>
        <w:r>
          <w:rPr>
            <w:rFonts w:asciiTheme="minorHAnsi" w:eastAsiaTheme="minorEastAsia" w:hAnsiTheme="minorHAnsi" w:cstheme="minorBidi"/>
            <w:noProof/>
            <w:sz w:val="22"/>
            <w:szCs w:val="22"/>
            <w:lang w:val="de-AT" w:eastAsia="de-AT"/>
          </w:rPr>
          <w:tab/>
        </w:r>
        <w:r>
          <w:rPr>
            <w:rStyle w:val="Hyperlink"/>
            <w:noProof/>
            <w:kern w:val="32"/>
          </w:rPr>
          <w:t xml:space="preserve">The potential territorial impact based on the added </w:t>
        </w:r>
        <w:r>
          <w:rPr>
            <w:rStyle w:val="Hyperlink"/>
            <w:noProof/>
            <w:kern w:val="32"/>
          </w:rPr>
          <w:t>value in agriculture and forestry</w:t>
        </w:r>
        <w:r>
          <w:rPr>
            <w:noProof/>
            <w:webHidden/>
          </w:rPr>
          <w:tab/>
        </w:r>
        <w:r>
          <w:rPr>
            <w:noProof/>
            <w:webHidden/>
          </w:rPr>
          <w:fldChar w:fldCharType="begin"/>
        </w:r>
        <w:r>
          <w:rPr>
            <w:noProof/>
            <w:webHidden/>
          </w:rPr>
          <w:instrText xml:space="preserve"> PAGEREF _Toc484768726 \h </w:instrText>
        </w:r>
        <w:r>
          <w:rPr>
            <w:noProof/>
            <w:webHidden/>
          </w:rPr>
        </w:r>
        <w:r>
          <w:rPr>
            <w:noProof/>
            <w:webHidden/>
          </w:rPr>
          <w:fldChar w:fldCharType="separate"/>
        </w:r>
        <w:r>
          <w:rPr>
            <w:noProof/>
            <w:webHidden/>
          </w:rPr>
          <w:t>107</w:t>
        </w:r>
        <w:r>
          <w:rPr>
            <w:noProof/>
            <w:webHidden/>
          </w:rPr>
          <w:fldChar w:fldCharType="end"/>
        </w:r>
      </w:hyperlink>
    </w:p>
    <w:p w:rsidR="00AB50C5" w:rsidRDefault="00724275">
      <w:pPr>
        <w:pStyle w:val="TOC2"/>
        <w:jc w:val="both"/>
        <w:rPr>
          <w:rFonts w:asciiTheme="minorHAnsi" w:eastAsiaTheme="minorEastAsia" w:hAnsiTheme="minorHAnsi" w:cstheme="minorBidi"/>
          <w:noProof/>
          <w:sz w:val="22"/>
          <w:szCs w:val="22"/>
          <w:lang w:val="de-AT" w:eastAsia="de-AT"/>
        </w:rPr>
      </w:pPr>
      <w:hyperlink w:anchor="_Toc484768727" w:history="1">
        <w:r>
          <w:rPr>
            <w:rStyle w:val="Hyperlink"/>
            <w:noProof/>
            <w:kern w:val="32"/>
          </w:rPr>
          <w:t>4.2</w:t>
        </w:r>
        <w:r>
          <w:rPr>
            <w:rFonts w:asciiTheme="minorHAnsi" w:eastAsiaTheme="minorEastAsia" w:hAnsiTheme="minorHAnsi" w:cstheme="minorBidi"/>
            <w:noProof/>
            <w:sz w:val="22"/>
            <w:szCs w:val="22"/>
            <w:lang w:val="de-AT" w:eastAsia="de-AT"/>
          </w:rPr>
          <w:tab/>
        </w:r>
        <w:r>
          <w:rPr>
            <w:rStyle w:val="Hyperlink"/>
            <w:noProof/>
            <w:kern w:val="32"/>
          </w:rPr>
          <w:t>The potential territorial impact based on the economic growth</w:t>
        </w:r>
        <w:r>
          <w:rPr>
            <w:noProof/>
            <w:webHidden/>
          </w:rPr>
          <w:tab/>
        </w:r>
        <w:r>
          <w:rPr>
            <w:noProof/>
            <w:webHidden/>
          </w:rPr>
          <w:fldChar w:fldCharType="begin"/>
        </w:r>
        <w:r>
          <w:rPr>
            <w:noProof/>
            <w:webHidden/>
          </w:rPr>
          <w:instrText xml:space="preserve"> PAGEREF _Toc484768727 \h </w:instrText>
        </w:r>
        <w:r>
          <w:rPr>
            <w:noProof/>
            <w:webHidden/>
          </w:rPr>
        </w:r>
        <w:r>
          <w:rPr>
            <w:noProof/>
            <w:webHidden/>
          </w:rPr>
          <w:fldChar w:fldCharType="separate"/>
        </w:r>
        <w:r>
          <w:rPr>
            <w:noProof/>
            <w:webHidden/>
          </w:rPr>
          <w:t>110</w:t>
        </w:r>
        <w:r>
          <w:rPr>
            <w:noProof/>
            <w:webHidden/>
          </w:rPr>
          <w:fldChar w:fldCharType="end"/>
        </w:r>
      </w:hyperlink>
    </w:p>
    <w:p w:rsidR="00AB50C5" w:rsidRDefault="00724275">
      <w:pPr>
        <w:pStyle w:val="TOC2"/>
        <w:jc w:val="both"/>
        <w:rPr>
          <w:rFonts w:asciiTheme="minorHAnsi" w:eastAsiaTheme="minorEastAsia" w:hAnsiTheme="minorHAnsi" w:cstheme="minorBidi"/>
          <w:noProof/>
          <w:sz w:val="22"/>
          <w:szCs w:val="22"/>
          <w:lang w:val="de-AT" w:eastAsia="de-AT"/>
        </w:rPr>
      </w:pPr>
      <w:hyperlink w:anchor="_Toc484768728" w:history="1">
        <w:r>
          <w:rPr>
            <w:rStyle w:val="Hyperlink"/>
            <w:noProof/>
            <w:kern w:val="32"/>
          </w:rPr>
          <w:t>4.3</w:t>
        </w:r>
        <w:r>
          <w:rPr>
            <w:rFonts w:asciiTheme="minorHAnsi" w:eastAsiaTheme="minorEastAsia" w:hAnsiTheme="minorHAnsi" w:cstheme="minorBidi"/>
            <w:noProof/>
            <w:sz w:val="22"/>
            <w:szCs w:val="22"/>
            <w:lang w:val="de-AT" w:eastAsia="de-AT"/>
          </w:rPr>
          <w:tab/>
        </w:r>
        <w:r>
          <w:rPr>
            <w:rStyle w:val="Hyperlink"/>
            <w:noProof/>
            <w:kern w:val="32"/>
          </w:rPr>
          <w:t>The potential territorial impact based on the R&amp;D Climate</w:t>
        </w:r>
        <w:r>
          <w:rPr>
            <w:noProof/>
            <w:webHidden/>
          </w:rPr>
          <w:tab/>
        </w:r>
        <w:r>
          <w:rPr>
            <w:noProof/>
            <w:webHidden/>
          </w:rPr>
          <w:fldChar w:fldCharType="begin"/>
        </w:r>
        <w:r>
          <w:rPr>
            <w:noProof/>
            <w:webHidden/>
          </w:rPr>
          <w:instrText xml:space="preserve"> PAGEREF _Toc484768728 \h </w:instrText>
        </w:r>
        <w:r>
          <w:rPr>
            <w:noProof/>
            <w:webHidden/>
          </w:rPr>
        </w:r>
        <w:r>
          <w:rPr>
            <w:noProof/>
            <w:webHidden/>
          </w:rPr>
          <w:fldChar w:fldCharType="separate"/>
        </w:r>
        <w:r>
          <w:rPr>
            <w:noProof/>
            <w:webHidden/>
          </w:rPr>
          <w:t>112</w:t>
        </w:r>
        <w:r>
          <w:rPr>
            <w:noProof/>
            <w:webHidden/>
          </w:rPr>
          <w:fldChar w:fldCharType="end"/>
        </w:r>
      </w:hyperlink>
    </w:p>
    <w:p w:rsidR="00AB50C5" w:rsidRDefault="00724275">
      <w:pPr>
        <w:pStyle w:val="TOC1"/>
        <w:jc w:val="both"/>
        <w:rPr>
          <w:rFonts w:asciiTheme="minorHAnsi" w:eastAsiaTheme="minorEastAsia" w:hAnsiTheme="minorHAnsi" w:cstheme="minorBidi"/>
          <w:noProof/>
          <w:sz w:val="22"/>
          <w:szCs w:val="22"/>
          <w:lang w:val="de-AT" w:eastAsia="de-AT"/>
        </w:rPr>
      </w:pPr>
      <w:hyperlink w:anchor="_Toc484768729" w:history="1">
        <w:r>
          <w:rPr>
            <w:rStyle w:val="Hyperlink"/>
            <w:noProof/>
            <w:kern w:val="32"/>
          </w:rPr>
          <w:t>5</w:t>
        </w:r>
        <w:r>
          <w:rPr>
            <w:rFonts w:asciiTheme="minorHAnsi" w:eastAsiaTheme="minorEastAsia" w:hAnsiTheme="minorHAnsi" w:cstheme="minorBidi"/>
            <w:noProof/>
            <w:sz w:val="22"/>
            <w:szCs w:val="22"/>
            <w:lang w:val="de-AT" w:eastAsia="de-AT"/>
          </w:rPr>
          <w:tab/>
        </w:r>
        <w:r>
          <w:rPr>
            <w:rStyle w:val="Hyperlink"/>
            <w:noProof/>
            <w:kern w:val="32"/>
          </w:rPr>
          <w:t>Results of the TIA quick check: Potential territorial impact based on society aspects</w:t>
        </w:r>
        <w:r>
          <w:rPr>
            <w:noProof/>
            <w:webHidden/>
          </w:rPr>
          <w:tab/>
        </w:r>
        <w:r>
          <w:rPr>
            <w:noProof/>
            <w:webHidden/>
          </w:rPr>
          <w:fldChar w:fldCharType="begin"/>
        </w:r>
        <w:r>
          <w:rPr>
            <w:noProof/>
            <w:webHidden/>
          </w:rPr>
          <w:instrText xml:space="preserve"> PAGEREF _Toc484768729 \h </w:instrText>
        </w:r>
        <w:r>
          <w:rPr>
            <w:noProof/>
            <w:webHidden/>
          </w:rPr>
        </w:r>
        <w:r>
          <w:rPr>
            <w:noProof/>
            <w:webHidden/>
          </w:rPr>
          <w:fldChar w:fldCharType="separate"/>
        </w:r>
        <w:r>
          <w:rPr>
            <w:noProof/>
            <w:webHidden/>
          </w:rPr>
          <w:t>114</w:t>
        </w:r>
        <w:r>
          <w:rPr>
            <w:noProof/>
            <w:webHidden/>
          </w:rPr>
          <w:fldChar w:fldCharType="end"/>
        </w:r>
      </w:hyperlink>
    </w:p>
    <w:p w:rsidR="00AB50C5" w:rsidRDefault="00724275">
      <w:pPr>
        <w:pStyle w:val="TOC2"/>
        <w:jc w:val="both"/>
        <w:rPr>
          <w:rFonts w:asciiTheme="minorHAnsi" w:eastAsiaTheme="minorEastAsia" w:hAnsiTheme="minorHAnsi" w:cstheme="minorBidi"/>
          <w:noProof/>
          <w:sz w:val="22"/>
          <w:szCs w:val="22"/>
          <w:lang w:val="de-AT" w:eastAsia="de-AT"/>
        </w:rPr>
      </w:pPr>
      <w:hyperlink w:anchor="_Toc484768730" w:history="1">
        <w:r>
          <w:rPr>
            <w:rStyle w:val="Hyperlink"/>
            <w:noProof/>
            <w:kern w:val="32"/>
          </w:rPr>
          <w:t>5.1</w:t>
        </w:r>
        <w:r>
          <w:rPr>
            <w:rFonts w:asciiTheme="minorHAnsi" w:eastAsiaTheme="minorEastAsia" w:hAnsiTheme="minorHAnsi" w:cstheme="minorBidi"/>
            <w:noProof/>
            <w:sz w:val="22"/>
            <w:szCs w:val="22"/>
            <w:lang w:val="de-AT" w:eastAsia="de-AT"/>
          </w:rPr>
          <w:tab/>
        </w:r>
        <w:r>
          <w:rPr>
            <w:rStyle w:val="Hyperlink"/>
            <w:noProof/>
            <w:kern w:val="32"/>
          </w:rPr>
          <w:t>The potential territorial impact based on the employment in agriculture and forestry</w:t>
        </w:r>
        <w:r>
          <w:rPr>
            <w:noProof/>
            <w:webHidden/>
          </w:rPr>
          <w:tab/>
        </w:r>
        <w:r>
          <w:rPr>
            <w:noProof/>
            <w:webHidden/>
          </w:rPr>
          <w:fldChar w:fldCharType="begin"/>
        </w:r>
        <w:r>
          <w:rPr>
            <w:noProof/>
            <w:webHidden/>
          </w:rPr>
          <w:instrText xml:space="preserve"> PAGEREF _Toc484768730 \h </w:instrText>
        </w:r>
        <w:r>
          <w:rPr>
            <w:noProof/>
            <w:webHidden/>
          </w:rPr>
        </w:r>
        <w:r>
          <w:rPr>
            <w:noProof/>
            <w:webHidden/>
          </w:rPr>
          <w:fldChar w:fldCharType="separate"/>
        </w:r>
        <w:r>
          <w:rPr>
            <w:noProof/>
            <w:webHidden/>
          </w:rPr>
          <w:t>114</w:t>
        </w:r>
        <w:r>
          <w:rPr>
            <w:noProof/>
            <w:webHidden/>
          </w:rPr>
          <w:fldChar w:fldCharType="end"/>
        </w:r>
      </w:hyperlink>
    </w:p>
    <w:p w:rsidR="00AB50C5" w:rsidRDefault="00724275">
      <w:pPr>
        <w:pStyle w:val="TOC2"/>
        <w:jc w:val="both"/>
        <w:rPr>
          <w:rFonts w:asciiTheme="minorHAnsi" w:eastAsiaTheme="minorEastAsia" w:hAnsiTheme="minorHAnsi" w:cstheme="minorBidi"/>
          <w:noProof/>
          <w:sz w:val="22"/>
          <w:szCs w:val="22"/>
          <w:lang w:val="de-AT" w:eastAsia="de-AT"/>
        </w:rPr>
      </w:pPr>
      <w:hyperlink w:anchor="_Toc484768731" w:history="1">
        <w:r>
          <w:rPr>
            <w:rStyle w:val="Hyperlink"/>
            <w:noProof/>
            <w:kern w:val="32"/>
          </w:rPr>
          <w:t>5.2</w:t>
        </w:r>
        <w:r>
          <w:rPr>
            <w:rFonts w:asciiTheme="minorHAnsi" w:eastAsiaTheme="minorEastAsia" w:hAnsiTheme="minorHAnsi" w:cstheme="minorBidi"/>
            <w:noProof/>
            <w:sz w:val="22"/>
            <w:szCs w:val="22"/>
            <w:lang w:val="de-AT" w:eastAsia="de-AT"/>
          </w:rPr>
          <w:tab/>
        </w:r>
        <w:r>
          <w:rPr>
            <w:rStyle w:val="Hyperlink"/>
            <w:noProof/>
            <w:kern w:val="32"/>
          </w:rPr>
          <w:t>Th</w:t>
        </w:r>
        <w:r>
          <w:rPr>
            <w:rStyle w:val="Hyperlink"/>
            <w:noProof/>
            <w:kern w:val="32"/>
          </w:rPr>
          <w:t>e potential territorial impact based on out-migration/brain drain/“shrinking” of regions</w:t>
        </w:r>
        <w:r>
          <w:rPr>
            <w:noProof/>
            <w:webHidden/>
          </w:rPr>
          <w:tab/>
        </w:r>
        <w:r>
          <w:rPr>
            <w:noProof/>
            <w:webHidden/>
          </w:rPr>
          <w:fldChar w:fldCharType="begin"/>
        </w:r>
        <w:r>
          <w:rPr>
            <w:noProof/>
            <w:webHidden/>
          </w:rPr>
          <w:instrText xml:space="preserve"> PAGEREF _Toc484768731 \h </w:instrText>
        </w:r>
        <w:r>
          <w:rPr>
            <w:noProof/>
            <w:webHidden/>
          </w:rPr>
        </w:r>
        <w:r>
          <w:rPr>
            <w:noProof/>
            <w:webHidden/>
          </w:rPr>
          <w:fldChar w:fldCharType="separate"/>
        </w:r>
        <w:r>
          <w:rPr>
            <w:noProof/>
            <w:webHidden/>
          </w:rPr>
          <w:t>117</w:t>
        </w:r>
        <w:r>
          <w:rPr>
            <w:noProof/>
            <w:webHidden/>
          </w:rPr>
          <w:fldChar w:fldCharType="end"/>
        </w:r>
      </w:hyperlink>
    </w:p>
    <w:p w:rsidR="00AB50C5" w:rsidRDefault="00724275">
      <w:pPr>
        <w:pStyle w:val="TOC2"/>
        <w:jc w:val="both"/>
        <w:rPr>
          <w:rFonts w:asciiTheme="minorHAnsi" w:eastAsiaTheme="minorEastAsia" w:hAnsiTheme="minorHAnsi" w:cstheme="minorBidi"/>
          <w:noProof/>
          <w:sz w:val="22"/>
          <w:szCs w:val="22"/>
          <w:lang w:val="de-AT" w:eastAsia="de-AT"/>
        </w:rPr>
      </w:pPr>
      <w:hyperlink w:anchor="_Toc484768732" w:history="1">
        <w:r>
          <w:rPr>
            <w:rStyle w:val="Hyperlink"/>
            <w:noProof/>
            <w:kern w:val="32"/>
          </w:rPr>
          <w:t>5.3</w:t>
        </w:r>
        <w:r>
          <w:rPr>
            <w:rFonts w:asciiTheme="minorHAnsi" w:eastAsiaTheme="minorEastAsia" w:hAnsiTheme="minorHAnsi" w:cstheme="minorBidi"/>
            <w:noProof/>
            <w:sz w:val="22"/>
            <w:szCs w:val="22"/>
            <w:lang w:val="de-AT" w:eastAsia="de-AT"/>
          </w:rPr>
          <w:tab/>
        </w:r>
        <w:r>
          <w:rPr>
            <w:rStyle w:val="Hyperlink"/>
            <w:noProof/>
            <w:kern w:val="32"/>
          </w:rPr>
          <w:t>The potential territorial impact</w:t>
        </w:r>
        <w:r>
          <w:rPr>
            <w:rStyle w:val="Hyperlink"/>
            <w:noProof/>
            <w:kern w:val="32"/>
          </w:rPr>
          <w:t xml:space="preserve"> based on healthy life expectancy</w:t>
        </w:r>
        <w:r>
          <w:rPr>
            <w:noProof/>
            <w:webHidden/>
          </w:rPr>
          <w:tab/>
        </w:r>
        <w:r>
          <w:rPr>
            <w:noProof/>
            <w:webHidden/>
          </w:rPr>
          <w:fldChar w:fldCharType="begin"/>
        </w:r>
        <w:r>
          <w:rPr>
            <w:noProof/>
            <w:webHidden/>
          </w:rPr>
          <w:instrText xml:space="preserve"> PAGEREF _Toc484768732 \h </w:instrText>
        </w:r>
        <w:r>
          <w:rPr>
            <w:noProof/>
            <w:webHidden/>
          </w:rPr>
        </w:r>
        <w:r>
          <w:rPr>
            <w:noProof/>
            <w:webHidden/>
          </w:rPr>
          <w:fldChar w:fldCharType="separate"/>
        </w:r>
        <w:r>
          <w:rPr>
            <w:noProof/>
            <w:webHidden/>
          </w:rPr>
          <w:t>120</w:t>
        </w:r>
        <w:r>
          <w:rPr>
            <w:noProof/>
            <w:webHidden/>
          </w:rPr>
          <w:fldChar w:fldCharType="end"/>
        </w:r>
      </w:hyperlink>
    </w:p>
    <w:p w:rsidR="00AB50C5" w:rsidRDefault="00724275">
      <w:pPr>
        <w:pStyle w:val="TOC1"/>
        <w:jc w:val="both"/>
        <w:rPr>
          <w:rFonts w:asciiTheme="minorHAnsi" w:eastAsiaTheme="minorEastAsia" w:hAnsiTheme="minorHAnsi" w:cstheme="minorBidi"/>
          <w:noProof/>
          <w:sz w:val="22"/>
          <w:szCs w:val="22"/>
          <w:lang w:val="de-AT" w:eastAsia="de-AT"/>
        </w:rPr>
      </w:pPr>
      <w:hyperlink w:anchor="_Toc484768733" w:history="1">
        <w:r>
          <w:rPr>
            <w:rStyle w:val="Hyperlink"/>
            <w:noProof/>
            <w:kern w:val="32"/>
          </w:rPr>
          <w:t>6</w:t>
        </w:r>
        <w:r>
          <w:rPr>
            <w:rFonts w:asciiTheme="minorHAnsi" w:eastAsiaTheme="minorEastAsia" w:hAnsiTheme="minorHAnsi" w:cstheme="minorBidi"/>
            <w:noProof/>
            <w:sz w:val="22"/>
            <w:szCs w:val="22"/>
            <w:lang w:val="de-AT" w:eastAsia="de-AT"/>
          </w:rPr>
          <w:tab/>
        </w:r>
        <w:r>
          <w:rPr>
            <w:rStyle w:val="Hyperlink"/>
            <w:noProof/>
            <w:kern w:val="32"/>
          </w:rPr>
          <w:t>Results of the TIA quick check: Potential territorial impact based on governance aspects</w:t>
        </w:r>
        <w:r>
          <w:rPr>
            <w:noProof/>
            <w:webHidden/>
          </w:rPr>
          <w:tab/>
        </w:r>
        <w:r>
          <w:rPr>
            <w:noProof/>
            <w:webHidden/>
          </w:rPr>
          <w:fldChar w:fldCharType="begin"/>
        </w:r>
        <w:r>
          <w:rPr>
            <w:noProof/>
            <w:webHidden/>
          </w:rPr>
          <w:instrText xml:space="preserve"> </w:instrText>
        </w:r>
        <w:r>
          <w:rPr>
            <w:noProof/>
            <w:webHidden/>
          </w:rPr>
          <w:instrText xml:space="preserve">PAGEREF _Toc484768733 \h </w:instrText>
        </w:r>
        <w:r>
          <w:rPr>
            <w:noProof/>
            <w:webHidden/>
          </w:rPr>
        </w:r>
        <w:r>
          <w:rPr>
            <w:noProof/>
            <w:webHidden/>
          </w:rPr>
          <w:fldChar w:fldCharType="separate"/>
        </w:r>
        <w:r>
          <w:rPr>
            <w:noProof/>
            <w:webHidden/>
          </w:rPr>
          <w:t>123</w:t>
        </w:r>
        <w:r>
          <w:rPr>
            <w:noProof/>
            <w:webHidden/>
          </w:rPr>
          <w:fldChar w:fldCharType="end"/>
        </w:r>
      </w:hyperlink>
    </w:p>
    <w:p w:rsidR="00AB50C5" w:rsidRDefault="00724275">
      <w:pPr>
        <w:pStyle w:val="TOC2"/>
        <w:jc w:val="both"/>
        <w:rPr>
          <w:rFonts w:asciiTheme="minorHAnsi" w:eastAsiaTheme="minorEastAsia" w:hAnsiTheme="minorHAnsi" w:cstheme="minorBidi"/>
          <w:noProof/>
          <w:sz w:val="22"/>
          <w:szCs w:val="22"/>
          <w:lang w:val="de-AT" w:eastAsia="de-AT"/>
        </w:rPr>
      </w:pPr>
      <w:hyperlink w:anchor="_Toc484768734" w:history="1">
        <w:r>
          <w:rPr>
            <w:rStyle w:val="Hyperlink"/>
            <w:noProof/>
          </w:rPr>
          <w:t>6.1</w:t>
        </w:r>
        <w:r>
          <w:rPr>
            <w:rFonts w:asciiTheme="minorHAnsi" w:eastAsiaTheme="minorEastAsia" w:hAnsiTheme="minorHAnsi" w:cstheme="minorBidi"/>
            <w:noProof/>
            <w:sz w:val="22"/>
            <w:szCs w:val="22"/>
            <w:lang w:val="de-AT" w:eastAsia="de-AT"/>
          </w:rPr>
          <w:tab/>
        </w:r>
        <w:r>
          <w:rPr>
            <w:rStyle w:val="Hyperlink"/>
            <w:noProof/>
            <w:kern w:val="32"/>
          </w:rPr>
          <w:t xml:space="preserve">The potential territorial impact on </w:t>
        </w:r>
        <w:r>
          <w:rPr>
            <w:rStyle w:val="Hyperlink"/>
            <w:noProof/>
          </w:rPr>
          <w:t>government effectiveness</w:t>
        </w:r>
        <w:r>
          <w:rPr>
            <w:noProof/>
            <w:webHidden/>
          </w:rPr>
          <w:tab/>
        </w:r>
        <w:r>
          <w:rPr>
            <w:noProof/>
            <w:webHidden/>
          </w:rPr>
          <w:fldChar w:fldCharType="begin"/>
        </w:r>
        <w:r>
          <w:rPr>
            <w:noProof/>
            <w:webHidden/>
          </w:rPr>
          <w:instrText xml:space="preserve"> PAGEREF _Toc484768734 \h </w:instrText>
        </w:r>
        <w:r>
          <w:rPr>
            <w:noProof/>
            <w:webHidden/>
          </w:rPr>
        </w:r>
        <w:r>
          <w:rPr>
            <w:noProof/>
            <w:webHidden/>
          </w:rPr>
          <w:fldChar w:fldCharType="separate"/>
        </w:r>
        <w:r>
          <w:rPr>
            <w:noProof/>
            <w:webHidden/>
          </w:rPr>
          <w:t>123</w:t>
        </w:r>
        <w:r>
          <w:rPr>
            <w:noProof/>
            <w:webHidden/>
          </w:rPr>
          <w:fldChar w:fldCharType="end"/>
        </w:r>
      </w:hyperlink>
    </w:p>
    <w:p w:rsidR="00AB50C5" w:rsidRDefault="00724275">
      <w:pPr>
        <w:pStyle w:val="TOC1"/>
        <w:jc w:val="both"/>
        <w:rPr>
          <w:rFonts w:asciiTheme="minorHAnsi" w:eastAsiaTheme="minorEastAsia" w:hAnsiTheme="minorHAnsi" w:cstheme="minorBidi"/>
          <w:noProof/>
          <w:sz w:val="22"/>
          <w:szCs w:val="22"/>
          <w:lang w:val="de-AT" w:eastAsia="de-AT"/>
        </w:rPr>
      </w:pPr>
      <w:hyperlink w:anchor="_Toc484768735" w:history="1">
        <w:r>
          <w:rPr>
            <w:rStyle w:val="Hyperlink"/>
            <w:noProof/>
          </w:rPr>
          <w:t>7</w:t>
        </w:r>
        <w:r>
          <w:rPr>
            <w:rFonts w:asciiTheme="minorHAnsi" w:eastAsiaTheme="minorEastAsia" w:hAnsiTheme="minorHAnsi" w:cstheme="minorBidi"/>
            <w:noProof/>
            <w:sz w:val="22"/>
            <w:szCs w:val="22"/>
            <w:lang w:val="de-AT" w:eastAsia="de-AT"/>
          </w:rPr>
          <w:tab/>
        </w:r>
        <w:r>
          <w:rPr>
            <w:rStyle w:val="Hyperlink"/>
            <w:noProof/>
          </w:rPr>
          <w:t>Conclusions and policy implications</w:t>
        </w:r>
        <w:r>
          <w:rPr>
            <w:noProof/>
            <w:webHidden/>
          </w:rPr>
          <w:tab/>
        </w:r>
        <w:r>
          <w:rPr>
            <w:noProof/>
            <w:webHidden/>
          </w:rPr>
          <w:fldChar w:fldCharType="begin"/>
        </w:r>
        <w:r>
          <w:rPr>
            <w:noProof/>
            <w:webHidden/>
          </w:rPr>
          <w:instrText xml:space="preserve"> PAGEREF _Toc484768735 \h </w:instrText>
        </w:r>
        <w:r>
          <w:rPr>
            <w:noProof/>
            <w:webHidden/>
          </w:rPr>
        </w:r>
        <w:r>
          <w:rPr>
            <w:noProof/>
            <w:webHidden/>
          </w:rPr>
          <w:fldChar w:fldCharType="separate"/>
        </w:r>
        <w:r>
          <w:rPr>
            <w:noProof/>
            <w:webHidden/>
          </w:rPr>
          <w:t>126</w:t>
        </w:r>
        <w:r>
          <w:rPr>
            <w:noProof/>
            <w:webHidden/>
          </w:rPr>
          <w:fldChar w:fldCharType="end"/>
        </w:r>
      </w:hyperlink>
    </w:p>
    <w:p w:rsidR="00AB50C5" w:rsidRDefault="00724275">
      <w:pPr>
        <w:pStyle w:val="TOC2"/>
        <w:jc w:val="both"/>
        <w:rPr>
          <w:rFonts w:asciiTheme="minorHAnsi" w:eastAsiaTheme="minorEastAsia" w:hAnsiTheme="minorHAnsi" w:cstheme="minorBidi"/>
          <w:noProof/>
          <w:sz w:val="22"/>
          <w:szCs w:val="22"/>
          <w:lang w:val="de-AT" w:eastAsia="de-AT"/>
        </w:rPr>
      </w:pPr>
      <w:hyperlink w:anchor="_Toc484768736" w:history="1">
        <w:r>
          <w:rPr>
            <w:rStyle w:val="Hyperlink"/>
            <w:noProof/>
          </w:rPr>
          <w:t>7.1</w:t>
        </w:r>
        <w:r>
          <w:rPr>
            <w:rFonts w:asciiTheme="minorHAnsi" w:eastAsiaTheme="minorEastAsia" w:hAnsiTheme="minorHAnsi" w:cstheme="minorBidi"/>
            <w:noProof/>
            <w:sz w:val="22"/>
            <w:szCs w:val="22"/>
            <w:lang w:val="de-AT" w:eastAsia="de-AT"/>
          </w:rPr>
          <w:tab/>
        </w:r>
        <w:r>
          <w:rPr>
            <w:rStyle w:val="Hyperlink"/>
            <w:noProof/>
          </w:rPr>
          <w:t>Findings based on the results of the TIA Quick check</w:t>
        </w:r>
        <w:r>
          <w:rPr>
            <w:noProof/>
            <w:webHidden/>
          </w:rPr>
          <w:tab/>
        </w:r>
        <w:r>
          <w:rPr>
            <w:noProof/>
            <w:webHidden/>
          </w:rPr>
          <w:fldChar w:fldCharType="begin"/>
        </w:r>
        <w:r>
          <w:rPr>
            <w:noProof/>
            <w:webHidden/>
          </w:rPr>
          <w:instrText xml:space="preserve"> PAGEREF _Toc484768736 \h </w:instrText>
        </w:r>
        <w:r>
          <w:rPr>
            <w:noProof/>
            <w:webHidden/>
          </w:rPr>
        </w:r>
        <w:r>
          <w:rPr>
            <w:noProof/>
            <w:webHidden/>
          </w:rPr>
          <w:fldChar w:fldCharType="separate"/>
        </w:r>
        <w:r>
          <w:rPr>
            <w:noProof/>
            <w:webHidden/>
          </w:rPr>
          <w:t>126</w:t>
        </w:r>
        <w:r>
          <w:rPr>
            <w:noProof/>
            <w:webHidden/>
          </w:rPr>
          <w:fldChar w:fldCharType="end"/>
        </w:r>
      </w:hyperlink>
    </w:p>
    <w:p w:rsidR="00AB50C5" w:rsidRDefault="00724275">
      <w:pPr>
        <w:pStyle w:val="TOC2"/>
        <w:jc w:val="both"/>
        <w:rPr>
          <w:rFonts w:asciiTheme="minorHAnsi" w:eastAsiaTheme="minorEastAsia" w:hAnsiTheme="minorHAnsi" w:cstheme="minorBidi"/>
          <w:noProof/>
          <w:sz w:val="22"/>
          <w:szCs w:val="22"/>
          <w:lang w:val="de-AT" w:eastAsia="de-AT"/>
        </w:rPr>
      </w:pPr>
      <w:hyperlink w:anchor="_Toc484768737" w:history="1">
        <w:r>
          <w:rPr>
            <w:rStyle w:val="Hyperlink"/>
            <w:noProof/>
          </w:rPr>
          <w:t>7.2</w:t>
        </w:r>
        <w:r>
          <w:rPr>
            <w:rFonts w:asciiTheme="minorHAnsi" w:eastAsiaTheme="minorEastAsia" w:hAnsiTheme="minorHAnsi" w:cstheme="minorBidi"/>
            <w:noProof/>
            <w:sz w:val="22"/>
            <w:szCs w:val="22"/>
            <w:lang w:val="de-AT" w:eastAsia="de-AT"/>
          </w:rPr>
          <w:tab/>
        </w:r>
        <w:r>
          <w:rPr>
            <w:rStyle w:val="Hyperlink"/>
            <w:noProof/>
          </w:rPr>
          <w:t>Findings and recommendations from the expert discussio</w:t>
        </w:r>
        <w:r>
          <w:rPr>
            <w:rStyle w:val="Hyperlink"/>
            <w:noProof/>
          </w:rPr>
          <w:t>n</w:t>
        </w:r>
        <w:r>
          <w:rPr>
            <w:noProof/>
            <w:webHidden/>
          </w:rPr>
          <w:tab/>
        </w:r>
        <w:r>
          <w:rPr>
            <w:noProof/>
            <w:webHidden/>
          </w:rPr>
          <w:fldChar w:fldCharType="begin"/>
        </w:r>
        <w:r>
          <w:rPr>
            <w:noProof/>
            <w:webHidden/>
          </w:rPr>
          <w:instrText xml:space="preserve"> PAGEREF _Toc484768737 \h </w:instrText>
        </w:r>
        <w:r>
          <w:rPr>
            <w:noProof/>
            <w:webHidden/>
          </w:rPr>
        </w:r>
        <w:r>
          <w:rPr>
            <w:noProof/>
            <w:webHidden/>
          </w:rPr>
          <w:fldChar w:fldCharType="separate"/>
        </w:r>
        <w:r>
          <w:rPr>
            <w:noProof/>
            <w:webHidden/>
          </w:rPr>
          <w:t>128</w:t>
        </w:r>
        <w:r>
          <w:rPr>
            <w:noProof/>
            <w:webHidden/>
          </w:rPr>
          <w:fldChar w:fldCharType="end"/>
        </w:r>
      </w:hyperlink>
    </w:p>
    <w:p w:rsidR="00AB50C5" w:rsidRDefault="00724275">
      <w:pPr>
        <w:pStyle w:val="TOC1"/>
        <w:jc w:val="both"/>
        <w:rPr>
          <w:rFonts w:asciiTheme="minorHAnsi" w:eastAsiaTheme="minorEastAsia" w:hAnsiTheme="minorHAnsi" w:cstheme="minorBidi"/>
          <w:noProof/>
          <w:sz w:val="22"/>
          <w:szCs w:val="22"/>
          <w:lang w:val="de-AT" w:eastAsia="de-AT"/>
        </w:rPr>
      </w:pPr>
      <w:hyperlink w:anchor="_Toc484768738" w:history="1">
        <w:r>
          <w:rPr>
            <w:rStyle w:val="Hyperlink"/>
            <w:noProof/>
          </w:rPr>
          <w:t>Annex 1: Territorial impact assessment workshop agenda</w:t>
        </w:r>
        <w:r>
          <w:rPr>
            <w:noProof/>
            <w:webHidden/>
          </w:rPr>
          <w:tab/>
        </w:r>
        <w:r>
          <w:rPr>
            <w:noProof/>
            <w:webHidden/>
          </w:rPr>
          <w:fldChar w:fldCharType="begin"/>
        </w:r>
        <w:r>
          <w:rPr>
            <w:noProof/>
            <w:webHidden/>
          </w:rPr>
          <w:instrText xml:space="preserve"> PAGEREF _Toc484768738 \h </w:instrText>
        </w:r>
        <w:r>
          <w:rPr>
            <w:noProof/>
            <w:webHidden/>
          </w:rPr>
        </w:r>
        <w:r>
          <w:rPr>
            <w:noProof/>
            <w:webHidden/>
          </w:rPr>
          <w:fldChar w:fldCharType="separate"/>
        </w:r>
        <w:r>
          <w:rPr>
            <w:noProof/>
            <w:webHidden/>
          </w:rPr>
          <w:t>130</w:t>
        </w:r>
        <w:r>
          <w:rPr>
            <w:noProof/>
            <w:webHidden/>
          </w:rPr>
          <w:fldChar w:fldCharType="end"/>
        </w:r>
      </w:hyperlink>
    </w:p>
    <w:p w:rsidR="00AB50C5" w:rsidRDefault="00724275">
      <w:pPr>
        <w:pStyle w:val="TOC1"/>
        <w:jc w:val="both"/>
        <w:rPr>
          <w:rFonts w:asciiTheme="minorHAnsi" w:eastAsiaTheme="minorEastAsia" w:hAnsiTheme="minorHAnsi" w:cstheme="minorBidi"/>
          <w:noProof/>
          <w:sz w:val="22"/>
          <w:szCs w:val="22"/>
          <w:lang w:val="de-AT" w:eastAsia="de-AT"/>
        </w:rPr>
      </w:pPr>
      <w:hyperlink w:anchor="_Toc484768739" w:history="1">
        <w:r>
          <w:rPr>
            <w:rStyle w:val="Hyperlink"/>
            <w:noProof/>
            <w:kern w:val="32"/>
          </w:rPr>
          <w:t>Annex 2: Description of the indicators used and regional sensitivity</w:t>
        </w:r>
        <w:r>
          <w:rPr>
            <w:noProof/>
            <w:webHidden/>
          </w:rPr>
          <w:tab/>
        </w:r>
        <w:r>
          <w:rPr>
            <w:noProof/>
            <w:webHidden/>
          </w:rPr>
          <w:fldChar w:fldCharType="begin"/>
        </w:r>
        <w:r>
          <w:rPr>
            <w:noProof/>
            <w:webHidden/>
          </w:rPr>
          <w:instrText xml:space="preserve"> PAGEREF _Toc484768739 \h </w:instrText>
        </w:r>
        <w:r>
          <w:rPr>
            <w:noProof/>
            <w:webHidden/>
          </w:rPr>
        </w:r>
        <w:r>
          <w:rPr>
            <w:noProof/>
            <w:webHidden/>
          </w:rPr>
          <w:fldChar w:fldCharType="separate"/>
        </w:r>
        <w:r>
          <w:rPr>
            <w:noProof/>
            <w:webHidden/>
          </w:rPr>
          <w:t>131</w:t>
        </w:r>
        <w:r>
          <w:rPr>
            <w:noProof/>
            <w:webHidden/>
          </w:rPr>
          <w:fldChar w:fldCharType="end"/>
        </w:r>
      </w:hyperlink>
    </w:p>
    <w:p w:rsidR="00AB50C5" w:rsidRDefault="00724275">
      <w:pPr>
        <w:pStyle w:val="TOC1"/>
        <w:ind w:left="0" w:firstLine="0"/>
        <w:jc w:val="both"/>
        <w:rPr>
          <w:noProof/>
        </w:rPr>
      </w:pPr>
      <w:hyperlink w:anchor="_Toc484768740" w:history="1">
        <w:r>
          <w:rPr>
            <w:rStyle w:val="Hyperlink"/>
            <w:rFonts w:cs="Arial"/>
            <w:noProof/>
            <w:kern w:val="32"/>
          </w:rPr>
          <w:t>Annex 3:</w:t>
        </w:r>
        <w:r>
          <w:rPr>
            <w:rStyle w:val="Hyperlink"/>
            <w:rFonts w:cs="Arial"/>
            <w:noProof/>
          </w:rPr>
          <w:t xml:space="preserve"> The situation on the ground. Collection of replies of experts to questionnaire on waste water practices</w:t>
        </w:r>
        <w:r>
          <w:rPr>
            <w:noProof/>
            <w:webHidden/>
          </w:rPr>
          <w:tab/>
        </w:r>
        <w:r>
          <w:rPr>
            <w:noProof/>
            <w:webHidden/>
          </w:rPr>
          <w:fldChar w:fldCharType="begin"/>
        </w:r>
        <w:r>
          <w:rPr>
            <w:noProof/>
            <w:webHidden/>
          </w:rPr>
          <w:instrText xml:space="preserve"> PAGEREF _Toc484768740 \h </w:instrText>
        </w:r>
        <w:r>
          <w:rPr>
            <w:noProof/>
            <w:webHidden/>
          </w:rPr>
        </w:r>
        <w:r>
          <w:rPr>
            <w:noProof/>
            <w:webHidden/>
          </w:rPr>
          <w:fldChar w:fldCharType="separate"/>
        </w:r>
        <w:r>
          <w:rPr>
            <w:noProof/>
            <w:webHidden/>
          </w:rPr>
          <w:t>135</w:t>
        </w:r>
        <w:r>
          <w:rPr>
            <w:noProof/>
            <w:webHidden/>
          </w:rPr>
          <w:fldChar w:fldCharType="end"/>
        </w:r>
      </w:hyperlink>
      <w:r>
        <w:rPr>
          <w:noProof/>
        </w:rPr>
        <w:fldChar w:fldCharType="end"/>
      </w:r>
    </w:p>
    <w:p w:rsidR="00AB50C5" w:rsidRDefault="00724275">
      <w:pPr>
        <w:pStyle w:val="TEMPLATEHeadingListsandExSummary"/>
        <w:keepNext/>
        <w:pageBreakBefore/>
        <w:rPr>
          <w:rFonts w:ascii="Times New Roman" w:hAnsi="Times New Roman"/>
          <w:noProof/>
          <w:sz w:val="24"/>
          <w:szCs w:val="24"/>
          <w:lang w:val="en-US"/>
        </w:rPr>
      </w:pPr>
      <w:bookmarkStart w:id="135" w:name="_Toc471910999"/>
      <w:bookmarkStart w:id="136" w:name="_Toc473795221"/>
      <w:bookmarkStart w:id="137" w:name="_Toc474849457"/>
      <w:bookmarkStart w:id="138" w:name="_Toc484768707"/>
      <w:r>
        <w:rPr>
          <w:rFonts w:ascii="Times New Roman" w:hAnsi="Times New Roman"/>
          <w:noProof/>
          <w:sz w:val="24"/>
          <w:szCs w:val="24"/>
          <w:lang w:val="en-US"/>
        </w:rPr>
        <w:t>List of Figures</w:t>
      </w:r>
      <w:bookmarkEnd w:id="135"/>
      <w:bookmarkEnd w:id="136"/>
      <w:bookmarkEnd w:id="137"/>
      <w:bookmarkEnd w:id="138"/>
    </w:p>
    <w:p w:rsidR="00AB50C5" w:rsidRDefault="00724275">
      <w:pPr>
        <w:pStyle w:val="TableofFigures"/>
        <w:tabs>
          <w:tab w:val="right" w:leader="dot" w:pos="8296"/>
        </w:tabs>
        <w:jc w:val="both"/>
        <w:rPr>
          <w:rFonts w:ascii="Times New Roman" w:eastAsiaTheme="minorEastAsia" w:hAnsi="Times New Roman"/>
          <w:noProof/>
          <w:sz w:val="24"/>
          <w:szCs w:val="24"/>
          <w:lang w:val="de-AT" w:eastAsia="de-AT"/>
        </w:rPr>
      </w:pPr>
      <w:r>
        <w:rPr>
          <w:rFonts w:ascii="Times New Roman" w:hAnsi="Times New Roman"/>
          <w:noProof/>
          <w:sz w:val="24"/>
          <w:szCs w:val="24"/>
        </w:rPr>
        <w:fldChar w:fldCharType="begin"/>
      </w:r>
      <w:r>
        <w:rPr>
          <w:rFonts w:ascii="Times New Roman" w:hAnsi="Times New Roman"/>
          <w:noProof/>
          <w:sz w:val="24"/>
          <w:szCs w:val="24"/>
        </w:rPr>
        <w:instrText xml:space="preserve"> TOC \h \z \c "Figure" </w:instrText>
      </w:r>
      <w:r>
        <w:rPr>
          <w:rFonts w:ascii="Times New Roman" w:hAnsi="Times New Roman"/>
          <w:noProof/>
          <w:sz w:val="24"/>
          <w:szCs w:val="24"/>
        </w:rPr>
        <w:fldChar w:fldCharType="separate"/>
      </w:r>
      <w:hyperlink w:anchor="_Toc484768759" w:history="1">
        <w:r>
          <w:rPr>
            <w:rStyle w:val="Hyperlink"/>
            <w:rFonts w:ascii="Times New Roman" w:hAnsi="Times New Roman"/>
            <w:noProof/>
            <w:sz w:val="24"/>
            <w:szCs w:val="24"/>
          </w:rPr>
          <w:t xml:space="preserve">Figure </w:t>
        </w:r>
        <w:r>
          <w:rPr>
            <w:rStyle w:val="Hyperlink"/>
            <w:rFonts w:ascii="Times New Roman" w:hAnsi="Times New Roman"/>
            <w:noProof/>
            <w:sz w:val="24"/>
            <w:szCs w:val="24"/>
            <w:cs/>
          </w:rPr>
          <w:t>‎</w:t>
        </w:r>
        <w:r>
          <w:rPr>
            <w:rStyle w:val="Hyperlink"/>
            <w:rFonts w:ascii="Times New Roman" w:hAnsi="Times New Roman"/>
            <w:noProof/>
            <w:sz w:val="24"/>
            <w:szCs w:val="24"/>
          </w:rPr>
          <w:t>1.1: Workshop Discussion</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_Toc484768759 \h </w:instrText>
        </w:r>
        <w:r>
          <w:rPr>
            <w:rFonts w:ascii="Times New Roman" w:hAnsi="Times New Roman"/>
            <w:noProof/>
            <w:webHidden/>
            <w:sz w:val="24"/>
            <w:szCs w:val="24"/>
          </w:rPr>
        </w:r>
        <w:r>
          <w:rPr>
            <w:rFonts w:ascii="Times New Roman" w:hAnsi="Times New Roman"/>
            <w:noProof/>
            <w:webHidden/>
            <w:sz w:val="24"/>
            <w:szCs w:val="24"/>
          </w:rPr>
          <w:fldChar w:fldCharType="separate"/>
        </w:r>
        <w:r>
          <w:rPr>
            <w:rFonts w:ascii="Times New Roman" w:hAnsi="Times New Roman"/>
            <w:noProof/>
            <w:webHidden/>
            <w:sz w:val="24"/>
            <w:szCs w:val="24"/>
          </w:rPr>
          <w:t>94</w:t>
        </w:r>
        <w:r>
          <w:rPr>
            <w:rFonts w:ascii="Times New Roman" w:hAnsi="Times New Roman"/>
            <w:noProof/>
            <w:webHidden/>
            <w:sz w:val="24"/>
            <w:szCs w:val="24"/>
          </w:rPr>
          <w:fldChar w:fldCharType="end"/>
        </w:r>
      </w:hyperlink>
    </w:p>
    <w:p w:rsidR="00AB50C5" w:rsidRDefault="00724275">
      <w:pPr>
        <w:pStyle w:val="TableofFigures"/>
        <w:tabs>
          <w:tab w:val="right" w:leader="dot" w:pos="8296"/>
        </w:tabs>
        <w:jc w:val="both"/>
        <w:rPr>
          <w:rFonts w:ascii="Times New Roman" w:eastAsiaTheme="minorEastAsia" w:hAnsi="Times New Roman"/>
          <w:noProof/>
          <w:sz w:val="24"/>
          <w:szCs w:val="24"/>
          <w:lang w:val="de-AT" w:eastAsia="de-AT"/>
        </w:rPr>
      </w:pPr>
      <w:hyperlink w:anchor="_Toc484768760" w:history="1">
        <w:r>
          <w:rPr>
            <w:rStyle w:val="Hyperlink"/>
            <w:rFonts w:ascii="Times New Roman" w:hAnsi="Times New Roman"/>
            <w:noProof/>
            <w:sz w:val="24"/>
            <w:szCs w:val="24"/>
          </w:rPr>
          <w:t xml:space="preserve">Figure </w:t>
        </w:r>
        <w:r>
          <w:rPr>
            <w:rStyle w:val="Hyperlink"/>
            <w:rFonts w:ascii="Times New Roman" w:hAnsi="Times New Roman"/>
            <w:noProof/>
            <w:sz w:val="24"/>
            <w:szCs w:val="24"/>
            <w:cs/>
          </w:rPr>
          <w:t>‎</w:t>
        </w:r>
        <w:r>
          <w:rPr>
            <w:rStyle w:val="Hyperlink"/>
            <w:rFonts w:ascii="Times New Roman" w:hAnsi="Times New Roman"/>
            <w:noProof/>
            <w:sz w:val="24"/>
            <w:szCs w:val="24"/>
          </w:rPr>
          <w:t>2.1: Workshop findings: Conceptual model of the effects of the development of minimum quality requirements for reused water in agricultural irrigation</w:t>
        </w:r>
        <w:r>
          <w:rPr>
            <w:rStyle w:val="Hyperlink"/>
            <w:rFonts w:ascii="Times New Roman" w:hAnsi="Times New Roman"/>
            <w:noProof/>
            <w:sz w:val="24"/>
            <w:szCs w:val="24"/>
          </w:rPr>
          <w:t xml:space="preserve"> and aquifer recharge on the development of regions</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_Toc484768760 \h </w:instrText>
        </w:r>
        <w:r>
          <w:rPr>
            <w:rFonts w:ascii="Times New Roman" w:hAnsi="Times New Roman"/>
            <w:noProof/>
            <w:webHidden/>
            <w:sz w:val="24"/>
            <w:szCs w:val="24"/>
          </w:rPr>
        </w:r>
        <w:r>
          <w:rPr>
            <w:rFonts w:ascii="Times New Roman" w:hAnsi="Times New Roman"/>
            <w:noProof/>
            <w:webHidden/>
            <w:sz w:val="24"/>
            <w:szCs w:val="24"/>
          </w:rPr>
          <w:fldChar w:fldCharType="separate"/>
        </w:r>
        <w:r>
          <w:rPr>
            <w:rFonts w:ascii="Times New Roman" w:hAnsi="Times New Roman"/>
            <w:noProof/>
            <w:webHidden/>
            <w:sz w:val="24"/>
            <w:szCs w:val="24"/>
          </w:rPr>
          <w:t>95</w:t>
        </w:r>
        <w:r>
          <w:rPr>
            <w:rFonts w:ascii="Times New Roman" w:hAnsi="Times New Roman"/>
            <w:noProof/>
            <w:webHidden/>
            <w:sz w:val="24"/>
            <w:szCs w:val="24"/>
          </w:rPr>
          <w:fldChar w:fldCharType="end"/>
        </w:r>
      </w:hyperlink>
    </w:p>
    <w:p w:rsidR="00AB50C5" w:rsidRDefault="00724275">
      <w:pPr>
        <w:pStyle w:val="TableofFigures"/>
        <w:tabs>
          <w:tab w:val="right" w:leader="dot" w:pos="8296"/>
        </w:tabs>
        <w:jc w:val="both"/>
        <w:rPr>
          <w:rFonts w:ascii="Times New Roman" w:eastAsiaTheme="minorEastAsia" w:hAnsi="Times New Roman"/>
          <w:noProof/>
          <w:sz w:val="24"/>
          <w:szCs w:val="24"/>
          <w:lang w:val="de-AT" w:eastAsia="de-AT"/>
        </w:rPr>
      </w:pPr>
      <w:hyperlink w:anchor="_Toc484768761" w:history="1">
        <w:r>
          <w:rPr>
            <w:rStyle w:val="Hyperlink"/>
            <w:rFonts w:ascii="Times New Roman" w:hAnsi="Times New Roman"/>
            <w:noProof/>
            <w:sz w:val="24"/>
            <w:szCs w:val="24"/>
          </w:rPr>
          <w:t xml:space="preserve">Figure </w:t>
        </w:r>
        <w:r>
          <w:rPr>
            <w:rStyle w:val="Hyperlink"/>
            <w:rFonts w:ascii="Times New Roman" w:hAnsi="Times New Roman"/>
            <w:noProof/>
            <w:sz w:val="24"/>
            <w:szCs w:val="24"/>
            <w:cs/>
          </w:rPr>
          <w:t>‎</w:t>
        </w:r>
        <w:r>
          <w:rPr>
            <w:rStyle w:val="Hyperlink"/>
            <w:rFonts w:ascii="Times New Roman" w:hAnsi="Times New Roman"/>
            <w:noProof/>
            <w:sz w:val="24"/>
            <w:szCs w:val="24"/>
          </w:rPr>
          <w:t>2.2: Exposure x territorial sensitivity = territorial impact</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w:instrText>
        </w:r>
        <w:r>
          <w:rPr>
            <w:rFonts w:ascii="Times New Roman" w:hAnsi="Times New Roman"/>
            <w:noProof/>
            <w:webHidden/>
            <w:sz w:val="24"/>
            <w:szCs w:val="24"/>
          </w:rPr>
          <w:instrText xml:space="preserve">REF _Toc484768761 \h </w:instrText>
        </w:r>
        <w:r>
          <w:rPr>
            <w:rFonts w:ascii="Times New Roman" w:hAnsi="Times New Roman"/>
            <w:noProof/>
            <w:webHidden/>
            <w:sz w:val="24"/>
            <w:szCs w:val="24"/>
          </w:rPr>
        </w:r>
        <w:r>
          <w:rPr>
            <w:rFonts w:ascii="Times New Roman" w:hAnsi="Times New Roman"/>
            <w:noProof/>
            <w:webHidden/>
            <w:sz w:val="24"/>
            <w:szCs w:val="24"/>
          </w:rPr>
          <w:fldChar w:fldCharType="separate"/>
        </w:r>
        <w:r>
          <w:rPr>
            <w:rFonts w:ascii="Times New Roman" w:hAnsi="Times New Roman"/>
            <w:noProof/>
            <w:webHidden/>
            <w:sz w:val="24"/>
            <w:szCs w:val="24"/>
          </w:rPr>
          <w:t>98</w:t>
        </w:r>
        <w:r>
          <w:rPr>
            <w:rFonts w:ascii="Times New Roman" w:hAnsi="Times New Roman"/>
            <w:noProof/>
            <w:webHidden/>
            <w:sz w:val="24"/>
            <w:szCs w:val="24"/>
          </w:rPr>
          <w:fldChar w:fldCharType="end"/>
        </w:r>
      </w:hyperlink>
    </w:p>
    <w:p w:rsidR="00AB50C5" w:rsidRDefault="00724275">
      <w:pPr>
        <w:pStyle w:val="TableofFigures"/>
        <w:tabs>
          <w:tab w:val="right" w:leader="dot" w:pos="8296"/>
        </w:tabs>
        <w:jc w:val="both"/>
        <w:rPr>
          <w:rFonts w:ascii="Times New Roman" w:eastAsiaTheme="minorEastAsia" w:hAnsi="Times New Roman"/>
          <w:noProof/>
          <w:sz w:val="24"/>
          <w:szCs w:val="24"/>
          <w:lang w:val="de-AT" w:eastAsia="de-AT"/>
        </w:rPr>
      </w:pPr>
      <w:hyperlink w:anchor="_Toc484768762" w:history="1">
        <w:r>
          <w:rPr>
            <w:rStyle w:val="Hyperlink"/>
            <w:rFonts w:ascii="Times New Roman" w:hAnsi="Times New Roman"/>
            <w:noProof/>
            <w:sz w:val="24"/>
            <w:szCs w:val="24"/>
          </w:rPr>
          <w:t xml:space="preserve">Figure </w:t>
        </w:r>
        <w:r>
          <w:rPr>
            <w:rStyle w:val="Hyperlink"/>
            <w:rFonts w:ascii="Times New Roman" w:hAnsi="Times New Roman"/>
            <w:noProof/>
            <w:sz w:val="24"/>
            <w:szCs w:val="24"/>
            <w:cs/>
          </w:rPr>
          <w:t>‎</w:t>
        </w:r>
        <w:r>
          <w:rPr>
            <w:rStyle w:val="Hyperlink"/>
            <w:rFonts w:ascii="Times New Roman" w:hAnsi="Times New Roman"/>
            <w:noProof/>
            <w:sz w:val="24"/>
            <w:szCs w:val="24"/>
          </w:rPr>
          <w:t xml:space="preserve">3.1: Workshop findings: Expert judgement: Effect of the development of minimum </w:t>
        </w:r>
        <w:r>
          <w:rPr>
            <w:rStyle w:val="Hyperlink"/>
            <w:rFonts w:ascii="Times New Roman" w:hAnsi="Times New Roman"/>
            <w:noProof/>
            <w:sz w:val="24"/>
            <w:szCs w:val="24"/>
            <w:lang w:eastAsia="de-AT"/>
          </w:rPr>
          <w:t>quality requirements for reused water in agri</w:t>
        </w:r>
        <w:r>
          <w:rPr>
            <w:rStyle w:val="Hyperlink"/>
            <w:rFonts w:ascii="Times New Roman" w:hAnsi="Times New Roman"/>
            <w:noProof/>
            <w:sz w:val="24"/>
            <w:szCs w:val="24"/>
            <w:lang w:eastAsia="de-AT"/>
          </w:rPr>
          <w:t>cultural irrigation and aquifer recharge</w:t>
        </w:r>
        <w:r>
          <w:rPr>
            <w:rStyle w:val="Hyperlink"/>
            <w:rFonts w:ascii="Times New Roman" w:hAnsi="Times New Roman"/>
            <w:noProof/>
            <w:sz w:val="24"/>
            <w:szCs w:val="24"/>
          </w:rPr>
          <w:t xml:space="preserve"> on </w:t>
        </w:r>
        <w:r>
          <w:rPr>
            <w:rStyle w:val="Hyperlink"/>
            <w:rFonts w:ascii="Times New Roman" w:hAnsi="Times New Roman"/>
            <w:noProof/>
            <w:kern w:val="32"/>
            <w:sz w:val="24"/>
            <w:szCs w:val="24"/>
          </w:rPr>
          <w:t>agriculture depending on</w:t>
        </w:r>
        <w:r>
          <w:rPr>
            <w:rStyle w:val="Hyperlink"/>
            <w:rFonts w:ascii="Times New Roman" w:hAnsi="Times New Roman"/>
            <w:noProof/>
            <w:sz w:val="24"/>
            <w:szCs w:val="24"/>
          </w:rPr>
          <w:t xml:space="preserve"> irrigated land</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_Toc484768762 \h </w:instrText>
        </w:r>
        <w:r>
          <w:rPr>
            <w:rFonts w:ascii="Times New Roman" w:hAnsi="Times New Roman"/>
            <w:noProof/>
            <w:webHidden/>
            <w:sz w:val="24"/>
            <w:szCs w:val="24"/>
          </w:rPr>
        </w:r>
        <w:r>
          <w:rPr>
            <w:rFonts w:ascii="Times New Roman" w:hAnsi="Times New Roman"/>
            <w:noProof/>
            <w:webHidden/>
            <w:sz w:val="24"/>
            <w:szCs w:val="24"/>
          </w:rPr>
          <w:fldChar w:fldCharType="separate"/>
        </w:r>
        <w:r>
          <w:rPr>
            <w:rFonts w:ascii="Times New Roman" w:hAnsi="Times New Roman"/>
            <w:noProof/>
            <w:webHidden/>
            <w:sz w:val="24"/>
            <w:szCs w:val="24"/>
          </w:rPr>
          <w:t>100</w:t>
        </w:r>
        <w:r>
          <w:rPr>
            <w:rFonts w:ascii="Times New Roman" w:hAnsi="Times New Roman"/>
            <w:noProof/>
            <w:webHidden/>
            <w:sz w:val="24"/>
            <w:szCs w:val="24"/>
          </w:rPr>
          <w:fldChar w:fldCharType="end"/>
        </w:r>
      </w:hyperlink>
    </w:p>
    <w:p w:rsidR="00AB50C5" w:rsidRDefault="00724275">
      <w:pPr>
        <w:pStyle w:val="TableofFigures"/>
        <w:tabs>
          <w:tab w:val="right" w:leader="dot" w:pos="8296"/>
        </w:tabs>
        <w:jc w:val="both"/>
        <w:rPr>
          <w:rFonts w:ascii="Times New Roman" w:eastAsiaTheme="minorEastAsia" w:hAnsi="Times New Roman"/>
          <w:noProof/>
          <w:sz w:val="24"/>
          <w:szCs w:val="24"/>
          <w:lang w:val="de-AT" w:eastAsia="de-AT"/>
        </w:rPr>
      </w:pPr>
      <w:hyperlink w:anchor="_Toc484768763" w:history="1">
        <w:r>
          <w:rPr>
            <w:rStyle w:val="Hyperlink"/>
            <w:rFonts w:ascii="Times New Roman" w:hAnsi="Times New Roman"/>
            <w:noProof/>
            <w:sz w:val="24"/>
            <w:szCs w:val="24"/>
          </w:rPr>
          <w:t xml:space="preserve">Figure </w:t>
        </w:r>
        <w:r>
          <w:rPr>
            <w:rStyle w:val="Hyperlink"/>
            <w:rFonts w:ascii="Times New Roman" w:hAnsi="Times New Roman"/>
            <w:noProof/>
            <w:sz w:val="24"/>
            <w:szCs w:val="24"/>
            <w:cs/>
          </w:rPr>
          <w:t>‎</w:t>
        </w:r>
        <w:r>
          <w:rPr>
            <w:rStyle w:val="Hyperlink"/>
            <w:rFonts w:ascii="Times New Roman" w:hAnsi="Times New Roman"/>
            <w:noProof/>
            <w:sz w:val="24"/>
            <w:szCs w:val="24"/>
          </w:rPr>
          <w:t xml:space="preserve">3.2: Workshop findings: Expert judgement: Effect of the development of minimum </w:t>
        </w:r>
        <w:r>
          <w:rPr>
            <w:rStyle w:val="Hyperlink"/>
            <w:rFonts w:ascii="Times New Roman" w:hAnsi="Times New Roman"/>
            <w:noProof/>
            <w:sz w:val="24"/>
            <w:szCs w:val="24"/>
            <w:lang w:eastAsia="de-AT"/>
          </w:rPr>
          <w:t>quality requirements for reused water in agricultural irrigation and aq</w:t>
        </w:r>
        <w:r>
          <w:rPr>
            <w:rStyle w:val="Hyperlink"/>
            <w:rFonts w:ascii="Times New Roman" w:hAnsi="Times New Roman"/>
            <w:noProof/>
            <w:sz w:val="24"/>
            <w:szCs w:val="24"/>
            <w:lang w:eastAsia="de-AT"/>
          </w:rPr>
          <w:t>uifer recharge</w:t>
        </w:r>
        <w:r>
          <w:rPr>
            <w:rStyle w:val="Hyperlink"/>
            <w:rFonts w:ascii="Times New Roman" w:hAnsi="Times New Roman"/>
            <w:noProof/>
            <w:sz w:val="24"/>
            <w:szCs w:val="24"/>
          </w:rPr>
          <w:t xml:space="preserve"> on </w:t>
        </w:r>
        <w:r>
          <w:rPr>
            <w:rStyle w:val="Hyperlink"/>
            <w:rFonts w:ascii="Times New Roman" w:hAnsi="Times New Roman"/>
            <w:noProof/>
            <w:kern w:val="32"/>
            <w:sz w:val="24"/>
            <w:szCs w:val="24"/>
          </w:rPr>
          <w:t>agriculture depending on</w:t>
        </w:r>
        <w:r>
          <w:rPr>
            <w:rStyle w:val="Hyperlink"/>
            <w:rFonts w:ascii="Times New Roman" w:hAnsi="Times New Roman"/>
            <w:noProof/>
            <w:sz w:val="24"/>
            <w:szCs w:val="24"/>
          </w:rPr>
          <w:t xml:space="preserve"> irrigated land in rural regions</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_Toc484768763 \h </w:instrText>
        </w:r>
        <w:r>
          <w:rPr>
            <w:rFonts w:ascii="Times New Roman" w:hAnsi="Times New Roman"/>
            <w:noProof/>
            <w:webHidden/>
            <w:sz w:val="24"/>
            <w:szCs w:val="24"/>
          </w:rPr>
        </w:r>
        <w:r>
          <w:rPr>
            <w:rFonts w:ascii="Times New Roman" w:hAnsi="Times New Roman"/>
            <w:noProof/>
            <w:webHidden/>
            <w:sz w:val="24"/>
            <w:szCs w:val="24"/>
          </w:rPr>
          <w:fldChar w:fldCharType="separate"/>
        </w:r>
        <w:r>
          <w:rPr>
            <w:rFonts w:ascii="Times New Roman" w:hAnsi="Times New Roman"/>
            <w:noProof/>
            <w:webHidden/>
            <w:sz w:val="24"/>
            <w:szCs w:val="24"/>
          </w:rPr>
          <w:t>100</w:t>
        </w:r>
        <w:r>
          <w:rPr>
            <w:rFonts w:ascii="Times New Roman" w:hAnsi="Times New Roman"/>
            <w:noProof/>
            <w:webHidden/>
            <w:sz w:val="24"/>
            <w:szCs w:val="24"/>
          </w:rPr>
          <w:fldChar w:fldCharType="end"/>
        </w:r>
      </w:hyperlink>
    </w:p>
    <w:p w:rsidR="00AB50C5" w:rsidRDefault="00724275">
      <w:pPr>
        <w:pStyle w:val="TableofFigures"/>
        <w:tabs>
          <w:tab w:val="right" w:leader="dot" w:pos="8296"/>
        </w:tabs>
        <w:jc w:val="both"/>
        <w:rPr>
          <w:rFonts w:ascii="Times New Roman" w:eastAsiaTheme="minorEastAsia" w:hAnsi="Times New Roman"/>
          <w:noProof/>
          <w:sz w:val="24"/>
          <w:szCs w:val="24"/>
          <w:lang w:val="de-AT" w:eastAsia="de-AT"/>
        </w:rPr>
      </w:pPr>
      <w:hyperlink w:anchor="_Toc484768764" w:history="1">
        <w:r>
          <w:rPr>
            <w:rStyle w:val="Hyperlink"/>
            <w:rFonts w:ascii="Times New Roman" w:hAnsi="Times New Roman"/>
            <w:noProof/>
            <w:sz w:val="24"/>
            <w:szCs w:val="24"/>
          </w:rPr>
          <w:t xml:space="preserve">Figure </w:t>
        </w:r>
        <w:r>
          <w:rPr>
            <w:rStyle w:val="Hyperlink"/>
            <w:rFonts w:ascii="Times New Roman" w:hAnsi="Times New Roman"/>
            <w:noProof/>
            <w:sz w:val="24"/>
            <w:szCs w:val="24"/>
            <w:cs/>
          </w:rPr>
          <w:t>‎</w:t>
        </w:r>
        <w:r>
          <w:rPr>
            <w:rStyle w:val="Hyperlink"/>
            <w:rFonts w:ascii="Times New Roman" w:hAnsi="Times New Roman"/>
            <w:noProof/>
            <w:sz w:val="24"/>
            <w:szCs w:val="24"/>
          </w:rPr>
          <w:t xml:space="preserve">3.3: Workshop findings: Expert judgement: </w:t>
        </w:r>
        <w:r>
          <w:rPr>
            <w:rStyle w:val="Hyperlink"/>
            <w:rFonts w:ascii="Times New Roman" w:hAnsi="Times New Roman"/>
            <w:noProof/>
            <w:sz w:val="24"/>
            <w:szCs w:val="24"/>
          </w:rPr>
          <w:t xml:space="preserve">Effect of the development of minimum </w:t>
        </w:r>
        <w:r>
          <w:rPr>
            <w:rStyle w:val="Hyperlink"/>
            <w:rFonts w:ascii="Times New Roman" w:hAnsi="Times New Roman"/>
            <w:noProof/>
            <w:sz w:val="24"/>
            <w:szCs w:val="24"/>
            <w:lang w:eastAsia="de-AT"/>
          </w:rPr>
          <w:t>quality requirements for reused water in agricultural irrigation and aquifer recharge</w:t>
        </w:r>
        <w:r>
          <w:rPr>
            <w:rStyle w:val="Hyperlink"/>
            <w:rFonts w:ascii="Times New Roman" w:hAnsi="Times New Roman"/>
            <w:noProof/>
            <w:sz w:val="24"/>
            <w:szCs w:val="24"/>
          </w:rPr>
          <w:t xml:space="preserve"> on </w:t>
        </w:r>
        <w:r>
          <w:rPr>
            <w:rStyle w:val="Hyperlink"/>
            <w:rFonts w:ascii="Times New Roman" w:hAnsi="Times New Roman"/>
            <w:noProof/>
            <w:kern w:val="32"/>
            <w:sz w:val="24"/>
            <w:szCs w:val="24"/>
          </w:rPr>
          <w:t>regions facing danger of droughts</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_Toc484768764 \h </w:instrText>
        </w:r>
        <w:r>
          <w:rPr>
            <w:rFonts w:ascii="Times New Roman" w:hAnsi="Times New Roman"/>
            <w:noProof/>
            <w:webHidden/>
            <w:sz w:val="24"/>
            <w:szCs w:val="24"/>
          </w:rPr>
        </w:r>
        <w:r>
          <w:rPr>
            <w:rFonts w:ascii="Times New Roman" w:hAnsi="Times New Roman"/>
            <w:noProof/>
            <w:webHidden/>
            <w:sz w:val="24"/>
            <w:szCs w:val="24"/>
          </w:rPr>
          <w:fldChar w:fldCharType="separate"/>
        </w:r>
        <w:r>
          <w:rPr>
            <w:rFonts w:ascii="Times New Roman" w:hAnsi="Times New Roman"/>
            <w:noProof/>
            <w:webHidden/>
            <w:sz w:val="24"/>
            <w:szCs w:val="24"/>
          </w:rPr>
          <w:t>102</w:t>
        </w:r>
        <w:r>
          <w:rPr>
            <w:rFonts w:ascii="Times New Roman" w:hAnsi="Times New Roman"/>
            <w:noProof/>
            <w:webHidden/>
            <w:sz w:val="24"/>
            <w:szCs w:val="24"/>
          </w:rPr>
          <w:fldChar w:fldCharType="end"/>
        </w:r>
      </w:hyperlink>
    </w:p>
    <w:p w:rsidR="00AB50C5" w:rsidRDefault="00724275">
      <w:pPr>
        <w:pStyle w:val="TableofFigures"/>
        <w:tabs>
          <w:tab w:val="right" w:leader="dot" w:pos="8296"/>
        </w:tabs>
        <w:jc w:val="both"/>
        <w:rPr>
          <w:rFonts w:ascii="Times New Roman" w:eastAsiaTheme="minorEastAsia" w:hAnsi="Times New Roman"/>
          <w:noProof/>
          <w:sz w:val="24"/>
          <w:szCs w:val="24"/>
          <w:lang w:val="de-AT" w:eastAsia="de-AT"/>
        </w:rPr>
      </w:pPr>
      <w:hyperlink w:anchor="_Toc484768765" w:history="1">
        <w:r>
          <w:rPr>
            <w:rStyle w:val="Hyperlink"/>
            <w:rFonts w:ascii="Times New Roman" w:hAnsi="Times New Roman"/>
            <w:noProof/>
            <w:sz w:val="24"/>
            <w:szCs w:val="24"/>
          </w:rPr>
          <w:t xml:space="preserve">Figure </w:t>
        </w:r>
        <w:r>
          <w:rPr>
            <w:rStyle w:val="Hyperlink"/>
            <w:rFonts w:ascii="Times New Roman" w:hAnsi="Times New Roman"/>
            <w:noProof/>
            <w:sz w:val="24"/>
            <w:szCs w:val="24"/>
            <w:cs/>
          </w:rPr>
          <w:t>‎</w:t>
        </w:r>
        <w:r>
          <w:rPr>
            <w:rStyle w:val="Hyperlink"/>
            <w:rFonts w:ascii="Times New Roman" w:hAnsi="Times New Roman"/>
            <w:noProof/>
            <w:sz w:val="24"/>
            <w:szCs w:val="24"/>
          </w:rPr>
          <w:t xml:space="preserve">3.4: Workshop findings: Expert judgement: Effect of the development of minimum </w:t>
        </w:r>
        <w:r>
          <w:rPr>
            <w:rStyle w:val="Hyperlink"/>
            <w:rFonts w:ascii="Times New Roman" w:hAnsi="Times New Roman"/>
            <w:noProof/>
            <w:sz w:val="24"/>
            <w:szCs w:val="24"/>
            <w:lang w:eastAsia="de-AT"/>
          </w:rPr>
          <w:t>quality requirements for reused water in agricultural irrigation and aquifer recharge</w:t>
        </w:r>
        <w:r>
          <w:rPr>
            <w:rStyle w:val="Hyperlink"/>
            <w:rFonts w:ascii="Times New Roman" w:hAnsi="Times New Roman"/>
            <w:noProof/>
            <w:sz w:val="24"/>
            <w:szCs w:val="24"/>
          </w:rPr>
          <w:t xml:space="preserve"> on </w:t>
        </w:r>
        <w:r>
          <w:rPr>
            <w:rStyle w:val="Hyperlink"/>
            <w:rFonts w:ascii="Times New Roman" w:hAnsi="Times New Roman"/>
            <w:noProof/>
            <w:kern w:val="32"/>
            <w:sz w:val="24"/>
            <w:szCs w:val="24"/>
          </w:rPr>
          <w:t>rural regions facing danger of droughts</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w:instrText>
        </w:r>
        <w:r>
          <w:rPr>
            <w:rFonts w:ascii="Times New Roman" w:hAnsi="Times New Roman"/>
            <w:noProof/>
            <w:webHidden/>
            <w:sz w:val="24"/>
            <w:szCs w:val="24"/>
          </w:rPr>
          <w:instrText xml:space="preserve">EF _Toc484768765 \h </w:instrText>
        </w:r>
        <w:r>
          <w:rPr>
            <w:rFonts w:ascii="Times New Roman" w:hAnsi="Times New Roman"/>
            <w:noProof/>
            <w:webHidden/>
            <w:sz w:val="24"/>
            <w:szCs w:val="24"/>
          </w:rPr>
        </w:r>
        <w:r>
          <w:rPr>
            <w:rFonts w:ascii="Times New Roman" w:hAnsi="Times New Roman"/>
            <w:noProof/>
            <w:webHidden/>
            <w:sz w:val="24"/>
            <w:szCs w:val="24"/>
          </w:rPr>
          <w:fldChar w:fldCharType="separate"/>
        </w:r>
        <w:r>
          <w:rPr>
            <w:rFonts w:ascii="Times New Roman" w:hAnsi="Times New Roman"/>
            <w:noProof/>
            <w:webHidden/>
            <w:sz w:val="24"/>
            <w:szCs w:val="24"/>
          </w:rPr>
          <w:t>102</w:t>
        </w:r>
        <w:r>
          <w:rPr>
            <w:rFonts w:ascii="Times New Roman" w:hAnsi="Times New Roman"/>
            <w:noProof/>
            <w:webHidden/>
            <w:sz w:val="24"/>
            <w:szCs w:val="24"/>
          </w:rPr>
          <w:fldChar w:fldCharType="end"/>
        </w:r>
      </w:hyperlink>
    </w:p>
    <w:p w:rsidR="00AB50C5" w:rsidRDefault="00724275">
      <w:pPr>
        <w:pStyle w:val="TableofFigures"/>
        <w:tabs>
          <w:tab w:val="right" w:leader="dot" w:pos="8296"/>
        </w:tabs>
        <w:jc w:val="both"/>
        <w:rPr>
          <w:rFonts w:ascii="Times New Roman" w:eastAsiaTheme="minorEastAsia" w:hAnsi="Times New Roman"/>
          <w:noProof/>
          <w:sz w:val="24"/>
          <w:szCs w:val="24"/>
          <w:lang w:val="de-AT" w:eastAsia="de-AT"/>
        </w:rPr>
      </w:pPr>
      <w:hyperlink w:anchor="_Toc484768766" w:history="1">
        <w:r>
          <w:rPr>
            <w:rStyle w:val="Hyperlink"/>
            <w:rFonts w:ascii="Times New Roman" w:hAnsi="Times New Roman"/>
            <w:noProof/>
            <w:sz w:val="24"/>
            <w:szCs w:val="24"/>
          </w:rPr>
          <w:t xml:space="preserve">Figure </w:t>
        </w:r>
        <w:r>
          <w:rPr>
            <w:rStyle w:val="Hyperlink"/>
            <w:rFonts w:ascii="Times New Roman" w:hAnsi="Times New Roman"/>
            <w:noProof/>
            <w:sz w:val="24"/>
            <w:szCs w:val="24"/>
            <w:cs/>
          </w:rPr>
          <w:t>‎</w:t>
        </w:r>
        <w:r>
          <w:rPr>
            <w:rStyle w:val="Hyperlink"/>
            <w:rFonts w:ascii="Times New Roman" w:hAnsi="Times New Roman"/>
            <w:noProof/>
            <w:sz w:val="24"/>
            <w:szCs w:val="24"/>
          </w:rPr>
          <w:t xml:space="preserve">3.5: Workshop findings: Expert judgement: Effect of the development of minimum </w:t>
        </w:r>
        <w:r>
          <w:rPr>
            <w:rStyle w:val="Hyperlink"/>
            <w:rFonts w:ascii="Times New Roman" w:hAnsi="Times New Roman"/>
            <w:noProof/>
            <w:sz w:val="24"/>
            <w:szCs w:val="24"/>
            <w:lang w:eastAsia="de-AT"/>
          </w:rPr>
          <w:t xml:space="preserve">quality requirements for reused water in </w:t>
        </w:r>
        <w:r>
          <w:rPr>
            <w:rStyle w:val="Hyperlink"/>
            <w:rFonts w:ascii="Times New Roman" w:hAnsi="Times New Roman"/>
            <w:noProof/>
            <w:sz w:val="24"/>
            <w:szCs w:val="24"/>
            <w:lang w:eastAsia="de-AT"/>
          </w:rPr>
          <w:t>agricultural irrigation and aquifer recharge</w:t>
        </w:r>
        <w:r>
          <w:rPr>
            <w:rStyle w:val="Hyperlink"/>
            <w:rFonts w:ascii="Times New Roman" w:hAnsi="Times New Roman"/>
            <w:noProof/>
            <w:sz w:val="24"/>
            <w:szCs w:val="24"/>
          </w:rPr>
          <w:t xml:space="preserve"> on </w:t>
        </w:r>
        <w:r>
          <w:rPr>
            <w:rStyle w:val="Hyperlink"/>
            <w:rFonts w:ascii="Times New Roman" w:hAnsi="Times New Roman"/>
            <w:noProof/>
            <w:kern w:val="32"/>
            <w:sz w:val="24"/>
            <w:szCs w:val="24"/>
          </w:rPr>
          <w:t xml:space="preserve">regions facing </w:t>
        </w:r>
        <w:r>
          <w:rPr>
            <w:rStyle w:val="Hyperlink"/>
            <w:rFonts w:ascii="Times New Roman" w:hAnsi="Times New Roman"/>
            <w:noProof/>
            <w:sz w:val="24"/>
            <w:szCs w:val="24"/>
          </w:rPr>
          <w:t>heat waves</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_Toc484768766 \h </w:instrText>
        </w:r>
        <w:r>
          <w:rPr>
            <w:rFonts w:ascii="Times New Roman" w:hAnsi="Times New Roman"/>
            <w:noProof/>
            <w:webHidden/>
            <w:sz w:val="24"/>
            <w:szCs w:val="24"/>
          </w:rPr>
        </w:r>
        <w:r>
          <w:rPr>
            <w:rFonts w:ascii="Times New Roman" w:hAnsi="Times New Roman"/>
            <w:noProof/>
            <w:webHidden/>
            <w:sz w:val="24"/>
            <w:szCs w:val="24"/>
          </w:rPr>
          <w:fldChar w:fldCharType="separate"/>
        </w:r>
        <w:r>
          <w:rPr>
            <w:rFonts w:ascii="Times New Roman" w:hAnsi="Times New Roman"/>
            <w:noProof/>
            <w:webHidden/>
            <w:sz w:val="24"/>
            <w:szCs w:val="24"/>
          </w:rPr>
          <w:t>105</w:t>
        </w:r>
        <w:r>
          <w:rPr>
            <w:rFonts w:ascii="Times New Roman" w:hAnsi="Times New Roman"/>
            <w:noProof/>
            <w:webHidden/>
            <w:sz w:val="24"/>
            <w:szCs w:val="24"/>
          </w:rPr>
          <w:fldChar w:fldCharType="end"/>
        </w:r>
      </w:hyperlink>
    </w:p>
    <w:p w:rsidR="00AB50C5" w:rsidRDefault="00724275">
      <w:pPr>
        <w:pStyle w:val="TableofFigures"/>
        <w:tabs>
          <w:tab w:val="right" w:leader="dot" w:pos="8296"/>
        </w:tabs>
        <w:jc w:val="both"/>
        <w:rPr>
          <w:rFonts w:ascii="Times New Roman" w:eastAsiaTheme="minorEastAsia" w:hAnsi="Times New Roman"/>
          <w:noProof/>
          <w:sz w:val="24"/>
          <w:szCs w:val="24"/>
          <w:lang w:val="de-AT" w:eastAsia="de-AT"/>
        </w:rPr>
      </w:pPr>
      <w:hyperlink w:anchor="_Toc484768767" w:history="1">
        <w:r>
          <w:rPr>
            <w:rStyle w:val="Hyperlink"/>
            <w:rFonts w:ascii="Times New Roman" w:hAnsi="Times New Roman"/>
            <w:noProof/>
            <w:sz w:val="24"/>
            <w:szCs w:val="24"/>
          </w:rPr>
          <w:t xml:space="preserve">Figure </w:t>
        </w:r>
        <w:r>
          <w:rPr>
            <w:rStyle w:val="Hyperlink"/>
            <w:rFonts w:ascii="Times New Roman" w:hAnsi="Times New Roman"/>
            <w:noProof/>
            <w:sz w:val="24"/>
            <w:szCs w:val="24"/>
            <w:cs/>
          </w:rPr>
          <w:t>‎</w:t>
        </w:r>
        <w:r>
          <w:rPr>
            <w:rStyle w:val="Hyperlink"/>
            <w:rFonts w:ascii="Times New Roman" w:hAnsi="Times New Roman"/>
            <w:noProof/>
            <w:sz w:val="24"/>
            <w:szCs w:val="24"/>
          </w:rPr>
          <w:t xml:space="preserve">3.6: Workshop findings: Expert judgement: Effect of the development of minimum </w:t>
        </w:r>
        <w:r>
          <w:rPr>
            <w:rStyle w:val="Hyperlink"/>
            <w:rFonts w:ascii="Times New Roman" w:hAnsi="Times New Roman"/>
            <w:noProof/>
            <w:sz w:val="24"/>
            <w:szCs w:val="24"/>
            <w:lang w:eastAsia="de-AT"/>
          </w:rPr>
          <w:t>quality requirements for reused water in agricultural irrigation and aquifer recharge</w:t>
        </w:r>
        <w:r>
          <w:rPr>
            <w:rStyle w:val="Hyperlink"/>
            <w:rFonts w:ascii="Times New Roman" w:hAnsi="Times New Roman"/>
            <w:noProof/>
            <w:sz w:val="24"/>
            <w:szCs w:val="24"/>
          </w:rPr>
          <w:t xml:space="preserve"> on rural </w:t>
        </w:r>
        <w:r>
          <w:rPr>
            <w:rStyle w:val="Hyperlink"/>
            <w:rFonts w:ascii="Times New Roman" w:hAnsi="Times New Roman"/>
            <w:noProof/>
            <w:kern w:val="32"/>
            <w:sz w:val="24"/>
            <w:szCs w:val="24"/>
          </w:rPr>
          <w:t xml:space="preserve">regions facing </w:t>
        </w:r>
        <w:r>
          <w:rPr>
            <w:rStyle w:val="Hyperlink"/>
            <w:rFonts w:ascii="Times New Roman" w:hAnsi="Times New Roman"/>
            <w:noProof/>
            <w:sz w:val="24"/>
            <w:szCs w:val="24"/>
          </w:rPr>
          <w:t>heat waves</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_Toc484768767 \h </w:instrText>
        </w:r>
        <w:r>
          <w:rPr>
            <w:rFonts w:ascii="Times New Roman" w:hAnsi="Times New Roman"/>
            <w:noProof/>
            <w:webHidden/>
            <w:sz w:val="24"/>
            <w:szCs w:val="24"/>
          </w:rPr>
        </w:r>
        <w:r>
          <w:rPr>
            <w:rFonts w:ascii="Times New Roman" w:hAnsi="Times New Roman"/>
            <w:noProof/>
            <w:webHidden/>
            <w:sz w:val="24"/>
            <w:szCs w:val="24"/>
          </w:rPr>
          <w:fldChar w:fldCharType="separate"/>
        </w:r>
        <w:r>
          <w:rPr>
            <w:rFonts w:ascii="Times New Roman" w:hAnsi="Times New Roman"/>
            <w:noProof/>
            <w:webHidden/>
            <w:sz w:val="24"/>
            <w:szCs w:val="24"/>
          </w:rPr>
          <w:t>105</w:t>
        </w:r>
        <w:r>
          <w:rPr>
            <w:rFonts w:ascii="Times New Roman" w:hAnsi="Times New Roman"/>
            <w:noProof/>
            <w:webHidden/>
            <w:sz w:val="24"/>
            <w:szCs w:val="24"/>
          </w:rPr>
          <w:fldChar w:fldCharType="end"/>
        </w:r>
      </w:hyperlink>
    </w:p>
    <w:p w:rsidR="00AB50C5" w:rsidRDefault="00724275">
      <w:pPr>
        <w:pStyle w:val="TableofFigures"/>
        <w:tabs>
          <w:tab w:val="right" w:leader="dot" w:pos="8296"/>
        </w:tabs>
        <w:jc w:val="both"/>
        <w:rPr>
          <w:rFonts w:ascii="Times New Roman" w:eastAsiaTheme="minorEastAsia" w:hAnsi="Times New Roman"/>
          <w:noProof/>
          <w:sz w:val="24"/>
          <w:szCs w:val="24"/>
          <w:lang w:val="de-AT" w:eastAsia="de-AT"/>
        </w:rPr>
      </w:pPr>
      <w:hyperlink w:anchor="_Toc484768768" w:history="1">
        <w:r>
          <w:rPr>
            <w:rStyle w:val="Hyperlink"/>
            <w:rFonts w:ascii="Times New Roman" w:hAnsi="Times New Roman"/>
            <w:noProof/>
            <w:sz w:val="24"/>
            <w:szCs w:val="24"/>
          </w:rPr>
          <w:t xml:space="preserve">Figure </w:t>
        </w:r>
        <w:r>
          <w:rPr>
            <w:rStyle w:val="Hyperlink"/>
            <w:rFonts w:ascii="Times New Roman" w:hAnsi="Times New Roman"/>
            <w:noProof/>
            <w:sz w:val="24"/>
            <w:szCs w:val="24"/>
            <w:cs/>
          </w:rPr>
          <w:t>‎</w:t>
        </w:r>
        <w:r>
          <w:rPr>
            <w:rStyle w:val="Hyperlink"/>
            <w:rFonts w:ascii="Times New Roman" w:hAnsi="Times New Roman"/>
            <w:noProof/>
            <w:sz w:val="24"/>
            <w:szCs w:val="24"/>
          </w:rPr>
          <w:t>3.7: Workshop findings: Expert judgement: Effect of the development of minimum quality requirements on pollutants in soil and ground/surface water</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_Toc484768768 \h </w:instrText>
        </w:r>
        <w:r>
          <w:rPr>
            <w:rFonts w:ascii="Times New Roman" w:hAnsi="Times New Roman"/>
            <w:noProof/>
            <w:webHidden/>
            <w:sz w:val="24"/>
            <w:szCs w:val="24"/>
          </w:rPr>
        </w:r>
        <w:r>
          <w:rPr>
            <w:rFonts w:ascii="Times New Roman" w:hAnsi="Times New Roman"/>
            <w:noProof/>
            <w:webHidden/>
            <w:sz w:val="24"/>
            <w:szCs w:val="24"/>
          </w:rPr>
          <w:fldChar w:fldCharType="separate"/>
        </w:r>
        <w:r>
          <w:rPr>
            <w:rFonts w:ascii="Times New Roman" w:hAnsi="Times New Roman"/>
            <w:noProof/>
            <w:webHidden/>
            <w:sz w:val="24"/>
            <w:szCs w:val="24"/>
          </w:rPr>
          <w:t>1</w:t>
        </w:r>
        <w:r>
          <w:rPr>
            <w:rFonts w:ascii="Times New Roman" w:hAnsi="Times New Roman"/>
            <w:noProof/>
            <w:webHidden/>
            <w:sz w:val="24"/>
            <w:szCs w:val="24"/>
          </w:rPr>
          <w:t>06</w:t>
        </w:r>
        <w:r>
          <w:rPr>
            <w:rFonts w:ascii="Times New Roman" w:hAnsi="Times New Roman"/>
            <w:noProof/>
            <w:webHidden/>
            <w:sz w:val="24"/>
            <w:szCs w:val="24"/>
          </w:rPr>
          <w:fldChar w:fldCharType="end"/>
        </w:r>
      </w:hyperlink>
    </w:p>
    <w:p w:rsidR="00AB50C5" w:rsidRDefault="00724275">
      <w:pPr>
        <w:pStyle w:val="TableofFigures"/>
        <w:tabs>
          <w:tab w:val="right" w:leader="dot" w:pos="8296"/>
        </w:tabs>
        <w:jc w:val="both"/>
        <w:rPr>
          <w:rFonts w:ascii="Times New Roman" w:eastAsiaTheme="minorEastAsia" w:hAnsi="Times New Roman"/>
          <w:noProof/>
          <w:sz w:val="24"/>
          <w:szCs w:val="24"/>
          <w:lang w:val="de-AT" w:eastAsia="de-AT"/>
        </w:rPr>
      </w:pPr>
      <w:hyperlink w:anchor="_Toc484768769" w:history="1">
        <w:r>
          <w:rPr>
            <w:rStyle w:val="Hyperlink"/>
            <w:rFonts w:ascii="Times New Roman" w:hAnsi="Times New Roman"/>
            <w:noProof/>
            <w:sz w:val="24"/>
            <w:szCs w:val="24"/>
          </w:rPr>
          <w:t xml:space="preserve">Figure </w:t>
        </w:r>
        <w:r>
          <w:rPr>
            <w:rStyle w:val="Hyperlink"/>
            <w:rFonts w:ascii="Times New Roman" w:hAnsi="Times New Roman"/>
            <w:noProof/>
            <w:sz w:val="24"/>
            <w:szCs w:val="24"/>
            <w:cs/>
          </w:rPr>
          <w:t>‎</w:t>
        </w:r>
        <w:r>
          <w:rPr>
            <w:rStyle w:val="Hyperlink"/>
            <w:rFonts w:ascii="Times New Roman" w:hAnsi="Times New Roman"/>
            <w:noProof/>
            <w:sz w:val="24"/>
            <w:szCs w:val="24"/>
          </w:rPr>
          <w:t>3.8: Workshop findings: Expert judgement: Effect of the development of minimum quality requirements on pollutants in soil and ground/surface wat</w:t>
        </w:r>
        <w:r>
          <w:rPr>
            <w:rStyle w:val="Hyperlink"/>
            <w:rFonts w:ascii="Times New Roman" w:hAnsi="Times New Roman"/>
            <w:noProof/>
            <w:sz w:val="24"/>
            <w:szCs w:val="24"/>
          </w:rPr>
          <w:t>er in rural regions</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_Toc484768769 \h </w:instrText>
        </w:r>
        <w:r>
          <w:rPr>
            <w:rFonts w:ascii="Times New Roman" w:hAnsi="Times New Roman"/>
            <w:noProof/>
            <w:webHidden/>
            <w:sz w:val="24"/>
            <w:szCs w:val="24"/>
          </w:rPr>
        </w:r>
        <w:r>
          <w:rPr>
            <w:rFonts w:ascii="Times New Roman" w:hAnsi="Times New Roman"/>
            <w:noProof/>
            <w:webHidden/>
            <w:sz w:val="24"/>
            <w:szCs w:val="24"/>
          </w:rPr>
          <w:fldChar w:fldCharType="separate"/>
        </w:r>
        <w:r>
          <w:rPr>
            <w:rFonts w:ascii="Times New Roman" w:hAnsi="Times New Roman"/>
            <w:noProof/>
            <w:webHidden/>
            <w:sz w:val="24"/>
            <w:szCs w:val="24"/>
          </w:rPr>
          <w:t>106</w:t>
        </w:r>
        <w:r>
          <w:rPr>
            <w:rFonts w:ascii="Times New Roman" w:hAnsi="Times New Roman"/>
            <w:noProof/>
            <w:webHidden/>
            <w:sz w:val="24"/>
            <w:szCs w:val="24"/>
          </w:rPr>
          <w:fldChar w:fldCharType="end"/>
        </w:r>
      </w:hyperlink>
    </w:p>
    <w:p w:rsidR="00AB50C5" w:rsidRDefault="00724275">
      <w:pPr>
        <w:pStyle w:val="TableofFigures"/>
        <w:tabs>
          <w:tab w:val="right" w:leader="dot" w:pos="8296"/>
        </w:tabs>
        <w:jc w:val="both"/>
        <w:rPr>
          <w:rFonts w:ascii="Times New Roman" w:eastAsiaTheme="minorEastAsia" w:hAnsi="Times New Roman"/>
          <w:noProof/>
          <w:sz w:val="24"/>
          <w:szCs w:val="24"/>
          <w:lang w:val="de-AT" w:eastAsia="de-AT"/>
        </w:rPr>
      </w:pPr>
      <w:hyperlink w:anchor="_Toc484768770" w:history="1">
        <w:r>
          <w:rPr>
            <w:rStyle w:val="Hyperlink"/>
            <w:rFonts w:ascii="Times New Roman" w:hAnsi="Times New Roman"/>
            <w:noProof/>
            <w:sz w:val="24"/>
            <w:szCs w:val="24"/>
          </w:rPr>
          <w:t xml:space="preserve">Figure </w:t>
        </w:r>
        <w:r>
          <w:rPr>
            <w:rStyle w:val="Hyperlink"/>
            <w:rFonts w:ascii="Times New Roman" w:hAnsi="Times New Roman"/>
            <w:noProof/>
            <w:sz w:val="24"/>
            <w:szCs w:val="24"/>
            <w:cs/>
          </w:rPr>
          <w:t>‎</w:t>
        </w:r>
        <w:r>
          <w:rPr>
            <w:rStyle w:val="Hyperlink"/>
            <w:rFonts w:ascii="Times New Roman" w:hAnsi="Times New Roman"/>
            <w:noProof/>
            <w:sz w:val="24"/>
            <w:szCs w:val="24"/>
          </w:rPr>
          <w:t xml:space="preserve">4.1: Workshop findings: Expert judgement: Effect of the development of minimum </w:t>
        </w:r>
        <w:r>
          <w:rPr>
            <w:rStyle w:val="Hyperlink"/>
            <w:rFonts w:ascii="Times New Roman" w:hAnsi="Times New Roman"/>
            <w:noProof/>
            <w:sz w:val="24"/>
            <w:szCs w:val="24"/>
            <w:lang w:eastAsia="de-AT"/>
          </w:rPr>
          <w:t xml:space="preserve">quality </w:t>
        </w:r>
        <w:r>
          <w:rPr>
            <w:rStyle w:val="Hyperlink"/>
            <w:rFonts w:ascii="Times New Roman" w:hAnsi="Times New Roman"/>
            <w:noProof/>
            <w:sz w:val="24"/>
            <w:szCs w:val="24"/>
            <w:lang w:eastAsia="de-AT"/>
          </w:rPr>
          <w:t>requirements for reused water in agricultural irrigation and aquifer recharge</w:t>
        </w:r>
        <w:r>
          <w:rPr>
            <w:rStyle w:val="Hyperlink"/>
            <w:rFonts w:ascii="Times New Roman" w:hAnsi="Times New Roman"/>
            <w:noProof/>
            <w:sz w:val="24"/>
            <w:szCs w:val="24"/>
          </w:rPr>
          <w:t xml:space="preserve"> on added value in agriculture and forestry</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_Toc484768770 \h </w:instrText>
        </w:r>
        <w:r>
          <w:rPr>
            <w:rFonts w:ascii="Times New Roman" w:hAnsi="Times New Roman"/>
            <w:noProof/>
            <w:webHidden/>
            <w:sz w:val="24"/>
            <w:szCs w:val="24"/>
          </w:rPr>
        </w:r>
        <w:r>
          <w:rPr>
            <w:rFonts w:ascii="Times New Roman" w:hAnsi="Times New Roman"/>
            <w:noProof/>
            <w:webHidden/>
            <w:sz w:val="24"/>
            <w:szCs w:val="24"/>
          </w:rPr>
          <w:fldChar w:fldCharType="separate"/>
        </w:r>
        <w:r>
          <w:rPr>
            <w:rFonts w:ascii="Times New Roman" w:hAnsi="Times New Roman"/>
            <w:noProof/>
            <w:webHidden/>
            <w:sz w:val="24"/>
            <w:szCs w:val="24"/>
          </w:rPr>
          <w:t>107</w:t>
        </w:r>
        <w:r>
          <w:rPr>
            <w:rFonts w:ascii="Times New Roman" w:hAnsi="Times New Roman"/>
            <w:noProof/>
            <w:webHidden/>
            <w:sz w:val="24"/>
            <w:szCs w:val="24"/>
          </w:rPr>
          <w:fldChar w:fldCharType="end"/>
        </w:r>
      </w:hyperlink>
    </w:p>
    <w:p w:rsidR="00AB50C5" w:rsidRDefault="00724275">
      <w:pPr>
        <w:pStyle w:val="TableofFigures"/>
        <w:tabs>
          <w:tab w:val="right" w:leader="dot" w:pos="8296"/>
        </w:tabs>
        <w:jc w:val="both"/>
        <w:rPr>
          <w:rFonts w:ascii="Times New Roman" w:eastAsiaTheme="minorEastAsia" w:hAnsi="Times New Roman"/>
          <w:noProof/>
          <w:sz w:val="24"/>
          <w:szCs w:val="24"/>
          <w:lang w:val="de-AT" w:eastAsia="de-AT"/>
        </w:rPr>
      </w:pPr>
      <w:hyperlink w:anchor="_Toc484768771" w:history="1">
        <w:r>
          <w:rPr>
            <w:rStyle w:val="Hyperlink"/>
            <w:rFonts w:ascii="Times New Roman" w:hAnsi="Times New Roman"/>
            <w:noProof/>
            <w:sz w:val="24"/>
            <w:szCs w:val="24"/>
          </w:rPr>
          <w:t>Figu</w:t>
        </w:r>
        <w:r>
          <w:rPr>
            <w:rStyle w:val="Hyperlink"/>
            <w:rFonts w:ascii="Times New Roman" w:hAnsi="Times New Roman"/>
            <w:noProof/>
            <w:sz w:val="24"/>
            <w:szCs w:val="24"/>
          </w:rPr>
          <w:t xml:space="preserve">re </w:t>
        </w:r>
        <w:r>
          <w:rPr>
            <w:rStyle w:val="Hyperlink"/>
            <w:rFonts w:ascii="Times New Roman" w:hAnsi="Times New Roman"/>
            <w:noProof/>
            <w:sz w:val="24"/>
            <w:szCs w:val="24"/>
            <w:cs/>
          </w:rPr>
          <w:t>‎</w:t>
        </w:r>
        <w:r>
          <w:rPr>
            <w:rStyle w:val="Hyperlink"/>
            <w:rFonts w:ascii="Times New Roman" w:hAnsi="Times New Roman"/>
            <w:noProof/>
            <w:sz w:val="24"/>
            <w:szCs w:val="24"/>
          </w:rPr>
          <w:t xml:space="preserve">4.2: Workshop findings: Expert judgement: Effect of the development of minimum </w:t>
        </w:r>
        <w:r>
          <w:rPr>
            <w:rStyle w:val="Hyperlink"/>
            <w:rFonts w:ascii="Times New Roman" w:hAnsi="Times New Roman"/>
            <w:noProof/>
            <w:sz w:val="24"/>
            <w:szCs w:val="24"/>
            <w:lang w:eastAsia="de-AT"/>
          </w:rPr>
          <w:t>quality requirements for reused water in agricultural irrigation and aquifer recharge</w:t>
        </w:r>
        <w:r>
          <w:rPr>
            <w:rStyle w:val="Hyperlink"/>
            <w:rFonts w:ascii="Times New Roman" w:hAnsi="Times New Roman"/>
            <w:noProof/>
            <w:sz w:val="24"/>
            <w:szCs w:val="24"/>
          </w:rPr>
          <w:t xml:space="preserve"> on added value in agriculture and forestry in rural regions</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_Toc484768771 \h </w:instrText>
        </w:r>
        <w:r>
          <w:rPr>
            <w:rFonts w:ascii="Times New Roman" w:hAnsi="Times New Roman"/>
            <w:noProof/>
            <w:webHidden/>
            <w:sz w:val="24"/>
            <w:szCs w:val="24"/>
          </w:rPr>
        </w:r>
        <w:r>
          <w:rPr>
            <w:rFonts w:ascii="Times New Roman" w:hAnsi="Times New Roman"/>
            <w:noProof/>
            <w:webHidden/>
            <w:sz w:val="24"/>
            <w:szCs w:val="24"/>
          </w:rPr>
          <w:fldChar w:fldCharType="separate"/>
        </w:r>
        <w:r>
          <w:rPr>
            <w:rFonts w:ascii="Times New Roman" w:hAnsi="Times New Roman"/>
            <w:noProof/>
            <w:webHidden/>
            <w:sz w:val="24"/>
            <w:szCs w:val="24"/>
          </w:rPr>
          <w:t>1</w:t>
        </w:r>
        <w:r>
          <w:rPr>
            <w:rFonts w:ascii="Times New Roman" w:hAnsi="Times New Roman"/>
            <w:noProof/>
            <w:webHidden/>
            <w:sz w:val="24"/>
            <w:szCs w:val="24"/>
          </w:rPr>
          <w:t>07</w:t>
        </w:r>
        <w:r>
          <w:rPr>
            <w:rFonts w:ascii="Times New Roman" w:hAnsi="Times New Roman"/>
            <w:noProof/>
            <w:webHidden/>
            <w:sz w:val="24"/>
            <w:szCs w:val="24"/>
          </w:rPr>
          <w:fldChar w:fldCharType="end"/>
        </w:r>
      </w:hyperlink>
    </w:p>
    <w:p w:rsidR="00AB50C5" w:rsidRDefault="00724275">
      <w:pPr>
        <w:pStyle w:val="TableofFigures"/>
        <w:tabs>
          <w:tab w:val="right" w:leader="dot" w:pos="8296"/>
        </w:tabs>
        <w:jc w:val="both"/>
        <w:rPr>
          <w:rFonts w:ascii="Times New Roman" w:eastAsiaTheme="minorEastAsia" w:hAnsi="Times New Roman"/>
          <w:noProof/>
          <w:sz w:val="24"/>
          <w:szCs w:val="24"/>
          <w:lang w:val="de-AT" w:eastAsia="de-AT"/>
        </w:rPr>
      </w:pPr>
      <w:hyperlink w:anchor="_Toc484768772" w:history="1">
        <w:r>
          <w:rPr>
            <w:rStyle w:val="Hyperlink"/>
            <w:rFonts w:ascii="Times New Roman" w:hAnsi="Times New Roman"/>
            <w:noProof/>
            <w:sz w:val="24"/>
            <w:szCs w:val="24"/>
          </w:rPr>
          <w:t xml:space="preserve">Figure </w:t>
        </w:r>
        <w:r>
          <w:rPr>
            <w:rStyle w:val="Hyperlink"/>
            <w:rFonts w:ascii="Times New Roman" w:hAnsi="Times New Roman"/>
            <w:noProof/>
            <w:sz w:val="24"/>
            <w:szCs w:val="24"/>
            <w:cs/>
          </w:rPr>
          <w:t>‎</w:t>
        </w:r>
        <w:r>
          <w:rPr>
            <w:rStyle w:val="Hyperlink"/>
            <w:rFonts w:ascii="Times New Roman" w:hAnsi="Times New Roman"/>
            <w:noProof/>
            <w:sz w:val="24"/>
            <w:szCs w:val="24"/>
          </w:rPr>
          <w:t xml:space="preserve">4.3: Workshop findings: Expert judgement: Effect of the development of minimum </w:t>
        </w:r>
        <w:r>
          <w:rPr>
            <w:rStyle w:val="Hyperlink"/>
            <w:rFonts w:ascii="Times New Roman" w:hAnsi="Times New Roman"/>
            <w:noProof/>
            <w:sz w:val="24"/>
            <w:szCs w:val="24"/>
            <w:lang w:eastAsia="de-AT"/>
          </w:rPr>
          <w:t xml:space="preserve">quality requirements for reused water in agricultural irrigation </w:t>
        </w:r>
        <w:r>
          <w:rPr>
            <w:rStyle w:val="Hyperlink"/>
            <w:rFonts w:ascii="Times New Roman" w:hAnsi="Times New Roman"/>
            <w:noProof/>
            <w:sz w:val="24"/>
            <w:szCs w:val="24"/>
            <w:lang w:eastAsia="de-AT"/>
          </w:rPr>
          <w:t>and aquifer recharge</w:t>
        </w:r>
        <w:r>
          <w:rPr>
            <w:rStyle w:val="Hyperlink"/>
            <w:rFonts w:ascii="Times New Roman" w:hAnsi="Times New Roman"/>
            <w:noProof/>
            <w:sz w:val="24"/>
            <w:szCs w:val="24"/>
          </w:rPr>
          <w:t xml:space="preserve"> on economic growth</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_Toc484768772 \h </w:instrText>
        </w:r>
        <w:r>
          <w:rPr>
            <w:rFonts w:ascii="Times New Roman" w:hAnsi="Times New Roman"/>
            <w:noProof/>
            <w:webHidden/>
            <w:sz w:val="24"/>
            <w:szCs w:val="24"/>
          </w:rPr>
        </w:r>
        <w:r>
          <w:rPr>
            <w:rFonts w:ascii="Times New Roman" w:hAnsi="Times New Roman"/>
            <w:noProof/>
            <w:webHidden/>
            <w:sz w:val="24"/>
            <w:szCs w:val="24"/>
          </w:rPr>
          <w:fldChar w:fldCharType="separate"/>
        </w:r>
        <w:r>
          <w:rPr>
            <w:rFonts w:ascii="Times New Roman" w:hAnsi="Times New Roman"/>
            <w:noProof/>
            <w:webHidden/>
            <w:sz w:val="24"/>
            <w:szCs w:val="24"/>
          </w:rPr>
          <w:t>110</w:t>
        </w:r>
        <w:r>
          <w:rPr>
            <w:rFonts w:ascii="Times New Roman" w:hAnsi="Times New Roman"/>
            <w:noProof/>
            <w:webHidden/>
            <w:sz w:val="24"/>
            <w:szCs w:val="24"/>
          </w:rPr>
          <w:fldChar w:fldCharType="end"/>
        </w:r>
      </w:hyperlink>
    </w:p>
    <w:p w:rsidR="00AB50C5" w:rsidRDefault="00724275">
      <w:pPr>
        <w:pStyle w:val="TableofFigures"/>
        <w:tabs>
          <w:tab w:val="right" w:leader="dot" w:pos="8296"/>
        </w:tabs>
        <w:jc w:val="both"/>
        <w:rPr>
          <w:rFonts w:ascii="Times New Roman" w:eastAsiaTheme="minorEastAsia" w:hAnsi="Times New Roman"/>
          <w:noProof/>
          <w:sz w:val="24"/>
          <w:szCs w:val="24"/>
          <w:lang w:val="de-AT" w:eastAsia="de-AT"/>
        </w:rPr>
      </w:pPr>
      <w:hyperlink w:anchor="_Toc484768773" w:history="1">
        <w:r>
          <w:rPr>
            <w:rStyle w:val="Hyperlink"/>
            <w:rFonts w:ascii="Times New Roman" w:hAnsi="Times New Roman"/>
            <w:noProof/>
            <w:sz w:val="24"/>
            <w:szCs w:val="24"/>
          </w:rPr>
          <w:t xml:space="preserve">Figure </w:t>
        </w:r>
        <w:r>
          <w:rPr>
            <w:rStyle w:val="Hyperlink"/>
            <w:rFonts w:ascii="Times New Roman" w:hAnsi="Times New Roman"/>
            <w:noProof/>
            <w:sz w:val="24"/>
            <w:szCs w:val="24"/>
            <w:cs/>
          </w:rPr>
          <w:t>‎</w:t>
        </w:r>
        <w:r>
          <w:rPr>
            <w:rStyle w:val="Hyperlink"/>
            <w:rFonts w:ascii="Times New Roman" w:hAnsi="Times New Roman"/>
            <w:noProof/>
            <w:sz w:val="24"/>
            <w:szCs w:val="24"/>
          </w:rPr>
          <w:t xml:space="preserve">4.4: Workshop findings: Expert judgement: Effect of the development of minimum </w:t>
        </w:r>
        <w:r>
          <w:rPr>
            <w:rStyle w:val="Hyperlink"/>
            <w:rFonts w:ascii="Times New Roman" w:hAnsi="Times New Roman"/>
            <w:noProof/>
            <w:sz w:val="24"/>
            <w:szCs w:val="24"/>
            <w:lang w:eastAsia="de-AT"/>
          </w:rPr>
          <w:t>quality requirements for reused water in agricultural irrigation and aq</w:t>
        </w:r>
        <w:r>
          <w:rPr>
            <w:rStyle w:val="Hyperlink"/>
            <w:rFonts w:ascii="Times New Roman" w:hAnsi="Times New Roman"/>
            <w:noProof/>
            <w:sz w:val="24"/>
            <w:szCs w:val="24"/>
            <w:lang w:eastAsia="de-AT"/>
          </w:rPr>
          <w:t>uifer recharge</w:t>
        </w:r>
        <w:r>
          <w:rPr>
            <w:rStyle w:val="Hyperlink"/>
            <w:rFonts w:ascii="Times New Roman" w:hAnsi="Times New Roman"/>
            <w:noProof/>
            <w:sz w:val="24"/>
            <w:szCs w:val="24"/>
          </w:rPr>
          <w:t xml:space="preserve"> on economic growth in rural regions</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_Toc484768773 \h </w:instrText>
        </w:r>
        <w:r>
          <w:rPr>
            <w:rFonts w:ascii="Times New Roman" w:hAnsi="Times New Roman"/>
            <w:noProof/>
            <w:webHidden/>
            <w:sz w:val="24"/>
            <w:szCs w:val="24"/>
          </w:rPr>
        </w:r>
        <w:r>
          <w:rPr>
            <w:rFonts w:ascii="Times New Roman" w:hAnsi="Times New Roman"/>
            <w:noProof/>
            <w:webHidden/>
            <w:sz w:val="24"/>
            <w:szCs w:val="24"/>
          </w:rPr>
          <w:fldChar w:fldCharType="separate"/>
        </w:r>
        <w:r>
          <w:rPr>
            <w:rFonts w:ascii="Times New Roman" w:hAnsi="Times New Roman"/>
            <w:noProof/>
            <w:webHidden/>
            <w:sz w:val="24"/>
            <w:szCs w:val="24"/>
          </w:rPr>
          <w:t>111</w:t>
        </w:r>
        <w:r>
          <w:rPr>
            <w:rFonts w:ascii="Times New Roman" w:hAnsi="Times New Roman"/>
            <w:noProof/>
            <w:webHidden/>
            <w:sz w:val="24"/>
            <w:szCs w:val="24"/>
          </w:rPr>
          <w:fldChar w:fldCharType="end"/>
        </w:r>
      </w:hyperlink>
    </w:p>
    <w:p w:rsidR="00AB50C5" w:rsidRDefault="00724275">
      <w:pPr>
        <w:pStyle w:val="TableofFigures"/>
        <w:tabs>
          <w:tab w:val="right" w:leader="dot" w:pos="8296"/>
        </w:tabs>
        <w:jc w:val="both"/>
        <w:rPr>
          <w:rFonts w:ascii="Times New Roman" w:eastAsiaTheme="minorEastAsia" w:hAnsi="Times New Roman"/>
          <w:noProof/>
          <w:sz w:val="24"/>
          <w:szCs w:val="24"/>
          <w:lang w:val="de-AT" w:eastAsia="de-AT"/>
        </w:rPr>
      </w:pPr>
      <w:hyperlink w:anchor="_Toc484768774" w:history="1">
        <w:r>
          <w:rPr>
            <w:rStyle w:val="Hyperlink"/>
            <w:rFonts w:ascii="Times New Roman" w:hAnsi="Times New Roman"/>
            <w:noProof/>
            <w:sz w:val="24"/>
            <w:szCs w:val="24"/>
          </w:rPr>
          <w:t xml:space="preserve">Figure </w:t>
        </w:r>
        <w:r>
          <w:rPr>
            <w:rStyle w:val="Hyperlink"/>
            <w:rFonts w:ascii="Times New Roman" w:hAnsi="Times New Roman"/>
            <w:noProof/>
            <w:sz w:val="24"/>
            <w:szCs w:val="24"/>
            <w:cs/>
          </w:rPr>
          <w:t>‎</w:t>
        </w:r>
        <w:r>
          <w:rPr>
            <w:rStyle w:val="Hyperlink"/>
            <w:rFonts w:ascii="Times New Roman" w:hAnsi="Times New Roman"/>
            <w:noProof/>
            <w:sz w:val="24"/>
            <w:szCs w:val="24"/>
          </w:rPr>
          <w:t>4.5: Workshop findings: Expert judgement: Effect of the developmen</w:t>
        </w:r>
        <w:r>
          <w:rPr>
            <w:rStyle w:val="Hyperlink"/>
            <w:rFonts w:ascii="Times New Roman" w:hAnsi="Times New Roman"/>
            <w:noProof/>
            <w:sz w:val="24"/>
            <w:szCs w:val="24"/>
          </w:rPr>
          <w:t xml:space="preserve">t of minimum </w:t>
        </w:r>
        <w:r>
          <w:rPr>
            <w:rStyle w:val="Hyperlink"/>
            <w:rFonts w:ascii="Times New Roman" w:hAnsi="Times New Roman"/>
            <w:noProof/>
            <w:sz w:val="24"/>
            <w:szCs w:val="24"/>
            <w:lang w:eastAsia="de-AT"/>
          </w:rPr>
          <w:t>quality requirements for reused water in agricultural irrigation and aquifer recharge</w:t>
        </w:r>
        <w:r>
          <w:rPr>
            <w:rStyle w:val="Hyperlink"/>
            <w:rFonts w:ascii="Times New Roman" w:hAnsi="Times New Roman"/>
            <w:noProof/>
            <w:sz w:val="24"/>
            <w:szCs w:val="24"/>
          </w:rPr>
          <w:t xml:space="preserve"> on R&amp;D Climate (R&amp;D expenditure)</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_Toc484768774 \h </w:instrText>
        </w:r>
        <w:r>
          <w:rPr>
            <w:rFonts w:ascii="Times New Roman" w:hAnsi="Times New Roman"/>
            <w:noProof/>
            <w:webHidden/>
            <w:sz w:val="24"/>
            <w:szCs w:val="24"/>
          </w:rPr>
        </w:r>
        <w:r>
          <w:rPr>
            <w:rFonts w:ascii="Times New Roman" w:hAnsi="Times New Roman"/>
            <w:noProof/>
            <w:webHidden/>
            <w:sz w:val="24"/>
            <w:szCs w:val="24"/>
          </w:rPr>
          <w:fldChar w:fldCharType="separate"/>
        </w:r>
        <w:r>
          <w:rPr>
            <w:rFonts w:ascii="Times New Roman" w:hAnsi="Times New Roman"/>
            <w:noProof/>
            <w:webHidden/>
            <w:sz w:val="24"/>
            <w:szCs w:val="24"/>
          </w:rPr>
          <w:t>112</w:t>
        </w:r>
        <w:r>
          <w:rPr>
            <w:rFonts w:ascii="Times New Roman" w:hAnsi="Times New Roman"/>
            <w:noProof/>
            <w:webHidden/>
            <w:sz w:val="24"/>
            <w:szCs w:val="24"/>
          </w:rPr>
          <w:fldChar w:fldCharType="end"/>
        </w:r>
      </w:hyperlink>
    </w:p>
    <w:p w:rsidR="00AB50C5" w:rsidRDefault="00724275">
      <w:pPr>
        <w:pStyle w:val="TableofFigures"/>
        <w:tabs>
          <w:tab w:val="right" w:leader="dot" w:pos="8296"/>
        </w:tabs>
        <w:jc w:val="both"/>
        <w:rPr>
          <w:rFonts w:ascii="Times New Roman" w:eastAsiaTheme="minorEastAsia" w:hAnsi="Times New Roman"/>
          <w:noProof/>
          <w:sz w:val="24"/>
          <w:szCs w:val="24"/>
          <w:lang w:val="de-AT" w:eastAsia="de-AT"/>
        </w:rPr>
      </w:pPr>
      <w:hyperlink w:anchor="_Toc484768775" w:history="1">
        <w:r>
          <w:rPr>
            <w:rStyle w:val="Hyperlink"/>
            <w:rFonts w:ascii="Times New Roman" w:hAnsi="Times New Roman"/>
            <w:noProof/>
            <w:sz w:val="24"/>
            <w:szCs w:val="24"/>
          </w:rPr>
          <w:t xml:space="preserve">Figure </w:t>
        </w:r>
        <w:r>
          <w:rPr>
            <w:rStyle w:val="Hyperlink"/>
            <w:rFonts w:ascii="Times New Roman" w:hAnsi="Times New Roman"/>
            <w:noProof/>
            <w:sz w:val="24"/>
            <w:szCs w:val="24"/>
            <w:cs/>
          </w:rPr>
          <w:t>‎</w:t>
        </w:r>
        <w:r>
          <w:rPr>
            <w:rStyle w:val="Hyperlink"/>
            <w:rFonts w:ascii="Times New Roman" w:hAnsi="Times New Roman"/>
            <w:noProof/>
            <w:sz w:val="24"/>
            <w:szCs w:val="24"/>
          </w:rPr>
          <w:t xml:space="preserve">4.6: Workshop findings: Expert judgement: Effect of the development of minimum </w:t>
        </w:r>
        <w:r>
          <w:rPr>
            <w:rStyle w:val="Hyperlink"/>
            <w:rFonts w:ascii="Times New Roman" w:hAnsi="Times New Roman"/>
            <w:noProof/>
            <w:sz w:val="24"/>
            <w:szCs w:val="24"/>
            <w:lang w:eastAsia="de-AT"/>
          </w:rPr>
          <w:t>quality requirements for reused water in agricultural irrigation and aquifer recharge</w:t>
        </w:r>
        <w:r>
          <w:rPr>
            <w:rStyle w:val="Hyperlink"/>
            <w:rFonts w:ascii="Times New Roman" w:hAnsi="Times New Roman"/>
            <w:noProof/>
            <w:sz w:val="24"/>
            <w:szCs w:val="24"/>
          </w:rPr>
          <w:t xml:space="preserve"> on R&amp;D Climate (R&amp;D expenditure) in rural regions</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_Toc484768775 \h </w:instrText>
        </w:r>
        <w:r>
          <w:rPr>
            <w:rFonts w:ascii="Times New Roman" w:hAnsi="Times New Roman"/>
            <w:noProof/>
            <w:webHidden/>
            <w:sz w:val="24"/>
            <w:szCs w:val="24"/>
          </w:rPr>
        </w:r>
        <w:r>
          <w:rPr>
            <w:rFonts w:ascii="Times New Roman" w:hAnsi="Times New Roman"/>
            <w:noProof/>
            <w:webHidden/>
            <w:sz w:val="24"/>
            <w:szCs w:val="24"/>
          </w:rPr>
          <w:fldChar w:fldCharType="separate"/>
        </w:r>
        <w:r>
          <w:rPr>
            <w:rFonts w:ascii="Times New Roman" w:hAnsi="Times New Roman"/>
            <w:noProof/>
            <w:webHidden/>
            <w:sz w:val="24"/>
            <w:szCs w:val="24"/>
          </w:rPr>
          <w:t>113</w:t>
        </w:r>
        <w:r>
          <w:rPr>
            <w:rFonts w:ascii="Times New Roman" w:hAnsi="Times New Roman"/>
            <w:noProof/>
            <w:webHidden/>
            <w:sz w:val="24"/>
            <w:szCs w:val="24"/>
          </w:rPr>
          <w:fldChar w:fldCharType="end"/>
        </w:r>
      </w:hyperlink>
    </w:p>
    <w:p w:rsidR="00AB50C5" w:rsidRDefault="00724275">
      <w:pPr>
        <w:pStyle w:val="TableofFigures"/>
        <w:tabs>
          <w:tab w:val="right" w:leader="dot" w:pos="8296"/>
        </w:tabs>
        <w:jc w:val="both"/>
        <w:rPr>
          <w:rFonts w:ascii="Times New Roman" w:eastAsiaTheme="minorEastAsia" w:hAnsi="Times New Roman"/>
          <w:noProof/>
          <w:sz w:val="24"/>
          <w:szCs w:val="24"/>
          <w:lang w:val="de-AT" w:eastAsia="de-AT"/>
        </w:rPr>
      </w:pPr>
      <w:hyperlink w:anchor="_Toc484768776" w:history="1">
        <w:r>
          <w:rPr>
            <w:rStyle w:val="Hyperlink"/>
            <w:rFonts w:ascii="Times New Roman" w:hAnsi="Times New Roman"/>
            <w:noProof/>
            <w:sz w:val="24"/>
            <w:szCs w:val="24"/>
          </w:rPr>
          <w:t xml:space="preserve">Figure </w:t>
        </w:r>
        <w:r>
          <w:rPr>
            <w:rStyle w:val="Hyperlink"/>
            <w:rFonts w:ascii="Times New Roman" w:hAnsi="Times New Roman"/>
            <w:noProof/>
            <w:sz w:val="24"/>
            <w:szCs w:val="24"/>
            <w:cs/>
          </w:rPr>
          <w:t>‎</w:t>
        </w:r>
        <w:r>
          <w:rPr>
            <w:rStyle w:val="Hyperlink"/>
            <w:rFonts w:ascii="Times New Roman" w:hAnsi="Times New Roman"/>
            <w:noProof/>
            <w:sz w:val="24"/>
            <w:szCs w:val="24"/>
          </w:rPr>
          <w:t xml:space="preserve">5.1: Workshop findings: Expert judgement: Effect of the development of minimum </w:t>
        </w:r>
        <w:r>
          <w:rPr>
            <w:rStyle w:val="Hyperlink"/>
            <w:rFonts w:ascii="Times New Roman" w:hAnsi="Times New Roman"/>
            <w:noProof/>
            <w:sz w:val="24"/>
            <w:szCs w:val="24"/>
            <w:lang w:eastAsia="de-AT"/>
          </w:rPr>
          <w:t xml:space="preserve">quality requirements for reused water in agricultural irrigation </w:t>
        </w:r>
        <w:r>
          <w:rPr>
            <w:rStyle w:val="Hyperlink"/>
            <w:rFonts w:ascii="Times New Roman" w:hAnsi="Times New Roman"/>
            <w:noProof/>
            <w:sz w:val="24"/>
            <w:szCs w:val="24"/>
            <w:lang w:eastAsia="de-AT"/>
          </w:rPr>
          <w:t>and aquifer recharge</w:t>
        </w:r>
        <w:r>
          <w:rPr>
            <w:rStyle w:val="Hyperlink"/>
            <w:rFonts w:ascii="Times New Roman" w:hAnsi="Times New Roman"/>
            <w:noProof/>
            <w:sz w:val="24"/>
            <w:szCs w:val="24"/>
          </w:rPr>
          <w:t xml:space="preserve"> on employment in agriculture and forestry</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_Toc484768776 \h </w:instrText>
        </w:r>
        <w:r>
          <w:rPr>
            <w:rFonts w:ascii="Times New Roman" w:hAnsi="Times New Roman"/>
            <w:noProof/>
            <w:webHidden/>
            <w:sz w:val="24"/>
            <w:szCs w:val="24"/>
          </w:rPr>
        </w:r>
        <w:r>
          <w:rPr>
            <w:rFonts w:ascii="Times New Roman" w:hAnsi="Times New Roman"/>
            <w:noProof/>
            <w:webHidden/>
            <w:sz w:val="24"/>
            <w:szCs w:val="24"/>
          </w:rPr>
          <w:fldChar w:fldCharType="separate"/>
        </w:r>
        <w:r>
          <w:rPr>
            <w:rFonts w:ascii="Times New Roman" w:hAnsi="Times New Roman"/>
            <w:noProof/>
            <w:webHidden/>
            <w:sz w:val="24"/>
            <w:szCs w:val="24"/>
          </w:rPr>
          <w:t>114</w:t>
        </w:r>
        <w:r>
          <w:rPr>
            <w:rFonts w:ascii="Times New Roman" w:hAnsi="Times New Roman"/>
            <w:noProof/>
            <w:webHidden/>
            <w:sz w:val="24"/>
            <w:szCs w:val="24"/>
          </w:rPr>
          <w:fldChar w:fldCharType="end"/>
        </w:r>
      </w:hyperlink>
    </w:p>
    <w:p w:rsidR="00AB50C5" w:rsidRDefault="00724275">
      <w:pPr>
        <w:pStyle w:val="TableofFigures"/>
        <w:tabs>
          <w:tab w:val="right" w:leader="dot" w:pos="8296"/>
        </w:tabs>
        <w:jc w:val="both"/>
        <w:rPr>
          <w:rFonts w:ascii="Times New Roman" w:eastAsiaTheme="minorEastAsia" w:hAnsi="Times New Roman"/>
          <w:noProof/>
          <w:sz w:val="24"/>
          <w:szCs w:val="24"/>
          <w:lang w:val="de-AT" w:eastAsia="de-AT"/>
        </w:rPr>
      </w:pPr>
      <w:hyperlink w:anchor="_Toc484768777" w:history="1">
        <w:r>
          <w:rPr>
            <w:rStyle w:val="Hyperlink"/>
            <w:rFonts w:ascii="Times New Roman" w:hAnsi="Times New Roman"/>
            <w:noProof/>
            <w:sz w:val="24"/>
            <w:szCs w:val="24"/>
          </w:rPr>
          <w:t xml:space="preserve">Figure </w:t>
        </w:r>
        <w:r>
          <w:rPr>
            <w:rStyle w:val="Hyperlink"/>
            <w:rFonts w:ascii="Times New Roman" w:hAnsi="Times New Roman"/>
            <w:noProof/>
            <w:sz w:val="24"/>
            <w:szCs w:val="24"/>
            <w:cs/>
          </w:rPr>
          <w:t>‎</w:t>
        </w:r>
        <w:r>
          <w:rPr>
            <w:rStyle w:val="Hyperlink"/>
            <w:rFonts w:ascii="Times New Roman" w:hAnsi="Times New Roman"/>
            <w:noProof/>
            <w:sz w:val="24"/>
            <w:szCs w:val="24"/>
          </w:rPr>
          <w:t>5.2: Workshop findings: Expert judgement: Effect of th</w:t>
        </w:r>
        <w:r>
          <w:rPr>
            <w:rStyle w:val="Hyperlink"/>
            <w:rFonts w:ascii="Times New Roman" w:hAnsi="Times New Roman"/>
            <w:noProof/>
            <w:sz w:val="24"/>
            <w:szCs w:val="24"/>
          </w:rPr>
          <w:t xml:space="preserve">e development of minimum </w:t>
        </w:r>
        <w:r>
          <w:rPr>
            <w:rStyle w:val="Hyperlink"/>
            <w:rFonts w:ascii="Times New Roman" w:hAnsi="Times New Roman"/>
            <w:noProof/>
            <w:sz w:val="24"/>
            <w:szCs w:val="24"/>
            <w:lang w:eastAsia="de-AT"/>
          </w:rPr>
          <w:t>quality requirements for reused water in agricultural irrigation and aquifer recharge</w:t>
        </w:r>
        <w:r>
          <w:rPr>
            <w:rStyle w:val="Hyperlink"/>
            <w:rFonts w:ascii="Times New Roman" w:hAnsi="Times New Roman"/>
            <w:noProof/>
            <w:sz w:val="24"/>
            <w:szCs w:val="24"/>
          </w:rPr>
          <w:t xml:space="preserve"> on employment in agriculture and forestry in rural regions</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_Toc484768777 \h </w:instrText>
        </w:r>
        <w:r>
          <w:rPr>
            <w:rFonts w:ascii="Times New Roman" w:hAnsi="Times New Roman"/>
            <w:noProof/>
            <w:webHidden/>
            <w:sz w:val="24"/>
            <w:szCs w:val="24"/>
          </w:rPr>
        </w:r>
        <w:r>
          <w:rPr>
            <w:rFonts w:ascii="Times New Roman" w:hAnsi="Times New Roman"/>
            <w:noProof/>
            <w:webHidden/>
            <w:sz w:val="24"/>
            <w:szCs w:val="24"/>
          </w:rPr>
          <w:fldChar w:fldCharType="separate"/>
        </w:r>
        <w:r>
          <w:rPr>
            <w:rFonts w:ascii="Times New Roman" w:hAnsi="Times New Roman"/>
            <w:noProof/>
            <w:webHidden/>
            <w:sz w:val="24"/>
            <w:szCs w:val="24"/>
          </w:rPr>
          <w:t>114</w:t>
        </w:r>
        <w:r>
          <w:rPr>
            <w:rFonts w:ascii="Times New Roman" w:hAnsi="Times New Roman"/>
            <w:noProof/>
            <w:webHidden/>
            <w:sz w:val="24"/>
            <w:szCs w:val="24"/>
          </w:rPr>
          <w:fldChar w:fldCharType="end"/>
        </w:r>
      </w:hyperlink>
    </w:p>
    <w:p w:rsidR="00AB50C5" w:rsidRDefault="00724275">
      <w:pPr>
        <w:pStyle w:val="TableofFigures"/>
        <w:tabs>
          <w:tab w:val="right" w:leader="dot" w:pos="8296"/>
        </w:tabs>
        <w:jc w:val="both"/>
        <w:rPr>
          <w:rFonts w:ascii="Times New Roman" w:eastAsiaTheme="minorEastAsia" w:hAnsi="Times New Roman"/>
          <w:noProof/>
          <w:sz w:val="24"/>
          <w:szCs w:val="24"/>
          <w:lang w:val="de-AT" w:eastAsia="de-AT"/>
        </w:rPr>
      </w:pPr>
      <w:hyperlink w:anchor="_Toc484768778" w:history="1">
        <w:r>
          <w:rPr>
            <w:rStyle w:val="Hyperlink"/>
            <w:rFonts w:ascii="Times New Roman" w:hAnsi="Times New Roman"/>
            <w:noProof/>
            <w:sz w:val="24"/>
            <w:szCs w:val="24"/>
          </w:rPr>
          <w:t xml:space="preserve">Figure </w:t>
        </w:r>
        <w:r>
          <w:rPr>
            <w:rStyle w:val="Hyperlink"/>
            <w:rFonts w:ascii="Times New Roman" w:hAnsi="Times New Roman"/>
            <w:noProof/>
            <w:sz w:val="24"/>
            <w:szCs w:val="24"/>
            <w:cs/>
          </w:rPr>
          <w:t>‎</w:t>
        </w:r>
        <w:r>
          <w:rPr>
            <w:rStyle w:val="Hyperlink"/>
            <w:rFonts w:ascii="Times New Roman" w:hAnsi="Times New Roman"/>
            <w:noProof/>
            <w:sz w:val="24"/>
            <w:szCs w:val="24"/>
          </w:rPr>
          <w:t xml:space="preserve">5.3: Workshop findings: Expert judgement: Effect of the development of minimum </w:t>
        </w:r>
        <w:r>
          <w:rPr>
            <w:rStyle w:val="Hyperlink"/>
            <w:rFonts w:ascii="Times New Roman" w:hAnsi="Times New Roman"/>
            <w:noProof/>
            <w:sz w:val="24"/>
            <w:szCs w:val="24"/>
            <w:lang w:eastAsia="de-AT"/>
          </w:rPr>
          <w:t>quality requirements for reused water in agricultural irrigation and aquifer recharge</w:t>
        </w:r>
        <w:r>
          <w:rPr>
            <w:rStyle w:val="Hyperlink"/>
            <w:rFonts w:ascii="Times New Roman" w:hAnsi="Times New Roman"/>
            <w:noProof/>
            <w:sz w:val="24"/>
            <w:szCs w:val="24"/>
          </w:rPr>
          <w:t xml:space="preserve"> on out-migration/brain drain/“shrinking” of regions</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_Toc484768778 \h </w:instrText>
        </w:r>
        <w:r>
          <w:rPr>
            <w:rFonts w:ascii="Times New Roman" w:hAnsi="Times New Roman"/>
            <w:noProof/>
            <w:webHidden/>
            <w:sz w:val="24"/>
            <w:szCs w:val="24"/>
          </w:rPr>
        </w:r>
        <w:r>
          <w:rPr>
            <w:rFonts w:ascii="Times New Roman" w:hAnsi="Times New Roman"/>
            <w:noProof/>
            <w:webHidden/>
            <w:sz w:val="24"/>
            <w:szCs w:val="24"/>
          </w:rPr>
          <w:fldChar w:fldCharType="separate"/>
        </w:r>
        <w:r>
          <w:rPr>
            <w:rFonts w:ascii="Times New Roman" w:hAnsi="Times New Roman"/>
            <w:noProof/>
            <w:webHidden/>
            <w:sz w:val="24"/>
            <w:szCs w:val="24"/>
          </w:rPr>
          <w:t>118</w:t>
        </w:r>
        <w:r>
          <w:rPr>
            <w:rFonts w:ascii="Times New Roman" w:hAnsi="Times New Roman"/>
            <w:noProof/>
            <w:webHidden/>
            <w:sz w:val="24"/>
            <w:szCs w:val="24"/>
          </w:rPr>
          <w:fldChar w:fldCharType="end"/>
        </w:r>
      </w:hyperlink>
    </w:p>
    <w:p w:rsidR="00AB50C5" w:rsidRDefault="00724275">
      <w:pPr>
        <w:pStyle w:val="TableofFigures"/>
        <w:tabs>
          <w:tab w:val="right" w:leader="dot" w:pos="8296"/>
        </w:tabs>
        <w:jc w:val="both"/>
        <w:rPr>
          <w:rFonts w:ascii="Times New Roman" w:eastAsiaTheme="minorEastAsia" w:hAnsi="Times New Roman"/>
          <w:noProof/>
          <w:sz w:val="24"/>
          <w:szCs w:val="24"/>
          <w:lang w:val="de-AT" w:eastAsia="de-AT"/>
        </w:rPr>
      </w:pPr>
      <w:hyperlink w:anchor="_Toc484768779" w:history="1">
        <w:r>
          <w:rPr>
            <w:rStyle w:val="Hyperlink"/>
            <w:rFonts w:ascii="Times New Roman" w:hAnsi="Times New Roman"/>
            <w:noProof/>
            <w:sz w:val="24"/>
            <w:szCs w:val="24"/>
          </w:rPr>
          <w:t xml:space="preserve">Figure </w:t>
        </w:r>
        <w:r>
          <w:rPr>
            <w:rStyle w:val="Hyperlink"/>
            <w:rFonts w:ascii="Times New Roman" w:hAnsi="Times New Roman"/>
            <w:noProof/>
            <w:sz w:val="24"/>
            <w:szCs w:val="24"/>
            <w:cs/>
          </w:rPr>
          <w:t>‎</w:t>
        </w:r>
        <w:r>
          <w:rPr>
            <w:rStyle w:val="Hyperlink"/>
            <w:rFonts w:ascii="Times New Roman" w:hAnsi="Times New Roman"/>
            <w:noProof/>
            <w:sz w:val="24"/>
            <w:szCs w:val="24"/>
          </w:rPr>
          <w:t>5.4: Workshop findings: Expert judgement: Effect of the developm</w:t>
        </w:r>
        <w:r>
          <w:rPr>
            <w:rStyle w:val="Hyperlink"/>
            <w:rFonts w:ascii="Times New Roman" w:hAnsi="Times New Roman"/>
            <w:noProof/>
            <w:sz w:val="24"/>
            <w:szCs w:val="24"/>
          </w:rPr>
          <w:t xml:space="preserve">ent of minimum </w:t>
        </w:r>
        <w:r>
          <w:rPr>
            <w:rStyle w:val="Hyperlink"/>
            <w:rFonts w:ascii="Times New Roman" w:hAnsi="Times New Roman"/>
            <w:noProof/>
            <w:sz w:val="24"/>
            <w:szCs w:val="24"/>
            <w:lang w:eastAsia="de-AT"/>
          </w:rPr>
          <w:t>quality requirements for reused water in agricultural irrigation and aquifer recharge</w:t>
        </w:r>
        <w:r>
          <w:rPr>
            <w:rStyle w:val="Hyperlink"/>
            <w:rFonts w:ascii="Times New Roman" w:hAnsi="Times New Roman"/>
            <w:noProof/>
            <w:sz w:val="24"/>
            <w:szCs w:val="24"/>
          </w:rPr>
          <w:t xml:space="preserve"> on out-migration/brain drain/“shrinking” of rural regions</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_Toc484768779 \h </w:instrText>
        </w:r>
        <w:r>
          <w:rPr>
            <w:rFonts w:ascii="Times New Roman" w:hAnsi="Times New Roman"/>
            <w:noProof/>
            <w:webHidden/>
            <w:sz w:val="24"/>
            <w:szCs w:val="24"/>
          </w:rPr>
        </w:r>
        <w:r>
          <w:rPr>
            <w:rFonts w:ascii="Times New Roman" w:hAnsi="Times New Roman"/>
            <w:noProof/>
            <w:webHidden/>
            <w:sz w:val="24"/>
            <w:szCs w:val="24"/>
          </w:rPr>
          <w:fldChar w:fldCharType="separate"/>
        </w:r>
        <w:r>
          <w:rPr>
            <w:rFonts w:ascii="Times New Roman" w:hAnsi="Times New Roman"/>
            <w:noProof/>
            <w:webHidden/>
            <w:sz w:val="24"/>
            <w:szCs w:val="24"/>
          </w:rPr>
          <w:t>118</w:t>
        </w:r>
        <w:r>
          <w:rPr>
            <w:rFonts w:ascii="Times New Roman" w:hAnsi="Times New Roman"/>
            <w:noProof/>
            <w:webHidden/>
            <w:sz w:val="24"/>
            <w:szCs w:val="24"/>
          </w:rPr>
          <w:fldChar w:fldCharType="end"/>
        </w:r>
      </w:hyperlink>
    </w:p>
    <w:p w:rsidR="00AB50C5" w:rsidRDefault="00724275">
      <w:pPr>
        <w:pStyle w:val="TableofFigures"/>
        <w:tabs>
          <w:tab w:val="right" w:leader="dot" w:pos="8296"/>
        </w:tabs>
        <w:jc w:val="both"/>
        <w:rPr>
          <w:rFonts w:ascii="Times New Roman" w:eastAsiaTheme="minorEastAsia" w:hAnsi="Times New Roman"/>
          <w:noProof/>
          <w:sz w:val="24"/>
          <w:szCs w:val="24"/>
          <w:lang w:val="de-AT" w:eastAsia="de-AT"/>
        </w:rPr>
      </w:pPr>
      <w:hyperlink w:anchor="_Toc484768780" w:history="1">
        <w:r>
          <w:rPr>
            <w:rStyle w:val="Hyperlink"/>
            <w:rFonts w:ascii="Times New Roman" w:hAnsi="Times New Roman"/>
            <w:noProof/>
            <w:sz w:val="24"/>
            <w:szCs w:val="24"/>
          </w:rPr>
          <w:t xml:space="preserve">Figure </w:t>
        </w:r>
        <w:r>
          <w:rPr>
            <w:rStyle w:val="Hyperlink"/>
            <w:rFonts w:ascii="Times New Roman" w:hAnsi="Times New Roman"/>
            <w:noProof/>
            <w:sz w:val="24"/>
            <w:szCs w:val="24"/>
            <w:cs/>
          </w:rPr>
          <w:t>‎</w:t>
        </w:r>
        <w:r>
          <w:rPr>
            <w:rStyle w:val="Hyperlink"/>
            <w:rFonts w:ascii="Times New Roman" w:hAnsi="Times New Roman"/>
            <w:noProof/>
            <w:sz w:val="24"/>
            <w:szCs w:val="24"/>
          </w:rPr>
          <w:t xml:space="preserve">5.5: Workshop findings: Expert judgement: Effect of the development of minimum </w:t>
        </w:r>
        <w:r>
          <w:rPr>
            <w:rStyle w:val="Hyperlink"/>
            <w:rFonts w:ascii="Times New Roman" w:hAnsi="Times New Roman"/>
            <w:noProof/>
            <w:sz w:val="24"/>
            <w:szCs w:val="24"/>
            <w:lang w:eastAsia="de-AT"/>
          </w:rPr>
          <w:t>quality requirements for reused water in agricultural irrigation and aquifer recharge</w:t>
        </w:r>
        <w:r>
          <w:rPr>
            <w:rStyle w:val="Hyperlink"/>
            <w:rFonts w:ascii="Times New Roman" w:hAnsi="Times New Roman"/>
            <w:noProof/>
            <w:sz w:val="24"/>
            <w:szCs w:val="24"/>
          </w:rPr>
          <w:t xml:space="preserve"> on healthy life expectancy</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_Toc484768780</w:instrText>
        </w:r>
        <w:r>
          <w:rPr>
            <w:rFonts w:ascii="Times New Roman" w:hAnsi="Times New Roman"/>
            <w:noProof/>
            <w:webHidden/>
            <w:sz w:val="24"/>
            <w:szCs w:val="24"/>
          </w:rPr>
          <w:instrText xml:space="preserve"> \h </w:instrText>
        </w:r>
        <w:r>
          <w:rPr>
            <w:rFonts w:ascii="Times New Roman" w:hAnsi="Times New Roman"/>
            <w:noProof/>
            <w:webHidden/>
            <w:sz w:val="24"/>
            <w:szCs w:val="24"/>
          </w:rPr>
        </w:r>
        <w:r>
          <w:rPr>
            <w:rFonts w:ascii="Times New Roman" w:hAnsi="Times New Roman"/>
            <w:noProof/>
            <w:webHidden/>
            <w:sz w:val="24"/>
            <w:szCs w:val="24"/>
          </w:rPr>
          <w:fldChar w:fldCharType="separate"/>
        </w:r>
        <w:r>
          <w:rPr>
            <w:rFonts w:ascii="Times New Roman" w:hAnsi="Times New Roman"/>
            <w:noProof/>
            <w:webHidden/>
            <w:sz w:val="24"/>
            <w:szCs w:val="24"/>
          </w:rPr>
          <w:t>121</w:t>
        </w:r>
        <w:r>
          <w:rPr>
            <w:rFonts w:ascii="Times New Roman" w:hAnsi="Times New Roman"/>
            <w:noProof/>
            <w:webHidden/>
            <w:sz w:val="24"/>
            <w:szCs w:val="24"/>
          </w:rPr>
          <w:fldChar w:fldCharType="end"/>
        </w:r>
      </w:hyperlink>
    </w:p>
    <w:p w:rsidR="00AB50C5" w:rsidRDefault="00724275">
      <w:pPr>
        <w:pStyle w:val="TableofFigures"/>
        <w:tabs>
          <w:tab w:val="right" w:leader="dot" w:pos="8296"/>
        </w:tabs>
        <w:jc w:val="both"/>
        <w:rPr>
          <w:rFonts w:ascii="Times New Roman" w:eastAsiaTheme="minorEastAsia" w:hAnsi="Times New Roman"/>
          <w:noProof/>
          <w:sz w:val="24"/>
          <w:szCs w:val="24"/>
          <w:lang w:val="de-AT" w:eastAsia="de-AT"/>
        </w:rPr>
      </w:pPr>
      <w:hyperlink w:anchor="_Toc484768781" w:history="1">
        <w:r>
          <w:rPr>
            <w:rStyle w:val="Hyperlink"/>
            <w:rFonts w:ascii="Times New Roman" w:hAnsi="Times New Roman"/>
            <w:noProof/>
            <w:sz w:val="24"/>
            <w:szCs w:val="24"/>
          </w:rPr>
          <w:t xml:space="preserve">Figure </w:t>
        </w:r>
        <w:r>
          <w:rPr>
            <w:rStyle w:val="Hyperlink"/>
            <w:rFonts w:ascii="Times New Roman" w:hAnsi="Times New Roman"/>
            <w:noProof/>
            <w:sz w:val="24"/>
            <w:szCs w:val="24"/>
            <w:cs/>
          </w:rPr>
          <w:t>‎</w:t>
        </w:r>
        <w:r>
          <w:rPr>
            <w:rStyle w:val="Hyperlink"/>
            <w:rFonts w:ascii="Times New Roman" w:hAnsi="Times New Roman"/>
            <w:noProof/>
            <w:sz w:val="24"/>
            <w:szCs w:val="24"/>
          </w:rPr>
          <w:t xml:space="preserve">5.6: Workshop findings: Expert judgement: Effect of the development of minimum </w:t>
        </w:r>
        <w:r>
          <w:rPr>
            <w:rStyle w:val="Hyperlink"/>
            <w:rFonts w:ascii="Times New Roman" w:hAnsi="Times New Roman"/>
            <w:noProof/>
            <w:sz w:val="24"/>
            <w:szCs w:val="24"/>
            <w:lang w:eastAsia="de-AT"/>
          </w:rPr>
          <w:t xml:space="preserve">quality requirements for reused water in agricultural </w:t>
        </w:r>
        <w:r>
          <w:rPr>
            <w:rStyle w:val="Hyperlink"/>
            <w:rFonts w:ascii="Times New Roman" w:hAnsi="Times New Roman"/>
            <w:noProof/>
            <w:sz w:val="24"/>
            <w:szCs w:val="24"/>
            <w:lang w:eastAsia="de-AT"/>
          </w:rPr>
          <w:t>irrigation and aquifer recharge</w:t>
        </w:r>
        <w:r>
          <w:rPr>
            <w:rStyle w:val="Hyperlink"/>
            <w:rFonts w:ascii="Times New Roman" w:hAnsi="Times New Roman"/>
            <w:noProof/>
            <w:sz w:val="24"/>
            <w:szCs w:val="24"/>
          </w:rPr>
          <w:t xml:space="preserve"> on healthy life expectancy in rural regions</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_Toc484768781 \h </w:instrText>
        </w:r>
        <w:r>
          <w:rPr>
            <w:rFonts w:ascii="Times New Roman" w:hAnsi="Times New Roman"/>
            <w:noProof/>
            <w:webHidden/>
            <w:sz w:val="24"/>
            <w:szCs w:val="24"/>
          </w:rPr>
        </w:r>
        <w:r>
          <w:rPr>
            <w:rFonts w:ascii="Times New Roman" w:hAnsi="Times New Roman"/>
            <w:noProof/>
            <w:webHidden/>
            <w:sz w:val="24"/>
            <w:szCs w:val="24"/>
          </w:rPr>
          <w:fldChar w:fldCharType="separate"/>
        </w:r>
        <w:r>
          <w:rPr>
            <w:rFonts w:ascii="Times New Roman" w:hAnsi="Times New Roman"/>
            <w:noProof/>
            <w:webHidden/>
            <w:sz w:val="24"/>
            <w:szCs w:val="24"/>
          </w:rPr>
          <w:t>121</w:t>
        </w:r>
        <w:r>
          <w:rPr>
            <w:rFonts w:ascii="Times New Roman" w:hAnsi="Times New Roman"/>
            <w:noProof/>
            <w:webHidden/>
            <w:sz w:val="24"/>
            <w:szCs w:val="24"/>
          </w:rPr>
          <w:fldChar w:fldCharType="end"/>
        </w:r>
      </w:hyperlink>
    </w:p>
    <w:p w:rsidR="00AB50C5" w:rsidRDefault="00724275">
      <w:pPr>
        <w:pStyle w:val="TableofFigures"/>
        <w:tabs>
          <w:tab w:val="right" w:leader="dot" w:pos="8296"/>
        </w:tabs>
        <w:jc w:val="both"/>
        <w:rPr>
          <w:rFonts w:ascii="Times New Roman" w:eastAsiaTheme="minorEastAsia" w:hAnsi="Times New Roman"/>
          <w:noProof/>
          <w:sz w:val="24"/>
          <w:szCs w:val="24"/>
          <w:lang w:val="de-AT" w:eastAsia="de-AT"/>
        </w:rPr>
      </w:pPr>
      <w:hyperlink w:anchor="_Toc484768782" w:history="1">
        <w:r>
          <w:rPr>
            <w:rStyle w:val="Hyperlink"/>
            <w:rFonts w:ascii="Times New Roman" w:hAnsi="Times New Roman"/>
            <w:noProof/>
            <w:sz w:val="24"/>
            <w:szCs w:val="24"/>
          </w:rPr>
          <w:t xml:space="preserve">Figure </w:t>
        </w:r>
        <w:r>
          <w:rPr>
            <w:rStyle w:val="Hyperlink"/>
            <w:rFonts w:ascii="Times New Roman" w:hAnsi="Times New Roman"/>
            <w:noProof/>
            <w:sz w:val="24"/>
            <w:szCs w:val="24"/>
            <w:cs/>
          </w:rPr>
          <w:t>‎</w:t>
        </w:r>
        <w:r>
          <w:rPr>
            <w:rStyle w:val="Hyperlink"/>
            <w:rFonts w:ascii="Times New Roman" w:hAnsi="Times New Roman"/>
            <w:noProof/>
            <w:sz w:val="24"/>
            <w:szCs w:val="24"/>
          </w:rPr>
          <w:t xml:space="preserve">6.1: Workshop findings: Expert judgement: </w:t>
        </w:r>
        <w:r>
          <w:rPr>
            <w:rStyle w:val="Hyperlink"/>
            <w:rFonts w:ascii="Times New Roman" w:hAnsi="Times New Roman"/>
            <w:noProof/>
            <w:sz w:val="24"/>
            <w:szCs w:val="24"/>
          </w:rPr>
          <w:t xml:space="preserve">Effect of the development of minimum </w:t>
        </w:r>
        <w:r>
          <w:rPr>
            <w:rStyle w:val="Hyperlink"/>
            <w:rFonts w:ascii="Times New Roman" w:hAnsi="Times New Roman"/>
            <w:noProof/>
            <w:sz w:val="24"/>
            <w:szCs w:val="24"/>
            <w:lang w:eastAsia="de-AT"/>
          </w:rPr>
          <w:t>quality requirements for reused water in agricultural irrigation and aquifer recharge</w:t>
        </w:r>
        <w:r>
          <w:rPr>
            <w:rStyle w:val="Hyperlink"/>
            <w:rFonts w:ascii="Times New Roman" w:hAnsi="Times New Roman"/>
            <w:noProof/>
            <w:sz w:val="24"/>
            <w:szCs w:val="24"/>
          </w:rPr>
          <w:t xml:space="preserve"> on government effectiveness</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_Toc484768782 \h </w:instrText>
        </w:r>
        <w:r>
          <w:rPr>
            <w:rFonts w:ascii="Times New Roman" w:hAnsi="Times New Roman"/>
            <w:noProof/>
            <w:webHidden/>
            <w:sz w:val="24"/>
            <w:szCs w:val="24"/>
          </w:rPr>
        </w:r>
        <w:r>
          <w:rPr>
            <w:rFonts w:ascii="Times New Roman" w:hAnsi="Times New Roman"/>
            <w:noProof/>
            <w:webHidden/>
            <w:sz w:val="24"/>
            <w:szCs w:val="24"/>
          </w:rPr>
          <w:fldChar w:fldCharType="separate"/>
        </w:r>
        <w:r>
          <w:rPr>
            <w:rFonts w:ascii="Times New Roman" w:hAnsi="Times New Roman"/>
            <w:noProof/>
            <w:webHidden/>
            <w:sz w:val="24"/>
            <w:szCs w:val="24"/>
          </w:rPr>
          <w:t>123</w:t>
        </w:r>
        <w:r>
          <w:rPr>
            <w:rFonts w:ascii="Times New Roman" w:hAnsi="Times New Roman"/>
            <w:noProof/>
            <w:webHidden/>
            <w:sz w:val="24"/>
            <w:szCs w:val="24"/>
          </w:rPr>
          <w:fldChar w:fldCharType="end"/>
        </w:r>
      </w:hyperlink>
    </w:p>
    <w:p w:rsidR="00AB50C5" w:rsidRDefault="00724275">
      <w:pPr>
        <w:pStyle w:val="TableofFigures"/>
        <w:tabs>
          <w:tab w:val="right" w:leader="dot" w:pos="8296"/>
        </w:tabs>
        <w:jc w:val="both"/>
        <w:rPr>
          <w:rFonts w:ascii="Times New Roman" w:hAnsi="Times New Roman"/>
          <w:b/>
          <w:noProof/>
          <w:sz w:val="24"/>
          <w:szCs w:val="24"/>
          <w:lang w:val="en-US"/>
        </w:rPr>
      </w:pPr>
      <w:hyperlink w:anchor="_Toc484768783" w:history="1">
        <w:r>
          <w:rPr>
            <w:rStyle w:val="Hyperlink"/>
            <w:rFonts w:ascii="Times New Roman" w:hAnsi="Times New Roman"/>
            <w:noProof/>
            <w:sz w:val="24"/>
            <w:szCs w:val="24"/>
          </w:rPr>
          <w:t xml:space="preserve">Figure </w:t>
        </w:r>
        <w:r>
          <w:rPr>
            <w:rStyle w:val="Hyperlink"/>
            <w:rFonts w:ascii="Times New Roman" w:hAnsi="Times New Roman"/>
            <w:noProof/>
            <w:sz w:val="24"/>
            <w:szCs w:val="24"/>
            <w:cs/>
          </w:rPr>
          <w:t>‎</w:t>
        </w:r>
        <w:r>
          <w:rPr>
            <w:rStyle w:val="Hyperlink"/>
            <w:rFonts w:ascii="Times New Roman" w:hAnsi="Times New Roman"/>
            <w:noProof/>
            <w:sz w:val="24"/>
            <w:szCs w:val="24"/>
          </w:rPr>
          <w:t xml:space="preserve">6.2: Workshop findings: Expert judgement: Effect of the development of minimum </w:t>
        </w:r>
        <w:r>
          <w:rPr>
            <w:rStyle w:val="Hyperlink"/>
            <w:rFonts w:ascii="Times New Roman" w:hAnsi="Times New Roman"/>
            <w:noProof/>
            <w:sz w:val="24"/>
            <w:szCs w:val="24"/>
            <w:lang w:eastAsia="de-AT"/>
          </w:rPr>
          <w:t>quality requirements for reused water in agricultural irrigation and aquifer recharge</w:t>
        </w:r>
        <w:r>
          <w:rPr>
            <w:rStyle w:val="Hyperlink"/>
            <w:rFonts w:ascii="Times New Roman" w:hAnsi="Times New Roman"/>
            <w:noProof/>
            <w:sz w:val="24"/>
            <w:szCs w:val="24"/>
          </w:rPr>
          <w:t xml:space="preserve"> government effectiveness in rural regions</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_Toc48</w:instrText>
        </w:r>
        <w:r>
          <w:rPr>
            <w:rFonts w:ascii="Times New Roman" w:hAnsi="Times New Roman"/>
            <w:noProof/>
            <w:webHidden/>
            <w:sz w:val="24"/>
            <w:szCs w:val="24"/>
          </w:rPr>
          <w:instrText xml:space="preserve">4768783 \h </w:instrText>
        </w:r>
        <w:r>
          <w:rPr>
            <w:rFonts w:ascii="Times New Roman" w:hAnsi="Times New Roman"/>
            <w:noProof/>
            <w:webHidden/>
            <w:sz w:val="24"/>
            <w:szCs w:val="24"/>
          </w:rPr>
        </w:r>
        <w:r>
          <w:rPr>
            <w:rFonts w:ascii="Times New Roman" w:hAnsi="Times New Roman"/>
            <w:noProof/>
            <w:webHidden/>
            <w:sz w:val="24"/>
            <w:szCs w:val="24"/>
          </w:rPr>
          <w:fldChar w:fldCharType="separate"/>
        </w:r>
        <w:r>
          <w:rPr>
            <w:rFonts w:ascii="Times New Roman" w:hAnsi="Times New Roman"/>
            <w:noProof/>
            <w:webHidden/>
            <w:sz w:val="24"/>
            <w:szCs w:val="24"/>
          </w:rPr>
          <w:t>123</w:t>
        </w:r>
        <w:r>
          <w:rPr>
            <w:rFonts w:ascii="Times New Roman" w:hAnsi="Times New Roman"/>
            <w:noProof/>
            <w:webHidden/>
            <w:sz w:val="24"/>
            <w:szCs w:val="24"/>
          </w:rPr>
          <w:fldChar w:fldCharType="end"/>
        </w:r>
      </w:hyperlink>
      <w:r>
        <w:rPr>
          <w:rFonts w:ascii="Times New Roman" w:hAnsi="Times New Roman"/>
          <w:noProof/>
          <w:sz w:val="24"/>
          <w:szCs w:val="24"/>
        </w:rPr>
        <w:fldChar w:fldCharType="end"/>
      </w:r>
      <w:bookmarkStart w:id="139" w:name="_Toc471911000"/>
      <w:bookmarkStart w:id="140" w:name="_Toc473795222"/>
    </w:p>
    <w:p w:rsidR="00AB50C5" w:rsidRDefault="00724275">
      <w:pPr>
        <w:pStyle w:val="TEMPLATEHeadingListsandExSummary"/>
        <w:keepNext/>
        <w:rPr>
          <w:rFonts w:ascii="Times New Roman" w:hAnsi="Times New Roman"/>
          <w:noProof/>
          <w:sz w:val="24"/>
          <w:szCs w:val="24"/>
          <w:lang w:val="en-US"/>
        </w:rPr>
      </w:pPr>
      <w:bookmarkStart w:id="141" w:name="_Toc484768708"/>
      <w:r>
        <w:rPr>
          <w:rFonts w:ascii="Times New Roman" w:hAnsi="Times New Roman"/>
          <w:noProof/>
          <w:sz w:val="24"/>
          <w:szCs w:val="24"/>
          <w:lang w:val="en-US"/>
        </w:rPr>
        <w:t>List of Maps</w:t>
      </w:r>
      <w:bookmarkEnd w:id="139"/>
      <w:bookmarkEnd w:id="140"/>
      <w:bookmarkEnd w:id="141"/>
    </w:p>
    <w:p w:rsidR="00AB50C5" w:rsidRDefault="00724275">
      <w:pPr>
        <w:pStyle w:val="TableofFigures"/>
        <w:tabs>
          <w:tab w:val="right" w:leader="dot" w:pos="8296"/>
        </w:tabs>
        <w:jc w:val="both"/>
        <w:rPr>
          <w:rFonts w:ascii="Times New Roman" w:eastAsiaTheme="minorEastAsia" w:hAnsi="Times New Roman"/>
          <w:noProof/>
          <w:sz w:val="24"/>
          <w:szCs w:val="24"/>
          <w:lang w:val="de-AT" w:eastAsia="de-AT"/>
        </w:rPr>
      </w:pPr>
      <w:r>
        <w:rPr>
          <w:rFonts w:ascii="Times New Roman" w:hAnsi="Times New Roman"/>
          <w:noProof/>
          <w:sz w:val="24"/>
          <w:szCs w:val="24"/>
          <w:lang w:val="en-US"/>
        </w:rPr>
        <w:fldChar w:fldCharType="begin"/>
      </w:r>
      <w:r>
        <w:rPr>
          <w:rFonts w:ascii="Times New Roman" w:hAnsi="Times New Roman"/>
          <w:noProof/>
          <w:sz w:val="24"/>
          <w:szCs w:val="24"/>
          <w:lang w:val="en-US"/>
        </w:rPr>
        <w:instrText xml:space="preserve"> TOC \h \z \c "Map" </w:instrText>
      </w:r>
      <w:r>
        <w:rPr>
          <w:rFonts w:ascii="Times New Roman" w:hAnsi="Times New Roman"/>
          <w:noProof/>
          <w:sz w:val="24"/>
          <w:szCs w:val="24"/>
          <w:lang w:val="en-US"/>
        </w:rPr>
        <w:fldChar w:fldCharType="separate"/>
      </w:r>
      <w:hyperlink w:anchor="_Toc484768784" w:history="1">
        <w:r>
          <w:rPr>
            <w:rStyle w:val="Hyperlink"/>
            <w:rFonts w:ascii="Times New Roman" w:hAnsi="Times New Roman"/>
            <w:noProof/>
            <w:sz w:val="24"/>
            <w:szCs w:val="24"/>
          </w:rPr>
          <w:t xml:space="preserve">Map </w:t>
        </w:r>
        <w:r>
          <w:rPr>
            <w:rStyle w:val="Hyperlink"/>
            <w:rFonts w:ascii="Times New Roman" w:hAnsi="Times New Roman"/>
            <w:noProof/>
            <w:sz w:val="24"/>
            <w:szCs w:val="24"/>
            <w:cs/>
          </w:rPr>
          <w:t>‎</w:t>
        </w:r>
        <w:r>
          <w:rPr>
            <w:rStyle w:val="Hyperlink"/>
            <w:rFonts w:ascii="Times New Roman" w:hAnsi="Times New Roman"/>
            <w:noProof/>
            <w:sz w:val="24"/>
            <w:szCs w:val="24"/>
          </w:rPr>
          <w:t xml:space="preserve">3.1: Result of the expert judgement: </w:t>
        </w:r>
        <w:r>
          <w:rPr>
            <w:rStyle w:val="Hyperlink"/>
            <w:rFonts w:ascii="Times New Roman" w:hAnsi="Times New Roman"/>
            <w:noProof/>
            <w:kern w:val="32"/>
            <w:sz w:val="24"/>
            <w:szCs w:val="24"/>
          </w:rPr>
          <w:t>Agriculture depending on</w:t>
        </w:r>
        <w:r>
          <w:rPr>
            <w:rStyle w:val="Hyperlink"/>
            <w:rFonts w:ascii="Times New Roman" w:hAnsi="Times New Roman"/>
            <w:noProof/>
            <w:sz w:val="24"/>
            <w:szCs w:val="24"/>
          </w:rPr>
          <w:t xml:space="preserve"> irrigated land affected by the </w:t>
        </w:r>
        <w:r>
          <w:rPr>
            <w:rStyle w:val="Hyperlink"/>
            <w:rFonts w:ascii="Times New Roman" w:hAnsi="Times New Roman"/>
            <w:noProof/>
            <w:sz w:val="24"/>
            <w:szCs w:val="24"/>
            <w:lang w:eastAsia="de-AT"/>
          </w:rPr>
          <w:t>development of minimum quality requirements for reused water in agricultural irrigation and aquifer recharge</w:t>
        </w:r>
        <w:r>
          <w:rPr>
            <w:rStyle w:val="Hyperlink"/>
            <w:rFonts w:ascii="Times New Roman" w:hAnsi="Times New Roman"/>
            <w:noProof/>
            <w:sz w:val="24"/>
            <w:szCs w:val="24"/>
          </w:rPr>
          <w:t xml:space="preserve"> – expert judgement: weak advantageous effect</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_Toc484768784 \h </w:instrText>
        </w:r>
        <w:r>
          <w:rPr>
            <w:rFonts w:ascii="Times New Roman" w:hAnsi="Times New Roman"/>
            <w:noProof/>
            <w:webHidden/>
            <w:sz w:val="24"/>
            <w:szCs w:val="24"/>
          </w:rPr>
        </w:r>
        <w:r>
          <w:rPr>
            <w:rFonts w:ascii="Times New Roman" w:hAnsi="Times New Roman"/>
            <w:noProof/>
            <w:webHidden/>
            <w:sz w:val="24"/>
            <w:szCs w:val="24"/>
          </w:rPr>
          <w:fldChar w:fldCharType="separate"/>
        </w:r>
        <w:r>
          <w:rPr>
            <w:rFonts w:ascii="Times New Roman" w:hAnsi="Times New Roman"/>
            <w:noProof/>
            <w:webHidden/>
            <w:sz w:val="24"/>
            <w:szCs w:val="24"/>
          </w:rPr>
          <w:t>101</w:t>
        </w:r>
        <w:r>
          <w:rPr>
            <w:rFonts w:ascii="Times New Roman" w:hAnsi="Times New Roman"/>
            <w:noProof/>
            <w:webHidden/>
            <w:sz w:val="24"/>
            <w:szCs w:val="24"/>
          </w:rPr>
          <w:fldChar w:fldCharType="end"/>
        </w:r>
      </w:hyperlink>
    </w:p>
    <w:p w:rsidR="00AB50C5" w:rsidRDefault="00724275">
      <w:pPr>
        <w:pStyle w:val="TableofFigures"/>
        <w:tabs>
          <w:tab w:val="right" w:leader="dot" w:pos="8296"/>
        </w:tabs>
        <w:jc w:val="both"/>
        <w:rPr>
          <w:rFonts w:ascii="Times New Roman" w:eastAsiaTheme="minorEastAsia" w:hAnsi="Times New Roman"/>
          <w:noProof/>
          <w:sz w:val="24"/>
          <w:szCs w:val="24"/>
          <w:lang w:val="de-AT" w:eastAsia="de-AT"/>
        </w:rPr>
      </w:pPr>
      <w:hyperlink w:anchor="_Toc484768785" w:history="1">
        <w:r>
          <w:rPr>
            <w:rStyle w:val="Hyperlink"/>
            <w:rFonts w:ascii="Times New Roman" w:hAnsi="Times New Roman"/>
            <w:noProof/>
            <w:sz w:val="24"/>
            <w:szCs w:val="24"/>
          </w:rPr>
          <w:t xml:space="preserve">Map </w:t>
        </w:r>
        <w:r>
          <w:rPr>
            <w:rStyle w:val="Hyperlink"/>
            <w:rFonts w:ascii="Times New Roman" w:hAnsi="Times New Roman"/>
            <w:noProof/>
            <w:sz w:val="24"/>
            <w:szCs w:val="24"/>
            <w:cs/>
          </w:rPr>
          <w:t>‎</w:t>
        </w:r>
        <w:r>
          <w:rPr>
            <w:rStyle w:val="Hyperlink"/>
            <w:rFonts w:ascii="Times New Roman" w:hAnsi="Times New Roman"/>
            <w:noProof/>
            <w:sz w:val="24"/>
            <w:szCs w:val="24"/>
          </w:rPr>
          <w:t xml:space="preserve">3.2: Result of the expert judgement: </w:t>
        </w:r>
        <w:r>
          <w:rPr>
            <w:rStyle w:val="Hyperlink"/>
            <w:rFonts w:ascii="Times New Roman" w:hAnsi="Times New Roman"/>
            <w:noProof/>
            <w:kern w:val="32"/>
            <w:sz w:val="24"/>
            <w:szCs w:val="24"/>
          </w:rPr>
          <w:t>Regions facing danger of droughts</w:t>
        </w:r>
        <w:r>
          <w:rPr>
            <w:rStyle w:val="Hyperlink"/>
            <w:rFonts w:ascii="Times New Roman" w:hAnsi="Times New Roman"/>
            <w:noProof/>
            <w:sz w:val="24"/>
            <w:szCs w:val="24"/>
          </w:rPr>
          <w:t xml:space="preserve"> affected by the </w:t>
        </w:r>
        <w:r>
          <w:rPr>
            <w:rStyle w:val="Hyperlink"/>
            <w:rFonts w:ascii="Times New Roman" w:hAnsi="Times New Roman"/>
            <w:noProof/>
            <w:sz w:val="24"/>
            <w:szCs w:val="24"/>
            <w:lang w:eastAsia="de-AT"/>
          </w:rPr>
          <w:t>development of minimum quality requirements for reused water in agricultural irrigation and aquifer recharge</w:t>
        </w:r>
        <w:r>
          <w:rPr>
            <w:rStyle w:val="Hyperlink"/>
            <w:rFonts w:ascii="Times New Roman" w:hAnsi="Times New Roman"/>
            <w:noProof/>
            <w:sz w:val="24"/>
            <w:szCs w:val="24"/>
          </w:rPr>
          <w:t xml:space="preserve"> – expert judgement: weak</w:t>
        </w:r>
        <w:r>
          <w:rPr>
            <w:rStyle w:val="Hyperlink"/>
            <w:rFonts w:ascii="Times New Roman" w:hAnsi="Times New Roman"/>
            <w:noProof/>
            <w:sz w:val="24"/>
            <w:szCs w:val="24"/>
          </w:rPr>
          <w:t xml:space="preserve"> advantageous effect</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_Toc484768785 \h </w:instrText>
        </w:r>
        <w:r>
          <w:rPr>
            <w:rFonts w:ascii="Times New Roman" w:hAnsi="Times New Roman"/>
            <w:noProof/>
            <w:webHidden/>
            <w:sz w:val="24"/>
            <w:szCs w:val="24"/>
          </w:rPr>
        </w:r>
        <w:r>
          <w:rPr>
            <w:rFonts w:ascii="Times New Roman" w:hAnsi="Times New Roman"/>
            <w:noProof/>
            <w:webHidden/>
            <w:sz w:val="24"/>
            <w:szCs w:val="24"/>
          </w:rPr>
          <w:fldChar w:fldCharType="separate"/>
        </w:r>
        <w:r>
          <w:rPr>
            <w:rFonts w:ascii="Times New Roman" w:hAnsi="Times New Roman"/>
            <w:noProof/>
            <w:webHidden/>
            <w:sz w:val="24"/>
            <w:szCs w:val="24"/>
          </w:rPr>
          <w:t>103</w:t>
        </w:r>
        <w:r>
          <w:rPr>
            <w:rFonts w:ascii="Times New Roman" w:hAnsi="Times New Roman"/>
            <w:noProof/>
            <w:webHidden/>
            <w:sz w:val="24"/>
            <w:szCs w:val="24"/>
          </w:rPr>
          <w:fldChar w:fldCharType="end"/>
        </w:r>
      </w:hyperlink>
    </w:p>
    <w:p w:rsidR="00AB50C5" w:rsidRDefault="00724275">
      <w:pPr>
        <w:pStyle w:val="TableofFigures"/>
        <w:tabs>
          <w:tab w:val="right" w:leader="dot" w:pos="8296"/>
        </w:tabs>
        <w:jc w:val="both"/>
        <w:rPr>
          <w:rFonts w:ascii="Times New Roman" w:eastAsiaTheme="minorEastAsia" w:hAnsi="Times New Roman"/>
          <w:noProof/>
          <w:sz w:val="24"/>
          <w:szCs w:val="24"/>
          <w:lang w:val="de-AT" w:eastAsia="de-AT"/>
        </w:rPr>
      </w:pPr>
      <w:hyperlink w:anchor="_Toc484768786" w:history="1">
        <w:r>
          <w:rPr>
            <w:rStyle w:val="Hyperlink"/>
            <w:rFonts w:ascii="Times New Roman" w:hAnsi="Times New Roman"/>
            <w:noProof/>
            <w:sz w:val="24"/>
            <w:szCs w:val="24"/>
          </w:rPr>
          <w:t xml:space="preserve">Map </w:t>
        </w:r>
        <w:r>
          <w:rPr>
            <w:rStyle w:val="Hyperlink"/>
            <w:rFonts w:ascii="Times New Roman" w:hAnsi="Times New Roman"/>
            <w:noProof/>
            <w:sz w:val="24"/>
            <w:szCs w:val="24"/>
            <w:cs/>
          </w:rPr>
          <w:t>‎</w:t>
        </w:r>
        <w:r>
          <w:rPr>
            <w:rStyle w:val="Hyperlink"/>
            <w:rFonts w:ascii="Times New Roman" w:hAnsi="Times New Roman"/>
            <w:noProof/>
            <w:sz w:val="24"/>
            <w:szCs w:val="24"/>
          </w:rPr>
          <w:t>3.3: Result of the expert judgement: Rural r</w:t>
        </w:r>
        <w:r>
          <w:rPr>
            <w:rStyle w:val="Hyperlink"/>
            <w:rFonts w:ascii="Times New Roman" w:hAnsi="Times New Roman"/>
            <w:noProof/>
            <w:kern w:val="32"/>
            <w:sz w:val="24"/>
            <w:szCs w:val="24"/>
          </w:rPr>
          <w:t>egions facing danger of droughts</w:t>
        </w:r>
        <w:r>
          <w:rPr>
            <w:rStyle w:val="Hyperlink"/>
            <w:rFonts w:ascii="Times New Roman" w:hAnsi="Times New Roman"/>
            <w:noProof/>
            <w:sz w:val="24"/>
            <w:szCs w:val="24"/>
          </w:rPr>
          <w:t xml:space="preserve"> affected by the </w:t>
        </w:r>
        <w:r>
          <w:rPr>
            <w:rStyle w:val="Hyperlink"/>
            <w:rFonts w:ascii="Times New Roman" w:hAnsi="Times New Roman"/>
            <w:noProof/>
            <w:sz w:val="24"/>
            <w:szCs w:val="24"/>
            <w:lang w:eastAsia="de-AT"/>
          </w:rPr>
          <w:t>develo</w:t>
        </w:r>
        <w:r>
          <w:rPr>
            <w:rStyle w:val="Hyperlink"/>
            <w:rFonts w:ascii="Times New Roman" w:hAnsi="Times New Roman"/>
            <w:noProof/>
            <w:sz w:val="24"/>
            <w:szCs w:val="24"/>
            <w:lang w:eastAsia="de-AT"/>
          </w:rPr>
          <w:t>pment of minimum quality requirements for reused water in agricultural irrigation and aquifer recharge</w:t>
        </w:r>
        <w:r>
          <w:rPr>
            <w:rStyle w:val="Hyperlink"/>
            <w:rFonts w:ascii="Times New Roman" w:hAnsi="Times New Roman"/>
            <w:noProof/>
            <w:sz w:val="24"/>
            <w:szCs w:val="24"/>
          </w:rPr>
          <w:t xml:space="preserve"> – expert judgement: strong advantageous effect</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_Toc484768786 \h </w:instrText>
        </w:r>
        <w:r>
          <w:rPr>
            <w:rFonts w:ascii="Times New Roman" w:hAnsi="Times New Roman"/>
            <w:noProof/>
            <w:webHidden/>
            <w:sz w:val="24"/>
            <w:szCs w:val="24"/>
          </w:rPr>
        </w:r>
        <w:r>
          <w:rPr>
            <w:rFonts w:ascii="Times New Roman" w:hAnsi="Times New Roman"/>
            <w:noProof/>
            <w:webHidden/>
            <w:sz w:val="24"/>
            <w:szCs w:val="24"/>
          </w:rPr>
          <w:fldChar w:fldCharType="separate"/>
        </w:r>
        <w:r>
          <w:rPr>
            <w:rFonts w:ascii="Times New Roman" w:hAnsi="Times New Roman"/>
            <w:noProof/>
            <w:webHidden/>
            <w:sz w:val="24"/>
            <w:szCs w:val="24"/>
          </w:rPr>
          <w:t>104</w:t>
        </w:r>
        <w:r>
          <w:rPr>
            <w:rFonts w:ascii="Times New Roman" w:hAnsi="Times New Roman"/>
            <w:noProof/>
            <w:webHidden/>
            <w:sz w:val="24"/>
            <w:szCs w:val="24"/>
          </w:rPr>
          <w:fldChar w:fldCharType="end"/>
        </w:r>
      </w:hyperlink>
    </w:p>
    <w:p w:rsidR="00AB50C5" w:rsidRDefault="00724275">
      <w:pPr>
        <w:pStyle w:val="TableofFigures"/>
        <w:tabs>
          <w:tab w:val="right" w:leader="dot" w:pos="8296"/>
        </w:tabs>
        <w:jc w:val="both"/>
        <w:rPr>
          <w:rFonts w:ascii="Times New Roman" w:eastAsiaTheme="minorEastAsia" w:hAnsi="Times New Roman"/>
          <w:noProof/>
          <w:sz w:val="24"/>
          <w:szCs w:val="24"/>
          <w:lang w:val="de-AT" w:eastAsia="de-AT"/>
        </w:rPr>
      </w:pPr>
      <w:hyperlink w:anchor="_Toc484768787" w:history="1">
        <w:r>
          <w:rPr>
            <w:rStyle w:val="Hyperlink"/>
            <w:rFonts w:ascii="Times New Roman" w:hAnsi="Times New Roman"/>
            <w:noProof/>
            <w:sz w:val="24"/>
            <w:szCs w:val="24"/>
          </w:rPr>
          <w:t xml:space="preserve">Map </w:t>
        </w:r>
        <w:r>
          <w:rPr>
            <w:rStyle w:val="Hyperlink"/>
            <w:rFonts w:ascii="Times New Roman" w:hAnsi="Times New Roman"/>
            <w:noProof/>
            <w:sz w:val="24"/>
            <w:szCs w:val="24"/>
            <w:cs/>
          </w:rPr>
          <w:t>‎</w:t>
        </w:r>
        <w:r>
          <w:rPr>
            <w:rStyle w:val="Hyperlink"/>
            <w:rFonts w:ascii="Times New Roman" w:hAnsi="Times New Roman"/>
            <w:noProof/>
            <w:sz w:val="24"/>
            <w:szCs w:val="24"/>
          </w:rPr>
          <w:t xml:space="preserve">4.1: Result of the expert judgement: Added value in agriculture and forestry affected by the </w:t>
        </w:r>
        <w:r>
          <w:rPr>
            <w:rStyle w:val="Hyperlink"/>
            <w:rFonts w:ascii="Times New Roman" w:hAnsi="Times New Roman"/>
            <w:noProof/>
            <w:sz w:val="24"/>
            <w:szCs w:val="24"/>
            <w:lang w:eastAsia="de-AT"/>
          </w:rPr>
          <w:t>development of minimum quality requirements for reused water in agricultural irrigation and aquifer recharge</w:t>
        </w:r>
        <w:r>
          <w:rPr>
            <w:rStyle w:val="Hyperlink"/>
            <w:rFonts w:ascii="Times New Roman" w:hAnsi="Times New Roman"/>
            <w:noProof/>
            <w:sz w:val="24"/>
            <w:szCs w:val="24"/>
          </w:rPr>
          <w:t xml:space="preserve"> – expert judgement</w:t>
        </w:r>
        <w:r>
          <w:rPr>
            <w:rStyle w:val="Hyperlink"/>
            <w:rFonts w:ascii="Times New Roman" w:hAnsi="Times New Roman"/>
            <w:noProof/>
            <w:sz w:val="24"/>
            <w:szCs w:val="24"/>
          </w:rPr>
          <w:t>: weak advantageous effect</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_Toc484768787 \h </w:instrText>
        </w:r>
        <w:r>
          <w:rPr>
            <w:rFonts w:ascii="Times New Roman" w:hAnsi="Times New Roman"/>
            <w:noProof/>
            <w:webHidden/>
            <w:sz w:val="24"/>
            <w:szCs w:val="24"/>
          </w:rPr>
        </w:r>
        <w:r>
          <w:rPr>
            <w:rFonts w:ascii="Times New Roman" w:hAnsi="Times New Roman"/>
            <w:noProof/>
            <w:webHidden/>
            <w:sz w:val="24"/>
            <w:szCs w:val="24"/>
          </w:rPr>
          <w:fldChar w:fldCharType="separate"/>
        </w:r>
        <w:r>
          <w:rPr>
            <w:rFonts w:ascii="Times New Roman" w:hAnsi="Times New Roman"/>
            <w:noProof/>
            <w:webHidden/>
            <w:sz w:val="24"/>
            <w:szCs w:val="24"/>
          </w:rPr>
          <w:t>108</w:t>
        </w:r>
        <w:r>
          <w:rPr>
            <w:rFonts w:ascii="Times New Roman" w:hAnsi="Times New Roman"/>
            <w:noProof/>
            <w:webHidden/>
            <w:sz w:val="24"/>
            <w:szCs w:val="24"/>
          </w:rPr>
          <w:fldChar w:fldCharType="end"/>
        </w:r>
      </w:hyperlink>
    </w:p>
    <w:p w:rsidR="00AB50C5" w:rsidRDefault="00724275">
      <w:pPr>
        <w:pStyle w:val="TableofFigures"/>
        <w:tabs>
          <w:tab w:val="right" w:leader="dot" w:pos="8296"/>
        </w:tabs>
        <w:jc w:val="both"/>
        <w:rPr>
          <w:rFonts w:ascii="Times New Roman" w:eastAsiaTheme="minorEastAsia" w:hAnsi="Times New Roman"/>
          <w:noProof/>
          <w:sz w:val="24"/>
          <w:szCs w:val="24"/>
          <w:lang w:val="de-AT" w:eastAsia="de-AT"/>
        </w:rPr>
      </w:pPr>
      <w:hyperlink w:anchor="_Toc484768788" w:history="1">
        <w:r>
          <w:rPr>
            <w:rStyle w:val="Hyperlink"/>
            <w:rFonts w:ascii="Times New Roman" w:hAnsi="Times New Roman"/>
            <w:noProof/>
            <w:sz w:val="24"/>
            <w:szCs w:val="24"/>
          </w:rPr>
          <w:t xml:space="preserve">Map </w:t>
        </w:r>
        <w:r>
          <w:rPr>
            <w:rStyle w:val="Hyperlink"/>
            <w:rFonts w:ascii="Times New Roman" w:hAnsi="Times New Roman"/>
            <w:noProof/>
            <w:sz w:val="24"/>
            <w:szCs w:val="24"/>
            <w:cs/>
          </w:rPr>
          <w:t>‎</w:t>
        </w:r>
        <w:r>
          <w:rPr>
            <w:rStyle w:val="Hyperlink"/>
            <w:rFonts w:ascii="Times New Roman" w:hAnsi="Times New Roman"/>
            <w:noProof/>
            <w:sz w:val="24"/>
            <w:szCs w:val="24"/>
          </w:rPr>
          <w:t>4.2: Result of the expert judgement: Added value in agriculture and forestry in rural regions</w:t>
        </w:r>
        <w:r>
          <w:rPr>
            <w:rStyle w:val="Hyperlink"/>
            <w:rFonts w:ascii="Times New Roman" w:hAnsi="Times New Roman"/>
            <w:noProof/>
            <w:sz w:val="24"/>
            <w:szCs w:val="24"/>
          </w:rPr>
          <w:t xml:space="preserve"> affected by the </w:t>
        </w:r>
        <w:r>
          <w:rPr>
            <w:rStyle w:val="Hyperlink"/>
            <w:rFonts w:ascii="Times New Roman" w:hAnsi="Times New Roman"/>
            <w:noProof/>
            <w:sz w:val="24"/>
            <w:szCs w:val="24"/>
            <w:lang w:eastAsia="de-AT"/>
          </w:rPr>
          <w:t>development of minimum quality requirements for reused water in agricultural irrigation and aquifer recharge</w:t>
        </w:r>
        <w:r>
          <w:rPr>
            <w:rStyle w:val="Hyperlink"/>
            <w:rFonts w:ascii="Times New Roman" w:hAnsi="Times New Roman"/>
            <w:noProof/>
            <w:sz w:val="24"/>
            <w:szCs w:val="24"/>
          </w:rPr>
          <w:t xml:space="preserve"> – expert judgement: strong advantageous effect</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_Toc484768788 \h </w:instrText>
        </w:r>
        <w:r>
          <w:rPr>
            <w:rFonts w:ascii="Times New Roman" w:hAnsi="Times New Roman"/>
            <w:noProof/>
            <w:webHidden/>
            <w:sz w:val="24"/>
            <w:szCs w:val="24"/>
          </w:rPr>
        </w:r>
        <w:r>
          <w:rPr>
            <w:rFonts w:ascii="Times New Roman" w:hAnsi="Times New Roman"/>
            <w:noProof/>
            <w:webHidden/>
            <w:sz w:val="24"/>
            <w:szCs w:val="24"/>
          </w:rPr>
          <w:fldChar w:fldCharType="separate"/>
        </w:r>
        <w:r>
          <w:rPr>
            <w:rFonts w:ascii="Times New Roman" w:hAnsi="Times New Roman"/>
            <w:noProof/>
            <w:webHidden/>
            <w:sz w:val="24"/>
            <w:szCs w:val="24"/>
          </w:rPr>
          <w:t>109</w:t>
        </w:r>
        <w:r>
          <w:rPr>
            <w:rFonts w:ascii="Times New Roman" w:hAnsi="Times New Roman"/>
            <w:noProof/>
            <w:webHidden/>
            <w:sz w:val="24"/>
            <w:szCs w:val="24"/>
          </w:rPr>
          <w:fldChar w:fldCharType="end"/>
        </w:r>
      </w:hyperlink>
    </w:p>
    <w:p w:rsidR="00AB50C5" w:rsidRDefault="00724275">
      <w:pPr>
        <w:pStyle w:val="TableofFigures"/>
        <w:tabs>
          <w:tab w:val="right" w:leader="dot" w:pos="8296"/>
        </w:tabs>
        <w:jc w:val="both"/>
        <w:rPr>
          <w:rFonts w:ascii="Times New Roman" w:eastAsiaTheme="minorEastAsia" w:hAnsi="Times New Roman"/>
          <w:noProof/>
          <w:sz w:val="24"/>
          <w:szCs w:val="24"/>
          <w:lang w:val="de-AT" w:eastAsia="de-AT"/>
        </w:rPr>
      </w:pPr>
      <w:hyperlink w:anchor="_Toc484768789" w:history="1">
        <w:r>
          <w:rPr>
            <w:rStyle w:val="Hyperlink"/>
            <w:rFonts w:ascii="Times New Roman" w:hAnsi="Times New Roman"/>
            <w:noProof/>
            <w:sz w:val="24"/>
            <w:szCs w:val="24"/>
          </w:rPr>
          <w:t xml:space="preserve">Map </w:t>
        </w:r>
        <w:r>
          <w:rPr>
            <w:rStyle w:val="Hyperlink"/>
            <w:rFonts w:ascii="Times New Roman" w:hAnsi="Times New Roman"/>
            <w:noProof/>
            <w:sz w:val="24"/>
            <w:szCs w:val="24"/>
            <w:cs/>
          </w:rPr>
          <w:t>‎</w:t>
        </w:r>
        <w:r>
          <w:rPr>
            <w:rStyle w:val="Hyperlink"/>
            <w:rFonts w:ascii="Times New Roman" w:hAnsi="Times New Roman"/>
            <w:noProof/>
            <w:sz w:val="24"/>
            <w:szCs w:val="24"/>
          </w:rPr>
          <w:t xml:space="preserve">4.3: Result of the expert judgement: Economic growth affected by the </w:t>
        </w:r>
        <w:r>
          <w:rPr>
            <w:rStyle w:val="Hyperlink"/>
            <w:rFonts w:ascii="Times New Roman" w:hAnsi="Times New Roman"/>
            <w:noProof/>
            <w:sz w:val="24"/>
            <w:szCs w:val="24"/>
            <w:lang w:eastAsia="de-AT"/>
          </w:rPr>
          <w:t>development of minimum quality requirements for reused water in agricultural irrigation and aquifer recharge</w:t>
        </w:r>
        <w:r>
          <w:rPr>
            <w:rStyle w:val="Hyperlink"/>
            <w:rFonts w:ascii="Times New Roman" w:hAnsi="Times New Roman"/>
            <w:noProof/>
            <w:sz w:val="24"/>
            <w:szCs w:val="24"/>
          </w:rPr>
          <w:t xml:space="preserve"> – expert judgement: weak </w:t>
        </w:r>
        <w:r>
          <w:rPr>
            <w:rStyle w:val="Hyperlink"/>
            <w:rFonts w:ascii="Times New Roman" w:hAnsi="Times New Roman"/>
            <w:noProof/>
            <w:sz w:val="24"/>
            <w:szCs w:val="24"/>
          </w:rPr>
          <w:t>advantageous effect</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_Toc484768789 \h </w:instrText>
        </w:r>
        <w:r>
          <w:rPr>
            <w:rFonts w:ascii="Times New Roman" w:hAnsi="Times New Roman"/>
            <w:noProof/>
            <w:webHidden/>
            <w:sz w:val="24"/>
            <w:szCs w:val="24"/>
          </w:rPr>
        </w:r>
        <w:r>
          <w:rPr>
            <w:rFonts w:ascii="Times New Roman" w:hAnsi="Times New Roman"/>
            <w:noProof/>
            <w:webHidden/>
            <w:sz w:val="24"/>
            <w:szCs w:val="24"/>
          </w:rPr>
          <w:fldChar w:fldCharType="separate"/>
        </w:r>
        <w:r>
          <w:rPr>
            <w:rFonts w:ascii="Times New Roman" w:hAnsi="Times New Roman"/>
            <w:noProof/>
            <w:webHidden/>
            <w:sz w:val="24"/>
            <w:szCs w:val="24"/>
          </w:rPr>
          <w:t>112</w:t>
        </w:r>
        <w:r>
          <w:rPr>
            <w:rFonts w:ascii="Times New Roman" w:hAnsi="Times New Roman"/>
            <w:noProof/>
            <w:webHidden/>
            <w:sz w:val="24"/>
            <w:szCs w:val="24"/>
          </w:rPr>
          <w:fldChar w:fldCharType="end"/>
        </w:r>
      </w:hyperlink>
    </w:p>
    <w:p w:rsidR="00AB50C5" w:rsidRDefault="00724275">
      <w:pPr>
        <w:pStyle w:val="TableofFigures"/>
        <w:tabs>
          <w:tab w:val="right" w:leader="dot" w:pos="8296"/>
        </w:tabs>
        <w:jc w:val="both"/>
        <w:rPr>
          <w:rFonts w:ascii="Times New Roman" w:eastAsiaTheme="minorEastAsia" w:hAnsi="Times New Roman"/>
          <w:noProof/>
          <w:sz w:val="24"/>
          <w:szCs w:val="24"/>
          <w:lang w:val="de-AT" w:eastAsia="de-AT"/>
        </w:rPr>
      </w:pPr>
      <w:hyperlink w:anchor="_Toc484768790" w:history="1">
        <w:r>
          <w:rPr>
            <w:rStyle w:val="Hyperlink"/>
            <w:rFonts w:ascii="Times New Roman" w:hAnsi="Times New Roman"/>
            <w:noProof/>
            <w:sz w:val="24"/>
            <w:szCs w:val="24"/>
          </w:rPr>
          <w:t xml:space="preserve">Map </w:t>
        </w:r>
        <w:r>
          <w:rPr>
            <w:rStyle w:val="Hyperlink"/>
            <w:rFonts w:ascii="Times New Roman" w:hAnsi="Times New Roman"/>
            <w:noProof/>
            <w:sz w:val="24"/>
            <w:szCs w:val="24"/>
            <w:cs/>
          </w:rPr>
          <w:t>‎</w:t>
        </w:r>
        <w:r>
          <w:rPr>
            <w:rStyle w:val="Hyperlink"/>
            <w:rFonts w:ascii="Times New Roman" w:hAnsi="Times New Roman"/>
            <w:noProof/>
            <w:sz w:val="24"/>
            <w:szCs w:val="24"/>
          </w:rPr>
          <w:t xml:space="preserve">5.1: Result of the expert judgement: Employment in agriculture and forestry affected by the </w:t>
        </w:r>
        <w:r>
          <w:rPr>
            <w:rStyle w:val="Hyperlink"/>
            <w:rFonts w:ascii="Times New Roman" w:hAnsi="Times New Roman"/>
            <w:noProof/>
            <w:sz w:val="24"/>
            <w:szCs w:val="24"/>
            <w:lang w:eastAsia="de-AT"/>
          </w:rPr>
          <w:t xml:space="preserve">development of minimum quality requirements for reused water </w:t>
        </w:r>
        <w:r>
          <w:rPr>
            <w:rStyle w:val="Hyperlink"/>
            <w:rFonts w:ascii="Times New Roman" w:hAnsi="Times New Roman"/>
            <w:noProof/>
            <w:sz w:val="24"/>
            <w:szCs w:val="24"/>
            <w:lang w:eastAsia="de-AT"/>
          </w:rPr>
          <w:t>in agricultural irrigation and aquifer recharge</w:t>
        </w:r>
        <w:r>
          <w:rPr>
            <w:rStyle w:val="Hyperlink"/>
            <w:rFonts w:ascii="Times New Roman" w:hAnsi="Times New Roman"/>
            <w:noProof/>
            <w:sz w:val="24"/>
            <w:szCs w:val="24"/>
          </w:rPr>
          <w:t xml:space="preserve"> – expert judgement: weak advantageous effect</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_Toc484768790 \h </w:instrText>
        </w:r>
        <w:r>
          <w:rPr>
            <w:rFonts w:ascii="Times New Roman" w:hAnsi="Times New Roman"/>
            <w:noProof/>
            <w:webHidden/>
            <w:sz w:val="24"/>
            <w:szCs w:val="24"/>
          </w:rPr>
        </w:r>
        <w:r>
          <w:rPr>
            <w:rFonts w:ascii="Times New Roman" w:hAnsi="Times New Roman"/>
            <w:noProof/>
            <w:webHidden/>
            <w:sz w:val="24"/>
            <w:szCs w:val="24"/>
          </w:rPr>
          <w:fldChar w:fldCharType="separate"/>
        </w:r>
        <w:r>
          <w:rPr>
            <w:rFonts w:ascii="Times New Roman" w:hAnsi="Times New Roman"/>
            <w:noProof/>
            <w:webHidden/>
            <w:sz w:val="24"/>
            <w:szCs w:val="24"/>
          </w:rPr>
          <w:t>116</w:t>
        </w:r>
        <w:r>
          <w:rPr>
            <w:rFonts w:ascii="Times New Roman" w:hAnsi="Times New Roman"/>
            <w:noProof/>
            <w:webHidden/>
            <w:sz w:val="24"/>
            <w:szCs w:val="24"/>
          </w:rPr>
          <w:fldChar w:fldCharType="end"/>
        </w:r>
      </w:hyperlink>
    </w:p>
    <w:p w:rsidR="00AB50C5" w:rsidRDefault="00724275">
      <w:pPr>
        <w:pStyle w:val="TableofFigures"/>
        <w:tabs>
          <w:tab w:val="right" w:leader="dot" w:pos="8296"/>
        </w:tabs>
        <w:jc w:val="both"/>
        <w:rPr>
          <w:rFonts w:ascii="Times New Roman" w:eastAsiaTheme="minorEastAsia" w:hAnsi="Times New Roman"/>
          <w:noProof/>
          <w:sz w:val="24"/>
          <w:szCs w:val="24"/>
          <w:lang w:val="de-AT" w:eastAsia="de-AT"/>
        </w:rPr>
      </w:pPr>
      <w:hyperlink w:anchor="_Toc484768791" w:history="1">
        <w:r>
          <w:rPr>
            <w:rStyle w:val="Hyperlink"/>
            <w:rFonts w:ascii="Times New Roman" w:hAnsi="Times New Roman"/>
            <w:noProof/>
            <w:sz w:val="24"/>
            <w:szCs w:val="24"/>
          </w:rPr>
          <w:t xml:space="preserve">Map </w:t>
        </w:r>
        <w:r>
          <w:rPr>
            <w:rStyle w:val="Hyperlink"/>
            <w:rFonts w:ascii="Times New Roman" w:hAnsi="Times New Roman"/>
            <w:noProof/>
            <w:sz w:val="24"/>
            <w:szCs w:val="24"/>
            <w:cs/>
          </w:rPr>
          <w:t>‎</w:t>
        </w:r>
        <w:r>
          <w:rPr>
            <w:rStyle w:val="Hyperlink"/>
            <w:rFonts w:ascii="Times New Roman" w:hAnsi="Times New Roman"/>
            <w:noProof/>
            <w:sz w:val="24"/>
            <w:szCs w:val="24"/>
          </w:rPr>
          <w:t>5.2: Result of the expert j</w:t>
        </w:r>
        <w:r>
          <w:rPr>
            <w:rStyle w:val="Hyperlink"/>
            <w:rFonts w:ascii="Times New Roman" w:hAnsi="Times New Roman"/>
            <w:noProof/>
            <w:sz w:val="24"/>
            <w:szCs w:val="24"/>
          </w:rPr>
          <w:t xml:space="preserve">udgement: Employment in agriculture and forestry affected by the </w:t>
        </w:r>
        <w:r>
          <w:rPr>
            <w:rStyle w:val="Hyperlink"/>
            <w:rFonts w:ascii="Times New Roman" w:hAnsi="Times New Roman"/>
            <w:noProof/>
            <w:sz w:val="24"/>
            <w:szCs w:val="24"/>
            <w:lang w:eastAsia="de-AT"/>
          </w:rPr>
          <w:t>development of minimum quality requirements for reused water in agricultural irrigation and aquifer recharge</w:t>
        </w:r>
        <w:r>
          <w:rPr>
            <w:rStyle w:val="Hyperlink"/>
            <w:rFonts w:ascii="Times New Roman" w:hAnsi="Times New Roman"/>
            <w:noProof/>
            <w:sz w:val="24"/>
            <w:szCs w:val="24"/>
          </w:rPr>
          <w:t xml:space="preserve"> – expert judgement: strong advantageous effect</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_Toc484768791 \h </w:instrText>
        </w:r>
        <w:r>
          <w:rPr>
            <w:rFonts w:ascii="Times New Roman" w:hAnsi="Times New Roman"/>
            <w:noProof/>
            <w:webHidden/>
            <w:sz w:val="24"/>
            <w:szCs w:val="24"/>
          </w:rPr>
        </w:r>
        <w:r>
          <w:rPr>
            <w:rFonts w:ascii="Times New Roman" w:hAnsi="Times New Roman"/>
            <w:noProof/>
            <w:webHidden/>
            <w:sz w:val="24"/>
            <w:szCs w:val="24"/>
          </w:rPr>
          <w:fldChar w:fldCharType="separate"/>
        </w:r>
        <w:r>
          <w:rPr>
            <w:rFonts w:ascii="Times New Roman" w:hAnsi="Times New Roman"/>
            <w:noProof/>
            <w:webHidden/>
            <w:sz w:val="24"/>
            <w:szCs w:val="24"/>
          </w:rPr>
          <w:t>117</w:t>
        </w:r>
        <w:r>
          <w:rPr>
            <w:rFonts w:ascii="Times New Roman" w:hAnsi="Times New Roman"/>
            <w:noProof/>
            <w:webHidden/>
            <w:sz w:val="24"/>
            <w:szCs w:val="24"/>
          </w:rPr>
          <w:fldChar w:fldCharType="end"/>
        </w:r>
      </w:hyperlink>
    </w:p>
    <w:p w:rsidR="00AB50C5" w:rsidRDefault="00724275">
      <w:pPr>
        <w:pStyle w:val="TableofFigures"/>
        <w:tabs>
          <w:tab w:val="right" w:leader="dot" w:pos="8296"/>
        </w:tabs>
        <w:jc w:val="both"/>
        <w:rPr>
          <w:rFonts w:ascii="Times New Roman" w:eastAsiaTheme="minorEastAsia" w:hAnsi="Times New Roman"/>
          <w:noProof/>
          <w:sz w:val="24"/>
          <w:szCs w:val="24"/>
          <w:lang w:val="de-AT" w:eastAsia="de-AT"/>
        </w:rPr>
      </w:pPr>
      <w:hyperlink w:anchor="_Toc484768792" w:history="1">
        <w:r>
          <w:rPr>
            <w:rStyle w:val="Hyperlink"/>
            <w:rFonts w:ascii="Times New Roman" w:hAnsi="Times New Roman"/>
            <w:noProof/>
            <w:sz w:val="24"/>
            <w:szCs w:val="24"/>
          </w:rPr>
          <w:t xml:space="preserve">Map </w:t>
        </w:r>
        <w:r>
          <w:rPr>
            <w:rStyle w:val="Hyperlink"/>
            <w:rFonts w:ascii="Times New Roman" w:hAnsi="Times New Roman"/>
            <w:noProof/>
            <w:sz w:val="24"/>
            <w:szCs w:val="24"/>
            <w:cs/>
          </w:rPr>
          <w:t>‎</w:t>
        </w:r>
        <w:r>
          <w:rPr>
            <w:rStyle w:val="Hyperlink"/>
            <w:rFonts w:ascii="Times New Roman" w:hAnsi="Times New Roman"/>
            <w:noProof/>
            <w:sz w:val="24"/>
            <w:szCs w:val="24"/>
          </w:rPr>
          <w:t xml:space="preserve">5.3: Result of the expert judgement: Out-migration/brain drain/“shrinking” of regions affected by the </w:t>
        </w:r>
        <w:r>
          <w:rPr>
            <w:rStyle w:val="Hyperlink"/>
            <w:rFonts w:ascii="Times New Roman" w:hAnsi="Times New Roman"/>
            <w:noProof/>
            <w:sz w:val="24"/>
            <w:szCs w:val="24"/>
            <w:lang w:eastAsia="de-AT"/>
          </w:rPr>
          <w:t xml:space="preserve">development of minimum quality requirements for </w:t>
        </w:r>
        <w:r>
          <w:rPr>
            <w:rStyle w:val="Hyperlink"/>
            <w:rFonts w:ascii="Times New Roman" w:hAnsi="Times New Roman"/>
            <w:noProof/>
            <w:sz w:val="24"/>
            <w:szCs w:val="24"/>
            <w:lang w:eastAsia="de-AT"/>
          </w:rPr>
          <w:t>reused water in agricultural irrigation and aquifer recharge</w:t>
        </w:r>
        <w:r>
          <w:rPr>
            <w:rStyle w:val="Hyperlink"/>
            <w:rFonts w:ascii="Times New Roman" w:hAnsi="Times New Roman"/>
            <w:noProof/>
            <w:sz w:val="24"/>
            <w:szCs w:val="24"/>
          </w:rPr>
          <w:t xml:space="preserve"> – expert judgement: weak advantageous effect</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_Toc484768792 \h </w:instrText>
        </w:r>
        <w:r>
          <w:rPr>
            <w:rFonts w:ascii="Times New Roman" w:hAnsi="Times New Roman"/>
            <w:noProof/>
            <w:webHidden/>
            <w:sz w:val="24"/>
            <w:szCs w:val="24"/>
          </w:rPr>
        </w:r>
        <w:r>
          <w:rPr>
            <w:rFonts w:ascii="Times New Roman" w:hAnsi="Times New Roman"/>
            <w:noProof/>
            <w:webHidden/>
            <w:sz w:val="24"/>
            <w:szCs w:val="24"/>
          </w:rPr>
          <w:fldChar w:fldCharType="separate"/>
        </w:r>
        <w:r>
          <w:rPr>
            <w:rFonts w:ascii="Times New Roman" w:hAnsi="Times New Roman"/>
            <w:noProof/>
            <w:webHidden/>
            <w:sz w:val="24"/>
            <w:szCs w:val="24"/>
          </w:rPr>
          <w:t>119</w:t>
        </w:r>
        <w:r>
          <w:rPr>
            <w:rFonts w:ascii="Times New Roman" w:hAnsi="Times New Roman"/>
            <w:noProof/>
            <w:webHidden/>
            <w:sz w:val="24"/>
            <w:szCs w:val="24"/>
          </w:rPr>
          <w:fldChar w:fldCharType="end"/>
        </w:r>
      </w:hyperlink>
    </w:p>
    <w:p w:rsidR="00AB50C5" w:rsidRDefault="00724275">
      <w:pPr>
        <w:pStyle w:val="TableofFigures"/>
        <w:tabs>
          <w:tab w:val="right" w:leader="dot" w:pos="8296"/>
        </w:tabs>
        <w:jc w:val="both"/>
        <w:rPr>
          <w:rFonts w:ascii="Times New Roman" w:eastAsiaTheme="minorEastAsia" w:hAnsi="Times New Roman"/>
          <w:noProof/>
          <w:sz w:val="24"/>
          <w:szCs w:val="24"/>
          <w:lang w:val="de-AT" w:eastAsia="de-AT"/>
        </w:rPr>
      </w:pPr>
      <w:hyperlink w:anchor="_Toc484768793" w:history="1">
        <w:r>
          <w:rPr>
            <w:rStyle w:val="Hyperlink"/>
            <w:rFonts w:ascii="Times New Roman" w:hAnsi="Times New Roman"/>
            <w:noProof/>
            <w:sz w:val="24"/>
            <w:szCs w:val="24"/>
          </w:rPr>
          <w:t xml:space="preserve">Map </w:t>
        </w:r>
        <w:r>
          <w:rPr>
            <w:rStyle w:val="Hyperlink"/>
            <w:rFonts w:ascii="Times New Roman" w:hAnsi="Times New Roman"/>
            <w:noProof/>
            <w:sz w:val="24"/>
            <w:szCs w:val="24"/>
            <w:cs/>
          </w:rPr>
          <w:t>‎</w:t>
        </w:r>
        <w:r>
          <w:rPr>
            <w:rStyle w:val="Hyperlink"/>
            <w:rFonts w:ascii="Times New Roman" w:hAnsi="Times New Roman"/>
            <w:noProof/>
            <w:sz w:val="24"/>
            <w:szCs w:val="24"/>
          </w:rPr>
          <w:t xml:space="preserve">5.4: Result of the expert judgement: Out-migration/brain drain/“shrinking” of rural regions affected by the </w:t>
        </w:r>
        <w:r>
          <w:rPr>
            <w:rStyle w:val="Hyperlink"/>
            <w:rFonts w:ascii="Times New Roman" w:hAnsi="Times New Roman"/>
            <w:noProof/>
            <w:sz w:val="24"/>
            <w:szCs w:val="24"/>
            <w:lang w:eastAsia="de-AT"/>
          </w:rPr>
          <w:t>development of minimum quality requirements for reused water in agricultural irrigation and aquifer recharge</w:t>
        </w:r>
        <w:r>
          <w:rPr>
            <w:rStyle w:val="Hyperlink"/>
            <w:rFonts w:ascii="Times New Roman" w:hAnsi="Times New Roman"/>
            <w:noProof/>
            <w:sz w:val="24"/>
            <w:szCs w:val="24"/>
          </w:rPr>
          <w:t xml:space="preserve"> – expert judgement: strong advantageous</w:t>
        </w:r>
        <w:r>
          <w:rPr>
            <w:rStyle w:val="Hyperlink"/>
            <w:rFonts w:ascii="Times New Roman" w:hAnsi="Times New Roman"/>
            <w:noProof/>
            <w:sz w:val="24"/>
            <w:szCs w:val="24"/>
          </w:rPr>
          <w:t xml:space="preserve"> effect</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_Toc484768793 \h </w:instrText>
        </w:r>
        <w:r>
          <w:rPr>
            <w:rFonts w:ascii="Times New Roman" w:hAnsi="Times New Roman"/>
            <w:noProof/>
            <w:webHidden/>
            <w:sz w:val="24"/>
            <w:szCs w:val="24"/>
          </w:rPr>
        </w:r>
        <w:r>
          <w:rPr>
            <w:rFonts w:ascii="Times New Roman" w:hAnsi="Times New Roman"/>
            <w:noProof/>
            <w:webHidden/>
            <w:sz w:val="24"/>
            <w:szCs w:val="24"/>
          </w:rPr>
          <w:fldChar w:fldCharType="separate"/>
        </w:r>
        <w:r>
          <w:rPr>
            <w:rFonts w:ascii="Times New Roman" w:hAnsi="Times New Roman"/>
            <w:noProof/>
            <w:webHidden/>
            <w:sz w:val="24"/>
            <w:szCs w:val="24"/>
          </w:rPr>
          <w:t>120</w:t>
        </w:r>
        <w:r>
          <w:rPr>
            <w:rFonts w:ascii="Times New Roman" w:hAnsi="Times New Roman"/>
            <w:noProof/>
            <w:webHidden/>
            <w:sz w:val="24"/>
            <w:szCs w:val="24"/>
          </w:rPr>
          <w:fldChar w:fldCharType="end"/>
        </w:r>
      </w:hyperlink>
    </w:p>
    <w:p w:rsidR="00AB50C5" w:rsidRDefault="00724275">
      <w:pPr>
        <w:pStyle w:val="TableofFigures"/>
        <w:tabs>
          <w:tab w:val="right" w:leader="dot" w:pos="8296"/>
        </w:tabs>
        <w:jc w:val="both"/>
        <w:rPr>
          <w:rFonts w:ascii="Times New Roman" w:eastAsiaTheme="minorEastAsia" w:hAnsi="Times New Roman"/>
          <w:noProof/>
          <w:sz w:val="24"/>
          <w:szCs w:val="24"/>
          <w:lang w:val="de-AT" w:eastAsia="de-AT"/>
        </w:rPr>
      </w:pPr>
      <w:hyperlink w:anchor="_Toc484768794" w:history="1">
        <w:r>
          <w:rPr>
            <w:rStyle w:val="Hyperlink"/>
            <w:rFonts w:ascii="Times New Roman" w:hAnsi="Times New Roman"/>
            <w:noProof/>
            <w:sz w:val="24"/>
            <w:szCs w:val="24"/>
          </w:rPr>
          <w:t xml:space="preserve">Map </w:t>
        </w:r>
        <w:r>
          <w:rPr>
            <w:rStyle w:val="Hyperlink"/>
            <w:rFonts w:ascii="Times New Roman" w:hAnsi="Times New Roman"/>
            <w:noProof/>
            <w:sz w:val="24"/>
            <w:szCs w:val="24"/>
            <w:cs/>
          </w:rPr>
          <w:t>‎</w:t>
        </w:r>
        <w:r>
          <w:rPr>
            <w:rStyle w:val="Hyperlink"/>
            <w:rFonts w:ascii="Times New Roman" w:hAnsi="Times New Roman"/>
            <w:noProof/>
            <w:sz w:val="24"/>
            <w:szCs w:val="24"/>
          </w:rPr>
          <w:t xml:space="preserve">6.1: Result of the expert judgement: Government effectiveness affected by the </w:t>
        </w:r>
        <w:r>
          <w:rPr>
            <w:rStyle w:val="Hyperlink"/>
            <w:rFonts w:ascii="Times New Roman" w:hAnsi="Times New Roman"/>
            <w:noProof/>
            <w:sz w:val="24"/>
            <w:szCs w:val="24"/>
            <w:lang w:eastAsia="de-AT"/>
          </w:rPr>
          <w:t>development of minimum quality requ</w:t>
        </w:r>
        <w:r>
          <w:rPr>
            <w:rStyle w:val="Hyperlink"/>
            <w:rFonts w:ascii="Times New Roman" w:hAnsi="Times New Roman"/>
            <w:noProof/>
            <w:sz w:val="24"/>
            <w:szCs w:val="24"/>
            <w:lang w:eastAsia="de-AT"/>
          </w:rPr>
          <w:t>irements for reused water in agricultural irrigation and aquifer recharge</w:t>
        </w:r>
        <w:r>
          <w:rPr>
            <w:rStyle w:val="Hyperlink"/>
            <w:rFonts w:ascii="Times New Roman" w:hAnsi="Times New Roman"/>
            <w:noProof/>
            <w:sz w:val="24"/>
            <w:szCs w:val="24"/>
          </w:rPr>
          <w:t xml:space="preserve"> – expert judgement: weak advantageous effect</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_Toc484768794 \h </w:instrText>
        </w:r>
        <w:r>
          <w:rPr>
            <w:rFonts w:ascii="Times New Roman" w:hAnsi="Times New Roman"/>
            <w:noProof/>
            <w:webHidden/>
            <w:sz w:val="24"/>
            <w:szCs w:val="24"/>
          </w:rPr>
        </w:r>
        <w:r>
          <w:rPr>
            <w:rFonts w:ascii="Times New Roman" w:hAnsi="Times New Roman"/>
            <w:noProof/>
            <w:webHidden/>
            <w:sz w:val="24"/>
            <w:szCs w:val="24"/>
          </w:rPr>
          <w:fldChar w:fldCharType="separate"/>
        </w:r>
        <w:r>
          <w:rPr>
            <w:rFonts w:ascii="Times New Roman" w:hAnsi="Times New Roman"/>
            <w:noProof/>
            <w:webHidden/>
            <w:sz w:val="24"/>
            <w:szCs w:val="24"/>
          </w:rPr>
          <w:t>125</w:t>
        </w:r>
        <w:r>
          <w:rPr>
            <w:rFonts w:ascii="Times New Roman" w:hAnsi="Times New Roman"/>
            <w:noProof/>
            <w:webHidden/>
            <w:sz w:val="24"/>
            <w:szCs w:val="24"/>
          </w:rPr>
          <w:fldChar w:fldCharType="end"/>
        </w:r>
      </w:hyperlink>
    </w:p>
    <w:p w:rsidR="00AB50C5" w:rsidRDefault="00724275">
      <w:pPr>
        <w:pStyle w:val="TableofFigures"/>
        <w:tabs>
          <w:tab w:val="right" w:leader="dot" w:pos="8296"/>
        </w:tabs>
        <w:jc w:val="both"/>
        <w:rPr>
          <w:rFonts w:ascii="Times New Roman" w:eastAsiaTheme="minorEastAsia" w:hAnsi="Times New Roman"/>
          <w:noProof/>
          <w:sz w:val="24"/>
          <w:szCs w:val="24"/>
          <w:lang w:val="de-AT" w:eastAsia="de-AT"/>
        </w:rPr>
      </w:pPr>
      <w:hyperlink w:anchor="_Toc484768795" w:history="1">
        <w:r>
          <w:rPr>
            <w:rStyle w:val="Hyperlink"/>
            <w:rFonts w:ascii="Times New Roman" w:hAnsi="Times New Roman"/>
            <w:noProof/>
            <w:sz w:val="24"/>
            <w:szCs w:val="24"/>
          </w:rPr>
          <w:t xml:space="preserve">Map </w:t>
        </w:r>
        <w:r>
          <w:rPr>
            <w:rStyle w:val="Hyperlink"/>
            <w:rFonts w:ascii="Times New Roman" w:hAnsi="Times New Roman"/>
            <w:noProof/>
            <w:sz w:val="24"/>
            <w:szCs w:val="24"/>
            <w:cs/>
          </w:rPr>
          <w:t>‎</w:t>
        </w:r>
        <w:r>
          <w:rPr>
            <w:rStyle w:val="Hyperlink"/>
            <w:rFonts w:ascii="Times New Roman" w:hAnsi="Times New Roman"/>
            <w:noProof/>
            <w:sz w:val="24"/>
            <w:szCs w:val="24"/>
          </w:rPr>
          <w:t xml:space="preserve">7.1: Result of the expert judgement: </w:t>
        </w:r>
        <w:r>
          <w:rPr>
            <w:rStyle w:val="Hyperlink"/>
            <w:rFonts w:ascii="Times New Roman" w:hAnsi="Times New Roman"/>
            <w:noProof/>
            <w:kern w:val="32"/>
            <w:sz w:val="24"/>
            <w:szCs w:val="24"/>
          </w:rPr>
          <w:t>Agriculture depending on</w:t>
        </w:r>
        <w:r>
          <w:rPr>
            <w:rStyle w:val="Hyperlink"/>
            <w:rFonts w:ascii="Times New Roman" w:hAnsi="Times New Roman"/>
            <w:noProof/>
            <w:sz w:val="24"/>
            <w:szCs w:val="24"/>
          </w:rPr>
          <w:t xml:space="preserve"> irrigated land affected by the </w:t>
        </w:r>
        <w:r>
          <w:rPr>
            <w:rStyle w:val="Hyperlink"/>
            <w:rFonts w:ascii="Times New Roman" w:hAnsi="Times New Roman"/>
            <w:noProof/>
            <w:sz w:val="24"/>
            <w:szCs w:val="24"/>
            <w:lang w:eastAsia="de-AT"/>
          </w:rPr>
          <w:t>development of minimum quality requirements for reused water in agricultural irrigation and aquifer recharge</w:t>
        </w:r>
        <w:r>
          <w:rPr>
            <w:rStyle w:val="Hyperlink"/>
            <w:rFonts w:ascii="Times New Roman" w:hAnsi="Times New Roman"/>
            <w:noProof/>
            <w:sz w:val="24"/>
            <w:szCs w:val="24"/>
          </w:rPr>
          <w:t xml:space="preserve"> – expert judgement: weak advantageous effect</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w:instrText>
        </w:r>
        <w:r>
          <w:rPr>
            <w:rFonts w:ascii="Times New Roman" w:hAnsi="Times New Roman"/>
            <w:noProof/>
            <w:webHidden/>
            <w:sz w:val="24"/>
            <w:szCs w:val="24"/>
          </w:rPr>
          <w:instrText xml:space="preserve">_Toc484768795 \h </w:instrText>
        </w:r>
        <w:r>
          <w:rPr>
            <w:rFonts w:ascii="Times New Roman" w:hAnsi="Times New Roman"/>
            <w:noProof/>
            <w:webHidden/>
            <w:sz w:val="24"/>
            <w:szCs w:val="24"/>
          </w:rPr>
        </w:r>
        <w:r>
          <w:rPr>
            <w:rFonts w:ascii="Times New Roman" w:hAnsi="Times New Roman"/>
            <w:noProof/>
            <w:webHidden/>
            <w:sz w:val="24"/>
            <w:szCs w:val="24"/>
          </w:rPr>
          <w:fldChar w:fldCharType="separate"/>
        </w:r>
        <w:r>
          <w:rPr>
            <w:rFonts w:ascii="Times New Roman" w:hAnsi="Times New Roman"/>
            <w:noProof/>
            <w:webHidden/>
            <w:sz w:val="24"/>
            <w:szCs w:val="24"/>
          </w:rPr>
          <w:t>126</w:t>
        </w:r>
        <w:r>
          <w:rPr>
            <w:rFonts w:ascii="Times New Roman" w:hAnsi="Times New Roman"/>
            <w:noProof/>
            <w:webHidden/>
            <w:sz w:val="24"/>
            <w:szCs w:val="24"/>
          </w:rPr>
          <w:fldChar w:fldCharType="end"/>
        </w:r>
      </w:hyperlink>
    </w:p>
    <w:p w:rsidR="00AB50C5" w:rsidRDefault="00724275">
      <w:pPr>
        <w:pStyle w:val="TableofFigures"/>
        <w:tabs>
          <w:tab w:val="right" w:leader="dot" w:pos="8296"/>
        </w:tabs>
        <w:jc w:val="both"/>
        <w:rPr>
          <w:rFonts w:ascii="Times New Roman" w:eastAsiaTheme="minorEastAsia" w:hAnsi="Times New Roman"/>
          <w:noProof/>
          <w:sz w:val="24"/>
          <w:szCs w:val="24"/>
          <w:lang w:val="de-AT" w:eastAsia="de-AT"/>
        </w:rPr>
      </w:pPr>
      <w:hyperlink w:anchor="_Toc484768796" w:history="1">
        <w:r>
          <w:rPr>
            <w:rStyle w:val="Hyperlink"/>
            <w:rFonts w:ascii="Times New Roman" w:hAnsi="Times New Roman"/>
            <w:noProof/>
            <w:sz w:val="24"/>
            <w:szCs w:val="24"/>
          </w:rPr>
          <w:t xml:space="preserve">Map </w:t>
        </w:r>
        <w:r>
          <w:rPr>
            <w:rStyle w:val="Hyperlink"/>
            <w:rFonts w:ascii="Times New Roman" w:hAnsi="Times New Roman"/>
            <w:noProof/>
            <w:sz w:val="24"/>
            <w:szCs w:val="24"/>
            <w:cs/>
          </w:rPr>
          <w:t>‎</w:t>
        </w:r>
        <w:r>
          <w:rPr>
            <w:rStyle w:val="Hyperlink"/>
            <w:rFonts w:ascii="Times New Roman" w:hAnsi="Times New Roman"/>
            <w:noProof/>
            <w:sz w:val="24"/>
            <w:szCs w:val="24"/>
          </w:rPr>
          <w:t xml:space="preserve">7.2: Result of the expert judgement: </w:t>
        </w:r>
        <w:r>
          <w:rPr>
            <w:rStyle w:val="Hyperlink"/>
            <w:rFonts w:ascii="Times New Roman" w:hAnsi="Times New Roman"/>
            <w:noProof/>
            <w:kern w:val="32"/>
            <w:sz w:val="24"/>
            <w:szCs w:val="24"/>
          </w:rPr>
          <w:t>Regions facing danger of droughts</w:t>
        </w:r>
        <w:r>
          <w:rPr>
            <w:rStyle w:val="Hyperlink"/>
            <w:rFonts w:ascii="Times New Roman" w:hAnsi="Times New Roman"/>
            <w:noProof/>
            <w:sz w:val="24"/>
            <w:szCs w:val="24"/>
          </w:rPr>
          <w:t xml:space="preserve"> affected by the </w:t>
        </w:r>
        <w:r>
          <w:rPr>
            <w:rStyle w:val="Hyperlink"/>
            <w:rFonts w:ascii="Times New Roman" w:hAnsi="Times New Roman"/>
            <w:noProof/>
            <w:sz w:val="24"/>
            <w:szCs w:val="24"/>
            <w:lang w:eastAsia="de-AT"/>
          </w:rPr>
          <w:t>development of minimum quality requirement</w:t>
        </w:r>
        <w:r>
          <w:rPr>
            <w:rStyle w:val="Hyperlink"/>
            <w:rFonts w:ascii="Times New Roman" w:hAnsi="Times New Roman"/>
            <w:noProof/>
            <w:sz w:val="24"/>
            <w:szCs w:val="24"/>
            <w:lang w:eastAsia="de-AT"/>
          </w:rPr>
          <w:t>s for reused water in agricultural irrigation and aquifer recharge</w:t>
        </w:r>
        <w:r>
          <w:rPr>
            <w:rStyle w:val="Hyperlink"/>
            <w:rFonts w:ascii="Times New Roman" w:hAnsi="Times New Roman"/>
            <w:noProof/>
            <w:sz w:val="24"/>
            <w:szCs w:val="24"/>
          </w:rPr>
          <w:t xml:space="preserve"> – expert judgement: weak advantageous effect</w:t>
        </w:r>
        <w:r>
          <w:rPr>
            <w:rFonts w:ascii="Times New Roman" w:hAnsi="Times New Roman"/>
            <w:noProof/>
            <w:webHidden/>
            <w:sz w:val="24"/>
            <w:szCs w:val="24"/>
          </w:rPr>
          <w:tab/>
        </w:r>
        <w:r>
          <w:rPr>
            <w:rFonts w:ascii="Times New Roman" w:hAnsi="Times New Roman"/>
            <w:noProof/>
            <w:webHidden/>
            <w:sz w:val="24"/>
            <w:szCs w:val="24"/>
          </w:rPr>
          <w:fldChar w:fldCharType="begin"/>
        </w:r>
        <w:r>
          <w:rPr>
            <w:rFonts w:ascii="Times New Roman" w:hAnsi="Times New Roman"/>
            <w:noProof/>
            <w:webHidden/>
            <w:sz w:val="24"/>
            <w:szCs w:val="24"/>
          </w:rPr>
          <w:instrText xml:space="preserve"> PAGEREF _Toc484768796 \h </w:instrText>
        </w:r>
        <w:r>
          <w:rPr>
            <w:rFonts w:ascii="Times New Roman" w:hAnsi="Times New Roman"/>
            <w:noProof/>
            <w:webHidden/>
            <w:sz w:val="24"/>
            <w:szCs w:val="24"/>
          </w:rPr>
        </w:r>
        <w:r>
          <w:rPr>
            <w:rFonts w:ascii="Times New Roman" w:hAnsi="Times New Roman"/>
            <w:noProof/>
            <w:webHidden/>
            <w:sz w:val="24"/>
            <w:szCs w:val="24"/>
          </w:rPr>
          <w:fldChar w:fldCharType="separate"/>
        </w:r>
        <w:r>
          <w:rPr>
            <w:rFonts w:ascii="Times New Roman" w:hAnsi="Times New Roman"/>
            <w:noProof/>
            <w:webHidden/>
            <w:sz w:val="24"/>
            <w:szCs w:val="24"/>
          </w:rPr>
          <w:t>127</w:t>
        </w:r>
        <w:r>
          <w:rPr>
            <w:rFonts w:ascii="Times New Roman" w:hAnsi="Times New Roman"/>
            <w:noProof/>
            <w:webHidden/>
            <w:sz w:val="24"/>
            <w:szCs w:val="24"/>
          </w:rPr>
          <w:fldChar w:fldCharType="end"/>
        </w:r>
      </w:hyperlink>
    </w:p>
    <w:p w:rsidR="00AB50C5" w:rsidRDefault="00724275">
      <w:pPr>
        <w:pStyle w:val="TableofFigures"/>
        <w:tabs>
          <w:tab w:val="right" w:leader="dot" w:pos="8296"/>
        </w:tabs>
        <w:rPr>
          <w:noProof/>
          <w:lang w:val="en-US"/>
        </w:rPr>
      </w:pPr>
      <w:r>
        <w:rPr>
          <w:rFonts w:ascii="Times New Roman" w:hAnsi="Times New Roman"/>
          <w:noProof/>
          <w:sz w:val="24"/>
          <w:szCs w:val="24"/>
          <w:lang w:val="en-US"/>
        </w:rPr>
        <w:fldChar w:fldCharType="end"/>
      </w:r>
    </w:p>
    <w:p w:rsidR="00AB50C5" w:rsidRDefault="00724275">
      <w:pPr>
        <w:pStyle w:val="TEMPLATEHeadingListsandExSummary"/>
        <w:pageBreakBefore/>
        <w:rPr>
          <w:rFonts w:ascii="Times New Roman" w:hAnsi="Times New Roman"/>
          <w:noProof/>
          <w:sz w:val="24"/>
          <w:szCs w:val="24"/>
        </w:rPr>
      </w:pPr>
      <w:bookmarkStart w:id="142" w:name="_Toc471911002"/>
      <w:bookmarkStart w:id="143" w:name="_Toc473795224"/>
      <w:bookmarkStart w:id="144" w:name="_Toc474849460"/>
      <w:bookmarkStart w:id="145" w:name="_Toc484768709"/>
      <w:r>
        <w:rPr>
          <w:rFonts w:ascii="Times New Roman" w:hAnsi="Times New Roman"/>
          <w:noProof/>
          <w:sz w:val="24"/>
          <w:szCs w:val="24"/>
        </w:rPr>
        <w:t>Abbreviations</w:t>
      </w:r>
      <w:bookmarkEnd w:id="142"/>
      <w:bookmarkEnd w:id="143"/>
      <w:bookmarkEnd w:id="144"/>
      <w:bookmarkEnd w:id="145"/>
    </w:p>
    <w:tbl>
      <w:tblPr>
        <w:tblW w:w="8562" w:type="dxa"/>
        <w:tblLayout w:type="fixed"/>
        <w:tblCellMar>
          <w:left w:w="57" w:type="dxa"/>
          <w:right w:w="57" w:type="dxa"/>
        </w:tblCellMar>
        <w:tblLook w:val="04A0" w:firstRow="1" w:lastRow="0" w:firstColumn="1" w:lastColumn="0" w:noHBand="0" w:noVBand="1"/>
      </w:tblPr>
      <w:tblGrid>
        <w:gridCol w:w="1457"/>
        <w:gridCol w:w="7105"/>
      </w:tblGrid>
      <w:tr w:rsidR="00AB50C5">
        <w:tc>
          <w:tcPr>
            <w:tcW w:w="1457" w:type="dxa"/>
            <w:shd w:val="clear" w:color="auto" w:fill="auto"/>
          </w:tcPr>
          <w:p w:rsidR="00AB50C5" w:rsidRDefault="00724275">
            <w:pPr>
              <w:pStyle w:val="TEMPLATEAbbreviations"/>
              <w:rPr>
                <w:rFonts w:ascii="Times New Roman" w:hAnsi="Times New Roman"/>
                <w:sz w:val="24"/>
                <w:szCs w:val="24"/>
              </w:rPr>
            </w:pPr>
            <w:bookmarkStart w:id="146" w:name="_Toc471911003"/>
            <w:bookmarkStart w:id="147" w:name="_Toc473795225"/>
            <w:r>
              <w:rPr>
                <w:rFonts w:ascii="Times New Roman" w:hAnsi="Times New Roman"/>
                <w:sz w:val="24"/>
                <w:szCs w:val="24"/>
              </w:rPr>
              <w:t>CoR</w:t>
            </w:r>
          </w:p>
        </w:tc>
        <w:tc>
          <w:tcPr>
            <w:tcW w:w="7105" w:type="dxa"/>
            <w:shd w:val="clear" w:color="auto" w:fill="auto"/>
          </w:tcPr>
          <w:p w:rsidR="00AB50C5" w:rsidRDefault="00724275">
            <w:pPr>
              <w:pStyle w:val="TEMPLATEAbbreviations"/>
              <w:rPr>
                <w:rFonts w:ascii="Times New Roman" w:hAnsi="Times New Roman"/>
                <w:sz w:val="24"/>
                <w:szCs w:val="24"/>
              </w:rPr>
            </w:pPr>
            <w:r>
              <w:rPr>
                <w:rFonts w:ascii="Times New Roman" w:hAnsi="Times New Roman"/>
                <w:sz w:val="24"/>
                <w:szCs w:val="24"/>
              </w:rPr>
              <w:t>European Committee of the</w:t>
            </w:r>
            <w:r>
              <w:rPr>
                <w:rFonts w:ascii="Times New Roman" w:hAnsi="Times New Roman"/>
                <w:sz w:val="24"/>
                <w:szCs w:val="24"/>
              </w:rPr>
              <w:t xml:space="preserve"> Regions</w:t>
            </w:r>
          </w:p>
        </w:tc>
      </w:tr>
      <w:tr w:rsidR="00AB50C5">
        <w:tc>
          <w:tcPr>
            <w:tcW w:w="1457" w:type="dxa"/>
            <w:shd w:val="clear" w:color="auto" w:fill="auto"/>
          </w:tcPr>
          <w:p w:rsidR="00AB50C5" w:rsidRDefault="00724275">
            <w:pPr>
              <w:pStyle w:val="TEMPLATEAbbreviations"/>
              <w:rPr>
                <w:rFonts w:ascii="Times New Roman" w:hAnsi="Times New Roman"/>
                <w:sz w:val="24"/>
                <w:szCs w:val="24"/>
              </w:rPr>
            </w:pPr>
            <w:r>
              <w:rPr>
                <w:rFonts w:ascii="Times New Roman" w:hAnsi="Times New Roman"/>
                <w:sz w:val="24"/>
                <w:szCs w:val="24"/>
              </w:rPr>
              <w:t>DG ENV</w:t>
            </w:r>
          </w:p>
        </w:tc>
        <w:tc>
          <w:tcPr>
            <w:tcW w:w="7105" w:type="dxa"/>
            <w:shd w:val="clear" w:color="auto" w:fill="auto"/>
          </w:tcPr>
          <w:p w:rsidR="00AB50C5" w:rsidRDefault="00724275">
            <w:pPr>
              <w:pStyle w:val="TEMPLATEAbbreviations"/>
              <w:rPr>
                <w:rFonts w:ascii="Times New Roman" w:hAnsi="Times New Roman"/>
                <w:sz w:val="24"/>
                <w:szCs w:val="24"/>
              </w:rPr>
            </w:pPr>
            <w:r>
              <w:rPr>
                <w:rFonts w:ascii="Times New Roman" w:hAnsi="Times New Roman"/>
                <w:sz w:val="24"/>
                <w:szCs w:val="24"/>
              </w:rPr>
              <w:t>European Commission – Directorate General for Environment</w:t>
            </w:r>
          </w:p>
        </w:tc>
      </w:tr>
      <w:tr w:rsidR="00AB50C5">
        <w:tc>
          <w:tcPr>
            <w:tcW w:w="1457" w:type="dxa"/>
            <w:shd w:val="clear" w:color="auto" w:fill="auto"/>
          </w:tcPr>
          <w:p w:rsidR="00AB50C5" w:rsidRDefault="00724275">
            <w:pPr>
              <w:pStyle w:val="TEMPLATEAbbreviations"/>
              <w:rPr>
                <w:rFonts w:ascii="Times New Roman" w:hAnsi="Times New Roman"/>
                <w:sz w:val="24"/>
                <w:szCs w:val="24"/>
              </w:rPr>
            </w:pPr>
            <w:r>
              <w:rPr>
                <w:rFonts w:ascii="Times New Roman" w:hAnsi="Times New Roman"/>
                <w:sz w:val="24"/>
                <w:szCs w:val="24"/>
              </w:rPr>
              <w:t>DG REGIO</w:t>
            </w:r>
          </w:p>
        </w:tc>
        <w:tc>
          <w:tcPr>
            <w:tcW w:w="7105" w:type="dxa"/>
            <w:shd w:val="clear" w:color="auto" w:fill="auto"/>
          </w:tcPr>
          <w:p w:rsidR="00AB50C5" w:rsidRDefault="00724275">
            <w:pPr>
              <w:pStyle w:val="TEMPLATEAbbreviations"/>
              <w:rPr>
                <w:rFonts w:ascii="Times New Roman" w:hAnsi="Times New Roman"/>
                <w:sz w:val="24"/>
                <w:szCs w:val="24"/>
              </w:rPr>
            </w:pPr>
            <w:r>
              <w:rPr>
                <w:rFonts w:ascii="Times New Roman" w:hAnsi="Times New Roman"/>
                <w:sz w:val="24"/>
                <w:szCs w:val="24"/>
              </w:rPr>
              <w:t>European Commission – Directorate General for Regional and Urban Policy</w:t>
            </w:r>
          </w:p>
        </w:tc>
      </w:tr>
      <w:tr w:rsidR="00AB50C5">
        <w:tc>
          <w:tcPr>
            <w:tcW w:w="1457" w:type="dxa"/>
            <w:shd w:val="clear" w:color="auto" w:fill="auto"/>
          </w:tcPr>
          <w:p w:rsidR="00AB50C5" w:rsidRDefault="00724275">
            <w:pPr>
              <w:pStyle w:val="TEMPLATEAbbreviations"/>
              <w:rPr>
                <w:rFonts w:ascii="Times New Roman" w:hAnsi="Times New Roman"/>
                <w:sz w:val="24"/>
                <w:szCs w:val="24"/>
              </w:rPr>
            </w:pPr>
            <w:r>
              <w:rPr>
                <w:rFonts w:ascii="Times New Roman" w:hAnsi="Times New Roman"/>
                <w:sz w:val="24"/>
                <w:szCs w:val="24"/>
              </w:rPr>
              <w:t>DG SANTE</w:t>
            </w:r>
          </w:p>
        </w:tc>
        <w:tc>
          <w:tcPr>
            <w:tcW w:w="7105" w:type="dxa"/>
            <w:shd w:val="clear" w:color="auto" w:fill="auto"/>
          </w:tcPr>
          <w:p w:rsidR="00AB50C5" w:rsidRDefault="00724275">
            <w:pPr>
              <w:pStyle w:val="TEMPLATEAbbreviations"/>
              <w:rPr>
                <w:rFonts w:ascii="Times New Roman" w:hAnsi="Times New Roman"/>
                <w:sz w:val="24"/>
                <w:szCs w:val="24"/>
              </w:rPr>
            </w:pPr>
            <w:r>
              <w:rPr>
                <w:rFonts w:ascii="Times New Roman" w:hAnsi="Times New Roman"/>
                <w:sz w:val="24"/>
                <w:szCs w:val="24"/>
              </w:rPr>
              <w:t>European Commission – Directorate General for Health and Food Safety</w:t>
            </w:r>
          </w:p>
        </w:tc>
      </w:tr>
      <w:tr w:rsidR="00AB50C5">
        <w:tc>
          <w:tcPr>
            <w:tcW w:w="1457" w:type="dxa"/>
            <w:shd w:val="clear" w:color="auto" w:fill="auto"/>
          </w:tcPr>
          <w:p w:rsidR="00AB50C5" w:rsidRDefault="00724275">
            <w:pPr>
              <w:pStyle w:val="TEMPLATEAbbreviations"/>
              <w:rPr>
                <w:rFonts w:ascii="Times New Roman" w:hAnsi="Times New Roman"/>
                <w:sz w:val="24"/>
                <w:szCs w:val="24"/>
              </w:rPr>
            </w:pPr>
            <w:r>
              <w:rPr>
                <w:rFonts w:ascii="Times New Roman" w:hAnsi="Times New Roman"/>
                <w:sz w:val="24"/>
                <w:szCs w:val="24"/>
              </w:rPr>
              <w:t>EC</w:t>
            </w:r>
          </w:p>
        </w:tc>
        <w:tc>
          <w:tcPr>
            <w:tcW w:w="7105" w:type="dxa"/>
            <w:shd w:val="clear" w:color="auto" w:fill="auto"/>
          </w:tcPr>
          <w:p w:rsidR="00AB50C5" w:rsidRDefault="00724275">
            <w:pPr>
              <w:pStyle w:val="TEMPLATEAbbreviations"/>
              <w:rPr>
                <w:rFonts w:ascii="Times New Roman" w:hAnsi="Times New Roman"/>
                <w:sz w:val="24"/>
                <w:szCs w:val="24"/>
              </w:rPr>
            </w:pPr>
            <w:r>
              <w:rPr>
                <w:rFonts w:ascii="Times New Roman" w:hAnsi="Times New Roman"/>
                <w:sz w:val="24"/>
                <w:szCs w:val="24"/>
              </w:rPr>
              <w:t>European Commiss</w:t>
            </w:r>
            <w:r>
              <w:rPr>
                <w:rFonts w:ascii="Times New Roman" w:hAnsi="Times New Roman"/>
                <w:sz w:val="24"/>
                <w:szCs w:val="24"/>
              </w:rPr>
              <w:t>ion</w:t>
            </w:r>
          </w:p>
        </w:tc>
      </w:tr>
      <w:tr w:rsidR="00AB50C5">
        <w:tc>
          <w:tcPr>
            <w:tcW w:w="1457" w:type="dxa"/>
            <w:shd w:val="clear" w:color="auto" w:fill="auto"/>
          </w:tcPr>
          <w:p w:rsidR="00AB50C5" w:rsidRDefault="00724275">
            <w:pPr>
              <w:pStyle w:val="TEMPLATEAbbreviations"/>
              <w:rPr>
                <w:rFonts w:ascii="Times New Roman" w:hAnsi="Times New Roman"/>
                <w:sz w:val="24"/>
                <w:szCs w:val="24"/>
              </w:rPr>
            </w:pPr>
            <w:r>
              <w:rPr>
                <w:rFonts w:ascii="Times New Roman" w:hAnsi="Times New Roman"/>
                <w:sz w:val="24"/>
                <w:szCs w:val="24"/>
              </w:rPr>
              <w:t>ESPON</w:t>
            </w:r>
          </w:p>
          <w:p w:rsidR="00AB50C5" w:rsidRDefault="00724275">
            <w:pPr>
              <w:pStyle w:val="TEMPLATEAbbreviations"/>
              <w:rPr>
                <w:rFonts w:ascii="Times New Roman" w:hAnsi="Times New Roman"/>
                <w:sz w:val="24"/>
                <w:szCs w:val="24"/>
              </w:rPr>
            </w:pPr>
            <w:r>
              <w:rPr>
                <w:rFonts w:ascii="Times New Roman" w:hAnsi="Times New Roman"/>
                <w:sz w:val="24"/>
                <w:szCs w:val="24"/>
              </w:rPr>
              <w:t>ETKC</w:t>
            </w:r>
          </w:p>
        </w:tc>
        <w:tc>
          <w:tcPr>
            <w:tcW w:w="7105" w:type="dxa"/>
            <w:shd w:val="clear" w:color="auto" w:fill="auto"/>
          </w:tcPr>
          <w:p w:rsidR="00AB50C5" w:rsidRDefault="00724275">
            <w:pPr>
              <w:pStyle w:val="TEMPLATEAbbreviations"/>
              <w:rPr>
                <w:rFonts w:ascii="Times New Roman" w:hAnsi="Times New Roman"/>
                <w:sz w:val="24"/>
                <w:szCs w:val="24"/>
              </w:rPr>
            </w:pPr>
            <w:r>
              <w:rPr>
                <w:rFonts w:ascii="Times New Roman" w:hAnsi="Times New Roman"/>
                <w:sz w:val="24"/>
                <w:szCs w:val="24"/>
              </w:rPr>
              <w:t>European Territorial Observatory Network</w:t>
            </w:r>
          </w:p>
          <w:p w:rsidR="00AB50C5" w:rsidRDefault="00724275">
            <w:pPr>
              <w:pStyle w:val="TEMPLATEAbbreviations"/>
              <w:rPr>
                <w:rFonts w:ascii="Times New Roman" w:hAnsi="Times New Roman"/>
                <w:sz w:val="24"/>
                <w:szCs w:val="24"/>
              </w:rPr>
            </w:pPr>
            <w:r>
              <w:rPr>
                <w:rFonts w:ascii="Times New Roman" w:hAnsi="Times New Roman"/>
                <w:sz w:val="24"/>
                <w:szCs w:val="24"/>
              </w:rPr>
              <w:t>European Territorial Knowledge Center</w:t>
            </w:r>
          </w:p>
        </w:tc>
      </w:tr>
      <w:tr w:rsidR="00AB50C5">
        <w:tc>
          <w:tcPr>
            <w:tcW w:w="1457" w:type="dxa"/>
            <w:shd w:val="clear" w:color="auto" w:fill="auto"/>
          </w:tcPr>
          <w:p w:rsidR="00AB50C5" w:rsidRDefault="00724275">
            <w:pPr>
              <w:pStyle w:val="TEMPLATEAbbreviations"/>
              <w:rPr>
                <w:rFonts w:ascii="Times New Roman" w:hAnsi="Times New Roman"/>
                <w:sz w:val="24"/>
                <w:szCs w:val="24"/>
              </w:rPr>
            </w:pPr>
            <w:r>
              <w:rPr>
                <w:rFonts w:ascii="Times New Roman" w:hAnsi="Times New Roman"/>
                <w:sz w:val="24"/>
                <w:szCs w:val="24"/>
              </w:rPr>
              <w:t>EU</w:t>
            </w:r>
          </w:p>
        </w:tc>
        <w:tc>
          <w:tcPr>
            <w:tcW w:w="7105" w:type="dxa"/>
            <w:shd w:val="clear" w:color="auto" w:fill="auto"/>
          </w:tcPr>
          <w:p w:rsidR="00AB50C5" w:rsidRDefault="00724275">
            <w:pPr>
              <w:pStyle w:val="TEMPLATEAbbreviations"/>
              <w:rPr>
                <w:rFonts w:ascii="Times New Roman" w:hAnsi="Times New Roman"/>
                <w:sz w:val="24"/>
                <w:szCs w:val="24"/>
              </w:rPr>
            </w:pPr>
            <w:r>
              <w:rPr>
                <w:rFonts w:ascii="Times New Roman" w:hAnsi="Times New Roman"/>
                <w:sz w:val="24"/>
                <w:szCs w:val="24"/>
              </w:rPr>
              <w:t>European Union</w:t>
            </w:r>
          </w:p>
        </w:tc>
      </w:tr>
      <w:tr w:rsidR="00AB50C5">
        <w:tc>
          <w:tcPr>
            <w:tcW w:w="1457" w:type="dxa"/>
            <w:shd w:val="clear" w:color="auto" w:fill="auto"/>
          </w:tcPr>
          <w:p w:rsidR="00AB50C5" w:rsidRDefault="00724275">
            <w:pPr>
              <w:pStyle w:val="TEMPLATEAbbreviations"/>
              <w:rPr>
                <w:rFonts w:ascii="Times New Roman" w:hAnsi="Times New Roman"/>
                <w:sz w:val="24"/>
                <w:szCs w:val="24"/>
              </w:rPr>
            </w:pPr>
            <w:r>
              <w:rPr>
                <w:rFonts w:ascii="Times New Roman" w:hAnsi="Times New Roman"/>
                <w:sz w:val="24"/>
                <w:szCs w:val="24"/>
              </w:rPr>
              <w:t>GDP</w:t>
            </w:r>
          </w:p>
          <w:p w:rsidR="00AB50C5" w:rsidRDefault="00724275">
            <w:pPr>
              <w:pStyle w:val="TEMPLATEAbbreviations"/>
              <w:rPr>
                <w:rFonts w:ascii="Times New Roman" w:hAnsi="Times New Roman"/>
                <w:sz w:val="24"/>
                <w:szCs w:val="24"/>
              </w:rPr>
            </w:pPr>
            <w:r>
              <w:rPr>
                <w:rFonts w:ascii="Times New Roman" w:hAnsi="Times New Roman"/>
                <w:sz w:val="24"/>
                <w:szCs w:val="24"/>
              </w:rPr>
              <w:t>GVA</w:t>
            </w:r>
          </w:p>
        </w:tc>
        <w:tc>
          <w:tcPr>
            <w:tcW w:w="7105" w:type="dxa"/>
            <w:shd w:val="clear" w:color="auto" w:fill="auto"/>
          </w:tcPr>
          <w:p w:rsidR="00AB50C5" w:rsidRDefault="00724275">
            <w:pPr>
              <w:pStyle w:val="TEMPLATEAbbreviations"/>
              <w:rPr>
                <w:rFonts w:ascii="Times New Roman" w:hAnsi="Times New Roman"/>
                <w:sz w:val="24"/>
                <w:szCs w:val="24"/>
              </w:rPr>
            </w:pPr>
            <w:r>
              <w:rPr>
                <w:rFonts w:ascii="Times New Roman" w:hAnsi="Times New Roman"/>
                <w:sz w:val="24"/>
                <w:szCs w:val="24"/>
              </w:rPr>
              <w:t>Gross Domestic Product</w:t>
            </w:r>
          </w:p>
          <w:p w:rsidR="00AB50C5" w:rsidRDefault="00724275">
            <w:pPr>
              <w:pStyle w:val="TEMPLATEAbbreviations"/>
              <w:rPr>
                <w:rFonts w:ascii="Times New Roman" w:hAnsi="Times New Roman"/>
                <w:sz w:val="24"/>
                <w:szCs w:val="24"/>
              </w:rPr>
            </w:pPr>
            <w:r>
              <w:rPr>
                <w:rFonts w:ascii="Times New Roman" w:hAnsi="Times New Roman"/>
                <w:sz w:val="24"/>
                <w:szCs w:val="24"/>
              </w:rPr>
              <w:t>Gross Value Added</w:t>
            </w:r>
          </w:p>
        </w:tc>
      </w:tr>
      <w:tr w:rsidR="00AB50C5">
        <w:tc>
          <w:tcPr>
            <w:tcW w:w="1457" w:type="dxa"/>
            <w:shd w:val="clear" w:color="auto" w:fill="auto"/>
          </w:tcPr>
          <w:p w:rsidR="00AB50C5" w:rsidRDefault="00724275">
            <w:pPr>
              <w:pStyle w:val="TEMPLATEAbbreviations"/>
              <w:rPr>
                <w:rFonts w:ascii="Times New Roman" w:hAnsi="Times New Roman"/>
                <w:sz w:val="24"/>
                <w:szCs w:val="24"/>
              </w:rPr>
            </w:pPr>
            <w:r>
              <w:rPr>
                <w:rFonts w:ascii="Times New Roman" w:hAnsi="Times New Roman"/>
                <w:sz w:val="24"/>
                <w:szCs w:val="24"/>
              </w:rPr>
              <w:t>IA</w:t>
            </w:r>
          </w:p>
        </w:tc>
        <w:tc>
          <w:tcPr>
            <w:tcW w:w="7105" w:type="dxa"/>
            <w:shd w:val="clear" w:color="auto" w:fill="auto"/>
          </w:tcPr>
          <w:p w:rsidR="00AB50C5" w:rsidRDefault="00724275">
            <w:pPr>
              <w:pStyle w:val="TEMPLATEAbbreviations"/>
              <w:rPr>
                <w:rFonts w:ascii="Times New Roman" w:hAnsi="Times New Roman"/>
                <w:sz w:val="24"/>
                <w:szCs w:val="24"/>
              </w:rPr>
            </w:pPr>
            <w:r>
              <w:rPr>
                <w:rFonts w:ascii="Times New Roman" w:hAnsi="Times New Roman"/>
                <w:sz w:val="24"/>
                <w:szCs w:val="24"/>
              </w:rPr>
              <w:t>Impact Assessment</w:t>
            </w:r>
          </w:p>
        </w:tc>
      </w:tr>
      <w:tr w:rsidR="00AB50C5">
        <w:tc>
          <w:tcPr>
            <w:tcW w:w="1457" w:type="dxa"/>
            <w:shd w:val="clear" w:color="auto" w:fill="auto"/>
          </w:tcPr>
          <w:p w:rsidR="00AB50C5" w:rsidRDefault="00724275">
            <w:pPr>
              <w:pStyle w:val="TEMPLATEAbbreviations"/>
              <w:rPr>
                <w:rFonts w:ascii="Times New Roman" w:hAnsi="Times New Roman"/>
                <w:sz w:val="24"/>
                <w:szCs w:val="24"/>
              </w:rPr>
            </w:pPr>
            <w:r>
              <w:rPr>
                <w:rFonts w:ascii="Times New Roman" w:hAnsi="Times New Roman"/>
                <w:sz w:val="24"/>
                <w:szCs w:val="24"/>
              </w:rPr>
              <w:t>IPCC</w:t>
            </w:r>
          </w:p>
          <w:p w:rsidR="00AB50C5" w:rsidRDefault="00724275">
            <w:pPr>
              <w:pStyle w:val="TEMPLATEAbbreviations"/>
              <w:rPr>
                <w:rFonts w:ascii="Times New Roman" w:hAnsi="Times New Roman"/>
                <w:sz w:val="24"/>
                <w:szCs w:val="24"/>
              </w:rPr>
            </w:pPr>
            <w:r>
              <w:rPr>
                <w:rFonts w:ascii="Times New Roman" w:hAnsi="Times New Roman"/>
                <w:sz w:val="24"/>
                <w:szCs w:val="24"/>
              </w:rPr>
              <w:t>JRC</w:t>
            </w:r>
          </w:p>
        </w:tc>
        <w:tc>
          <w:tcPr>
            <w:tcW w:w="7105" w:type="dxa"/>
            <w:shd w:val="clear" w:color="auto" w:fill="auto"/>
          </w:tcPr>
          <w:p w:rsidR="00AB50C5" w:rsidRDefault="00724275">
            <w:pPr>
              <w:pStyle w:val="TEMPLATEAbbreviations"/>
              <w:rPr>
                <w:rFonts w:ascii="Times New Roman" w:hAnsi="Times New Roman"/>
                <w:sz w:val="24"/>
                <w:szCs w:val="24"/>
              </w:rPr>
            </w:pPr>
            <w:r>
              <w:rPr>
                <w:rFonts w:ascii="Times New Roman" w:hAnsi="Times New Roman"/>
                <w:sz w:val="24"/>
                <w:szCs w:val="24"/>
              </w:rPr>
              <w:t>Intergovernmental Panel on Climate Change</w:t>
            </w:r>
          </w:p>
          <w:p w:rsidR="00AB50C5" w:rsidRDefault="00724275">
            <w:pPr>
              <w:pStyle w:val="TEMPLATEAbbreviations"/>
              <w:rPr>
                <w:rFonts w:ascii="Times New Roman" w:hAnsi="Times New Roman"/>
                <w:sz w:val="24"/>
                <w:szCs w:val="24"/>
              </w:rPr>
            </w:pPr>
            <w:r>
              <w:rPr>
                <w:rFonts w:ascii="Times New Roman" w:hAnsi="Times New Roman"/>
                <w:sz w:val="24"/>
                <w:szCs w:val="24"/>
              </w:rPr>
              <w:t xml:space="preserve">Joint Research </w:t>
            </w:r>
            <w:r>
              <w:rPr>
                <w:rFonts w:ascii="Times New Roman" w:hAnsi="Times New Roman"/>
                <w:sz w:val="24"/>
                <w:szCs w:val="24"/>
              </w:rPr>
              <w:t>Center</w:t>
            </w:r>
          </w:p>
        </w:tc>
      </w:tr>
      <w:tr w:rsidR="00AB50C5">
        <w:tc>
          <w:tcPr>
            <w:tcW w:w="1457" w:type="dxa"/>
            <w:shd w:val="clear" w:color="auto" w:fill="auto"/>
          </w:tcPr>
          <w:p w:rsidR="00AB50C5" w:rsidRDefault="00724275">
            <w:pPr>
              <w:pStyle w:val="TEMPLATEAbbreviations"/>
              <w:rPr>
                <w:rFonts w:ascii="Times New Roman" w:hAnsi="Times New Roman"/>
                <w:sz w:val="24"/>
                <w:szCs w:val="24"/>
              </w:rPr>
            </w:pPr>
            <w:r>
              <w:rPr>
                <w:rFonts w:ascii="Times New Roman" w:hAnsi="Times New Roman"/>
                <w:sz w:val="24"/>
                <w:szCs w:val="24"/>
              </w:rPr>
              <w:t>LPDs</w:t>
            </w:r>
          </w:p>
        </w:tc>
        <w:tc>
          <w:tcPr>
            <w:tcW w:w="7105" w:type="dxa"/>
            <w:shd w:val="clear" w:color="auto" w:fill="auto"/>
          </w:tcPr>
          <w:p w:rsidR="00AB50C5" w:rsidRDefault="00724275">
            <w:pPr>
              <w:pStyle w:val="TEMPLATEAbbreviations"/>
              <w:rPr>
                <w:rFonts w:ascii="Times New Roman" w:hAnsi="Times New Roman"/>
                <w:sz w:val="24"/>
                <w:szCs w:val="24"/>
              </w:rPr>
            </w:pPr>
            <w:r>
              <w:rPr>
                <w:rFonts w:ascii="Times New Roman" w:hAnsi="Times New Roman"/>
                <w:sz w:val="24"/>
                <w:szCs w:val="24"/>
              </w:rPr>
              <w:t xml:space="preserve">Legislations, Policies and Directives </w:t>
            </w:r>
          </w:p>
        </w:tc>
      </w:tr>
      <w:tr w:rsidR="00AB50C5">
        <w:tc>
          <w:tcPr>
            <w:tcW w:w="1457" w:type="dxa"/>
            <w:shd w:val="clear" w:color="auto" w:fill="auto"/>
          </w:tcPr>
          <w:p w:rsidR="00AB50C5" w:rsidRDefault="00724275">
            <w:pPr>
              <w:pStyle w:val="TEMPLATEAbbreviations"/>
              <w:rPr>
                <w:rFonts w:ascii="Times New Roman" w:hAnsi="Times New Roman"/>
                <w:sz w:val="24"/>
                <w:szCs w:val="24"/>
              </w:rPr>
            </w:pPr>
            <w:r>
              <w:rPr>
                <w:rFonts w:ascii="Times New Roman" w:hAnsi="Times New Roman"/>
                <w:sz w:val="24"/>
                <w:szCs w:val="24"/>
              </w:rPr>
              <w:t>NATURA 2000</w:t>
            </w:r>
          </w:p>
        </w:tc>
        <w:tc>
          <w:tcPr>
            <w:tcW w:w="7105" w:type="dxa"/>
            <w:shd w:val="clear" w:color="auto" w:fill="auto"/>
          </w:tcPr>
          <w:p w:rsidR="00AB50C5" w:rsidRDefault="00724275">
            <w:pPr>
              <w:pStyle w:val="TEMPLATEAbbreviations"/>
              <w:jc w:val="both"/>
              <w:rPr>
                <w:rFonts w:ascii="Times New Roman" w:hAnsi="Times New Roman"/>
                <w:sz w:val="24"/>
                <w:szCs w:val="24"/>
              </w:rPr>
            </w:pPr>
            <w:r>
              <w:rPr>
                <w:rFonts w:ascii="Times New Roman" w:hAnsi="Times New Roman"/>
                <w:sz w:val="24"/>
                <w:szCs w:val="24"/>
              </w:rPr>
              <w:t xml:space="preserve">European ecological network aimed at promoting the conservation of natural sites and wildlife habitats while taking into account the economic, social and cultural needs and the particular </w:t>
            </w:r>
            <w:r>
              <w:rPr>
                <w:rFonts w:ascii="Times New Roman" w:hAnsi="Times New Roman"/>
                <w:sz w:val="24"/>
                <w:szCs w:val="24"/>
              </w:rPr>
              <w:t>regional and local features of each Member State. The network is the result of several directives on the conservation of habitats and species, adopted by the European Commission in the wake of the 1992 Rio Conference to deal with the worrying decline in bi</w:t>
            </w:r>
            <w:r>
              <w:rPr>
                <w:rFonts w:ascii="Times New Roman" w:hAnsi="Times New Roman"/>
                <w:sz w:val="24"/>
                <w:szCs w:val="24"/>
              </w:rPr>
              <w:t>odiversity.</w:t>
            </w:r>
          </w:p>
        </w:tc>
      </w:tr>
      <w:tr w:rsidR="00AB50C5">
        <w:tc>
          <w:tcPr>
            <w:tcW w:w="1457" w:type="dxa"/>
            <w:shd w:val="clear" w:color="auto" w:fill="auto"/>
          </w:tcPr>
          <w:p w:rsidR="00AB50C5" w:rsidRDefault="00724275">
            <w:pPr>
              <w:pStyle w:val="TEMPLATEAbbreviations"/>
              <w:rPr>
                <w:rFonts w:ascii="Times New Roman" w:hAnsi="Times New Roman"/>
                <w:sz w:val="24"/>
                <w:szCs w:val="24"/>
              </w:rPr>
            </w:pPr>
            <w:r>
              <w:rPr>
                <w:rFonts w:ascii="Times New Roman" w:hAnsi="Times New Roman"/>
                <w:sz w:val="24"/>
                <w:szCs w:val="24"/>
              </w:rPr>
              <w:t>NUTS</w:t>
            </w:r>
          </w:p>
        </w:tc>
        <w:tc>
          <w:tcPr>
            <w:tcW w:w="7105" w:type="dxa"/>
            <w:shd w:val="clear" w:color="auto" w:fill="auto"/>
          </w:tcPr>
          <w:p w:rsidR="00AB50C5" w:rsidRDefault="00724275">
            <w:pPr>
              <w:pStyle w:val="TEMPLATEAbbreviations"/>
              <w:rPr>
                <w:rFonts w:ascii="Times New Roman" w:hAnsi="Times New Roman"/>
                <w:sz w:val="24"/>
                <w:szCs w:val="24"/>
              </w:rPr>
            </w:pPr>
            <w:r>
              <w:rPr>
                <w:rFonts w:ascii="Times New Roman" w:hAnsi="Times New Roman"/>
                <w:sz w:val="24"/>
                <w:szCs w:val="24"/>
              </w:rPr>
              <w:t xml:space="preserve">Nomenclature des unites territoriales </w:t>
            </w:r>
          </w:p>
          <w:p w:rsidR="00AB50C5" w:rsidRDefault="00724275">
            <w:pPr>
              <w:pStyle w:val="TEMPLATEAbbreviations"/>
              <w:rPr>
                <w:rFonts w:ascii="Times New Roman" w:hAnsi="Times New Roman"/>
                <w:sz w:val="24"/>
                <w:szCs w:val="24"/>
              </w:rPr>
            </w:pPr>
            <w:r>
              <w:rPr>
                <w:rFonts w:ascii="Times New Roman" w:hAnsi="Times New Roman"/>
                <w:sz w:val="24"/>
                <w:szCs w:val="24"/>
              </w:rPr>
              <w:t>Common classification of territorial units for statistical purposes</w:t>
            </w:r>
          </w:p>
        </w:tc>
      </w:tr>
      <w:tr w:rsidR="00AB50C5">
        <w:tc>
          <w:tcPr>
            <w:tcW w:w="1457" w:type="dxa"/>
            <w:shd w:val="clear" w:color="auto" w:fill="auto"/>
          </w:tcPr>
          <w:p w:rsidR="00AB50C5" w:rsidRDefault="00724275">
            <w:pPr>
              <w:pStyle w:val="TEMPLATEAbbreviations"/>
              <w:rPr>
                <w:rFonts w:ascii="Times New Roman" w:hAnsi="Times New Roman"/>
                <w:sz w:val="24"/>
                <w:szCs w:val="24"/>
              </w:rPr>
            </w:pPr>
            <w:r>
              <w:rPr>
                <w:rFonts w:ascii="Times New Roman" w:hAnsi="Times New Roman"/>
                <w:sz w:val="24"/>
                <w:szCs w:val="24"/>
              </w:rPr>
              <w:t>ÖIR</w:t>
            </w:r>
          </w:p>
        </w:tc>
        <w:tc>
          <w:tcPr>
            <w:tcW w:w="7105" w:type="dxa"/>
            <w:shd w:val="clear" w:color="auto" w:fill="auto"/>
          </w:tcPr>
          <w:p w:rsidR="00AB50C5" w:rsidRDefault="00724275">
            <w:pPr>
              <w:pStyle w:val="TEMPLATEAbbreviations"/>
              <w:rPr>
                <w:rFonts w:ascii="Times New Roman" w:hAnsi="Times New Roman"/>
                <w:sz w:val="24"/>
                <w:szCs w:val="24"/>
                <w:lang w:val="de-AT"/>
              </w:rPr>
            </w:pPr>
            <w:r>
              <w:rPr>
                <w:rFonts w:ascii="Times New Roman" w:hAnsi="Times New Roman"/>
                <w:sz w:val="24"/>
                <w:szCs w:val="24"/>
                <w:lang w:val="de-AT"/>
              </w:rPr>
              <w:t>Österreichisches Institut für Raumplanung/ÖIR GmbH</w:t>
            </w:r>
          </w:p>
        </w:tc>
      </w:tr>
      <w:tr w:rsidR="00AB50C5">
        <w:tc>
          <w:tcPr>
            <w:tcW w:w="1457" w:type="dxa"/>
            <w:shd w:val="clear" w:color="auto" w:fill="auto"/>
          </w:tcPr>
          <w:p w:rsidR="00AB50C5" w:rsidRDefault="00724275">
            <w:pPr>
              <w:pStyle w:val="TEMPLATEAbbreviations"/>
              <w:rPr>
                <w:rFonts w:ascii="Times New Roman" w:hAnsi="Times New Roman"/>
                <w:sz w:val="24"/>
                <w:szCs w:val="24"/>
              </w:rPr>
            </w:pPr>
            <w:r>
              <w:rPr>
                <w:rFonts w:ascii="Times New Roman" w:hAnsi="Times New Roman"/>
                <w:sz w:val="24"/>
                <w:szCs w:val="24"/>
              </w:rPr>
              <w:t>PM10</w:t>
            </w:r>
          </w:p>
        </w:tc>
        <w:tc>
          <w:tcPr>
            <w:tcW w:w="7105" w:type="dxa"/>
            <w:shd w:val="clear" w:color="auto" w:fill="auto"/>
          </w:tcPr>
          <w:p w:rsidR="00AB50C5" w:rsidRDefault="00724275">
            <w:pPr>
              <w:pStyle w:val="TEMPLATEAbbreviations"/>
              <w:rPr>
                <w:rFonts w:ascii="Times New Roman" w:hAnsi="Times New Roman"/>
                <w:sz w:val="24"/>
                <w:szCs w:val="24"/>
              </w:rPr>
            </w:pPr>
            <w:r>
              <w:rPr>
                <w:rFonts w:ascii="Times New Roman" w:hAnsi="Times New Roman"/>
                <w:sz w:val="24"/>
                <w:szCs w:val="24"/>
              </w:rPr>
              <w:t>Particulate Matter</w:t>
            </w:r>
          </w:p>
        </w:tc>
      </w:tr>
      <w:tr w:rsidR="00AB50C5">
        <w:tc>
          <w:tcPr>
            <w:tcW w:w="1457" w:type="dxa"/>
            <w:shd w:val="clear" w:color="auto" w:fill="auto"/>
          </w:tcPr>
          <w:p w:rsidR="00AB50C5" w:rsidRDefault="00724275">
            <w:pPr>
              <w:pStyle w:val="TEMPLATEAbbreviations"/>
              <w:rPr>
                <w:rFonts w:ascii="Times New Roman" w:hAnsi="Times New Roman"/>
                <w:sz w:val="24"/>
                <w:szCs w:val="24"/>
              </w:rPr>
            </w:pPr>
            <w:r>
              <w:rPr>
                <w:rFonts w:ascii="Times New Roman" w:hAnsi="Times New Roman"/>
                <w:sz w:val="24"/>
                <w:szCs w:val="24"/>
              </w:rPr>
              <w:t>R&amp;D</w:t>
            </w:r>
          </w:p>
        </w:tc>
        <w:tc>
          <w:tcPr>
            <w:tcW w:w="7105" w:type="dxa"/>
            <w:shd w:val="clear" w:color="auto" w:fill="auto"/>
          </w:tcPr>
          <w:p w:rsidR="00AB50C5" w:rsidRDefault="00724275">
            <w:pPr>
              <w:pStyle w:val="TEMPLATEAbbreviations"/>
              <w:rPr>
                <w:rFonts w:ascii="Times New Roman" w:hAnsi="Times New Roman"/>
                <w:sz w:val="24"/>
                <w:szCs w:val="24"/>
              </w:rPr>
            </w:pPr>
            <w:r>
              <w:rPr>
                <w:rFonts w:ascii="Times New Roman" w:hAnsi="Times New Roman"/>
                <w:sz w:val="24"/>
                <w:szCs w:val="24"/>
              </w:rPr>
              <w:t>Research &amp; Development</w:t>
            </w:r>
          </w:p>
        </w:tc>
      </w:tr>
      <w:tr w:rsidR="00AB50C5">
        <w:tc>
          <w:tcPr>
            <w:tcW w:w="1457" w:type="dxa"/>
            <w:shd w:val="clear" w:color="auto" w:fill="auto"/>
          </w:tcPr>
          <w:p w:rsidR="00AB50C5" w:rsidRDefault="00724275">
            <w:pPr>
              <w:pStyle w:val="TEMPLATEAbbreviations"/>
              <w:rPr>
                <w:rFonts w:ascii="Times New Roman" w:hAnsi="Times New Roman"/>
                <w:sz w:val="24"/>
                <w:szCs w:val="24"/>
              </w:rPr>
            </w:pPr>
            <w:r>
              <w:rPr>
                <w:rFonts w:ascii="Times New Roman" w:hAnsi="Times New Roman"/>
                <w:sz w:val="24"/>
                <w:szCs w:val="24"/>
              </w:rPr>
              <w:t>TIA</w:t>
            </w:r>
          </w:p>
        </w:tc>
        <w:tc>
          <w:tcPr>
            <w:tcW w:w="7105" w:type="dxa"/>
            <w:shd w:val="clear" w:color="auto" w:fill="auto"/>
          </w:tcPr>
          <w:p w:rsidR="00AB50C5" w:rsidRDefault="00724275">
            <w:pPr>
              <w:pStyle w:val="TEMPLATEAbbreviations"/>
              <w:rPr>
                <w:rFonts w:ascii="Times New Roman" w:hAnsi="Times New Roman"/>
                <w:sz w:val="24"/>
                <w:szCs w:val="24"/>
              </w:rPr>
            </w:pPr>
            <w:r>
              <w:rPr>
                <w:rFonts w:ascii="Times New Roman" w:hAnsi="Times New Roman"/>
                <w:sz w:val="24"/>
                <w:szCs w:val="24"/>
              </w:rPr>
              <w:t xml:space="preserve">Territorial </w:t>
            </w:r>
            <w:r>
              <w:rPr>
                <w:rFonts w:ascii="Times New Roman" w:hAnsi="Times New Roman"/>
                <w:sz w:val="24"/>
                <w:szCs w:val="24"/>
              </w:rPr>
              <w:t>Impact Assessment</w:t>
            </w:r>
          </w:p>
        </w:tc>
      </w:tr>
      <w:tr w:rsidR="00AB50C5">
        <w:tc>
          <w:tcPr>
            <w:tcW w:w="1457" w:type="dxa"/>
            <w:shd w:val="clear" w:color="auto" w:fill="auto"/>
          </w:tcPr>
          <w:p w:rsidR="00AB50C5" w:rsidRDefault="00724275">
            <w:pPr>
              <w:pStyle w:val="TEMPLATEAbbreviations"/>
              <w:rPr>
                <w:rFonts w:ascii="Times New Roman" w:hAnsi="Times New Roman"/>
                <w:sz w:val="24"/>
                <w:szCs w:val="24"/>
              </w:rPr>
            </w:pPr>
            <w:r>
              <w:rPr>
                <w:rFonts w:ascii="Times New Roman" w:hAnsi="Times New Roman"/>
                <w:sz w:val="24"/>
                <w:szCs w:val="24"/>
              </w:rPr>
              <w:t>UK</w:t>
            </w:r>
          </w:p>
        </w:tc>
        <w:tc>
          <w:tcPr>
            <w:tcW w:w="7105" w:type="dxa"/>
            <w:shd w:val="clear" w:color="auto" w:fill="auto"/>
          </w:tcPr>
          <w:p w:rsidR="00AB50C5" w:rsidRDefault="00724275">
            <w:pPr>
              <w:pStyle w:val="TEMPLATEAbbreviations"/>
              <w:rPr>
                <w:rFonts w:ascii="Times New Roman" w:hAnsi="Times New Roman"/>
                <w:sz w:val="24"/>
                <w:szCs w:val="24"/>
              </w:rPr>
            </w:pPr>
            <w:r>
              <w:rPr>
                <w:rFonts w:ascii="Times New Roman" w:hAnsi="Times New Roman"/>
                <w:sz w:val="24"/>
                <w:szCs w:val="24"/>
              </w:rPr>
              <w:t>United Kingdom</w:t>
            </w:r>
          </w:p>
        </w:tc>
      </w:tr>
      <w:tr w:rsidR="00AB50C5">
        <w:tc>
          <w:tcPr>
            <w:tcW w:w="1457" w:type="dxa"/>
            <w:shd w:val="clear" w:color="auto" w:fill="auto"/>
          </w:tcPr>
          <w:p w:rsidR="00AB50C5" w:rsidRDefault="00724275">
            <w:pPr>
              <w:pStyle w:val="TEMPLATEAbbreviations"/>
              <w:rPr>
                <w:rFonts w:ascii="Times New Roman" w:hAnsi="Times New Roman"/>
                <w:sz w:val="24"/>
                <w:szCs w:val="24"/>
              </w:rPr>
            </w:pPr>
            <w:r>
              <w:rPr>
                <w:rFonts w:ascii="Times New Roman" w:hAnsi="Times New Roman"/>
                <w:sz w:val="24"/>
                <w:szCs w:val="24"/>
              </w:rPr>
              <w:t>UWWTD</w:t>
            </w:r>
          </w:p>
          <w:p w:rsidR="00AB50C5" w:rsidRDefault="00724275">
            <w:pPr>
              <w:pStyle w:val="TEMPLATEAbbreviations"/>
              <w:rPr>
                <w:rFonts w:ascii="Times New Roman" w:hAnsi="Times New Roman"/>
                <w:sz w:val="24"/>
                <w:szCs w:val="24"/>
              </w:rPr>
            </w:pPr>
            <w:r>
              <w:rPr>
                <w:rFonts w:ascii="Times New Roman" w:hAnsi="Times New Roman"/>
                <w:sz w:val="24"/>
                <w:szCs w:val="24"/>
              </w:rPr>
              <w:t>WWTP</w:t>
            </w:r>
          </w:p>
        </w:tc>
        <w:tc>
          <w:tcPr>
            <w:tcW w:w="7105" w:type="dxa"/>
            <w:shd w:val="clear" w:color="auto" w:fill="auto"/>
          </w:tcPr>
          <w:p w:rsidR="00AB50C5" w:rsidRDefault="00724275">
            <w:pPr>
              <w:pStyle w:val="TEMPLATEAbbreviations"/>
              <w:rPr>
                <w:rFonts w:ascii="Times New Roman" w:hAnsi="Times New Roman"/>
                <w:sz w:val="24"/>
                <w:szCs w:val="24"/>
              </w:rPr>
            </w:pPr>
            <w:r>
              <w:rPr>
                <w:rFonts w:ascii="Times New Roman" w:hAnsi="Times New Roman"/>
                <w:sz w:val="24"/>
                <w:szCs w:val="24"/>
              </w:rPr>
              <w:t>Urban Wastewater Treatment Directive</w:t>
            </w:r>
          </w:p>
          <w:p w:rsidR="00AB50C5" w:rsidRDefault="00724275">
            <w:pPr>
              <w:pStyle w:val="TEMPLATEAbbreviations"/>
              <w:rPr>
                <w:rFonts w:ascii="Times New Roman" w:hAnsi="Times New Roman"/>
                <w:sz w:val="24"/>
                <w:szCs w:val="24"/>
              </w:rPr>
            </w:pPr>
            <w:r>
              <w:rPr>
                <w:rFonts w:ascii="Times New Roman" w:hAnsi="Times New Roman"/>
                <w:sz w:val="24"/>
                <w:szCs w:val="24"/>
              </w:rPr>
              <w:t>Waste Water Treatment Plant</w:t>
            </w:r>
          </w:p>
        </w:tc>
      </w:tr>
    </w:tbl>
    <w:p w:rsidR="00AB50C5" w:rsidRDefault="00AB50C5">
      <w:pPr>
        <w:rPr>
          <w:noProof/>
        </w:rPr>
      </w:pPr>
    </w:p>
    <w:p w:rsidR="00AB50C5" w:rsidRDefault="00AB50C5">
      <w:pPr>
        <w:rPr>
          <w:noProof/>
        </w:rPr>
      </w:pPr>
    </w:p>
    <w:bookmarkEnd w:id="146"/>
    <w:bookmarkEnd w:id="147"/>
    <w:p w:rsidR="00AB50C5" w:rsidRDefault="00AB50C5">
      <w:pPr>
        <w:pStyle w:val="EText"/>
        <w:rPr>
          <w:noProof/>
        </w:rPr>
      </w:pPr>
    </w:p>
    <w:p w:rsidR="00AB50C5" w:rsidRDefault="00AB50C5">
      <w:pPr>
        <w:pStyle w:val="EText"/>
        <w:rPr>
          <w:noProof/>
        </w:rPr>
        <w:sectPr w:rsidR="00AB50C5">
          <w:headerReference w:type="even" r:id="rId53"/>
          <w:headerReference w:type="default" r:id="rId54"/>
          <w:footerReference w:type="even" r:id="rId55"/>
          <w:footerReference w:type="default" r:id="rId56"/>
          <w:headerReference w:type="first" r:id="rId57"/>
          <w:footerReference w:type="first" r:id="rId58"/>
          <w:endnotePr>
            <w:numFmt w:val="decimal"/>
          </w:endnotePr>
          <w:pgSz w:w="11906" w:h="16838" w:code="9"/>
          <w:pgMar w:top="1417" w:right="1417" w:bottom="1417" w:left="1417" w:header="708" w:footer="708" w:gutter="0"/>
          <w:cols w:space="708"/>
          <w:docGrid w:linePitch="360"/>
        </w:sectPr>
      </w:pPr>
    </w:p>
    <w:p w:rsidR="00AB50C5" w:rsidRDefault="00724275">
      <w:pPr>
        <w:pStyle w:val="Heading1"/>
        <w:keepNext w:val="0"/>
        <w:pageBreakBefore/>
        <w:numPr>
          <w:ilvl w:val="0"/>
          <w:numId w:val="133"/>
        </w:numPr>
        <w:spacing w:before="0" w:after="160"/>
        <w:ind w:left="431" w:hanging="431"/>
        <w:rPr>
          <w:noProof/>
          <w:kern w:val="32"/>
          <w:szCs w:val="24"/>
        </w:rPr>
      </w:pPr>
      <w:bookmarkStart w:id="148" w:name="_Toc438042025"/>
      <w:bookmarkStart w:id="149" w:name="_Toc484768710"/>
      <w:bookmarkStart w:id="150" w:name="_Toc516234797"/>
      <w:bookmarkStart w:id="151" w:name="_Toc471746287"/>
      <w:bookmarkStart w:id="152" w:name="_Toc473795234"/>
      <w:bookmarkStart w:id="153" w:name="_Toc474849413"/>
      <w:bookmarkStart w:id="154" w:name="_Toc474849474"/>
      <w:bookmarkStart w:id="155" w:name="_Toc475108262"/>
      <w:bookmarkStart w:id="156" w:name="_Toc471746288"/>
      <w:r>
        <w:rPr>
          <w:noProof/>
          <w:kern w:val="32"/>
          <w:szCs w:val="24"/>
        </w:rPr>
        <w:t>Introduction</w:t>
      </w:r>
      <w:bookmarkEnd w:id="148"/>
      <w:bookmarkEnd w:id="149"/>
      <w:bookmarkEnd w:id="150"/>
    </w:p>
    <w:p w:rsidR="00AB50C5" w:rsidRDefault="00724275">
      <w:pPr>
        <w:pStyle w:val="Heading2"/>
        <w:numPr>
          <w:ilvl w:val="1"/>
          <w:numId w:val="133"/>
        </w:numPr>
        <w:spacing w:before="60" w:after="160"/>
        <w:ind w:left="578" w:hanging="578"/>
        <w:rPr>
          <w:noProof/>
          <w:szCs w:val="24"/>
        </w:rPr>
      </w:pPr>
      <w:bookmarkStart w:id="157" w:name="_Toc484768711"/>
      <w:bookmarkStart w:id="158" w:name="_Toc516234798"/>
      <w:r>
        <w:rPr>
          <w:noProof/>
          <w:szCs w:val="24"/>
        </w:rPr>
        <w:t>The initiative of the Commission</w:t>
      </w:r>
      <w:r>
        <w:rPr>
          <w:rStyle w:val="FootnoteReference"/>
          <w:noProof/>
          <w:szCs w:val="24"/>
        </w:rPr>
        <w:footnoteReference w:id="11"/>
      </w:r>
      <w:bookmarkEnd w:id="157"/>
      <w:bookmarkEnd w:id="158"/>
    </w:p>
    <w:p w:rsidR="00AB50C5" w:rsidRDefault="00724275">
      <w:pPr>
        <w:spacing w:line="240" w:lineRule="auto"/>
        <w:jc w:val="both"/>
        <w:rPr>
          <w:rFonts w:ascii="Times New Roman" w:hAnsi="Times New Roman" w:cs="Times New Roman"/>
          <w:noProof/>
          <w:sz w:val="24"/>
          <w:szCs w:val="24"/>
        </w:rPr>
      </w:pPr>
      <w:bookmarkStart w:id="159" w:name="_Toc400711225"/>
      <w:r>
        <w:rPr>
          <w:rFonts w:ascii="Times New Roman" w:hAnsi="Times New Roman" w:cs="Times New Roman"/>
          <w:noProof/>
          <w:sz w:val="24"/>
          <w:szCs w:val="24"/>
        </w:rPr>
        <w:t>The European Commission is currently</w:t>
      </w:r>
      <w:r>
        <w:rPr>
          <w:rFonts w:ascii="Times New Roman" w:hAnsi="Times New Roman" w:cs="Times New Roman"/>
          <w:noProof/>
          <w:sz w:val="24"/>
          <w:szCs w:val="24"/>
        </w:rPr>
        <w:t xml:space="preserve"> conducting an Impact Assessment (IA) for an EU initiative on the Development of Minimum Quality Requirements for Water Reuse in Agricultural Irrigation and Aquifer Recharge in order to contribute to reducing water scarcity. The IA focuses on the reuse of </w:t>
      </w:r>
      <w:r>
        <w:rPr>
          <w:rFonts w:ascii="Times New Roman" w:hAnsi="Times New Roman" w:cs="Times New Roman"/>
          <w:noProof/>
          <w:sz w:val="24"/>
          <w:szCs w:val="24"/>
        </w:rPr>
        <w:t>treated wastewater covered by the Directive 91/271/EEC concerning urban waste water treatment.</w:t>
      </w:r>
    </w:p>
    <w:p w:rsidR="00AB50C5" w:rsidRDefault="0072427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only source of wastewater considered in this document is the wastewater covered by the Urban Wastewater Treatment Directive (UWWTD) (91/271/EEC). Thus, the w</w:t>
      </w:r>
      <w:r>
        <w:rPr>
          <w:rFonts w:ascii="Times New Roman" w:hAnsi="Times New Roman" w:cs="Times New Roman"/>
          <w:noProof/>
          <w:sz w:val="24"/>
          <w:szCs w:val="24"/>
        </w:rPr>
        <w:t>astewater considered is urban wastewater defined as domestic wastewater or the mixture of domestic wastewater with industrial wastewater and/or run-off rain water, according to Directive 91/271/EEC). The industrial wastewater considered is from the industr</w:t>
      </w:r>
      <w:r>
        <w:rPr>
          <w:rFonts w:ascii="Times New Roman" w:hAnsi="Times New Roman" w:cs="Times New Roman"/>
          <w:noProof/>
          <w:sz w:val="24"/>
          <w:szCs w:val="24"/>
        </w:rPr>
        <w:t>ial sectors listed in Annex III of the UWWTD.</w:t>
      </w:r>
    </w:p>
    <w:p w:rsidR="00AB50C5" w:rsidRDefault="0072427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health and environmental safety conditions under which wastewater may be reused are not specifically regulated at the EU level. There are no guidelines, regulations or good management practices defined at E</w:t>
      </w:r>
      <w:r>
        <w:rPr>
          <w:rFonts w:ascii="Times New Roman" w:hAnsi="Times New Roman" w:cs="Times New Roman"/>
          <w:noProof/>
          <w:sz w:val="24"/>
          <w:szCs w:val="24"/>
        </w:rPr>
        <w:t xml:space="preserve">uropean Union (EU) level on water quality for water reuse purposes. </w:t>
      </w:r>
    </w:p>
    <w:p w:rsidR="00AB50C5" w:rsidRDefault="0072427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Because of an unclear regulatory framework across EU MS water reuse projects suffer from limited economic attractiveness. This creates difficulties for businesses operating cross-border a</w:t>
      </w:r>
      <w:r>
        <w:rPr>
          <w:rFonts w:ascii="Times New Roman" w:hAnsi="Times New Roman" w:cs="Times New Roman"/>
          <w:noProof/>
          <w:sz w:val="24"/>
          <w:szCs w:val="24"/>
        </w:rPr>
        <w:t>nd also limits the possibility to standardise technologies and benefit from economies of scale. The initiative of the EU Commission shall reduce these barriers and define under which conditions, minimum quality requirements,  the use of reused water for ag</w:t>
      </w:r>
      <w:r>
        <w:rPr>
          <w:rFonts w:ascii="Times New Roman" w:hAnsi="Times New Roman" w:cs="Times New Roman"/>
          <w:noProof/>
          <w:sz w:val="24"/>
          <w:szCs w:val="24"/>
        </w:rPr>
        <w:t xml:space="preserve">ricultural irrigation and aquifer recharge is safe. </w:t>
      </w:r>
    </w:p>
    <w:p w:rsidR="00AB50C5" w:rsidRDefault="00724275">
      <w:pPr>
        <w:pStyle w:val="Heading2"/>
        <w:numPr>
          <w:ilvl w:val="1"/>
          <w:numId w:val="133"/>
        </w:numPr>
        <w:spacing w:before="60" w:after="160"/>
        <w:ind w:left="578" w:hanging="578"/>
        <w:rPr>
          <w:noProof/>
          <w:szCs w:val="24"/>
        </w:rPr>
      </w:pPr>
      <w:bookmarkStart w:id="160" w:name="_Toc484768712"/>
      <w:bookmarkStart w:id="161" w:name="_Toc516234799"/>
      <w:r>
        <w:rPr>
          <w:noProof/>
          <w:szCs w:val="24"/>
        </w:rPr>
        <w:t>The approach of the ESPON TIA quick check</w:t>
      </w:r>
      <w:bookmarkEnd w:id="160"/>
      <w:bookmarkEnd w:id="161"/>
    </w:p>
    <w:p w:rsidR="00AB50C5" w:rsidRDefault="0072427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concept of territorial impact assessment (TIA) aims at showing the regional differentiation of the impact of EU policies. The ESPON TIA Tool</w:t>
      </w:r>
      <w:r>
        <w:rPr>
          <w:noProof/>
        </w:rPr>
        <w:footnoteReference w:id="12"/>
      </w:r>
      <w:r>
        <w:rPr>
          <w:rFonts w:ascii="Times New Roman" w:hAnsi="Times New Roman" w:cs="Times New Roman"/>
          <w:noProof/>
          <w:sz w:val="24"/>
          <w:szCs w:val="24"/>
        </w:rPr>
        <w:t xml:space="preserve"> is an interacti</w:t>
      </w:r>
      <w:r>
        <w:rPr>
          <w:rFonts w:ascii="Times New Roman" w:hAnsi="Times New Roman" w:cs="Times New Roman"/>
          <w:noProof/>
          <w:sz w:val="24"/>
          <w:szCs w:val="24"/>
        </w:rPr>
        <w:t>ve web application that can be used to support policy makers and practitioners with identifying, ex-ante, potential territorial impacts of new EU legislations. The “ESPON TIA quick check” approach combines a workshop setting for identifying systemic relati</w:t>
      </w:r>
      <w:r>
        <w:rPr>
          <w:rFonts w:ascii="Times New Roman" w:hAnsi="Times New Roman" w:cs="Times New Roman"/>
          <w:noProof/>
          <w:sz w:val="24"/>
          <w:szCs w:val="24"/>
        </w:rPr>
        <w:t>ons between a policy and its territorial consequences with a set of indicators describing the sensitivity of European regions. It helps to steer an expert discussion about the potential territorial effects of an EU initiative by discussing all relevant ind</w:t>
      </w:r>
      <w:r>
        <w:rPr>
          <w:rFonts w:ascii="Times New Roman" w:hAnsi="Times New Roman" w:cs="Times New Roman"/>
          <w:noProof/>
          <w:sz w:val="24"/>
          <w:szCs w:val="24"/>
        </w:rPr>
        <w:t>icators in a workshop setting. The results of the guided expert discussion are judgments about the potential territorial impact of an EU policy considering different thematic fields (economy, society, environment, governance) for a range of indicators. The</w:t>
      </w:r>
      <w:r>
        <w:rPr>
          <w:rFonts w:ascii="Times New Roman" w:hAnsi="Times New Roman" w:cs="Times New Roman"/>
          <w:noProof/>
          <w:sz w:val="24"/>
          <w:szCs w:val="24"/>
        </w:rPr>
        <w:t xml:space="preserve">se results are fed into the ESPON TIA Quick Check web tool. </w:t>
      </w:r>
    </w:p>
    <w:p w:rsidR="00AB50C5" w:rsidRDefault="0072427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web tool translates the combination of the expert judgments on exposure with the different sensitivity of regions into maps showing the potential territorial impact of EU policy on NUTS3 leve</w:t>
      </w:r>
      <w:r>
        <w:rPr>
          <w:rFonts w:ascii="Times New Roman" w:hAnsi="Times New Roman" w:cs="Times New Roman"/>
          <w:noProof/>
          <w:sz w:val="24"/>
          <w:szCs w:val="24"/>
        </w:rPr>
        <w:t>l. These maps serve as starting point for the further discussion of different impacts of a concrete EU policy on different regions. Consequently, the experts participating in the workshop provide an important input for this quick check on potential territo</w:t>
      </w:r>
      <w:r>
        <w:rPr>
          <w:rFonts w:ascii="Times New Roman" w:hAnsi="Times New Roman" w:cs="Times New Roman"/>
          <w:noProof/>
          <w:sz w:val="24"/>
          <w:szCs w:val="24"/>
        </w:rPr>
        <w:t>rial effects of an EU initiative.</w:t>
      </w:r>
    </w:p>
    <w:p w:rsidR="00AB50C5" w:rsidRDefault="0072427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workshop on the development of minimum quality requirements for reused water in agricultural irrigation and aquifer recharge was held on 5 April 2017 in Brussels and brought together 24 experts representing different s</w:t>
      </w:r>
      <w:r>
        <w:rPr>
          <w:rFonts w:ascii="Times New Roman" w:hAnsi="Times New Roman" w:cs="Times New Roman"/>
          <w:noProof/>
          <w:sz w:val="24"/>
          <w:szCs w:val="24"/>
        </w:rPr>
        <w:t>takeholders, as e.g. national, regional and local authorities, NGOs and environmental institutions and European institutions such as the European Commission (DG REGIO, DG ENV, DG SANTE, DG AGRI) and the European Committee of the Regions.</w:t>
      </w:r>
    </w:p>
    <w:p w:rsidR="00AB50C5" w:rsidRDefault="0072427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Two moderators fro</w:t>
      </w:r>
      <w:r>
        <w:rPr>
          <w:rFonts w:ascii="Times New Roman" w:hAnsi="Times New Roman" w:cs="Times New Roman"/>
          <w:noProof/>
          <w:sz w:val="24"/>
          <w:szCs w:val="24"/>
        </w:rPr>
        <w:t xml:space="preserve">m the ÖIR, provided by ESPON, prepared and guided the workshop and handled the ESPON TIA tool. </w:t>
      </w:r>
    </w:p>
    <w:p w:rsidR="00AB50C5" w:rsidRDefault="00724275">
      <w:pPr>
        <w:pStyle w:val="Caption"/>
        <w:rPr>
          <w:noProof/>
          <w:szCs w:val="22"/>
        </w:rPr>
      </w:pPr>
      <w:bookmarkStart w:id="162" w:name="_Toc484768759"/>
      <w:r>
        <w:rPr>
          <w:noProof/>
        </w:rPr>
        <w:t xml:space="preserve">Figure </w:t>
      </w:r>
      <w:r>
        <w:rPr>
          <w:noProof/>
        </w:rPr>
        <w:fldChar w:fldCharType="begin"/>
      </w:r>
      <w:r>
        <w:rPr>
          <w:noProof/>
        </w:rPr>
        <w:instrText xml:space="preserve"> STYLEREF 1 \s </w:instrText>
      </w:r>
      <w:r>
        <w:rPr>
          <w:noProof/>
        </w:rPr>
        <w:fldChar w:fldCharType="separate"/>
      </w:r>
      <w:r>
        <w:rPr>
          <w:noProof/>
        </w:rPr>
        <w:t>1</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Pr>
          <w:noProof/>
        </w:rPr>
        <w:t>1</w:t>
      </w:r>
      <w:r>
        <w:rPr>
          <w:noProof/>
        </w:rPr>
        <w:fldChar w:fldCharType="end"/>
      </w:r>
      <w:r>
        <w:rPr>
          <w:noProof/>
        </w:rPr>
        <w:t xml:space="preserve">: </w:t>
      </w:r>
      <w:r>
        <w:rPr>
          <w:noProof/>
          <w:szCs w:val="22"/>
        </w:rPr>
        <w:t>Workshop Discussion</w:t>
      </w:r>
      <w:bookmarkEnd w:id="162"/>
    </w:p>
    <w:p w:rsidR="00AB50C5" w:rsidRDefault="00724275">
      <w:pPr>
        <w:pStyle w:val="Abbildung"/>
        <w:rPr>
          <w:lang w:eastAsia="en-US"/>
        </w:rPr>
      </w:pPr>
      <w:r>
        <w:rPr>
          <w:lang w:eastAsia="en-GB"/>
        </w:rPr>
        <w:drawing>
          <wp:inline distT="0" distB="0" distL="0" distR="0" wp14:anchorId="118CC6EF" wp14:editId="60B867A9">
            <wp:extent cx="5274310" cy="2235200"/>
            <wp:effectExtent l="0" t="0" r="2540" b="0"/>
            <wp:docPr id="35911"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951.JPG"/>
                    <pic:cNvPicPr/>
                  </pic:nvPicPr>
                  <pic:blipFill rotWithShape="1">
                    <a:blip r:embed="rId59" cstate="email">
                      <a:extLst>
                        <a:ext uri="{28A0092B-C50C-407E-A947-70E740481C1C}">
                          <a14:useLocalDpi xmlns:a14="http://schemas.microsoft.com/office/drawing/2010/main"/>
                        </a:ext>
                      </a:extLst>
                    </a:blip>
                    <a:srcRect/>
                    <a:stretch/>
                  </pic:blipFill>
                  <pic:spPr bwMode="auto">
                    <a:xfrm>
                      <a:off x="0" y="0"/>
                      <a:ext cx="5274310" cy="2235200"/>
                    </a:xfrm>
                    <a:prstGeom prst="rect">
                      <a:avLst/>
                    </a:prstGeom>
                    <a:ln>
                      <a:noFill/>
                    </a:ln>
                    <a:extLst>
                      <a:ext uri="{53640926-AAD7-44D8-BBD7-CCE9431645EC}">
                        <a14:shadowObscured xmlns:a14="http://schemas.microsoft.com/office/drawing/2010/main"/>
                      </a:ext>
                    </a:extLst>
                  </pic:spPr>
                </pic:pic>
              </a:graphicData>
            </a:graphic>
          </wp:inline>
        </w:drawing>
      </w:r>
    </w:p>
    <w:p w:rsidR="00AB50C5" w:rsidRDefault="00724275">
      <w:pPr>
        <w:pStyle w:val="Quelle"/>
        <w:rPr>
          <w:noProof/>
        </w:rPr>
      </w:pPr>
      <w:r>
        <w:rPr>
          <w:noProof/>
        </w:rPr>
        <w:t xml:space="preserve">Source: Territorial impact assessment expert workshop, Brussels, 5 April 2017 </w:t>
      </w:r>
      <w:r>
        <w:rPr>
          <w:noProof/>
        </w:rPr>
        <w:t>© ÖIR</w:t>
      </w:r>
    </w:p>
    <w:p w:rsidR="00AB50C5" w:rsidRDefault="00AB50C5">
      <w:pPr>
        <w:pStyle w:val="EText"/>
        <w:rPr>
          <w:noProof/>
        </w:rPr>
      </w:pPr>
    </w:p>
    <w:p w:rsidR="00AB50C5" w:rsidRDefault="00724275">
      <w:pPr>
        <w:pStyle w:val="Heading1"/>
        <w:keepNext w:val="0"/>
        <w:pageBreakBefore/>
        <w:numPr>
          <w:ilvl w:val="0"/>
          <w:numId w:val="133"/>
        </w:numPr>
        <w:spacing w:before="0" w:after="160"/>
        <w:ind w:left="431" w:hanging="431"/>
        <w:jc w:val="left"/>
        <w:rPr>
          <w:noProof/>
          <w:kern w:val="32"/>
          <w:szCs w:val="24"/>
        </w:rPr>
      </w:pPr>
      <w:bookmarkStart w:id="163" w:name="_Toc438042026"/>
      <w:bookmarkStart w:id="164" w:name="_Toc484768713"/>
      <w:bookmarkStart w:id="165" w:name="_Toc516234800"/>
      <w:r>
        <w:rPr>
          <w:noProof/>
          <w:kern w:val="32"/>
          <w:szCs w:val="24"/>
        </w:rPr>
        <w:t>The ESPON TIA Quick Check</w:t>
      </w:r>
      <w:bookmarkEnd w:id="163"/>
      <w:r>
        <w:rPr>
          <w:noProof/>
          <w:kern w:val="32"/>
          <w:szCs w:val="24"/>
        </w:rPr>
        <w:t xml:space="preserve"> workshop – identifying potential effects on the territory</w:t>
      </w:r>
      <w:bookmarkEnd w:id="164"/>
      <w:bookmarkEnd w:id="165"/>
    </w:p>
    <w:p w:rsidR="00AB50C5" w:rsidRDefault="00724275">
      <w:pPr>
        <w:pStyle w:val="Heading2"/>
        <w:numPr>
          <w:ilvl w:val="1"/>
          <w:numId w:val="133"/>
        </w:numPr>
        <w:spacing w:before="60" w:after="160"/>
        <w:ind w:left="578" w:hanging="578"/>
        <w:jc w:val="left"/>
        <w:rPr>
          <w:noProof/>
          <w:kern w:val="32"/>
          <w:szCs w:val="24"/>
        </w:rPr>
      </w:pPr>
      <w:bookmarkStart w:id="166" w:name="_Toc438042027"/>
      <w:bookmarkStart w:id="167" w:name="_Toc484768714"/>
      <w:bookmarkStart w:id="168" w:name="_Toc516234801"/>
      <w:r>
        <w:rPr>
          <w:noProof/>
          <w:kern w:val="32"/>
          <w:szCs w:val="24"/>
        </w:rPr>
        <w:t xml:space="preserve">Identifying the effects </w:t>
      </w:r>
      <w:bookmarkEnd w:id="159"/>
      <w:bookmarkEnd w:id="166"/>
      <w:r>
        <w:rPr>
          <w:noProof/>
          <w:kern w:val="32"/>
          <w:szCs w:val="24"/>
        </w:rPr>
        <w:t xml:space="preserve">considering </w:t>
      </w:r>
      <w:r>
        <w:rPr>
          <w:noProof/>
          <w:szCs w:val="24"/>
        </w:rPr>
        <w:t xml:space="preserve">economy, society, environment and governance related indicators – </w:t>
      </w:r>
      <w:r>
        <w:rPr>
          <w:noProof/>
          <w:kern w:val="32"/>
          <w:szCs w:val="24"/>
        </w:rPr>
        <w:t>drafting a conceptual model</w:t>
      </w:r>
      <w:bookmarkEnd w:id="167"/>
      <w:bookmarkEnd w:id="168"/>
    </w:p>
    <w:p w:rsidR="00AB50C5" w:rsidRDefault="0072427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the first step of the TIA </w:t>
      </w:r>
      <w:r>
        <w:rPr>
          <w:rFonts w:ascii="Times New Roman" w:hAnsi="Times New Roman" w:cs="Times New Roman"/>
          <w:noProof/>
          <w:sz w:val="24"/>
          <w:szCs w:val="24"/>
        </w:rPr>
        <w:t>workshop the participating experts discussed about the potential effects at regional level of the development of minimum quality requirements for reused water in agricultural irrigation and aquifer recharge. This discussion revealed potential territorial i</w:t>
      </w:r>
      <w:r>
        <w:rPr>
          <w:rFonts w:ascii="Times New Roman" w:hAnsi="Times New Roman" w:cs="Times New Roman"/>
          <w:noProof/>
          <w:sz w:val="24"/>
          <w:szCs w:val="24"/>
        </w:rPr>
        <w:t>mpacts of the development of minimum quality requirements in the fields of economy, society, environment and governance. The participants identified potential linkages between the different effects on regions including interdependencies and feed-back-loops</w:t>
      </w:r>
      <w:r>
        <w:rPr>
          <w:rFonts w:ascii="Times New Roman" w:hAnsi="Times New Roman" w:cs="Times New Roman"/>
          <w:noProof/>
          <w:sz w:val="24"/>
          <w:szCs w:val="24"/>
        </w:rPr>
        <w:t xml:space="preserve"> between different effects (see figure below).</w:t>
      </w:r>
    </w:p>
    <w:p w:rsidR="00AB50C5" w:rsidRDefault="00724275">
      <w:pPr>
        <w:pStyle w:val="Caption"/>
        <w:rPr>
          <w:noProof/>
          <w:szCs w:val="22"/>
        </w:rPr>
      </w:pPr>
      <w:bookmarkStart w:id="169" w:name="_Toc400711260"/>
      <w:bookmarkStart w:id="170" w:name="_Toc484768760"/>
      <w:r>
        <w:rPr>
          <w:noProof/>
        </w:rPr>
        <w:t xml:space="preserve">Figure </w:t>
      </w:r>
      <w:r>
        <w:rPr>
          <w:noProof/>
        </w:rPr>
        <w:fldChar w:fldCharType="begin"/>
      </w:r>
      <w:r>
        <w:rPr>
          <w:noProof/>
        </w:rPr>
        <w:instrText xml:space="preserve"> STYLEREF 1 \s </w:instrText>
      </w:r>
      <w:r>
        <w:rPr>
          <w:noProof/>
        </w:rPr>
        <w:fldChar w:fldCharType="separate"/>
      </w:r>
      <w:r>
        <w:rPr>
          <w:noProof/>
        </w:rPr>
        <w:t>2</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Pr>
          <w:noProof/>
        </w:rPr>
        <w:t>1</w:t>
      </w:r>
      <w:r>
        <w:rPr>
          <w:noProof/>
        </w:rPr>
        <w:fldChar w:fldCharType="end"/>
      </w:r>
      <w:r>
        <w:rPr>
          <w:noProof/>
        </w:rPr>
        <w:t xml:space="preserve">: </w:t>
      </w:r>
      <w:r>
        <w:rPr>
          <w:noProof/>
          <w:szCs w:val="22"/>
        </w:rPr>
        <w:t xml:space="preserve">Workshop findings: Conceptual model </w:t>
      </w:r>
      <w:bookmarkEnd w:id="169"/>
      <w:r>
        <w:rPr>
          <w:noProof/>
          <w:szCs w:val="22"/>
        </w:rPr>
        <w:t xml:space="preserve">of the regional effects of the development of minimum quality requirements for reused water in agricultural irrigation and aquifer recharge </w:t>
      </w:r>
      <w:bookmarkEnd w:id="170"/>
    </w:p>
    <w:p w:rsidR="00AB50C5" w:rsidRDefault="00724275">
      <w:pPr>
        <w:pStyle w:val="Abbildung"/>
        <w:rPr>
          <w:lang w:eastAsia="en-US"/>
        </w:rPr>
      </w:pPr>
      <w:r>
        <w:rPr>
          <w:lang w:eastAsia="en-GB"/>
        </w:rPr>
        <w:drawing>
          <wp:inline distT="0" distB="0" distL="0" distR="0" wp14:anchorId="1D6D9803" wp14:editId="106D67DC">
            <wp:extent cx="5295900" cy="3712386"/>
            <wp:effectExtent l="0" t="0" r="0" b="2540"/>
            <wp:docPr id="35912"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5969.JPG"/>
                    <pic:cNvPicPr/>
                  </pic:nvPicPr>
                  <pic:blipFill rotWithShape="1">
                    <a:blip r:embed="rId60" cstate="email">
                      <a:extLst>
                        <a:ext uri="{28A0092B-C50C-407E-A947-70E740481C1C}">
                          <a14:useLocalDpi xmlns:a14="http://schemas.microsoft.com/office/drawing/2010/main"/>
                        </a:ext>
                      </a:extLst>
                    </a:blip>
                    <a:srcRect/>
                    <a:stretch/>
                  </pic:blipFill>
                  <pic:spPr bwMode="auto">
                    <a:xfrm>
                      <a:off x="0" y="0"/>
                      <a:ext cx="5295900" cy="3712386"/>
                    </a:xfrm>
                    <a:prstGeom prst="rect">
                      <a:avLst/>
                    </a:prstGeom>
                    <a:ln>
                      <a:noFill/>
                    </a:ln>
                    <a:extLst>
                      <a:ext uri="{53640926-AAD7-44D8-BBD7-CCE9431645EC}">
                        <a14:shadowObscured xmlns:a14="http://schemas.microsoft.com/office/drawing/2010/main"/>
                      </a:ext>
                    </a:extLst>
                  </pic:spPr>
                </pic:pic>
              </a:graphicData>
            </a:graphic>
          </wp:inline>
        </w:drawing>
      </w:r>
    </w:p>
    <w:p w:rsidR="00AB50C5" w:rsidRDefault="00724275">
      <w:pPr>
        <w:pStyle w:val="Quelle"/>
        <w:rPr>
          <w:noProof/>
        </w:rPr>
      </w:pPr>
      <w:r>
        <w:rPr>
          <w:noProof/>
        </w:rPr>
        <w:t>Source: Territorial impact assessment expert workshop, Brussels, 5 April 2017 © ÖIR</w:t>
      </w:r>
    </w:p>
    <w:p w:rsidR="00AB50C5" w:rsidRDefault="00724275">
      <w:pPr>
        <w:pStyle w:val="Heading5"/>
        <w:spacing w:before="0" w:after="120"/>
        <w:rPr>
          <w:rFonts w:ascii="Times New Roman" w:hAnsi="Times New Roman"/>
          <w:b/>
          <w:noProof/>
          <w:sz w:val="24"/>
        </w:rPr>
      </w:pPr>
      <w:r>
        <w:rPr>
          <w:rFonts w:ascii="Times New Roman" w:hAnsi="Times New Roman"/>
          <w:b/>
          <w:noProof/>
          <w:sz w:val="24"/>
        </w:rPr>
        <w:t>Environment</w:t>
      </w:r>
    </w:p>
    <w:p w:rsidR="00AB50C5" w:rsidRDefault="00724275">
      <w:pPr>
        <w:pStyle w:val="EBP1"/>
        <w:spacing w:line="240" w:lineRule="auto"/>
        <w:ind w:left="567"/>
        <w:rPr>
          <w:rFonts w:ascii="Times New Roman" w:hAnsi="Times New Roman"/>
          <w:noProof/>
          <w:sz w:val="24"/>
          <w:szCs w:val="24"/>
        </w:rPr>
      </w:pPr>
      <w:r>
        <w:rPr>
          <w:rFonts w:ascii="Times New Roman" w:hAnsi="Times New Roman"/>
          <w:noProof/>
          <w:sz w:val="24"/>
          <w:szCs w:val="24"/>
        </w:rPr>
        <w:t>The initiative co</w:t>
      </w:r>
      <w:r>
        <w:rPr>
          <w:rFonts w:ascii="Times New Roman" w:hAnsi="Times New Roman"/>
          <w:noProof/>
          <w:sz w:val="24"/>
          <w:szCs w:val="24"/>
        </w:rPr>
        <w:t>uld contribute to reduce the lack of water in those regions that are suffering from water scarcity. It could be one component to mitigate the effects of climate change connected to water scarcity and draughts.</w:t>
      </w:r>
    </w:p>
    <w:p w:rsidR="00AB50C5" w:rsidRDefault="00724275">
      <w:pPr>
        <w:pStyle w:val="EBP1"/>
        <w:spacing w:line="240" w:lineRule="auto"/>
        <w:ind w:left="567"/>
        <w:rPr>
          <w:rFonts w:ascii="Times New Roman" w:hAnsi="Times New Roman"/>
          <w:noProof/>
          <w:sz w:val="24"/>
          <w:szCs w:val="24"/>
        </w:rPr>
      </w:pPr>
      <w:r>
        <w:rPr>
          <w:rFonts w:ascii="Times New Roman" w:hAnsi="Times New Roman"/>
          <w:noProof/>
          <w:sz w:val="24"/>
          <w:szCs w:val="24"/>
        </w:rPr>
        <w:t>However, low ambitions of the initiative may l</w:t>
      </w:r>
      <w:r>
        <w:rPr>
          <w:rFonts w:ascii="Times New Roman" w:hAnsi="Times New Roman"/>
          <w:noProof/>
          <w:sz w:val="24"/>
          <w:szCs w:val="24"/>
        </w:rPr>
        <w:t>ead to low environmental standards and consequently to negative environmental impacts, especially for ground water.</w:t>
      </w:r>
    </w:p>
    <w:p w:rsidR="00AB50C5" w:rsidRDefault="00724275">
      <w:pPr>
        <w:pStyle w:val="EBP1"/>
        <w:spacing w:line="240" w:lineRule="auto"/>
        <w:ind w:left="567"/>
        <w:rPr>
          <w:rFonts w:ascii="Times New Roman" w:hAnsi="Times New Roman"/>
          <w:noProof/>
          <w:sz w:val="24"/>
          <w:szCs w:val="24"/>
        </w:rPr>
      </w:pPr>
      <w:r>
        <w:rPr>
          <w:rFonts w:ascii="Times New Roman" w:hAnsi="Times New Roman"/>
          <w:noProof/>
          <w:sz w:val="24"/>
          <w:szCs w:val="24"/>
        </w:rPr>
        <w:t>The re-use of waste water may increase energy consumption.</w:t>
      </w:r>
    </w:p>
    <w:p w:rsidR="00AB50C5" w:rsidRDefault="00724275">
      <w:pPr>
        <w:pStyle w:val="EBP1"/>
        <w:spacing w:line="240" w:lineRule="auto"/>
        <w:ind w:left="567"/>
        <w:rPr>
          <w:rFonts w:ascii="Times New Roman" w:hAnsi="Times New Roman"/>
          <w:noProof/>
          <w:sz w:val="24"/>
          <w:szCs w:val="24"/>
        </w:rPr>
      </w:pPr>
      <w:r>
        <w:rPr>
          <w:rFonts w:ascii="Times New Roman" w:hAnsi="Times New Roman"/>
          <w:noProof/>
          <w:sz w:val="24"/>
          <w:szCs w:val="24"/>
        </w:rPr>
        <w:t>Additionally to the use of wastewater for agriculture irrigation, it could also b</w:t>
      </w:r>
      <w:r>
        <w:rPr>
          <w:rFonts w:ascii="Times New Roman" w:hAnsi="Times New Roman"/>
          <w:noProof/>
          <w:sz w:val="24"/>
          <w:szCs w:val="24"/>
        </w:rPr>
        <w:t xml:space="preserve">e used for watering green areas in cities. This could increase the quality of live in </w:t>
      </w:r>
      <w:r>
        <w:rPr>
          <w:rFonts w:ascii="Times New Roman" w:hAnsi="Times New Roman"/>
          <w:b/>
          <w:noProof/>
          <w:sz w:val="24"/>
          <w:szCs w:val="24"/>
        </w:rPr>
        <w:t>urban areas</w:t>
      </w:r>
      <w:r>
        <w:rPr>
          <w:rFonts w:ascii="Times New Roman" w:hAnsi="Times New Roman"/>
          <w:noProof/>
          <w:sz w:val="24"/>
          <w:szCs w:val="24"/>
        </w:rPr>
        <w:t xml:space="preserve"> and reduce CO</w:t>
      </w:r>
      <w:r>
        <w:rPr>
          <w:rFonts w:ascii="Times New Roman" w:hAnsi="Times New Roman"/>
          <w:noProof/>
          <w:sz w:val="24"/>
          <w:szCs w:val="24"/>
          <w:vertAlign w:val="subscript"/>
        </w:rPr>
        <w:t>2</w:t>
      </w:r>
      <w:r>
        <w:rPr>
          <w:rFonts w:ascii="Times New Roman" w:hAnsi="Times New Roman"/>
          <w:noProof/>
          <w:sz w:val="24"/>
          <w:szCs w:val="24"/>
        </w:rPr>
        <w:t xml:space="preserve"> emissions.</w:t>
      </w:r>
    </w:p>
    <w:p w:rsidR="00AB50C5" w:rsidRDefault="00724275">
      <w:pPr>
        <w:pStyle w:val="Heading5"/>
        <w:spacing w:before="0" w:after="120"/>
        <w:rPr>
          <w:rFonts w:ascii="Times New Roman" w:hAnsi="Times New Roman"/>
          <w:b/>
          <w:noProof/>
          <w:sz w:val="24"/>
        </w:rPr>
      </w:pPr>
      <w:r>
        <w:rPr>
          <w:rFonts w:ascii="Times New Roman" w:hAnsi="Times New Roman"/>
          <w:b/>
          <w:noProof/>
          <w:sz w:val="24"/>
        </w:rPr>
        <w:t>Economy</w:t>
      </w:r>
    </w:p>
    <w:p w:rsidR="00AB50C5" w:rsidRDefault="00724275">
      <w:pPr>
        <w:pStyle w:val="EBP1"/>
        <w:spacing w:line="240" w:lineRule="auto"/>
        <w:ind w:left="567"/>
        <w:rPr>
          <w:rFonts w:ascii="Times New Roman" w:hAnsi="Times New Roman"/>
          <w:noProof/>
          <w:sz w:val="24"/>
          <w:szCs w:val="24"/>
        </w:rPr>
      </w:pPr>
      <w:r>
        <w:rPr>
          <w:rFonts w:ascii="Times New Roman" w:hAnsi="Times New Roman"/>
          <w:noProof/>
          <w:sz w:val="24"/>
          <w:szCs w:val="24"/>
        </w:rPr>
        <w:t>The reuse of water and the compliance with quality standards could require infrastructure investments. This could be a trade</w:t>
      </w:r>
      <w:r>
        <w:rPr>
          <w:rFonts w:ascii="Times New Roman" w:hAnsi="Times New Roman"/>
          <w:noProof/>
          <w:sz w:val="24"/>
          <w:szCs w:val="24"/>
        </w:rPr>
        <w:t xml:space="preserve"> barrier compared with non-EU countries that do not foresee such quality standards. However, this could also be a chance for stimulating regional economic growth.</w:t>
      </w:r>
    </w:p>
    <w:p w:rsidR="00AB50C5" w:rsidRDefault="00724275">
      <w:pPr>
        <w:pStyle w:val="EBP1"/>
        <w:spacing w:line="240" w:lineRule="auto"/>
        <w:ind w:left="567"/>
        <w:rPr>
          <w:rFonts w:ascii="Times New Roman" w:hAnsi="Times New Roman"/>
          <w:noProof/>
          <w:sz w:val="24"/>
          <w:szCs w:val="24"/>
        </w:rPr>
      </w:pPr>
      <w:r>
        <w:rPr>
          <w:rFonts w:ascii="Times New Roman" w:hAnsi="Times New Roman"/>
          <w:noProof/>
          <w:sz w:val="24"/>
          <w:szCs w:val="24"/>
        </w:rPr>
        <w:t>Society</w:t>
      </w:r>
    </w:p>
    <w:p w:rsidR="00AB50C5" w:rsidRDefault="00724275">
      <w:pPr>
        <w:pStyle w:val="EBP1"/>
        <w:spacing w:line="240" w:lineRule="auto"/>
        <w:ind w:left="567"/>
        <w:rPr>
          <w:rFonts w:ascii="Times New Roman" w:hAnsi="Times New Roman"/>
          <w:noProof/>
          <w:sz w:val="24"/>
          <w:szCs w:val="24"/>
        </w:rPr>
      </w:pPr>
      <w:r>
        <w:rPr>
          <w:rFonts w:ascii="Times New Roman" w:hAnsi="Times New Roman"/>
          <w:noProof/>
          <w:sz w:val="24"/>
          <w:szCs w:val="24"/>
        </w:rPr>
        <w:t xml:space="preserve">The effect on employment can be twofold. On one hand there is the chance to increase </w:t>
      </w:r>
      <w:r>
        <w:rPr>
          <w:rFonts w:ascii="Times New Roman" w:hAnsi="Times New Roman"/>
          <w:noProof/>
          <w:sz w:val="24"/>
          <w:szCs w:val="24"/>
        </w:rPr>
        <w:t xml:space="preserve">employment in the “new green sectors”. On the other hand, when there is a lack of cost effectiveness, employment in agriculture sector could also decrease. </w:t>
      </w:r>
    </w:p>
    <w:p w:rsidR="00AB50C5" w:rsidRDefault="00724275">
      <w:pPr>
        <w:pStyle w:val="EBP1"/>
        <w:spacing w:line="240" w:lineRule="auto"/>
        <w:ind w:left="567"/>
        <w:rPr>
          <w:rFonts w:ascii="Times New Roman" w:hAnsi="Times New Roman"/>
          <w:noProof/>
          <w:sz w:val="24"/>
          <w:szCs w:val="24"/>
        </w:rPr>
      </w:pPr>
      <w:r>
        <w:rPr>
          <w:rFonts w:ascii="Times New Roman" w:hAnsi="Times New Roman"/>
          <w:noProof/>
          <w:sz w:val="24"/>
          <w:szCs w:val="24"/>
        </w:rPr>
        <w:t>The development of minimum quality requirements for water reuse in agricultural irrigation and aqui</w:t>
      </w:r>
      <w:r>
        <w:rPr>
          <w:rFonts w:ascii="Times New Roman" w:hAnsi="Times New Roman"/>
          <w:noProof/>
          <w:sz w:val="24"/>
          <w:szCs w:val="24"/>
        </w:rPr>
        <w:t>fer recharge could improve the public acceptance of reused water, which could create chances for development, especially in rural areas. Employment opportunities could contribute to stabilize rural society and reduce the decrease of population in rural are</w:t>
      </w:r>
      <w:r>
        <w:rPr>
          <w:rFonts w:ascii="Times New Roman" w:hAnsi="Times New Roman"/>
          <w:noProof/>
          <w:sz w:val="24"/>
          <w:szCs w:val="24"/>
        </w:rPr>
        <w:t>as.</w:t>
      </w:r>
    </w:p>
    <w:p w:rsidR="00AB50C5" w:rsidRDefault="00724275">
      <w:pPr>
        <w:pStyle w:val="Heading5"/>
        <w:spacing w:before="0" w:after="120"/>
        <w:rPr>
          <w:rFonts w:ascii="Times New Roman" w:hAnsi="Times New Roman"/>
          <w:b/>
          <w:noProof/>
          <w:sz w:val="24"/>
        </w:rPr>
      </w:pPr>
      <w:r>
        <w:rPr>
          <w:rFonts w:ascii="Times New Roman" w:hAnsi="Times New Roman"/>
          <w:b/>
          <w:noProof/>
          <w:sz w:val="24"/>
        </w:rPr>
        <w:t>Governance</w:t>
      </w:r>
    </w:p>
    <w:p w:rsidR="00AB50C5" w:rsidRDefault="00724275">
      <w:pPr>
        <w:pStyle w:val="EBP1"/>
        <w:spacing w:line="240" w:lineRule="auto"/>
        <w:ind w:left="567"/>
        <w:rPr>
          <w:rFonts w:ascii="Times New Roman" w:hAnsi="Times New Roman"/>
          <w:noProof/>
          <w:sz w:val="24"/>
          <w:szCs w:val="24"/>
        </w:rPr>
      </w:pPr>
      <w:r>
        <w:rPr>
          <w:rFonts w:ascii="Times New Roman" w:hAnsi="Times New Roman"/>
          <w:noProof/>
          <w:sz w:val="24"/>
          <w:szCs w:val="24"/>
        </w:rPr>
        <w:t>The public could interpret a complicate regulation with long lists linking different quality standards to different types of use of wastewater as a sign that the reuse of water is environmentally dangerous. This could cause a problem with it</w:t>
      </w:r>
      <w:r>
        <w:rPr>
          <w:rFonts w:ascii="Times New Roman" w:hAnsi="Times New Roman"/>
          <w:noProof/>
          <w:sz w:val="24"/>
          <w:szCs w:val="24"/>
        </w:rPr>
        <w:t>s public acceptance.</w:t>
      </w:r>
    </w:p>
    <w:p w:rsidR="00AB50C5" w:rsidRDefault="00724275">
      <w:pPr>
        <w:pStyle w:val="EBP1"/>
        <w:spacing w:line="240" w:lineRule="auto"/>
        <w:ind w:left="567"/>
        <w:rPr>
          <w:rFonts w:ascii="Times New Roman" w:hAnsi="Times New Roman"/>
          <w:noProof/>
          <w:sz w:val="24"/>
          <w:szCs w:val="24"/>
        </w:rPr>
      </w:pPr>
      <w:r>
        <w:rPr>
          <w:rFonts w:ascii="Times New Roman" w:hAnsi="Times New Roman"/>
          <w:noProof/>
          <w:sz w:val="24"/>
          <w:szCs w:val="24"/>
        </w:rPr>
        <w:t>A complicated regulation could be too demanding for its implementation in islands considering the administrative capacity of the public services there. Consequently islands would have competitive disadvantages related to other regions.</w:t>
      </w:r>
    </w:p>
    <w:p w:rsidR="00AB50C5" w:rsidRDefault="00724275">
      <w:pPr>
        <w:pStyle w:val="EBP1"/>
        <w:spacing w:line="240" w:lineRule="auto"/>
        <w:ind w:left="567"/>
        <w:rPr>
          <w:rFonts w:ascii="Times New Roman" w:hAnsi="Times New Roman"/>
          <w:noProof/>
          <w:sz w:val="24"/>
          <w:szCs w:val="24"/>
        </w:rPr>
      </w:pPr>
      <w:r>
        <w:rPr>
          <w:rFonts w:ascii="Times New Roman" w:hAnsi="Times New Roman"/>
          <w:noProof/>
          <w:sz w:val="24"/>
          <w:szCs w:val="24"/>
        </w:rPr>
        <w:t>Some countries have quite high water quality standards, already. There is the fear that the new minimum quality requirements will get in conflict with existing standards and could reduce the level of quality in some MS.</w:t>
      </w:r>
    </w:p>
    <w:p w:rsidR="00AB50C5" w:rsidRDefault="00AB50C5">
      <w:pPr>
        <w:pStyle w:val="EText"/>
        <w:rPr>
          <w:noProof/>
          <w:lang w:eastAsia="en-US"/>
        </w:rPr>
      </w:pPr>
    </w:p>
    <w:p w:rsidR="00AB50C5" w:rsidRDefault="00724275">
      <w:pPr>
        <w:pStyle w:val="Heading2"/>
        <w:numPr>
          <w:ilvl w:val="1"/>
          <w:numId w:val="133"/>
        </w:numPr>
        <w:spacing w:before="60" w:after="160"/>
        <w:ind w:left="578" w:hanging="578"/>
        <w:jc w:val="left"/>
        <w:rPr>
          <w:noProof/>
          <w:kern w:val="32"/>
          <w:szCs w:val="24"/>
        </w:rPr>
      </w:pPr>
      <w:bookmarkStart w:id="171" w:name="_Toc438042028"/>
      <w:bookmarkStart w:id="172" w:name="_Toc484768715"/>
      <w:bookmarkStart w:id="173" w:name="_Toc516234802"/>
      <w:r>
        <w:rPr>
          <w:noProof/>
          <w:kern w:val="32"/>
          <w:szCs w:val="24"/>
        </w:rPr>
        <w:t>Identifying the types of regions p</w:t>
      </w:r>
      <w:r>
        <w:rPr>
          <w:noProof/>
          <w:kern w:val="32"/>
          <w:szCs w:val="24"/>
        </w:rPr>
        <w:t>otentially affected</w:t>
      </w:r>
      <w:bookmarkEnd w:id="171"/>
      <w:bookmarkEnd w:id="172"/>
      <w:bookmarkEnd w:id="173"/>
    </w:p>
    <w:p w:rsidR="00AB50C5" w:rsidRDefault="00724275">
      <w:pPr>
        <w:pStyle w:val="EText"/>
        <w:spacing w:line="240" w:lineRule="auto"/>
        <w:rPr>
          <w:rFonts w:ascii="Times New Roman" w:eastAsiaTheme="minorHAnsi" w:hAnsi="Times New Roman"/>
          <w:noProof/>
          <w:sz w:val="24"/>
          <w:szCs w:val="24"/>
          <w:lang w:eastAsia="en-US"/>
        </w:rPr>
      </w:pPr>
      <w:r>
        <w:rPr>
          <w:rFonts w:ascii="Times New Roman" w:eastAsiaTheme="minorHAnsi" w:hAnsi="Times New Roman"/>
          <w:noProof/>
          <w:sz w:val="24"/>
          <w:szCs w:val="24"/>
          <w:lang w:eastAsia="en-US"/>
        </w:rPr>
        <w:t>The ESPON TIA tool provides several regional typologies</w:t>
      </w:r>
      <w:r>
        <w:rPr>
          <w:rFonts w:eastAsiaTheme="minorHAnsi"/>
          <w:noProof/>
          <w:lang w:eastAsia="en-US"/>
        </w:rPr>
        <w:footnoteReference w:id="13"/>
      </w:r>
      <w:r>
        <w:rPr>
          <w:rFonts w:ascii="Times New Roman" w:eastAsiaTheme="minorHAnsi" w:hAnsi="Times New Roman"/>
          <w:noProof/>
          <w:sz w:val="24"/>
          <w:szCs w:val="24"/>
          <w:lang w:eastAsia="en-US"/>
        </w:rPr>
        <w:t xml:space="preserve"> for analysis taking under consideration the types of territories mentioned in the Lisbon Treaty §174: urban/metropolitan regions; rural regions; sparsely populated regions; regions in industrial transition; cross-border regions; mountainous regions; islan</w:t>
      </w:r>
      <w:r>
        <w:rPr>
          <w:rFonts w:ascii="Times New Roman" w:eastAsiaTheme="minorHAnsi" w:hAnsi="Times New Roman"/>
          <w:noProof/>
          <w:sz w:val="24"/>
          <w:szCs w:val="24"/>
          <w:lang w:eastAsia="en-US"/>
        </w:rPr>
        <w:t>ds and coastal regions. The experts agreed that in general all regions would be affected by the modification of this Commission initiative. Additionally, it was agreed that in some aspects especially rural regions could be affected differently.</w:t>
      </w:r>
    </w:p>
    <w:p w:rsidR="00AB50C5" w:rsidRDefault="00724275">
      <w:pPr>
        <w:pStyle w:val="Heading2"/>
        <w:numPr>
          <w:ilvl w:val="1"/>
          <w:numId w:val="133"/>
        </w:numPr>
        <w:spacing w:before="60" w:after="160"/>
        <w:ind w:left="578" w:hanging="578"/>
        <w:jc w:val="left"/>
        <w:rPr>
          <w:noProof/>
          <w:szCs w:val="24"/>
        </w:rPr>
      </w:pPr>
      <w:bookmarkStart w:id="174" w:name="_Toc484768716"/>
      <w:bookmarkStart w:id="175" w:name="_Toc516234803"/>
      <w:r>
        <w:rPr>
          <w:noProof/>
          <w:szCs w:val="24"/>
        </w:rPr>
        <w:t>Picturing t</w:t>
      </w:r>
      <w:r>
        <w:rPr>
          <w:noProof/>
          <w:szCs w:val="24"/>
        </w:rPr>
        <w:t>he potential territorial effects through relevant indicators</w:t>
      </w:r>
      <w:bookmarkEnd w:id="174"/>
      <w:bookmarkEnd w:id="175"/>
    </w:p>
    <w:p w:rsidR="00AB50C5" w:rsidRDefault="00724275">
      <w:pPr>
        <w:pStyle w:val="EText"/>
        <w:spacing w:line="240" w:lineRule="auto"/>
        <w:rPr>
          <w:rFonts w:ascii="Times New Roman" w:eastAsiaTheme="minorHAnsi" w:hAnsi="Times New Roman"/>
          <w:noProof/>
          <w:sz w:val="24"/>
          <w:szCs w:val="24"/>
          <w:lang w:eastAsia="en-US"/>
        </w:rPr>
      </w:pPr>
      <w:r>
        <w:rPr>
          <w:rFonts w:ascii="Times New Roman" w:eastAsiaTheme="minorHAnsi" w:hAnsi="Times New Roman"/>
          <w:noProof/>
          <w:sz w:val="24"/>
          <w:szCs w:val="24"/>
          <w:lang w:eastAsia="en-US"/>
        </w:rPr>
        <w:t>In order to assess the potential effects pictured in the conceptual model suitable indicators need to be selected related to the economy, environment, society and governance parameters that the experts discussed. The availability of data for all NUTS 3 reg</w:t>
      </w:r>
      <w:r>
        <w:rPr>
          <w:rFonts w:ascii="Times New Roman" w:eastAsiaTheme="minorHAnsi" w:hAnsi="Times New Roman"/>
          <w:noProof/>
          <w:sz w:val="24"/>
          <w:szCs w:val="24"/>
          <w:lang w:eastAsia="en-US"/>
        </w:rPr>
        <w:t xml:space="preserve">ions of the EU is posing certain limitations to indicators that can be used. From the available indicators that the ESPON TIA Quick Check web tool offers The experts chose the following indicators to describe the identified effects. </w:t>
      </w:r>
    </w:p>
    <w:p w:rsidR="00AB50C5" w:rsidRDefault="00724275">
      <w:pPr>
        <w:pStyle w:val="Heading5"/>
        <w:rPr>
          <w:rFonts w:ascii="Times New Roman" w:hAnsi="Times New Roman"/>
          <w:b/>
          <w:noProof/>
          <w:sz w:val="24"/>
        </w:rPr>
      </w:pPr>
      <w:bookmarkStart w:id="176" w:name="_Toc400711226"/>
      <w:r>
        <w:rPr>
          <w:rFonts w:ascii="Times New Roman" w:hAnsi="Times New Roman"/>
          <w:b/>
          <w:noProof/>
          <w:sz w:val="24"/>
        </w:rPr>
        <w:t>Indicators picturing e</w:t>
      </w:r>
      <w:r>
        <w:rPr>
          <w:rFonts w:ascii="Times New Roman" w:hAnsi="Times New Roman"/>
          <w:b/>
          <w:noProof/>
          <w:sz w:val="24"/>
        </w:rPr>
        <w:t>nvironmental effects</w:t>
      </w:r>
    </w:p>
    <w:p w:rsidR="00AB50C5" w:rsidRDefault="00724275">
      <w:pPr>
        <w:pStyle w:val="EBP1"/>
        <w:spacing w:line="240" w:lineRule="auto"/>
        <w:ind w:left="567"/>
        <w:rPr>
          <w:rFonts w:ascii="Times New Roman" w:hAnsi="Times New Roman"/>
          <w:noProof/>
          <w:sz w:val="24"/>
          <w:szCs w:val="24"/>
        </w:rPr>
      </w:pPr>
      <w:r>
        <w:rPr>
          <w:rFonts w:ascii="Times New Roman" w:hAnsi="Times New Roman"/>
          <w:noProof/>
          <w:sz w:val="24"/>
          <w:szCs w:val="24"/>
        </w:rPr>
        <w:t xml:space="preserve">Agriculture depending on irrigated land </w:t>
      </w:r>
    </w:p>
    <w:p w:rsidR="00AB50C5" w:rsidRDefault="00724275">
      <w:pPr>
        <w:pStyle w:val="EBP1"/>
        <w:spacing w:line="240" w:lineRule="auto"/>
        <w:ind w:left="567"/>
        <w:rPr>
          <w:rFonts w:ascii="Times New Roman" w:hAnsi="Times New Roman"/>
          <w:noProof/>
          <w:sz w:val="24"/>
          <w:szCs w:val="24"/>
        </w:rPr>
      </w:pPr>
      <w:r>
        <w:rPr>
          <w:rFonts w:ascii="Times New Roman" w:hAnsi="Times New Roman"/>
          <w:noProof/>
          <w:sz w:val="24"/>
          <w:szCs w:val="24"/>
        </w:rPr>
        <w:t>Regions facing danger of droughts</w:t>
      </w:r>
    </w:p>
    <w:p w:rsidR="00AB50C5" w:rsidRDefault="00724275">
      <w:pPr>
        <w:pStyle w:val="EBP1"/>
        <w:spacing w:line="240" w:lineRule="auto"/>
        <w:ind w:left="567"/>
        <w:rPr>
          <w:rFonts w:ascii="Times New Roman" w:hAnsi="Times New Roman"/>
          <w:noProof/>
          <w:sz w:val="24"/>
          <w:szCs w:val="24"/>
        </w:rPr>
      </w:pPr>
      <w:r>
        <w:rPr>
          <w:rFonts w:ascii="Times New Roman" w:hAnsi="Times New Roman"/>
          <w:noProof/>
          <w:sz w:val="24"/>
          <w:szCs w:val="24"/>
        </w:rPr>
        <w:t xml:space="preserve">Regions facing heat waves </w:t>
      </w:r>
    </w:p>
    <w:p w:rsidR="00AB50C5" w:rsidRDefault="00724275">
      <w:pPr>
        <w:pStyle w:val="EBP1"/>
        <w:spacing w:line="240" w:lineRule="auto"/>
        <w:ind w:left="567"/>
        <w:rPr>
          <w:rFonts w:ascii="Times New Roman" w:hAnsi="Times New Roman"/>
          <w:noProof/>
          <w:sz w:val="24"/>
          <w:szCs w:val="24"/>
        </w:rPr>
      </w:pPr>
      <w:r>
        <w:rPr>
          <w:rFonts w:ascii="Times New Roman" w:hAnsi="Times New Roman"/>
          <w:noProof/>
          <w:sz w:val="24"/>
          <w:szCs w:val="24"/>
        </w:rPr>
        <w:t>Pollutants in soil and ground/surface water</w:t>
      </w:r>
    </w:p>
    <w:p w:rsidR="00AB50C5" w:rsidRDefault="00724275">
      <w:pPr>
        <w:pStyle w:val="Heading5"/>
        <w:rPr>
          <w:rFonts w:ascii="Times New Roman" w:hAnsi="Times New Roman"/>
          <w:b/>
          <w:noProof/>
          <w:sz w:val="24"/>
        </w:rPr>
      </w:pPr>
      <w:r>
        <w:rPr>
          <w:rFonts w:ascii="Times New Roman" w:hAnsi="Times New Roman"/>
          <w:b/>
          <w:noProof/>
          <w:sz w:val="24"/>
        </w:rPr>
        <w:t>Indicators picturing economic effects</w:t>
      </w:r>
    </w:p>
    <w:p w:rsidR="00AB50C5" w:rsidRDefault="00724275">
      <w:pPr>
        <w:pStyle w:val="EBP1"/>
        <w:spacing w:line="240" w:lineRule="auto"/>
        <w:ind w:left="567"/>
        <w:rPr>
          <w:rFonts w:ascii="Times New Roman" w:hAnsi="Times New Roman"/>
          <w:noProof/>
          <w:sz w:val="24"/>
          <w:szCs w:val="24"/>
        </w:rPr>
      </w:pPr>
      <w:r>
        <w:rPr>
          <w:rFonts w:ascii="Times New Roman" w:hAnsi="Times New Roman"/>
          <w:noProof/>
          <w:sz w:val="24"/>
          <w:szCs w:val="24"/>
        </w:rPr>
        <w:t xml:space="preserve">Economic growth </w:t>
      </w:r>
    </w:p>
    <w:p w:rsidR="00AB50C5" w:rsidRDefault="00724275">
      <w:pPr>
        <w:pStyle w:val="EBP1"/>
        <w:spacing w:line="240" w:lineRule="auto"/>
        <w:ind w:left="567"/>
        <w:rPr>
          <w:rFonts w:ascii="Times New Roman" w:hAnsi="Times New Roman"/>
          <w:noProof/>
          <w:sz w:val="24"/>
          <w:szCs w:val="24"/>
        </w:rPr>
      </w:pPr>
      <w:r>
        <w:rPr>
          <w:rFonts w:ascii="Times New Roman" w:hAnsi="Times New Roman"/>
          <w:noProof/>
          <w:sz w:val="24"/>
          <w:szCs w:val="24"/>
        </w:rPr>
        <w:t xml:space="preserve">R&amp;D Climate </w:t>
      </w:r>
    </w:p>
    <w:p w:rsidR="00AB50C5" w:rsidRDefault="00724275">
      <w:pPr>
        <w:pStyle w:val="EBP1"/>
        <w:spacing w:line="240" w:lineRule="auto"/>
        <w:ind w:left="567"/>
        <w:rPr>
          <w:rFonts w:ascii="Times New Roman" w:hAnsi="Times New Roman"/>
          <w:noProof/>
          <w:sz w:val="24"/>
          <w:szCs w:val="24"/>
        </w:rPr>
      </w:pPr>
      <w:r>
        <w:rPr>
          <w:rFonts w:ascii="Times New Roman" w:hAnsi="Times New Roman"/>
          <w:noProof/>
          <w:sz w:val="24"/>
          <w:szCs w:val="24"/>
        </w:rPr>
        <w:t>Added value in agricu</w:t>
      </w:r>
      <w:r>
        <w:rPr>
          <w:rFonts w:ascii="Times New Roman" w:hAnsi="Times New Roman"/>
          <w:noProof/>
          <w:sz w:val="24"/>
          <w:szCs w:val="24"/>
        </w:rPr>
        <w:t>lture and forestry</w:t>
      </w:r>
    </w:p>
    <w:p w:rsidR="00AB50C5" w:rsidRDefault="00724275">
      <w:pPr>
        <w:pStyle w:val="Heading5"/>
        <w:rPr>
          <w:rFonts w:ascii="Times New Roman" w:hAnsi="Times New Roman"/>
          <w:b/>
          <w:noProof/>
          <w:sz w:val="24"/>
        </w:rPr>
      </w:pPr>
      <w:r>
        <w:rPr>
          <w:rFonts w:ascii="Times New Roman" w:hAnsi="Times New Roman"/>
          <w:b/>
          <w:noProof/>
          <w:sz w:val="24"/>
        </w:rPr>
        <w:t>Indicators picturing societal effects</w:t>
      </w:r>
    </w:p>
    <w:p w:rsidR="00AB50C5" w:rsidRDefault="00724275">
      <w:pPr>
        <w:pStyle w:val="EBP1"/>
        <w:spacing w:line="240" w:lineRule="auto"/>
        <w:ind w:left="567"/>
        <w:rPr>
          <w:rFonts w:ascii="Times New Roman" w:hAnsi="Times New Roman"/>
          <w:noProof/>
          <w:sz w:val="24"/>
          <w:szCs w:val="24"/>
        </w:rPr>
      </w:pPr>
      <w:r>
        <w:rPr>
          <w:rFonts w:ascii="Times New Roman" w:hAnsi="Times New Roman"/>
          <w:noProof/>
          <w:sz w:val="24"/>
          <w:szCs w:val="24"/>
        </w:rPr>
        <w:t>Employment in agriculture and forestry</w:t>
      </w:r>
    </w:p>
    <w:p w:rsidR="00AB50C5" w:rsidRDefault="00724275">
      <w:pPr>
        <w:pStyle w:val="EBP1"/>
        <w:spacing w:line="240" w:lineRule="auto"/>
        <w:ind w:left="567"/>
        <w:rPr>
          <w:rFonts w:ascii="Times New Roman" w:hAnsi="Times New Roman"/>
          <w:noProof/>
          <w:sz w:val="24"/>
          <w:szCs w:val="24"/>
        </w:rPr>
      </w:pPr>
      <w:r>
        <w:rPr>
          <w:rFonts w:ascii="Times New Roman" w:hAnsi="Times New Roman"/>
          <w:noProof/>
          <w:sz w:val="24"/>
          <w:szCs w:val="24"/>
        </w:rPr>
        <w:t xml:space="preserve">Out-migration/brain drain/“shrinking” of regions </w:t>
      </w:r>
    </w:p>
    <w:p w:rsidR="00AB50C5" w:rsidRDefault="00724275">
      <w:pPr>
        <w:pStyle w:val="EBP1"/>
        <w:spacing w:line="240" w:lineRule="auto"/>
        <w:ind w:left="567"/>
        <w:rPr>
          <w:rFonts w:ascii="Times New Roman" w:hAnsi="Times New Roman"/>
          <w:noProof/>
          <w:sz w:val="24"/>
          <w:szCs w:val="24"/>
        </w:rPr>
      </w:pPr>
      <w:r>
        <w:rPr>
          <w:rFonts w:ascii="Times New Roman" w:hAnsi="Times New Roman"/>
          <w:noProof/>
          <w:sz w:val="24"/>
          <w:szCs w:val="24"/>
        </w:rPr>
        <w:t>Healthy life expectancy</w:t>
      </w:r>
    </w:p>
    <w:p w:rsidR="00AB50C5" w:rsidRDefault="00724275">
      <w:pPr>
        <w:pStyle w:val="Heading5"/>
        <w:rPr>
          <w:rFonts w:ascii="Times New Roman" w:hAnsi="Times New Roman"/>
          <w:b/>
          <w:noProof/>
          <w:sz w:val="24"/>
        </w:rPr>
      </w:pPr>
      <w:r>
        <w:rPr>
          <w:rFonts w:ascii="Times New Roman" w:hAnsi="Times New Roman"/>
          <w:b/>
          <w:noProof/>
          <w:sz w:val="24"/>
        </w:rPr>
        <w:t>Indicators picturing governance effects</w:t>
      </w:r>
    </w:p>
    <w:p w:rsidR="00AB50C5" w:rsidRDefault="00724275">
      <w:pPr>
        <w:pStyle w:val="EBP1"/>
        <w:spacing w:line="240" w:lineRule="auto"/>
        <w:ind w:left="567"/>
        <w:rPr>
          <w:rFonts w:ascii="Times New Roman" w:hAnsi="Times New Roman"/>
          <w:noProof/>
          <w:sz w:val="24"/>
          <w:szCs w:val="24"/>
        </w:rPr>
      </w:pPr>
      <w:r>
        <w:rPr>
          <w:rFonts w:ascii="Times New Roman" w:hAnsi="Times New Roman"/>
          <w:noProof/>
          <w:sz w:val="24"/>
          <w:szCs w:val="24"/>
        </w:rPr>
        <w:t>Government effectiveness</w:t>
      </w:r>
    </w:p>
    <w:p w:rsidR="00AB50C5" w:rsidRDefault="00724275">
      <w:pPr>
        <w:pStyle w:val="EText"/>
        <w:spacing w:line="240" w:lineRule="auto"/>
        <w:rPr>
          <w:rFonts w:ascii="Times New Roman" w:hAnsi="Times New Roman"/>
          <w:noProof/>
          <w:sz w:val="24"/>
          <w:szCs w:val="24"/>
        </w:rPr>
      </w:pPr>
      <w:r>
        <w:rPr>
          <w:rFonts w:ascii="Times New Roman" w:eastAsiaTheme="minorHAnsi" w:hAnsi="Times New Roman"/>
          <w:noProof/>
          <w:sz w:val="24"/>
          <w:szCs w:val="24"/>
          <w:lang w:eastAsia="en-US"/>
        </w:rPr>
        <w:t>Data availability pos</w:t>
      </w:r>
      <w:r>
        <w:rPr>
          <w:rFonts w:ascii="Times New Roman" w:eastAsiaTheme="minorHAnsi" w:hAnsi="Times New Roman"/>
          <w:noProof/>
          <w:sz w:val="24"/>
          <w:szCs w:val="24"/>
          <w:lang w:eastAsia="en-US"/>
        </w:rPr>
        <w:t>es limitations to availability of indicators. The experts discussed that the set of provided indicators do not cover all effects that are caused by the development of minimum quality requirements for reused water in agricultural irrigation and aquifer rech</w:t>
      </w:r>
      <w:r>
        <w:rPr>
          <w:rFonts w:ascii="Times New Roman" w:eastAsiaTheme="minorHAnsi" w:hAnsi="Times New Roman"/>
          <w:noProof/>
          <w:sz w:val="24"/>
          <w:szCs w:val="24"/>
          <w:lang w:eastAsia="en-US"/>
        </w:rPr>
        <w:t>arge. Moreover, the set of indicators is too high level and too generic and the correlation between the initiative and the indicators are generally weak (e.g. there is only a weak link between indicator on R&amp;D climate of a region and</w:t>
      </w:r>
      <w:r>
        <w:rPr>
          <w:rFonts w:ascii="Times New Roman" w:hAnsi="Times New Roman"/>
          <w:noProof/>
          <w:sz w:val="24"/>
          <w:szCs w:val="24"/>
        </w:rPr>
        <w:t xml:space="preserve"> whether there are comm</w:t>
      </w:r>
      <w:r>
        <w:rPr>
          <w:rFonts w:ascii="Times New Roman" w:hAnsi="Times New Roman"/>
          <w:noProof/>
          <w:sz w:val="24"/>
          <w:szCs w:val="24"/>
        </w:rPr>
        <w:t xml:space="preserve">on quality standards for water reuse). Therefore the set of indicators do not mirror the supposed effects, but provide an indication only on effects. </w:t>
      </w:r>
    </w:p>
    <w:p w:rsidR="00AB50C5" w:rsidRDefault="00724275">
      <w:pPr>
        <w:pStyle w:val="ETextNoSpacing"/>
        <w:spacing w:line="240" w:lineRule="auto"/>
        <w:rPr>
          <w:rFonts w:ascii="Times New Roman" w:hAnsi="Times New Roman"/>
          <w:noProof/>
          <w:sz w:val="24"/>
          <w:szCs w:val="24"/>
        </w:rPr>
      </w:pPr>
      <w:r>
        <w:rPr>
          <w:rFonts w:ascii="Times New Roman" w:hAnsi="Times New Roman"/>
          <w:noProof/>
          <w:sz w:val="24"/>
          <w:szCs w:val="24"/>
        </w:rPr>
        <w:t>Therefore, experts were called upon to identify a “wish list“ of other indicators, which represent better</w:t>
      </w:r>
      <w:r>
        <w:rPr>
          <w:rFonts w:ascii="Times New Roman" w:hAnsi="Times New Roman"/>
          <w:noProof/>
          <w:sz w:val="24"/>
          <w:szCs w:val="24"/>
        </w:rPr>
        <w:t xml:space="preserve"> the potential effects from the development of minimum quality requirements for reused water in agricultural irrigation and aquifer recharge:</w:t>
      </w:r>
    </w:p>
    <w:p w:rsidR="00AB50C5" w:rsidRDefault="00724275">
      <w:pPr>
        <w:pStyle w:val="EBP1"/>
        <w:spacing w:line="240" w:lineRule="auto"/>
        <w:ind w:left="567"/>
        <w:rPr>
          <w:rFonts w:ascii="Times New Roman" w:hAnsi="Times New Roman"/>
          <w:noProof/>
          <w:sz w:val="24"/>
          <w:szCs w:val="24"/>
        </w:rPr>
      </w:pPr>
      <w:r>
        <w:rPr>
          <w:rFonts w:ascii="Times New Roman" w:hAnsi="Times New Roman"/>
          <w:noProof/>
          <w:sz w:val="24"/>
          <w:szCs w:val="24"/>
        </w:rPr>
        <w:t>population density</w:t>
      </w:r>
    </w:p>
    <w:p w:rsidR="00AB50C5" w:rsidRDefault="00724275">
      <w:pPr>
        <w:pStyle w:val="EBP1"/>
        <w:spacing w:line="240" w:lineRule="auto"/>
        <w:ind w:left="567"/>
        <w:rPr>
          <w:rFonts w:ascii="Times New Roman" w:hAnsi="Times New Roman"/>
          <w:noProof/>
          <w:sz w:val="24"/>
          <w:szCs w:val="24"/>
        </w:rPr>
      </w:pPr>
      <w:r>
        <w:rPr>
          <w:rFonts w:ascii="Times New Roman" w:hAnsi="Times New Roman"/>
          <w:noProof/>
          <w:sz w:val="24"/>
          <w:szCs w:val="24"/>
        </w:rPr>
        <w:t>amount of treated waste water</w:t>
      </w:r>
    </w:p>
    <w:p w:rsidR="00AB50C5" w:rsidRDefault="00724275">
      <w:pPr>
        <w:pStyle w:val="EBP1"/>
        <w:spacing w:line="240" w:lineRule="auto"/>
        <w:ind w:left="567"/>
        <w:rPr>
          <w:rFonts w:ascii="Times New Roman" w:hAnsi="Times New Roman"/>
          <w:noProof/>
          <w:sz w:val="24"/>
          <w:szCs w:val="24"/>
        </w:rPr>
      </w:pPr>
      <w:r>
        <w:rPr>
          <w:rFonts w:ascii="Times New Roman" w:hAnsi="Times New Roman"/>
          <w:noProof/>
          <w:sz w:val="24"/>
          <w:szCs w:val="24"/>
        </w:rPr>
        <w:t>output from agriculture from irrigated land</w:t>
      </w:r>
    </w:p>
    <w:p w:rsidR="00AB50C5" w:rsidRDefault="00724275">
      <w:pPr>
        <w:pStyle w:val="EBP1"/>
        <w:spacing w:line="240" w:lineRule="auto"/>
        <w:ind w:left="567"/>
        <w:rPr>
          <w:rFonts w:ascii="Times New Roman" w:hAnsi="Times New Roman"/>
          <w:noProof/>
          <w:sz w:val="24"/>
          <w:szCs w:val="24"/>
        </w:rPr>
      </w:pPr>
      <w:r>
        <w:rPr>
          <w:rFonts w:ascii="Times New Roman" w:hAnsi="Times New Roman"/>
          <w:noProof/>
          <w:sz w:val="24"/>
          <w:szCs w:val="24"/>
        </w:rPr>
        <w:t>employment in irrigat</w:t>
      </w:r>
      <w:r>
        <w:rPr>
          <w:rFonts w:ascii="Times New Roman" w:hAnsi="Times New Roman"/>
          <w:noProof/>
          <w:sz w:val="24"/>
          <w:szCs w:val="24"/>
        </w:rPr>
        <w:t>ion technologies</w:t>
      </w:r>
    </w:p>
    <w:p w:rsidR="00AB50C5" w:rsidRDefault="00724275">
      <w:pPr>
        <w:pStyle w:val="EBP1"/>
        <w:spacing w:line="240" w:lineRule="auto"/>
        <w:ind w:left="567"/>
        <w:rPr>
          <w:rFonts w:ascii="Times New Roman" w:hAnsi="Times New Roman"/>
          <w:noProof/>
          <w:sz w:val="24"/>
          <w:szCs w:val="24"/>
        </w:rPr>
      </w:pPr>
      <w:r>
        <w:rPr>
          <w:rFonts w:ascii="Times New Roman" w:hAnsi="Times New Roman"/>
          <w:noProof/>
          <w:sz w:val="24"/>
          <w:szCs w:val="24"/>
        </w:rPr>
        <w:t>water exploitation index at water basin level</w:t>
      </w:r>
    </w:p>
    <w:p w:rsidR="00AB50C5" w:rsidRDefault="00724275">
      <w:pPr>
        <w:pStyle w:val="EBP1"/>
        <w:spacing w:line="240" w:lineRule="auto"/>
        <w:ind w:left="567"/>
        <w:rPr>
          <w:rFonts w:ascii="Times New Roman" w:hAnsi="Times New Roman"/>
          <w:noProof/>
          <w:sz w:val="24"/>
          <w:szCs w:val="24"/>
        </w:rPr>
      </w:pPr>
      <w:r>
        <w:rPr>
          <w:rFonts w:ascii="Times New Roman" w:hAnsi="Times New Roman"/>
          <w:noProof/>
          <w:sz w:val="24"/>
          <w:szCs w:val="24"/>
        </w:rPr>
        <w:t>ratio crop water requirement and incoming water/satisfaction level</w:t>
      </w:r>
    </w:p>
    <w:p w:rsidR="00AB50C5" w:rsidRDefault="00724275">
      <w:pPr>
        <w:pStyle w:val="EBP1"/>
        <w:spacing w:line="240" w:lineRule="auto"/>
        <w:ind w:left="567"/>
        <w:rPr>
          <w:rFonts w:ascii="Times New Roman" w:hAnsi="Times New Roman"/>
          <w:noProof/>
          <w:sz w:val="24"/>
          <w:szCs w:val="24"/>
        </w:rPr>
      </w:pPr>
      <w:r>
        <w:rPr>
          <w:rFonts w:ascii="Times New Roman" w:hAnsi="Times New Roman"/>
          <w:noProof/>
          <w:sz w:val="24"/>
          <w:szCs w:val="24"/>
        </w:rPr>
        <w:t>indicators on water bodies status</w:t>
      </w:r>
    </w:p>
    <w:p w:rsidR="00AB50C5" w:rsidRDefault="00724275">
      <w:pPr>
        <w:pStyle w:val="EBP1"/>
        <w:spacing w:line="240" w:lineRule="auto"/>
        <w:ind w:left="567"/>
        <w:rPr>
          <w:rFonts w:ascii="Times New Roman" w:hAnsi="Times New Roman"/>
          <w:noProof/>
          <w:sz w:val="24"/>
          <w:szCs w:val="24"/>
        </w:rPr>
      </w:pPr>
      <w:r>
        <w:rPr>
          <w:rFonts w:ascii="Times New Roman" w:hAnsi="Times New Roman"/>
          <w:noProof/>
          <w:sz w:val="24"/>
          <w:szCs w:val="24"/>
        </w:rPr>
        <w:t>water prices</w:t>
      </w:r>
    </w:p>
    <w:p w:rsidR="00AB50C5" w:rsidRDefault="00724275">
      <w:pPr>
        <w:pStyle w:val="EBP1"/>
        <w:spacing w:line="240" w:lineRule="auto"/>
        <w:ind w:left="567"/>
        <w:rPr>
          <w:rFonts w:ascii="Times New Roman" w:hAnsi="Times New Roman"/>
          <w:noProof/>
          <w:sz w:val="24"/>
          <w:szCs w:val="24"/>
        </w:rPr>
      </w:pPr>
      <w:r>
        <w:rPr>
          <w:rFonts w:ascii="Times New Roman" w:hAnsi="Times New Roman"/>
          <w:noProof/>
          <w:sz w:val="24"/>
          <w:szCs w:val="24"/>
        </w:rPr>
        <w:t>energy balance for water reuse</w:t>
      </w:r>
    </w:p>
    <w:p w:rsidR="00AB50C5" w:rsidRDefault="00724275">
      <w:pPr>
        <w:pStyle w:val="EBP1"/>
        <w:spacing w:line="240" w:lineRule="auto"/>
        <w:ind w:left="567"/>
        <w:rPr>
          <w:rFonts w:ascii="Times New Roman" w:hAnsi="Times New Roman"/>
          <w:noProof/>
          <w:sz w:val="24"/>
          <w:szCs w:val="24"/>
        </w:rPr>
      </w:pPr>
      <w:r>
        <w:rPr>
          <w:rFonts w:ascii="Times New Roman" w:hAnsi="Times New Roman"/>
          <w:noProof/>
          <w:sz w:val="24"/>
          <w:szCs w:val="24"/>
        </w:rPr>
        <w:t>trade flows (agriculture)</w:t>
      </w:r>
    </w:p>
    <w:p w:rsidR="00AB50C5" w:rsidRDefault="00724275">
      <w:pPr>
        <w:pStyle w:val="EBP1"/>
        <w:spacing w:line="240" w:lineRule="auto"/>
        <w:ind w:left="567"/>
        <w:rPr>
          <w:noProof/>
        </w:rPr>
      </w:pPr>
      <w:r>
        <w:rPr>
          <w:rFonts w:ascii="Times New Roman" w:hAnsi="Times New Roman"/>
          <w:noProof/>
          <w:sz w:val="24"/>
          <w:szCs w:val="24"/>
        </w:rPr>
        <w:t>compliance on UWWTD</w:t>
      </w:r>
    </w:p>
    <w:p w:rsidR="00AB50C5" w:rsidRDefault="00724275">
      <w:pPr>
        <w:pStyle w:val="EText"/>
        <w:spacing w:line="240" w:lineRule="auto"/>
        <w:rPr>
          <w:rFonts w:ascii="Times New Roman" w:hAnsi="Times New Roman"/>
          <w:noProof/>
          <w:sz w:val="24"/>
          <w:szCs w:val="24"/>
          <w:lang w:eastAsia="en-US"/>
        </w:rPr>
      </w:pPr>
      <w:r>
        <w:rPr>
          <w:rFonts w:ascii="Times New Roman" w:hAnsi="Times New Roman"/>
          <w:noProof/>
          <w:sz w:val="24"/>
          <w:szCs w:val="24"/>
          <w:lang w:eastAsia="en-US"/>
        </w:rPr>
        <w:t xml:space="preserve">However, as data at NUTS 3 level on the above indicators aren't available, these indicators have not been used. </w:t>
      </w:r>
    </w:p>
    <w:p w:rsidR="00AB50C5" w:rsidRDefault="00724275">
      <w:pPr>
        <w:pStyle w:val="EText"/>
        <w:spacing w:line="240" w:lineRule="auto"/>
        <w:rPr>
          <w:rFonts w:ascii="Times New Roman" w:hAnsi="Times New Roman"/>
          <w:noProof/>
          <w:sz w:val="24"/>
          <w:szCs w:val="24"/>
        </w:rPr>
      </w:pPr>
      <w:r>
        <w:rPr>
          <w:rFonts w:ascii="Times New Roman" w:hAnsi="Times New Roman"/>
          <w:noProof/>
          <w:sz w:val="24"/>
          <w:szCs w:val="24"/>
          <w:lang w:eastAsia="en-US"/>
        </w:rPr>
        <w:t xml:space="preserve">Nevertheless, </w:t>
      </w:r>
      <w:r>
        <w:rPr>
          <w:rFonts w:ascii="Times New Roman" w:hAnsi="Times New Roman"/>
          <w:noProof/>
          <w:sz w:val="24"/>
          <w:szCs w:val="24"/>
        </w:rPr>
        <w:t>DG REGIO and DG ENV will explore with EUROSTAT and with JRC in the framework of the Territorial Knowledge Centre how in the futur</w:t>
      </w:r>
      <w:r>
        <w:rPr>
          <w:rFonts w:ascii="Times New Roman" w:hAnsi="Times New Roman"/>
          <w:noProof/>
          <w:sz w:val="24"/>
          <w:szCs w:val="24"/>
        </w:rPr>
        <w:t xml:space="preserve">e this gap can be filled since these indicators and the necessary data will be important also for monitoring the effective implementation of the upcoming regulation. </w:t>
      </w:r>
    </w:p>
    <w:p w:rsidR="00AB50C5" w:rsidRDefault="00AB50C5">
      <w:pPr>
        <w:pStyle w:val="EText"/>
        <w:spacing w:line="240" w:lineRule="auto"/>
        <w:rPr>
          <w:rFonts w:ascii="Times New Roman" w:hAnsi="Times New Roman"/>
          <w:noProof/>
          <w:sz w:val="24"/>
          <w:szCs w:val="24"/>
        </w:rPr>
      </w:pPr>
    </w:p>
    <w:p w:rsidR="00AB50C5" w:rsidRDefault="00724275">
      <w:pPr>
        <w:pStyle w:val="Heading2"/>
        <w:numPr>
          <w:ilvl w:val="1"/>
          <w:numId w:val="133"/>
        </w:numPr>
        <w:spacing w:before="60" w:after="160"/>
        <w:ind w:left="578" w:hanging="578"/>
        <w:jc w:val="left"/>
        <w:rPr>
          <w:noProof/>
          <w:kern w:val="32"/>
        </w:rPr>
      </w:pPr>
      <w:bookmarkStart w:id="177" w:name="_Toc484768717"/>
      <w:bookmarkStart w:id="178" w:name="_Toc516234804"/>
      <w:bookmarkStart w:id="179" w:name="_Toc400711227"/>
      <w:bookmarkStart w:id="180" w:name="_Toc438042029"/>
      <w:bookmarkEnd w:id="176"/>
      <w:r>
        <w:rPr>
          <w:noProof/>
          <w:kern w:val="32"/>
        </w:rPr>
        <w:t>Judging the intensity of the effects</w:t>
      </w:r>
      <w:bookmarkEnd w:id="177"/>
      <w:bookmarkEnd w:id="178"/>
    </w:p>
    <w:p w:rsidR="00AB50C5" w:rsidRDefault="00724275">
      <w:pPr>
        <w:pStyle w:val="ETextNoSpacing"/>
        <w:spacing w:line="240" w:lineRule="auto"/>
        <w:rPr>
          <w:rFonts w:ascii="Times New Roman" w:eastAsiaTheme="minorHAnsi" w:hAnsi="Times New Roman"/>
          <w:noProof/>
          <w:sz w:val="24"/>
          <w:szCs w:val="24"/>
          <w:lang w:eastAsia="en-US"/>
        </w:rPr>
      </w:pPr>
      <w:r>
        <w:rPr>
          <w:rFonts w:ascii="Times New Roman" w:eastAsiaTheme="minorHAnsi" w:hAnsi="Times New Roman"/>
          <w:noProof/>
          <w:sz w:val="24"/>
          <w:szCs w:val="24"/>
          <w:lang w:eastAsia="en-US"/>
        </w:rPr>
        <w:t>The participants of the workshop were asked to esti</w:t>
      </w:r>
      <w:r>
        <w:rPr>
          <w:rFonts w:ascii="Times New Roman" w:eastAsiaTheme="minorHAnsi" w:hAnsi="Times New Roman"/>
          <w:noProof/>
          <w:sz w:val="24"/>
          <w:szCs w:val="24"/>
          <w:lang w:eastAsia="en-US"/>
        </w:rPr>
        <w:t>mate the effects deriving from the development of minimum quality requirements. They judged the effect on territorial welfare along the following scores:</w:t>
      </w:r>
    </w:p>
    <w:p w:rsidR="00AB50C5" w:rsidRDefault="00724275">
      <w:pPr>
        <w:pStyle w:val="EBP1"/>
        <w:spacing w:line="240" w:lineRule="auto"/>
        <w:ind w:left="567"/>
        <w:rPr>
          <w:rFonts w:ascii="Times New Roman" w:hAnsi="Times New Roman"/>
          <w:noProof/>
          <w:sz w:val="24"/>
          <w:szCs w:val="24"/>
        </w:rPr>
      </w:pPr>
      <w:r>
        <w:rPr>
          <w:rFonts w:ascii="Times New Roman" w:hAnsi="Times New Roman"/>
          <w:noProof/>
          <w:sz w:val="24"/>
          <w:szCs w:val="24"/>
        </w:rPr>
        <w:t>++</w:t>
      </w:r>
      <w:r>
        <w:rPr>
          <w:rFonts w:ascii="Times New Roman" w:hAnsi="Times New Roman"/>
          <w:noProof/>
          <w:sz w:val="24"/>
          <w:szCs w:val="24"/>
        </w:rPr>
        <w:tab/>
        <w:t>strong advantageous effect on territorial welfare (strong increase)</w:t>
      </w:r>
    </w:p>
    <w:p w:rsidR="00AB50C5" w:rsidRDefault="00724275">
      <w:pPr>
        <w:pStyle w:val="EBP1"/>
        <w:spacing w:line="240" w:lineRule="auto"/>
        <w:ind w:left="567"/>
        <w:rPr>
          <w:rFonts w:ascii="Times New Roman" w:hAnsi="Times New Roman"/>
          <w:noProof/>
          <w:sz w:val="24"/>
          <w:szCs w:val="24"/>
        </w:rPr>
      </w:pPr>
      <w:r>
        <w:rPr>
          <w:rFonts w:ascii="Times New Roman" w:hAnsi="Times New Roman"/>
          <w:noProof/>
          <w:sz w:val="24"/>
          <w:szCs w:val="24"/>
        </w:rPr>
        <w:t>+</w:t>
      </w:r>
      <w:r>
        <w:rPr>
          <w:rFonts w:ascii="Times New Roman" w:hAnsi="Times New Roman"/>
          <w:noProof/>
          <w:sz w:val="24"/>
          <w:szCs w:val="24"/>
        </w:rPr>
        <w:tab/>
        <w:t>weak advantageous effect on t</w:t>
      </w:r>
      <w:r>
        <w:rPr>
          <w:rFonts w:ascii="Times New Roman" w:hAnsi="Times New Roman"/>
          <w:noProof/>
          <w:sz w:val="24"/>
          <w:szCs w:val="24"/>
        </w:rPr>
        <w:t>erritorial welfare (increase)</w:t>
      </w:r>
    </w:p>
    <w:p w:rsidR="00AB50C5" w:rsidRDefault="00724275">
      <w:pPr>
        <w:pStyle w:val="EBP1"/>
        <w:spacing w:line="240" w:lineRule="auto"/>
        <w:ind w:left="567"/>
        <w:rPr>
          <w:rFonts w:ascii="Times New Roman" w:hAnsi="Times New Roman"/>
          <w:noProof/>
          <w:sz w:val="24"/>
          <w:szCs w:val="24"/>
        </w:rPr>
      </w:pPr>
      <w:r>
        <w:rPr>
          <w:rFonts w:ascii="Times New Roman" w:hAnsi="Times New Roman"/>
          <w:noProof/>
          <w:sz w:val="24"/>
          <w:szCs w:val="24"/>
        </w:rPr>
        <w:t>O</w:t>
      </w:r>
      <w:r>
        <w:rPr>
          <w:rFonts w:ascii="Times New Roman" w:hAnsi="Times New Roman"/>
          <w:noProof/>
          <w:sz w:val="24"/>
          <w:szCs w:val="24"/>
        </w:rPr>
        <w:tab/>
        <w:t>no effect/unknown effect/effect cannot be specified</w:t>
      </w:r>
    </w:p>
    <w:p w:rsidR="00AB50C5" w:rsidRDefault="00724275">
      <w:pPr>
        <w:pStyle w:val="EBP1"/>
        <w:spacing w:line="240" w:lineRule="auto"/>
        <w:ind w:left="567"/>
        <w:rPr>
          <w:rFonts w:ascii="Times New Roman" w:hAnsi="Times New Roman"/>
          <w:noProof/>
          <w:sz w:val="24"/>
          <w:szCs w:val="24"/>
        </w:rPr>
      </w:pPr>
      <w:r>
        <w:rPr>
          <w:rFonts w:ascii="Times New Roman" w:hAnsi="Times New Roman"/>
          <w:noProof/>
          <w:sz w:val="24"/>
          <w:szCs w:val="24"/>
        </w:rPr>
        <w:t>-</w:t>
      </w:r>
      <w:r>
        <w:rPr>
          <w:rFonts w:ascii="Times New Roman" w:hAnsi="Times New Roman"/>
          <w:noProof/>
          <w:sz w:val="24"/>
          <w:szCs w:val="24"/>
        </w:rPr>
        <w:tab/>
        <w:t>weak disadvantageous effect on territorial welfare (decrease)</w:t>
      </w:r>
    </w:p>
    <w:p w:rsidR="00AB50C5" w:rsidRDefault="00724275">
      <w:pPr>
        <w:pStyle w:val="EBP1"/>
        <w:spacing w:line="240" w:lineRule="auto"/>
        <w:ind w:left="567"/>
        <w:rPr>
          <w:rFonts w:ascii="Times New Roman" w:hAnsi="Times New Roman"/>
          <w:noProof/>
          <w:sz w:val="24"/>
          <w:szCs w:val="24"/>
        </w:rPr>
      </w:pPr>
      <w:r>
        <w:rPr>
          <w:rFonts w:ascii="Times New Roman" w:hAnsi="Times New Roman"/>
          <w:noProof/>
          <w:sz w:val="24"/>
          <w:szCs w:val="24"/>
        </w:rPr>
        <w:t>- -</w:t>
      </w:r>
      <w:r>
        <w:rPr>
          <w:rFonts w:ascii="Times New Roman" w:hAnsi="Times New Roman"/>
          <w:noProof/>
          <w:sz w:val="24"/>
          <w:szCs w:val="24"/>
        </w:rPr>
        <w:tab/>
        <w:t>strong disadvantageous effect on territorial welfare (strong decrease)</w:t>
      </w:r>
    </w:p>
    <w:p w:rsidR="00AB50C5" w:rsidRDefault="00AB50C5">
      <w:pPr>
        <w:pStyle w:val="EText"/>
        <w:rPr>
          <w:noProof/>
          <w:lang w:eastAsia="en-US"/>
        </w:rPr>
      </w:pPr>
    </w:p>
    <w:p w:rsidR="00AB50C5" w:rsidRDefault="00724275">
      <w:pPr>
        <w:pStyle w:val="Heading2"/>
        <w:numPr>
          <w:ilvl w:val="1"/>
          <w:numId w:val="133"/>
        </w:numPr>
        <w:spacing w:before="60" w:after="160"/>
        <w:ind w:left="578" w:hanging="578"/>
        <w:jc w:val="left"/>
        <w:rPr>
          <w:noProof/>
          <w:kern w:val="32"/>
        </w:rPr>
      </w:pPr>
      <w:bookmarkStart w:id="181" w:name="_Toc484768718"/>
      <w:bookmarkStart w:id="182" w:name="_Toc516234805"/>
      <w:r>
        <w:rPr>
          <w:noProof/>
          <w:kern w:val="32"/>
        </w:rPr>
        <w:t>Calculating the potential “regio</w:t>
      </w:r>
      <w:r>
        <w:rPr>
          <w:noProof/>
          <w:kern w:val="32"/>
        </w:rPr>
        <w:t>nal impact” – Combining the expert judgement with the regional sensitivity</w:t>
      </w:r>
      <w:bookmarkEnd w:id="181"/>
      <w:bookmarkEnd w:id="182"/>
      <w:r>
        <w:rPr>
          <w:noProof/>
          <w:kern w:val="32"/>
        </w:rPr>
        <w:t xml:space="preserve"> </w:t>
      </w:r>
      <w:bookmarkEnd w:id="179"/>
      <w:bookmarkEnd w:id="180"/>
    </w:p>
    <w:p w:rsidR="00AB50C5" w:rsidRDefault="00724275">
      <w:pPr>
        <w:pStyle w:val="ETextNoSpacing"/>
        <w:spacing w:line="240" w:lineRule="auto"/>
        <w:rPr>
          <w:rFonts w:ascii="Times New Roman" w:hAnsi="Times New Roman"/>
          <w:noProof/>
          <w:sz w:val="24"/>
          <w:szCs w:val="24"/>
        </w:rPr>
      </w:pPr>
      <w:r>
        <w:rPr>
          <w:rFonts w:ascii="Times New Roman" w:hAnsi="Times New Roman"/>
          <w:noProof/>
          <w:sz w:val="24"/>
          <w:szCs w:val="24"/>
          <w:lang w:eastAsia="en-US"/>
        </w:rPr>
        <w:t>The ESPON TIA Quick Check combines the expert judgement on the potential effect of the development of minimum quality requirements (exposure) with indicators picturing the sensitiv</w:t>
      </w:r>
      <w:r>
        <w:rPr>
          <w:rFonts w:ascii="Times New Roman" w:hAnsi="Times New Roman"/>
          <w:noProof/>
          <w:sz w:val="24"/>
          <w:szCs w:val="24"/>
          <w:lang w:eastAsia="en-US"/>
        </w:rPr>
        <w:t>ity of regions resulting in maps showing a territorial differentiated impact. This approach is based on the vulnerability concept developed by the Intergovernmental Panel on Climate Change (IPCC). In this</w:t>
      </w:r>
      <w:r>
        <w:rPr>
          <w:rFonts w:ascii="Times New Roman" w:hAnsi="Times New Roman"/>
          <w:noProof/>
          <w:sz w:val="24"/>
          <w:szCs w:val="24"/>
        </w:rPr>
        <w:t xml:space="preserve"> case, the effects deriving from a particular policy</w:t>
      </w:r>
      <w:r>
        <w:rPr>
          <w:rFonts w:ascii="Times New Roman" w:hAnsi="Times New Roman"/>
          <w:noProof/>
          <w:sz w:val="24"/>
          <w:szCs w:val="24"/>
        </w:rPr>
        <w:t xml:space="preserve"> measure (exposure) are combined with the characteristics of a region (</w:t>
      </w:r>
      <w:r>
        <w:rPr>
          <w:rFonts w:ascii="Times New Roman" w:hAnsi="Times New Roman"/>
          <w:b/>
          <w:noProof/>
          <w:sz w:val="24"/>
          <w:szCs w:val="24"/>
        </w:rPr>
        <w:t>territorial sensitivity</w:t>
      </w:r>
      <w:r>
        <w:rPr>
          <w:rFonts w:ascii="Times New Roman" w:hAnsi="Times New Roman"/>
          <w:noProof/>
          <w:sz w:val="24"/>
          <w:szCs w:val="24"/>
        </w:rPr>
        <w:t xml:space="preserve">) to produce potential territorial impacts (cf. following figure). </w:t>
      </w:r>
    </w:p>
    <w:p w:rsidR="00AB50C5" w:rsidRDefault="00724275">
      <w:pPr>
        <w:pStyle w:val="EBP1"/>
        <w:spacing w:line="240" w:lineRule="auto"/>
        <w:ind w:left="567"/>
        <w:rPr>
          <w:rFonts w:ascii="Times New Roman" w:hAnsi="Times New Roman"/>
          <w:noProof/>
          <w:sz w:val="24"/>
          <w:szCs w:val="24"/>
        </w:rPr>
      </w:pPr>
      <w:bookmarkStart w:id="183" w:name="_Toc380489291"/>
      <w:bookmarkStart w:id="184" w:name="_Toc400711262"/>
      <w:r>
        <w:rPr>
          <w:rFonts w:ascii="Times New Roman" w:hAnsi="Times New Roman"/>
          <w:noProof/>
          <w:sz w:val="24"/>
          <w:szCs w:val="24"/>
        </w:rPr>
        <w:t>“Territorial Sensitivity” describes the baseline situation of the region according to its abil</w:t>
      </w:r>
      <w:r>
        <w:rPr>
          <w:rFonts w:ascii="Times New Roman" w:hAnsi="Times New Roman"/>
          <w:noProof/>
          <w:sz w:val="24"/>
          <w:szCs w:val="24"/>
        </w:rPr>
        <w:t xml:space="preserve">ity to cope with external effects. It is a characteristic of a region that can be described by different indicators independently of the topic analysed. </w:t>
      </w:r>
    </w:p>
    <w:p w:rsidR="00AB50C5" w:rsidRDefault="00724275">
      <w:pPr>
        <w:pStyle w:val="EBP1"/>
        <w:spacing w:line="240" w:lineRule="auto"/>
        <w:ind w:left="567"/>
        <w:rPr>
          <w:rFonts w:ascii="Times New Roman" w:hAnsi="Times New Roman"/>
          <w:noProof/>
          <w:sz w:val="24"/>
          <w:szCs w:val="24"/>
        </w:rPr>
      </w:pPr>
      <w:r>
        <w:rPr>
          <w:rFonts w:ascii="Times New Roman" w:hAnsi="Times New Roman"/>
          <w:noProof/>
          <w:sz w:val="24"/>
          <w:szCs w:val="24"/>
        </w:rPr>
        <w:t>“Exposure” describes the intensity of the potential effect caused by the development of minimum qualit</w:t>
      </w:r>
      <w:r>
        <w:rPr>
          <w:rFonts w:ascii="Times New Roman" w:hAnsi="Times New Roman"/>
          <w:noProof/>
          <w:sz w:val="24"/>
          <w:szCs w:val="24"/>
        </w:rPr>
        <w:t xml:space="preserve">y requirements on a specific indicator. It is the effect of the development of minimum quality requirements. Exposure illustrates the experts’ judgement, i.e. the main findings of the expert discussion at the TIA workshop. </w:t>
      </w:r>
    </w:p>
    <w:p w:rsidR="00AB50C5" w:rsidRDefault="00724275">
      <w:pPr>
        <w:pStyle w:val="Caption"/>
        <w:rPr>
          <w:noProof/>
          <w:szCs w:val="22"/>
        </w:rPr>
      </w:pPr>
      <w:bookmarkStart w:id="185" w:name="_Toc484768761"/>
      <w:r>
        <w:rPr>
          <w:noProof/>
        </w:rPr>
        <w:t xml:space="preserve">Figure </w:t>
      </w:r>
      <w:r>
        <w:rPr>
          <w:noProof/>
        </w:rPr>
        <w:fldChar w:fldCharType="begin"/>
      </w:r>
      <w:r>
        <w:rPr>
          <w:noProof/>
        </w:rPr>
        <w:instrText xml:space="preserve"> STYLEREF 1 \s </w:instrText>
      </w:r>
      <w:r>
        <w:rPr>
          <w:noProof/>
        </w:rPr>
        <w:fldChar w:fldCharType="separate"/>
      </w:r>
      <w:r>
        <w:rPr>
          <w:noProof/>
        </w:rPr>
        <w:t>2</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Pr>
          <w:noProof/>
        </w:rPr>
        <w:t>2</w:t>
      </w:r>
      <w:r>
        <w:rPr>
          <w:noProof/>
        </w:rPr>
        <w:fldChar w:fldCharType="end"/>
      </w:r>
      <w:r>
        <w:rPr>
          <w:noProof/>
        </w:rPr>
        <w:t xml:space="preserve">: </w:t>
      </w:r>
      <w:bookmarkEnd w:id="183"/>
      <w:r>
        <w:rPr>
          <w:noProof/>
          <w:szCs w:val="22"/>
        </w:rPr>
        <w:t>Exposure x territorial sensitivity = territorial impact</w:t>
      </w:r>
      <w:bookmarkEnd w:id="184"/>
      <w:bookmarkEnd w:id="185"/>
    </w:p>
    <w:p w:rsidR="00AB50C5" w:rsidRDefault="00724275">
      <w:pPr>
        <w:pStyle w:val="Abbildung"/>
      </w:pPr>
      <w:r>
        <w:rPr>
          <w:lang w:eastAsia="en-GB"/>
        </w:rPr>
        <w:drawing>
          <wp:inline distT="0" distB="0" distL="0" distR="0" wp14:anchorId="50362250" wp14:editId="47CF242A">
            <wp:extent cx="4749421" cy="2399056"/>
            <wp:effectExtent l="0" t="0" r="0" b="1270"/>
            <wp:docPr id="35913"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4753481" cy="2401107"/>
                    </a:xfrm>
                    <a:prstGeom prst="rect">
                      <a:avLst/>
                    </a:prstGeom>
                    <a:noFill/>
                  </pic:spPr>
                </pic:pic>
              </a:graphicData>
            </a:graphic>
          </wp:inline>
        </w:drawing>
      </w:r>
    </w:p>
    <w:p w:rsidR="00AB50C5" w:rsidRDefault="00724275">
      <w:pPr>
        <w:pStyle w:val="Quelle"/>
        <w:rPr>
          <w:noProof/>
        </w:rPr>
      </w:pPr>
      <w:r>
        <w:rPr>
          <w:noProof/>
        </w:rPr>
        <w:t>Source: ÖIR, 2015.</w:t>
      </w:r>
    </w:p>
    <w:p w:rsidR="00AB50C5" w:rsidRDefault="00724275">
      <w:pPr>
        <w:pStyle w:val="Heading2"/>
        <w:numPr>
          <w:ilvl w:val="1"/>
          <w:numId w:val="133"/>
        </w:numPr>
        <w:spacing w:before="60" w:after="160"/>
        <w:ind w:left="578" w:hanging="578"/>
        <w:jc w:val="left"/>
        <w:rPr>
          <w:noProof/>
          <w:kern w:val="32"/>
          <w:szCs w:val="24"/>
        </w:rPr>
      </w:pPr>
      <w:bookmarkStart w:id="186" w:name="_Toc438042030"/>
      <w:bookmarkStart w:id="187" w:name="_Toc484768719"/>
      <w:bookmarkStart w:id="188" w:name="_Toc516234806"/>
      <w:r>
        <w:rPr>
          <w:noProof/>
          <w:kern w:val="32"/>
          <w:szCs w:val="24"/>
        </w:rPr>
        <w:t>Mapping the potential territorial impact</w:t>
      </w:r>
      <w:bookmarkEnd w:id="186"/>
      <w:bookmarkEnd w:id="187"/>
      <w:bookmarkEnd w:id="188"/>
    </w:p>
    <w:p w:rsidR="00AB50C5" w:rsidRDefault="00724275">
      <w:pPr>
        <w:pStyle w:val="ETextNoSpacing"/>
        <w:spacing w:line="240" w:lineRule="auto"/>
        <w:rPr>
          <w:rFonts w:ascii="Times New Roman" w:hAnsi="Times New Roman"/>
          <w:noProof/>
          <w:sz w:val="24"/>
          <w:szCs w:val="24"/>
          <w:lang w:eastAsia="en-US"/>
        </w:rPr>
      </w:pPr>
      <w:r>
        <w:rPr>
          <w:rFonts w:ascii="Times New Roman" w:hAnsi="Times New Roman"/>
          <w:noProof/>
          <w:sz w:val="24"/>
          <w:szCs w:val="24"/>
          <w:lang w:eastAsia="en-US"/>
        </w:rPr>
        <w:t xml:space="preserve">The result of the potential territorial impact assessment is presented in maps. The maps displayed below </w:t>
      </w:r>
      <w:r>
        <w:rPr>
          <w:rFonts w:ascii="Times New Roman" w:hAnsi="Times New Roman"/>
          <w:noProof/>
          <w:sz w:val="24"/>
          <w:szCs w:val="24"/>
          <w:lang w:eastAsia="en-US"/>
        </w:rPr>
        <w:t>show the potential territorial impact based on a combination of the expert judgement on the exposure with the territorial sensitivity of a region, described by a indicator on NUTS3 level. Whereas expert judgement is a qualitative judgement (strong advantag</w:t>
      </w:r>
      <w:r>
        <w:rPr>
          <w:rFonts w:ascii="Times New Roman" w:hAnsi="Times New Roman"/>
          <w:noProof/>
          <w:sz w:val="24"/>
          <w:szCs w:val="24"/>
          <w:lang w:eastAsia="en-US"/>
        </w:rPr>
        <w:t>eous effect on territorial welfare/weak advantageous effect/no effect/weak disadvantageous effect/strong disadvantageous effect), the sensitivity is a quantitative indicator. (The detailed description is provided in the annex.).</w:t>
      </w:r>
    </w:p>
    <w:p w:rsidR="00AB50C5" w:rsidRDefault="00724275">
      <w:pPr>
        <w:pStyle w:val="Heading1"/>
        <w:keepNext w:val="0"/>
        <w:pageBreakBefore/>
        <w:numPr>
          <w:ilvl w:val="0"/>
          <w:numId w:val="133"/>
        </w:numPr>
        <w:spacing w:before="0" w:after="160"/>
        <w:ind w:left="431" w:hanging="431"/>
        <w:jc w:val="left"/>
        <w:rPr>
          <w:noProof/>
        </w:rPr>
      </w:pPr>
      <w:bookmarkStart w:id="189" w:name="_Toc400706957"/>
      <w:bookmarkStart w:id="190" w:name="_Toc400707602"/>
      <w:bookmarkStart w:id="191" w:name="_Toc400707661"/>
      <w:bookmarkStart w:id="192" w:name="_Toc400711228"/>
      <w:bookmarkStart w:id="193" w:name="_Toc438042032"/>
      <w:bookmarkStart w:id="194" w:name="_Toc484768720"/>
      <w:bookmarkStart w:id="195" w:name="_Toc516234807"/>
      <w:bookmarkStart w:id="196" w:name="_Toc286835395"/>
      <w:r>
        <w:rPr>
          <w:noProof/>
          <w:kern w:val="32"/>
        </w:rPr>
        <w:t xml:space="preserve">Results of the TIA quick check: Potential territorial impact considering </w:t>
      </w:r>
      <w:r>
        <w:rPr>
          <w:noProof/>
        </w:rPr>
        <w:t xml:space="preserve">environment </w:t>
      </w:r>
      <w:bookmarkEnd w:id="189"/>
      <w:bookmarkEnd w:id="190"/>
      <w:bookmarkEnd w:id="191"/>
      <w:bookmarkEnd w:id="192"/>
      <w:bookmarkEnd w:id="193"/>
      <w:r>
        <w:rPr>
          <w:noProof/>
        </w:rPr>
        <w:t>aspects</w:t>
      </w:r>
      <w:bookmarkEnd w:id="194"/>
      <w:bookmarkEnd w:id="195"/>
    </w:p>
    <w:p w:rsidR="00AB50C5" w:rsidRDefault="00724275">
      <w:pPr>
        <w:pStyle w:val="Heading2"/>
        <w:numPr>
          <w:ilvl w:val="1"/>
          <w:numId w:val="133"/>
        </w:numPr>
        <w:spacing w:before="60" w:after="160"/>
        <w:ind w:left="578" w:hanging="578"/>
        <w:jc w:val="left"/>
        <w:rPr>
          <w:noProof/>
          <w:lang w:eastAsia="en-US"/>
        </w:rPr>
      </w:pPr>
      <w:bookmarkStart w:id="197" w:name="_Toc484768721"/>
      <w:bookmarkStart w:id="198" w:name="_Toc516234808"/>
      <w:r>
        <w:rPr>
          <w:noProof/>
          <w:kern w:val="32"/>
        </w:rPr>
        <w:t>The potential territorial impact based on agriculture depending on</w:t>
      </w:r>
      <w:r>
        <w:rPr>
          <w:noProof/>
          <w:lang w:eastAsia="en-US"/>
        </w:rPr>
        <w:t xml:space="preserve"> irrigated land</w:t>
      </w:r>
      <w:bookmarkEnd w:id="197"/>
      <w:bookmarkEnd w:id="198"/>
      <w:r>
        <w:rPr>
          <w:noProof/>
          <w:lang w:eastAsia="en-US"/>
        </w:rPr>
        <w:t xml:space="preserve"> </w:t>
      </w:r>
    </w:p>
    <w:p w:rsidR="00AB50C5" w:rsidRDefault="00724275">
      <w:pPr>
        <w:pStyle w:val="EText"/>
        <w:spacing w:line="240" w:lineRule="auto"/>
        <w:rPr>
          <w:rFonts w:ascii="Times New Roman" w:hAnsi="Times New Roman"/>
          <w:noProof/>
          <w:sz w:val="24"/>
          <w:szCs w:val="24"/>
          <w:u w:val="single"/>
        </w:rPr>
      </w:pPr>
      <w:r>
        <w:rPr>
          <w:rFonts w:ascii="Times New Roman" w:hAnsi="Times New Roman"/>
          <w:noProof/>
          <w:sz w:val="24"/>
          <w:szCs w:val="24"/>
        </w:rPr>
        <w:t xml:space="preserve">The experts agreed that the development of minimum </w:t>
      </w:r>
      <w:r>
        <w:rPr>
          <w:rFonts w:ascii="Times New Roman" w:hAnsi="Times New Roman"/>
          <w:noProof/>
          <w:sz w:val="24"/>
          <w:szCs w:val="24"/>
          <w:lang w:eastAsia="de-AT"/>
        </w:rPr>
        <w:t>quality requirements for reus</w:t>
      </w:r>
      <w:r>
        <w:rPr>
          <w:rFonts w:ascii="Times New Roman" w:hAnsi="Times New Roman"/>
          <w:noProof/>
          <w:sz w:val="24"/>
          <w:szCs w:val="24"/>
          <w:lang w:eastAsia="de-AT"/>
        </w:rPr>
        <w:t xml:space="preserve">ed water in agricultural irrigation and aquifer recharge </w:t>
      </w:r>
      <w:r>
        <w:rPr>
          <w:rFonts w:ascii="Times New Roman" w:hAnsi="Times New Roman"/>
          <w:noProof/>
          <w:sz w:val="24"/>
          <w:szCs w:val="24"/>
        </w:rPr>
        <w:t xml:space="preserve">would definitely cause positive effects </w:t>
      </w:r>
      <w:r>
        <w:rPr>
          <w:rFonts w:ascii="Times New Roman" w:hAnsi="Times New Roman"/>
          <w:noProof/>
          <w:sz w:val="24"/>
          <w:szCs w:val="24"/>
          <w:lang w:eastAsia="en-US"/>
        </w:rPr>
        <w:t>in all regions</w:t>
      </w:r>
      <w:r>
        <w:rPr>
          <w:rFonts w:ascii="Times New Roman" w:hAnsi="Times New Roman"/>
          <w:noProof/>
          <w:sz w:val="24"/>
          <w:szCs w:val="24"/>
        </w:rPr>
        <w:t xml:space="preserve"> with </w:t>
      </w:r>
      <w:r>
        <w:rPr>
          <w:rFonts w:ascii="Times New Roman" w:hAnsi="Times New Roman"/>
          <w:noProof/>
          <w:kern w:val="32"/>
          <w:sz w:val="24"/>
          <w:szCs w:val="24"/>
        </w:rPr>
        <w:t>agriculture depending on</w:t>
      </w:r>
      <w:r>
        <w:rPr>
          <w:rFonts w:ascii="Times New Roman" w:hAnsi="Times New Roman"/>
          <w:noProof/>
          <w:sz w:val="24"/>
          <w:szCs w:val="24"/>
          <w:lang w:eastAsia="en-US"/>
        </w:rPr>
        <w:t xml:space="preserve"> irrigated land</w:t>
      </w:r>
      <w:r>
        <w:rPr>
          <w:rFonts w:ascii="Times New Roman" w:hAnsi="Times New Roman"/>
          <w:noProof/>
          <w:sz w:val="24"/>
          <w:szCs w:val="24"/>
        </w:rPr>
        <w:t>. Five experts voted for a strongly advantageous effect, eleven for a weakly advantageous effect. Ju</w:t>
      </w:r>
      <w:r>
        <w:rPr>
          <w:rFonts w:ascii="Times New Roman" w:hAnsi="Times New Roman"/>
          <w:noProof/>
          <w:sz w:val="24"/>
          <w:szCs w:val="24"/>
        </w:rPr>
        <w:t xml:space="preserve">st two experts expert saw a negative effect. </w:t>
      </w:r>
      <w:r>
        <w:rPr>
          <w:rFonts w:ascii="Times New Roman" w:hAnsi="Times New Roman"/>
          <w:noProof/>
          <w:sz w:val="24"/>
          <w:szCs w:val="24"/>
          <w:u w:val="single"/>
        </w:rPr>
        <w:t>When focusing only on rural regions, the expert judgement was quite similar.</w:t>
      </w:r>
    </w:p>
    <w:p w:rsidR="00AB50C5" w:rsidRDefault="00AB50C5">
      <w:pPr>
        <w:pStyle w:val="Caption"/>
        <w:rPr>
          <w:noProof/>
        </w:rPr>
      </w:pPr>
      <w:bookmarkStart w:id="199" w:name="_Toc484768762"/>
    </w:p>
    <w:p w:rsidR="00AB50C5" w:rsidRDefault="00724275">
      <w:pPr>
        <w:pStyle w:val="Caption"/>
        <w:rPr>
          <w:noProof/>
          <w:szCs w:val="22"/>
        </w:rPr>
      </w:pPr>
      <w:r>
        <w:rPr>
          <w:noProof/>
        </w:rPr>
        <w:t xml:space="preserve">Figure </w:t>
      </w:r>
      <w:r>
        <w:rPr>
          <w:noProof/>
        </w:rPr>
        <w:fldChar w:fldCharType="begin"/>
      </w:r>
      <w:r>
        <w:rPr>
          <w:noProof/>
        </w:rPr>
        <w:instrText xml:space="preserve"> STYLEREF 1 \s </w:instrText>
      </w:r>
      <w:r>
        <w:rPr>
          <w:noProof/>
        </w:rPr>
        <w:fldChar w:fldCharType="separate"/>
      </w:r>
      <w:r>
        <w:rPr>
          <w:noProof/>
        </w:rPr>
        <w:t>3</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Pr>
          <w:noProof/>
        </w:rPr>
        <w:t>1</w:t>
      </w:r>
      <w:r>
        <w:rPr>
          <w:noProof/>
        </w:rPr>
        <w:fldChar w:fldCharType="end"/>
      </w:r>
      <w:r>
        <w:rPr>
          <w:noProof/>
        </w:rPr>
        <w:t xml:space="preserve">: </w:t>
      </w:r>
      <w:r>
        <w:rPr>
          <w:noProof/>
          <w:szCs w:val="22"/>
        </w:rPr>
        <w:t xml:space="preserve">Workshop findings: Expert judgement: Effect of the development of minimum </w:t>
      </w:r>
      <w:r>
        <w:rPr>
          <w:noProof/>
          <w:lang w:eastAsia="de-AT"/>
        </w:rPr>
        <w:t>quality requirements for reused water in agricultural irrigation and aquifer recharge</w:t>
      </w:r>
      <w:r>
        <w:rPr>
          <w:noProof/>
        </w:rPr>
        <w:t xml:space="preserve"> </w:t>
      </w:r>
      <w:r>
        <w:rPr>
          <w:noProof/>
          <w:szCs w:val="22"/>
        </w:rPr>
        <w:t xml:space="preserve">on </w:t>
      </w:r>
      <w:r>
        <w:rPr>
          <w:noProof/>
          <w:kern w:val="32"/>
        </w:rPr>
        <w:t>agriculture depending on</w:t>
      </w:r>
      <w:r>
        <w:rPr>
          <w:noProof/>
        </w:rPr>
        <w:t xml:space="preserve"> irrigated land</w:t>
      </w:r>
      <w:bookmarkEnd w:id="199"/>
    </w:p>
    <w:p w:rsidR="00AB50C5" w:rsidRDefault="00724275">
      <w:pPr>
        <w:pStyle w:val="Abbildung"/>
        <w:rPr>
          <w:lang w:eastAsia="en-US"/>
        </w:rPr>
      </w:pPr>
      <w:r>
        <w:rPr>
          <w:lang w:eastAsia="en-GB"/>
        </w:rPr>
        <w:drawing>
          <wp:inline distT="0" distB="0" distL="0" distR="0" wp14:anchorId="70AB3593" wp14:editId="73332BD4">
            <wp:extent cx="5264750" cy="2085975"/>
            <wp:effectExtent l="0" t="0" r="0" b="0"/>
            <wp:docPr id="3591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0" y="0"/>
                      <a:ext cx="5274310" cy="2089763"/>
                    </a:xfrm>
                    <a:prstGeom prst="rect">
                      <a:avLst/>
                    </a:prstGeom>
                    <a:noFill/>
                    <a:ln w="9525">
                      <a:noFill/>
                      <a:miter lim="800000"/>
                      <a:headEnd/>
                      <a:tailEnd/>
                    </a:ln>
                  </pic:spPr>
                </pic:pic>
              </a:graphicData>
            </a:graphic>
          </wp:inline>
        </w:drawing>
      </w:r>
    </w:p>
    <w:p w:rsidR="00AB50C5" w:rsidRDefault="00724275">
      <w:pPr>
        <w:pStyle w:val="Quelle"/>
        <w:rPr>
          <w:noProof/>
        </w:rPr>
      </w:pPr>
      <w:r>
        <w:rPr>
          <w:noProof/>
        </w:rPr>
        <w:t>Source: Territorial impact assessment expert worksh</w:t>
      </w:r>
      <w:r>
        <w:rPr>
          <w:noProof/>
        </w:rPr>
        <w:t>op, Brussels, 5 April 2017</w:t>
      </w:r>
    </w:p>
    <w:p w:rsidR="00AB50C5" w:rsidRDefault="00724275">
      <w:pPr>
        <w:pStyle w:val="Caption"/>
        <w:rPr>
          <w:noProof/>
          <w:szCs w:val="22"/>
        </w:rPr>
      </w:pPr>
      <w:bookmarkStart w:id="200" w:name="_Toc484768763"/>
      <w:r>
        <w:rPr>
          <w:noProof/>
        </w:rPr>
        <w:t xml:space="preserve">Figure </w:t>
      </w:r>
      <w:r>
        <w:rPr>
          <w:noProof/>
        </w:rPr>
        <w:fldChar w:fldCharType="begin"/>
      </w:r>
      <w:r>
        <w:rPr>
          <w:noProof/>
        </w:rPr>
        <w:instrText xml:space="preserve"> STYLEREF 1 \s </w:instrText>
      </w:r>
      <w:r>
        <w:rPr>
          <w:noProof/>
        </w:rPr>
        <w:fldChar w:fldCharType="separate"/>
      </w:r>
      <w:r>
        <w:rPr>
          <w:noProof/>
        </w:rPr>
        <w:t>3</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Pr>
          <w:noProof/>
        </w:rPr>
        <w:t>2</w:t>
      </w:r>
      <w:r>
        <w:rPr>
          <w:noProof/>
        </w:rPr>
        <w:fldChar w:fldCharType="end"/>
      </w:r>
      <w:r>
        <w:rPr>
          <w:noProof/>
        </w:rPr>
        <w:t xml:space="preserve">: </w:t>
      </w:r>
      <w:r>
        <w:rPr>
          <w:noProof/>
          <w:szCs w:val="22"/>
        </w:rPr>
        <w:t xml:space="preserve">Workshop findings: Expert judgement: Effect of the development of minimum </w:t>
      </w:r>
      <w:r>
        <w:rPr>
          <w:noProof/>
          <w:lang w:eastAsia="de-AT"/>
        </w:rPr>
        <w:t>quality requirements for reused water in agricultural irrigation and aquifer recharge</w:t>
      </w:r>
      <w:r>
        <w:rPr>
          <w:noProof/>
        </w:rPr>
        <w:t xml:space="preserve"> </w:t>
      </w:r>
      <w:r>
        <w:rPr>
          <w:noProof/>
          <w:szCs w:val="22"/>
        </w:rPr>
        <w:t xml:space="preserve">on </w:t>
      </w:r>
      <w:r>
        <w:rPr>
          <w:noProof/>
          <w:kern w:val="32"/>
        </w:rPr>
        <w:t>agricu</w:t>
      </w:r>
      <w:r>
        <w:rPr>
          <w:noProof/>
          <w:kern w:val="32"/>
        </w:rPr>
        <w:t>lture depending on</w:t>
      </w:r>
      <w:r>
        <w:rPr>
          <w:noProof/>
        </w:rPr>
        <w:t xml:space="preserve"> irrigated land</w:t>
      </w:r>
      <w:r>
        <w:rPr>
          <w:noProof/>
          <w:szCs w:val="22"/>
        </w:rPr>
        <w:t xml:space="preserve"> in rural regions</w:t>
      </w:r>
      <w:bookmarkEnd w:id="200"/>
    </w:p>
    <w:p w:rsidR="00AB50C5" w:rsidRDefault="00724275">
      <w:pPr>
        <w:pStyle w:val="Abbildung"/>
        <w:rPr>
          <w:lang w:eastAsia="en-US"/>
        </w:rPr>
      </w:pPr>
      <w:r>
        <w:rPr>
          <w:lang w:eastAsia="en-GB"/>
        </w:rPr>
        <w:drawing>
          <wp:inline distT="0" distB="0" distL="0" distR="0" wp14:anchorId="0D2565B8" wp14:editId="6EBC0780">
            <wp:extent cx="5264751" cy="2038350"/>
            <wp:effectExtent l="0" t="0" r="0" b="0"/>
            <wp:docPr id="35915"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5274310" cy="2042051"/>
                    </a:xfrm>
                    <a:prstGeom prst="rect">
                      <a:avLst/>
                    </a:prstGeom>
                    <a:noFill/>
                    <a:ln w="9525">
                      <a:noFill/>
                      <a:miter lim="800000"/>
                      <a:headEnd/>
                      <a:tailEnd/>
                    </a:ln>
                  </pic:spPr>
                </pic:pic>
              </a:graphicData>
            </a:graphic>
          </wp:inline>
        </w:drawing>
      </w:r>
    </w:p>
    <w:p w:rsidR="00AB50C5" w:rsidRDefault="00724275">
      <w:pPr>
        <w:pStyle w:val="Quelle"/>
        <w:rPr>
          <w:noProof/>
        </w:rPr>
      </w:pPr>
      <w:r>
        <w:rPr>
          <w:noProof/>
        </w:rPr>
        <w:t>Source: Territorial impact assessment expert workshop, Brussels, 5 April 2017</w:t>
      </w:r>
    </w:p>
    <w:p w:rsidR="00AB50C5" w:rsidRDefault="00724275">
      <w:pPr>
        <w:pStyle w:val="EText"/>
        <w:spacing w:line="240" w:lineRule="auto"/>
        <w:rPr>
          <w:rFonts w:ascii="Times New Roman" w:hAnsi="Times New Roman"/>
          <w:noProof/>
          <w:sz w:val="24"/>
          <w:szCs w:val="24"/>
        </w:rPr>
      </w:pPr>
      <w:r>
        <w:rPr>
          <w:rFonts w:ascii="Times New Roman" w:hAnsi="Times New Roman"/>
          <w:noProof/>
          <w:sz w:val="24"/>
          <w:szCs w:val="24"/>
        </w:rPr>
        <w:t xml:space="preserve">The sensitivity of </w:t>
      </w:r>
      <w:r>
        <w:rPr>
          <w:rFonts w:ascii="Times New Roman" w:hAnsi="Times New Roman"/>
          <w:noProof/>
          <w:kern w:val="32"/>
          <w:sz w:val="24"/>
          <w:szCs w:val="24"/>
        </w:rPr>
        <w:t>agriculture depending on</w:t>
      </w:r>
      <w:r>
        <w:rPr>
          <w:rFonts w:ascii="Times New Roman" w:hAnsi="Times New Roman"/>
          <w:noProof/>
          <w:sz w:val="24"/>
          <w:szCs w:val="24"/>
          <w:lang w:eastAsia="en-US"/>
        </w:rPr>
        <w:t xml:space="preserve"> irrigated land</w:t>
      </w:r>
      <w:r>
        <w:rPr>
          <w:rFonts w:ascii="Times New Roman" w:hAnsi="Times New Roman"/>
          <w:noProof/>
          <w:sz w:val="24"/>
          <w:szCs w:val="24"/>
        </w:rPr>
        <w:t xml:space="preserve"> is measured by the indicator “share of irrigated land”. It is assu</w:t>
      </w:r>
      <w:r>
        <w:rPr>
          <w:rFonts w:ascii="Times New Roman" w:hAnsi="Times New Roman"/>
          <w:noProof/>
          <w:sz w:val="24"/>
          <w:szCs w:val="24"/>
        </w:rPr>
        <w:t>med that a higher share of irrigated land makes a region more sensitive towards policies influencing the conditions of irrigation.</w:t>
      </w:r>
    </w:p>
    <w:p w:rsidR="00AB50C5" w:rsidRDefault="00724275">
      <w:pPr>
        <w:spacing w:line="240" w:lineRule="auto"/>
        <w:jc w:val="both"/>
        <w:rPr>
          <w:rFonts w:ascii="Times New Roman" w:hAnsi="Times New Roman" w:cs="Times New Roman"/>
          <w:noProof/>
          <w:sz w:val="24"/>
          <w:szCs w:val="24"/>
          <w:u w:val="single"/>
        </w:rPr>
      </w:pPr>
      <w:r>
        <w:rPr>
          <w:rFonts w:ascii="Times New Roman" w:hAnsi="Times New Roman" w:cs="Times New Roman"/>
          <w:noProof/>
          <w:sz w:val="24"/>
          <w:szCs w:val="24"/>
        </w:rPr>
        <w:t xml:space="preserve">The following map shows the potential territorial impact of the development of minimum </w:t>
      </w:r>
      <w:r>
        <w:rPr>
          <w:rFonts w:ascii="Times New Roman" w:hAnsi="Times New Roman" w:cs="Times New Roman"/>
          <w:noProof/>
          <w:sz w:val="24"/>
          <w:szCs w:val="24"/>
          <w:lang w:eastAsia="de-AT"/>
        </w:rPr>
        <w:t xml:space="preserve">quality requirements for reused water </w:t>
      </w:r>
      <w:r>
        <w:rPr>
          <w:rFonts w:ascii="Times New Roman" w:hAnsi="Times New Roman" w:cs="Times New Roman"/>
          <w:noProof/>
          <w:sz w:val="24"/>
          <w:szCs w:val="24"/>
          <w:lang w:eastAsia="de-AT"/>
        </w:rPr>
        <w:t>in agricultural irrigation and aquifer recharge</w:t>
      </w:r>
      <w:r>
        <w:rPr>
          <w:rFonts w:ascii="Times New Roman" w:hAnsi="Times New Roman" w:cs="Times New Roman"/>
          <w:noProof/>
          <w:sz w:val="24"/>
          <w:szCs w:val="24"/>
        </w:rPr>
        <w:t xml:space="preserve"> on </w:t>
      </w:r>
      <w:r>
        <w:rPr>
          <w:rFonts w:ascii="Times New Roman" w:hAnsi="Times New Roman" w:cs="Times New Roman"/>
          <w:noProof/>
          <w:kern w:val="32"/>
          <w:sz w:val="24"/>
          <w:szCs w:val="24"/>
        </w:rPr>
        <w:t>agriculture depending on</w:t>
      </w:r>
      <w:r>
        <w:rPr>
          <w:rFonts w:ascii="Times New Roman" w:hAnsi="Times New Roman" w:cs="Times New Roman"/>
          <w:noProof/>
          <w:sz w:val="24"/>
          <w:szCs w:val="24"/>
        </w:rPr>
        <w:t xml:space="preserve"> irrigated land. It combines the overall expert judgement of a weakly advantageous effect with the given sensitivity of regions. </w:t>
      </w:r>
      <w:r>
        <w:rPr>
          <w:rFonts w:ascii="Times New Roman" w:hAnsi="Times New Roman" w:cs="Times New Roman"/>
          <w:noProof/>
          <w:sz w:val="24"/>
          <w:szCs w:val="24"/>
          <w:u w:val="single"/>
        </w:rPr>
        <w:t>Spanish regions on the Mediterranean coast, Greek re</w:t>
      </w:r>
      <w:r>
        <w:rPr>
          <w:rFonts w:ascii="Times New Roman" w:hAnsi="Times New Roman" w:cs="Times New Roman"/>
          <w:noProof/>
          <w:sz w:val="24"/>
          <w:szCs w:val="24"/>
          <w:u w:val="single"/>
        </w:rPr>
        <w:t xml:space="preserve">gions on the Northern coast of the Aegean Sea and Italian regions around Torino could benefit from a moderate positive effect. All other regions could gain a minor positive impact. </w:t>
      </w:r>
    </w:p>
    <w:p w:rsidR="00AB50C5" w:rsidRDefault="00724275">
      <w:pPr>
        <w:pStyle w:val="Caption"/>
        <w:rPr>
          <w:noProof/>
        </w:rPr>
      </w:pPr>
      <w:bookmarkStart w:id="201" w:name="_Toc484768784"/>
      <w:r>
        <w:rPr>
          <w:noProof/>
        </w:rPr>
        <w:t xml:space="preserve">Map </w:t>
      </w:r>
      <w:r>
        <w:rPr>
          <w:noProof/>
        </w:rPr>
        <w:fldChar w:fldCharType="begin"/>
      </w:r>
      <w:r>
        <w:rPr>
          <w:noProof/>
        </w:rPr>
        <w:instrText xml:space="preserve"> STYLEREF 1 \s </w:instrText>
      </w:r>
      <w:r>
        <w:rPr>
          <w:noProof/>
        </w:rPr>
        <w:fldChar w:fldCharType="separate"/>
      </w:r>
      <w:r>
        <w:rPr>
          <w:noProof/>
        </w:rPr>
        <w:t>3</w:t>
      </w:r>
      <w:r>
        <w:rPr>
          <w:noProof/>
        </w:rPr>
        <w:fldChar w:fldCharType="end"/>
      </w:r>
      <w:r>
        <w:rPr>
          <w:noProof/>
        </w:rPr>
        <w:t>.</w:t>
      </w:r>
      <w:r>
        <w:rPr>
          <w:noProof/>
        </w:rPr>
        <w:fldChar w:fldCharType="begin"/>
      </w:r>
      <w:r>
        <w:rPr>
          <w:noProof/>
        </w:rPr>
        <w:instrText xml:space="preserve"> SEQ Map \* ARABIC \s 1 </w:instrText>
      </w:r>
      <w:r>
        <w:rPr>
          <w:noProof/>
        </w:rPr>
        <w:fldChar w:fldCharType="separate"/>
      </w:r>
      <w:r>
        <w:rPr>
          <w:noProof/>
        </w:rPr>
        <w:t>1</w:t>
      </w:r>
      <w:r>
        <w:rPr>
          <w:noProof/>
        </w:rPr>
        <w:fldChar w:fldCharType="end"/>
      </w:r>
      <w:r>
        <w:rPr>
          <w:noProof/>
        </w:rPr>
        <w:t>: Result of the expert</w:t>
      </w:r>
      <w:r>
        <w:rPr>
          <w:noProof/>
        </w:rPr>
        <w:t xml:space="preserve"> judgement: </w:t>
      </w:r>
      <w:r>
        <w:rPr>
          <w:noProof/>
          <w:kern w:val="32"/>
        </w:rPr>
        <w:t>Agriculture depending on</w:t>
      </w:r>
      <w:r>
        <w:rPr>
          <w:noProof/>
        </w:rPr>
        <w:t xml:space="preserve"> irrigated land affected by the </w:t>
      </w:r>
      <w:r>
        <w:rPr>
          <w:noProof/>
          <w:lang w:eastAsia="de-AT"/>
        </w:rPr>
        <w:t>development of minimum quality requirements for reused water in agricultural irrigation and aquifer recharge</w:t>
      </w:r>
      <w:r>
        <w:rPr>
          <w:noProof/>
        </w:rPr>
        <w:t xml:space="preserve"> – expert judgement: weak advantageous effect</w:t>
      </w:r>
      <w:bookmarkEnd w:id="201"/>
    </w:p>
    <w:p w:rsidR="00AB50C5" w:rsidRDefault="00724275">
      <w:pPr>
        <w:pStyle w:val="Abbildung"/>
      </w:pPr>
      <w:r>
        <w:rPr>
          <w:lang w:eastAsia="en-GB"/>
        </w:rPr>
        <w:drawing>
          <wp:inline distT="0" distB="0" distL="0" distR="0" wp14:anchorId="3E78BA87" wp14:editId="38989EA4">
            <wp:extent cx="5257800" cy="5076825"/>
            <wp:effectExtent l="0" t="0" r="0" b="9525"/>
            <wp:docPr id="35916" name="Grafik 23" descr="All regions_NEW share of irregated lan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 regions_NEW share of irregated land.jpeg"/>
                    <pic:cNvPicPr/>
                  </pic:nvPicPr>
                  <pic:blipFill rotWithShape="1">
                    <a:blip r:embed="rId64" cstate="email">
                      <a:extLst>
                        <a:ext uri="{28A0092B-C50C-407E-A947-70E740481C1C}">
                          <a14:useLocalDpi xmlns:a14="http://schemas.microsoft.com/office/drawing/2010/main"/>
                        </a:ext>
                      </a:extLst>
                    </a:blip>
                    <a:srcRect b="-487"/>
                    <a:stretch/>
                  </pic:blipFill>
                  <pic:spPr bwMode="auto">
                    <a:xfrm>
                      <a:off x="0" y="0"/>
                      <a:ext cx="5256000" cy="5075087"/>
                    </a:xfrm>
                    <a:prstGeom prst="rect">
                      <a:avLst/>
                    </a:prstGeom>
                    <a:ln>
                      <a:noFill/>
                    </a:ln>
                    <a:extLst>
                      <a:ext uri="{53640926-AAD7-44D8-BBD7-CCE9431645EC}">
                        <a14:shadowObscured xmlns:a14="http://schemas.microsoft.com/office/drawing/2010/main"/>
                      </a:ext>
                    </a:extLst>
                  </pic:spPr>
                </pic:pic>
              </a:graphicData>
            </a:graphic>
          </wp:inline>
        </w:drawing>
      </w:r>
    </w:p>
    <w:p w:rsidR="00AB50C5" w:rsidRDefault="00724275">
      <w:pPr>
        <w:pStyle w:val="Quelle"/>
        <w:rPr>
          <w:noProof/>
        </w:rPr>
      </w:pPr>
      <w:r>
        <w:rPr>
          <w:noProof/>
        </w:rPr>
        <w:t>Source: Territorial impact asses</w:t>
      </w:r>
      <w:r>
        <w:rPr>
          <w:noProof/>
        </w:rPr>
        <w:t>sment expert workshop, Brussels, 5 April 2017</w:t>
      </w:r>
    </w:p>
    <w:p w:rsidR="00AB50C5" w:rsidRDefault="00724275">
      <w:pPr>
        <w:pStyle w:val="Heading2"/>
        <w:numPr>
          <w:ilvl w:val="1"/>
          <w:numId w:val="133"/>
        </w:numPr>
        <w:spacing w:before="60" w:after="160"/>
        <w:ind w:left="578" w:hanging="578"/>
        <w:jc w:val="left"/>
        <w:rPr>
          <w:noProof/>
          <w:kern w:val="32"/>
        </w:rPr>
      </w:pPr>
      <w:bookmarkStart w:id="202" w:name="_Toc484768722"/>
      <w:bookmarkStart w:id="203" w:name="_Toc516234809"/>
      <w:bookmarkStart w:id="204" w:name="_Toc400711232"/>
      <w:bookmarkStart w:id="205" w:name="_Toc438042033"/>
      <w:bookmarkEnd w:id="196"/>
      <w:r>
        <w:rPr>
          <w:noProof/>
        </w:rPr>
        <w:t xml:space="preserve">The potential territorial impact on </w:t>
      </w:r>
      <w:r>
        <w:rPr>
          <w:noProof/>
          <w:kern w:val="32"/>
        </w:rPr>
        <w:t>regions facing danger of droughts</w:t>
      </w:r>
      <w:bookmarkEnd w:id="202"/>
      <w:bookmarkEnd w:id="203"/>
      <w:r>
        <w:rPr>
          <w:noProof/>
          <w:kern w:val="32"/>
        </w:rPr>
        <w:t xml:space="preserve"> </w:t>
      </w:r>
    </w:p>
    <w:p w:rsidR="00AB50C5" w:rsidRDefault="00724275">
      <w:pPr>
        <w:pStyle w:val="EText"/>
        <w:spacing w:line="240" w:lineRule="auto"/>
        <w:rPr>
          <w:rFonts w:ascii="Times New Roman" w:hAnsi="Times New Roman"/>
          <w:noProof/>
          <w:kern w:val="32"/>
          <w:sz w:val="24"/>
          <w:szCs w:val="24"/>
        </w:rPr>
      </w:pPr>
      <w:r>
        <w:rPr>
          <w:rFonts w:ascii="Times New Roman" w:hAnsi="Times New Roman"/>
          <w:noProof/>
          <w:sz w:val="24"/>
          <w:szCs w:val="24"/>
        </w:rPr>
        <w:t xml:space="preserve">The experts estimated that the implementation of the EU initiative setting minimum </w:t>
      </w:r>
      <w:r>
        <w:rPr>
          <w:rFonts w:ascii="Times New Roman" w:hAnsi="Times New Roman"/>
          <w:noProof/>
          <w:sz w:val="24"/>
          <w:szCs w:val="24"/>
          <w:lang w:eastAsia="de-AT"/>
        </w:rPr>
        <w:t>quality requirements for reused water in agricultural ir</w:t>
      </w:r>
      <w:r>
        <w:rPr>
          <w:rFonts w:ascii="Times New Roman" w:hAnsi="Times New Roman"/>
          <w:noProof/>
          <w:sz w:val="24"/>
          <w:szCs w:val="24"/>
          <w:lang w:eastAsia="de-AT"/>
        </w:rPr>
        <w:t xml:space="preserve">rigation and aquifer recharge </w:t>
      </w:r>
      <w:r>
        <w:rPr>
          <w:rFonts w:ascii="Times New Roman" w:hAnsi="Times New Roman"/>
          <w:noProof/>
          <w:sz w:val="24"/>
          <w:szCs w:val="24"/>
        </w:rPr>
        <w:t>could contribute to reduce the lack of water in those regions that are suffering from water scarcity. According to the experts it could be a component to mitigate the effects of climate change connected to water scarcity and d</w:t>
      </w:r>
      <w:r>
        <w:rPr>
          <w:rFonts w:ascii="Times New Roman" w:hAnsi="Times New Roman"/>
          <w:noProof/>
          <w:sz w:val="24"/>
          <w:szCs w:val="24"/>
        </w:rPr>
        <w:t xml:space="preserve">roughts. A majority of the experts estimated that this </w:t>
      </w:r>
      <w:r>
        <w:rPr>
          <w:rFonts w:ascii="Times New Roman" w:hAnsi="Times New Roman"/>
          <w:noProof/>
          <w:sz w:val="24"/>
          <w:szCs w:val="24"/>
          <w:lang w:eastAsia="de-AT"/>
        </w:rPr>
        <w:t xml:space="preserve">would bring weak or even strong advantageous effects on regions </w:t>
      </w:r>
      <w:r>
        <w:rPr>
          <w:rFonts w:ascii="Times New Roman" w:hAnsi="Times New Roman"/>
          <w:noProof/>
          <w:kern w:val="32"/>
          <w:sz w:val="24"/>
          <w:szCs w:val="24"/>
        </w:rPr>
        <w:t xml:space="preserve">facing danger of droughts. However, we should note that a substantial number thought that it will have neutral effects. Only two experts </w:t>
      </w:r>
      <w:r>
        <w:rPr>
          <w:rFonts w:ascii="Times New Roman" w:hAnsi="Times New Roman"/>
          <w:noProof/>
          <w:kern w:val="32"/>
          <w:sz w:val="24"/>
          <w:szCs w:val="24"/>
        </w:rPr>
        <w:t xml:space="preserve">judged the effects as disadvantageous. </w:t>
      </w:r>
      <w:r>
        <w:rPr>
          <w:rFonts w:ascii="Times New Roman" w:hAnsi="Times New Roman"/>
          <w:noProof/>
          <w:sz w:val="24"/>
          <w:szCs w:val="24"/>
        </w:rPr>
        <w:t>When focusing only on rural regions, the expert judgement was quite similar.</w:t>
      </w:r>
    </w:p>
    <w:p w:rsidR="00AB50C5" w:rsidRDefault="00724275">
      <w:pPr>
        <w:pStyle w:val="Caption"/>
        <w:rPr>
          <w:noProof/>
          <w:szCs w:val="22"/>
        </w:rPr>
      </w:pPr>
      <w:bookmarkStart w:id="206" w:name="_Toc484768764"/>
      <w:r>
        <w:rPr>
          <w:noProof/>
        </w:rPr>
        <w:t xml:space="preserve">Figure </w:t>
      </w:r>
      <w:r>
        <w:rPr>
          <w:noProof/>
        </w:rPr>
        <w:fldChar w:fldCharType="begin"/>
      </w:r>
      <w:r>
        <w:rPr>
          <w:noProof/>
        </w:rPr>
        <w:instrText xml:space="preserve"> STYLEREF 1 \s </w:instrText>
      </w:r>
      <w:r>
        <w:rPr>
          <w:noProof/>
        </w:rPr>
        <w:fldChar w:fldCharType="separate"/>
      </w:r>
      <w:r>
        <w:rPr>
          <w:noProof/>
        </w:rPr>
        <w:t>3</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Pr>
          <w:noProof/>
        </w:rPr>
        <w:t>3</w:t>
      </w:r>
      <w:r>
        <w:rPr>
          <w:noProof/>
        </w:rPr>
        <w:fldChar w:fldCharType="end"/>
      </w:r>
      <w:r>
        <w:rPr>
          <w:noProof/>
        </w:rPr>
        <w:t xml:space="preserve">: </w:t>
      </w:r>
      <w:r>
        <w:rPr>
          <w:noProof/>
          <w:szCs w:val="22"/>
        </w:rPr>
        <w:t xml:space="preserve">Workshop findings: Expert judgement: Effect of the development of minimum </w:t>
      </w:r>
      <w:r>
        <w:rPr>
          <w:noProof/>
          <w:lang w:eastAsia="de-AT"/>
        </w:rPr>
        <w:t>quality requirements for reused water in agricultural irrigation and aquifer recharge</w:t>
      </w:r>
      <w:r>
        <w:rPr>
          <w:noProof/>
        </w:rPr>
        <w:t xml:space="preserve"> on </w:t>
      </w:r>
      <w:r>
        <w:rPr>
          <w:noProof/>
          <w:kern w:val="32"/>
        </w:rPr>
        <w:t>regions facing danger of droughts</w:t>
      </w:r>
      <w:bookmarkEnd w:id="206"/>
    </w:p>
    <w:p w:rsidR="00AB50C5" w:rsidRDefault="00724275">
      <w:pPr>
        <w:pStyle w:val="Abbildung"/>
        <w:rPr>
          <w:lang w:eastAsia="en-US"/>
        </w:rPr>
      </w:pPr>
      <w:r>
        <w:rPr>
          <w:lang w:eastAsia="en-GB"/>
        </w:rPr>
        <w:drawing>
          <wp:inline distT="0" distB="0" distL="0" distR="0" wp14:anchorId="520ACC00" wp14:editId="0340EE5A">
            <wp:extent cx="5264750" cy="2085975"/>
            <wp:effectExtent l="0" t="0" r="0" b="0"/>
            <wp:docPr id="3591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cstate="email">
                      <a:extLst>
                        <a:ext uri="{28A0092B-C50C-407E-A947-70E740481C1C}">
                          <a14:useLocalDpi xmlns:a14="http://schemas.microsoft.com/office/drawing/2010/main"/>
                        </a:ext>
                      </a:extLst>
                    </a:blip>
                    <a:srcRect/>
                    <a:stretch>
                      <a:fillRect/>
                    </a:stretch>
                  </pic:blipFill>
                  <pic:spPr bwMode="auto">
                    <a:xfrm>
                      <a:off x="0" y="0"/>
                      <a:ext cx="5274310" cy="2089763"/>
                    </a:xfrm>
                    <a:prstGeom prst="rect">
                      <a:avLst/>
                    </a:prstGeom>
                    <a:noFill/>
                    <a:ln w="9525">
                      <a:noFill/>
                      <a:miter lim="800000"/>
                      <a:headEnd/>
                      <a:tailEnd/>
                    </a:ln>
                  </pic:spPr>
                </pic:pic>
              </a:graphicData>
            </a:graphic>
          </wp:inline>
        </w:drawing>
      </w:r>
    </w:p>
    <w:p w:rsidR="00AB50C5" w:rsidRDefault="00724275">
      <w:pPr>
        <w:pStyle w:val="Quelle"/>
        <w:rPr>
          <w:noProof/>
        </w:rPr>
      </w:pPr>
      <w:r>
        <w:rPr>
          <w:noProof/>
        </w:rPr>
        <w:t>Source: Territorial impact assessment expert workshop, Brussels, 5 April 2017</w:t>
      </w:r>
    </w:p>
    <w:p w:rsidR="00AB50C5" w:rsidRDefault="00724275">
      <w:pPr>
        <w:pStyle w:val="Caption"/>
        <w:rPr>
          <w:noProof/>
          <w:szCs w:val="22"/>
        </w:rPr>
      </w:pPr>
      <w:bookmarkStart w:id="207" w:name="_Toc484768765"/>
      <w:r>
        <w:rPr>
          <w:noProof/>
        </w:rPr>
        <w:t xml:space="preserve">Figure </w:t>
      </w:r>
      <w:r>
        <w:rPr>
          <w:noProof/>
        </w:rPr>
        <w:fldChar w:fldCharType="begin"/>
      </w:r>
      <w:r>
        <w:rPr>
          <w:noProof/>
        </w:rPr>
        <w:instrText xml:space="preserve"> STYLEREF 1 \s </w:instrText>
      </w:r>
      <w:r>
        <w:rPr>
          <w:noProof/>
        </w:rPr>
        <w:fldChar w:fldCharType="separate"/>
      </w:r>
      <w:r>
        <w:rPr>
          <w:noProof/>
        </w:rPr>
        <w:t>3</w:t>
      </w:r>
      <w:r>
        <w:rPr>
          <w:noProof/>
        </w:rPr>
        <w:fldChar w:fldCharType="end"/>
      </w:r>
      <w:r>
        <w:rPr>
          <w:noProof/>
        </w:rPr>
        <w:t>.</w:t>
      </w:r>
      <w:r>
        <w:rPr>
          <w:noProof/>
        </w:rPr>
        <w:fldChar w:fldCharType="begin"/>
      </w:r>
      <w:r>
        <w:rPr>
          <w:noProof/>
        </w:rPr>
        <w:instrText xml:space="preserve"> SEQ Figure \* ARABIC \s 1</w:instrText>
      </w:r>
      <w:r>
        <w:rPr>
          <w:noProof/>
        </w:rPr>
        <w:instrText xml:space="preserve"> </w:instrText>
      </w:r>
      <w:r>
        <w:rPr>
          <w:noProof/>
        </w:rPr>
        <w:fldChar w:fldCharType="separate"/>
      </w:r>
      <w:r>
        <w:rPr>
          <w:noProof/>
        </w:rPr>
        <w:t>4</w:t>
      </w:r>
      <w:r>
        <w:rPr>
          <w:noProof/>
        </w:rPr>
        <w:fldChar w:fldCharType="end"/>
      </w:r>
      <w:r>
        <w:rPr>
          <w:noProof/>
        </w:rPr>
        <w:t xml:space="preserve">: </w:t>
      </w:r>
      <w:r>
        <w:rPr>
          <w:noProof/>
          <w:szCs w:val="22"/>
        </w:rPr>
        <w:t xml:space="preserve">Workshop findings: Expert judgement: Effect of the development of minimum </w:t>
      </w:r>
      <w:r>
        <w:rPr>
          <w:noProof/>
          <w:lang w:eastAsia="de-AT"/>
        </w:rPr>
        <w:t>quality requirements for reused water in agricultural irrigation and aquifer recharge</w:t>
      </w:r>
      <w:r>
        <w:rPr>
          <w:noProof/>
        </w:rPr>
        <w:t xml:space="preserve"> on </w:t>
      </w:r>
      <w:r>
        <w:rPr>
          <w:noProof/>
          <w:kern w:val="32"/>
        </w:rPr>
        <w:t>rural regions facing danger of droughts</w:t>
      </w:r>
      <w:bookmarkEnd w:id="207"/>
      <w:r>
        <w:rPr>
          <w:noProof/>
          <w:kern w:val="32"/>
        </w:rPr>
        <w:t xml:space="preserve"> </w:t>
      </w:r>
    </w:p>
    <w:p w:rsidR="00AB50C5" w:rsidRDefault="00724275">
      <w:pPr>
        <w:pStyle w:val="Abbildung"/>
        <w:rPr>
          <w:lang w:eastAsia="en-US"/>
        </w:rPr>
      </w:pPr>
      <w:r>
        <w:rPr>
          <w:lang w:eastAsia="en-GB"/>
        </w:rPr>
        <w:drawing>
          <wp:inline distT="0" distB="0" distL="0" distR="0" wp14:anchorId="6D0497B5" wp14:editId="643CF09E">
            <wp:extent cx="5264750" cy="2076450"/>
            <wp:effectExtent l="0" t="0" r="0" b="0"/>
            <wp:docPr id="3591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5274310" cy="2080220"/>
                    </a:xfrm>
                    <a:prstGeom prst="rect">
                      <a:avLst/>
                    </a:prstGeom>
                    <a:noFill/>
                    <a:ln w="9525">
                      <a:noFill/>
                      <a:miter lim="800000"/>
                      <a:headEnd/>
                      <a:tailEnd/>
                    </a:ln>
                  </pic:spPr>
                </pic:pic>
              </a:graphicData>
            </a:graphic>
          </wp:inline>
        </w:drawing>
      </w:r>
    </w:p>
    <w:p w:rsidR="00AB50C5" w:rsidRDefault="00724275">
      <w:pPr>
        <w:pStyle w:val="Quelle"/>
        <w:rPr>
          <w:noProof/>
        </w:rPr>
      </w:pPr>
      <w:r>
        <w:rPr>
          <w:noProof/>
        </w:rPr>
        <w:t xml:space="preserve">Source: Territorial impact assessment </w:t>
      </w:r>
      <w:r>
        <w:rPr>
          <w:noProof/>
        </w:rPr>
        <w:t>expert workshop, Brussels, 5 April 2017</w:t>
      </w:r>
    </w:p>
    <w:p w:rsidR="00AB50C5" w:rsidRDefault="00724275">
      <w:pPr>
        <w:pStyle w:val="EText"/>
        <w:spacing w:line="240" w:lineRule="auto"/>
        <w:rPr>
          <w:rFonts w:ascii="Times New Roman" w:hAnsi="Times New Roman"/>
          <w:noProof/>
          <w:kern w:val="32"/>
          <w:sz w:val="24"/>
          <w:szCs w:val="24"/>
        </w:rPr>
      </w:pPr>
      <w:r>
        <w:rPr>
          <w:rFonts w:ascii="Times New Roman" w:hAnsi="Times New Roman"/>
          <w:noProof/>
          <w:kern w:val="32"/>
          <w:sz w:val="24"/>
          <w:szCs w:val="24"/>
        </w:rPr>
        <w:t xml:space="preserve">The indicator picturing the sensitivity </w:t>
      </w:r>
      <w:r>
        <w:rPr>
          <w:rFonts w:ascii="Times New Roman" w:hAnsi="Times New Roman"/>
          <w:noProof/>
          <w:sz w:val="24"/>
          <w:szCs w:val="24"/>
          <w:lang w:eastAsia="fr-BE"/>
        </w:rPr>
        <w:t xml:space="preserve">of a region </w:t>
      </w:r>
      <w:r>
        <w:rPr>
          <w:rFonts w:ascii="Times New Roman" w:hAnsi="Times New Roman"/>
          <w:noProof/>
          <w:kern w:val="32"/>
          <w:sz w:val="24"/>
          <w:szCs w:val="24"/>
        </w:rPr>
        <w:t>facing danger of droughts</w:t>
      </w:r>
      <w:r>
        <w:rPr>
          <w:rFonts w:ascii="Times New Roman" w:hAnsi="Times New Roman"/>
          <w:noProof/>
          <w:sz w:val="24"/>
          <w:szCs w:val="24"/>
        </w:rPr>
        <w:t xml:space="preserve"> </w:t>
      </w:r>
      <w:r>
        <w:rPr>
          <w:rFonts w:ascii="Times New Roman" w:hAnsi="Times New Roman"/>
          <w:noProof/>
          <w:sz w:val="24"/>
          <w:szCs w:val="24"/>
          <w:lang w:eastAsia="fr-BE"/>
        </w:rPr>
        <w:t>is measured by the probability of forest fires. This indicator was criticized by several experts, because they judged the cause-effect rel</w:t>
      </w:r>
      <w:r>
        <w:rPr>
          <w:rFonts w:ascii="Times New Roman" w:hAnsi="Times New Roman"/>
          <w:noProof/>
          <w:sz w:val="24"/>
          <w:szCs w:val="24"/>
          <w:lang w:eastAsia="fr-BE"/>
        </w:rPr>
        <w:t xml:space="preserve">ation between the additional options for irrigation reducing the negative effects of droughts for agriculture and the concrete sensitivity indicator (probability of forest fires) as too weak. Consequently, </w:t>
      </w:r>
      <w:r>
        <w:rPr>
          <w:rFonts w:ascii="Times New Roman" w:hAnsi="Times New Roman"/>
          <w:noProof/>
          <w:kern w:val="32"/>
          <w:sz w:val="24"/>
          <w:szCs w:val="24"/>
        </w:rPr>
        <w:t>eight experts did not see any effect of the initia</w:t>
      </w:r>
      <w:r>
        <w:rPr>
          <w:rFonts w:ascii="Times New Roman" w:hAnsi="Times New Roman"/>
          <w:noProof/>
          <w:kern w:val="32"/>
          <w:sz w:val="24"/>
          <w:szCs w:val="24"/>
        </w:rPr>
        <w:t xml:space="preserve">tive on this indicator and 3 experts considered that this indicator was not relevant at all. </w:t>
      </w:r>
    </w:p>
    <w:p w:rsidR="00AB50C5" w:rsidRDefault="0072427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following map shows the potential territorial impact </w:t>
      </w:r>
      <w:r>
        <w:rPr>
          <w:rFonts w:ascii="Times New Roman" w:hAnsi="Times New Roman" w:cs="Times New Roman"/>
          <w:noProof/>
          <w:kern w:val="32"/>
          <w:sz w:val="24"/>
          <w:szCs w:val="24"/>
        </w:rPr>
        <w:t xml:space="preserve">on </w:t>
      </w:r>
      <w:r>
        <w:rPr>
          <w:rFonts w:ascii="Times New Roman" w:hAnsi="Times New Roman" w:cs="Times New Roman"/>
          <w:noProof/>
          <w:sz w:val="24"/>
          <w:szCs w:val="24"/>
        </w:rPr>
        <w:t xml:space="preserve">regions facing danger of droughts by combining the expert judgement of the weak advantageous effect with the corresponding sensitivity. Based on that </w:t>
      </w:r>
      <w:r>
        <w:rPr>
          <w:rFonts w:ascii="Times New Roman" w:hAnsi="Times New Roman" w:cs="Times New Roman"/>
          <w:noProof/>
          <w:sz w:val="24"/>
          <w:szCs w:val="24"/>
          <w:u w:val="single"/>
        </w:rPr>
        <w:t xml:space="preserve">regions which could gain a moderate positive impact are situated in the South of Europe (Portugal, Spain, </w:t>
      </w:r>
      <w:r>
        <w:rPr>
          <w:rFonts w:ascii="Times New Roman" w:hAnsi="Times New Roman" w:cs="Times New Roman"/>
          <w:noProof/>
          <w:sz w:val="24"/>
          <w:szCs w:val="24"/>
          <w:u w:val="single"/>
        </w:rPr>
        <w:t>the Mediterranean coast of France, Italy, Greece, Cyprus) in the East of Europe (East of Poland, South of Hungary, parts of Romania and Bulgaria) and in the centre of France. Some regions in the South of Portugal and the very South of Italy and Haute-Corse</w:t>
      </w:r>
      <w:r>
        <w:rPr>
          <w:rFonts w:ascii="Times New Roman" w:hAnsi="Times New Roman" w:cs="Times New Roman"/>
          <w:noProof/>
          <w:sz w:val="24"/>
          <w:szCs w:val="24"/>
          <w:u w:val="single"/>
        </w:rPr>
        <w:t xml:space="preserve"> could gain even a highly positive impact. For the other regions there would be only a minor impact.</w:t>
      </w:r>
      <w:r>
        <w:rPr>
          <w:rFonts w:ascii="Times New Roman" w:hAnsi="Times New Roman" w:cs="Times New Roman"/>
          <w:noProof/>
          <w:sz w:val="24"/>
          <w:szCs w:val="24"/>
        </w:rPr>
        <w:t xml:space="preserve"> </w:t>
      </w:r>
    </w:p>
    <w:p w:rsidR="00AB50C5" w:rsidRDefault="0072427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In case of the expert judgement of a strong advantageous effect the impact on the regions would be respectively higher, up to a very high impact for regio</w:t>
      </w:r>
      <w:r>
        <w:rPr>
          <w:rFonts w:ascii="Times New Roman" w:hAnsi="Times New Roman" w:cs="Times New Roman"/>
          <w:noProof/>
          <w:sz w:val="24"/>
          <w:szCs w:val="24"/>
        </w:rPr>
        <w:t xml:space="preserve">ns in the South and East of Europe. </w:t>
      </w:r>
    </w:p>
    <w:p w:rsidR="00AB50C5" w:rsidRDefault="00724275">
      <w:pPr>
        <w:pStyle w:val="Caption"/>
        <w:rPr>
          <w:noProof/>
        </w:rPr>
      </w:pPr>
      <w:bookmarkStart w:id="208" w:name="_Toc484768785"/>
      <w:r>
        <w:rPr>
          <w:noProof/>
        </w:rPr>
        <w:t xml:space="preserve">Map </w:t>
      </w:r>
      <w:r>
        <w:rPr>
          <w:noProof/>
        </w:rPr>
        <w:fldChar w:fldCharType="begin"/>
      </w:r>
      <w:r>
        <w:rPr>
          <w:noProof/>
        </w:rPr>
        <w:instrText xml:space="preserve"> STYLEREF 1 \s </w:instrText>
      </w:r>
      <w:r>
        <w:rPr>
          <w:noProof/>
        </w:rPr>
        <w:fldChar w:fldCharType="separate"/>
      </w:r>
      <w:r>
        <w:rPr>
          <w:noProof/>
        </w:rPr>
        <w:t>3</w:t>
      </w:r>
      <w:r>
        <w:rPr>
          <w:noProof/>
        </w:rPr>
        <w:fldChar w:fldCharType="end"/>
      </w:r>
      <w:r>
        <w:rPr>
          <w:noProof/>
        </w:rPr>
        <w:t>.</w:t>
      </w:r>
      <w:r>
        <w:rPr>
          <w:noProof/>
        </w:rPr>
        <w:fldChar w:fldCharType="begin"/>
      </w:r>
      <w:r>
        <w:rPr>
          <w:noProof/>
        </w:rPr>
        <w:instrText xml:space="preserve"> SEQ Map \* ARABIC \s 1 </w:instrText>
      </w:r>
      <w:r>
        <w:rPr>
          <w:noProof/>
        </w:rPr>
        <w:fldChar w:fldCharType="separate"/>
      </w:r>
      <w:r>
        <w:rPr>
          <w:noProof/>
        </w:rPr>
        <w:t>2</w:t>
      </w:r>
      <w:r>
        <w:rPr>
          <w:noProof/>
        </w:rPr>
        <w:fldChar w:fldCharType="end"/>
      </w:r>
      <w:r>
        <w:rPr>
          <w:noProof/>
        </w:rPr>
        <w:t xml:space="preserve">: Result of the expert judgement: </w:t>
      </w:r>
      <w:r>
        <w:rPr>
          <w:noProof/>
          <w:kern w:val="32"/>
        </w:rPr>
        <w:t>Regions facing danger of droughts</w:t>
      </w:r>
      <w:r>
        <w:rPr>
          <w:noProof/>
        </w:rPr>
        <w:t xml:space="preserve"> affected by the </w:t>
      </w:r>
      <w:r>
        <w:rPr>
          <w:noProof/>
          <w:lang w:eastAsia="de-AT"/>
        </w:rPr>
        <w:t>development of minimum quality requirements for reused water in agricultural irriga</w:t>
      </w:r>
      <w:r>
        <w:rPr>
          <w:noProof/>
          <w:lang w:eastAsia="de-AT"/>
        </w:rPr>
        <w:t>tion and aquifer recharge</w:t>
      </w:r>
      <w:r>
        <w:rPr>
          <w:noProof/>
        </w:rPr>
        <w:t xml:space="preserve"> – expert judgement: weak advantageous effect</w:t>
      </w:r>
      <w:bookmarkEnd w:id="208"/>
    </w:p>
    <w:p w:rsidR="00AB50C5" w:rsidRDefault="00724275">
      <w:pPr>
        <w:pStyle w:val="Abbildung"/>
      </w:pPr>
      <w:r>
        <w:rPr>
          <w:lang w:eastAsia="en-GB"/>
        </w:rPr>
        <w:drawing>
          <wp:inline distT="0" distB="0" distL="0" distR="0" wp14:anchorId="10E7C387" wp14:editId="2644DBA0">
            <wp:extent cx="5238750" cy="5832900"/>
            <wp:effectExtent l="0" t="0" r="0" b="0"/>
            <wp:docPr id="3591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 regions_NEW drought.jpeg"/>
                    <pic:cNvPicPr/>
                  </pic:nvPicPr>
                  <pic:blipFill rotWithShape="1">
                    <a:blip r:embed="rId67" cstate="email">
                      <a:extLst>
                        <a:ext uri="{28A0092B-C50C-407E-A947-70E740481C1C}">
                          <a14:useLocalDpi xmlns:a14="http://schemas.microsoft.com/office/drawing/2010/main"/>
                        </a:ext>
                      </a:extLst>
                    </a:blip>
                    <a:srcRect/>
                    <a:stretch/>
                  </pic:blipFill>
                  <pic:spPr bwMode="auto">
                    <a:xfrm>
                      <a:off x="0" y="0"/>
                      <a:ext cx="5238750" cy="5832900"/>
                    </a:xfrm>
                    <a:prstGeom prst="rect">
                      <a:avLst/>
                    </a:prstGeom>
                    <a:ln>
                      <a:noFill/>
                    </a:ln>
                    <a:extLst>
                      <a:ext uri="{53640926-AAD7-44D8-BBD7-CCE9431645EC}">
                        <a14:shadowObscured xmlns:a14="http://schemas.microsoft.com/office/drawing/2010/main"/>
                      </a:ext>
                    </a:extLst>
                  </pic:spPr>
                </pic:pic>
              </a:graphicData>
            </a:graphic>
          </wp:inline>
        </w:drawing>
      </w:r>
    </w:p>
    <w:p w:rsidR="00AB50C5" w:rsidRDefault="00724275">
      <w:pPr>
        <w:pStyle w:val="Quelle"/>
        <w:rPr>
          <w:noProof/>
        </w:rPr>
      </w:pPr>
      <w:r>
        <w:rPr>
          <w:noProof/>
        </w:rPr>
        <w:t>Source: Territorial impact assessment expert workshop, Brussels, 5 April 2017</w:t>
      </w:r>
    </w:p>
    <w:p w:rsidR="00AB50C5" w:rsidRDefault="00724275">
      <w:pPr>
        <w:pStyle w:val="Caption"/>
        <w:rPr>
          <w:noProof/>
        </w:rPr>
      </w:pPr>
      <w:bookmarkStart w:id="209" w:name="_Toc484768786"/>
      <w:r>
        <w:rPr>
          <w:noProof/>
        </w:rPr>
        <w:t xml:space="preserve">Map </w:t>
      </w:r>
      <w:r>
        <w:rPr>
          <w:noProof/>
        </w:rPr>
        <w:fldChar w:fldCharType="begin"/>
      </w:r>
      <w:r>
        <w:rPr>
          <w:noProof/>
        </w:rPr>
        <w:instrText xml:space="preserve"> STYLEREF 1 \s </w:instrText>
      </w:r>
      <w:r>
        <w:rPr>
          <w:noProof/>
        </w:rPr>
        <w:fldChar w:fldCharType="separate"/>
      </w:r>
      <w:r>
        <w:rPr>
          <w:noProof/>
        </w:rPr>
        <w:t>3</w:t>
      </w:r>
      <w:r>
        <w:rPr>
          <w:noProof/>
        </w:rPr>
        <w:fldChar w:fldCharType="end"/>
      </w:r>
      <w:r>
        <w:rPr>
          <w:noProof/>
        </w:rPr>
        <w:t>.</w:t>
      </w:r>
      <w:r>
        <w:rPr>
          <w:noProof/>
        </w:rPr>
        <w:fldChar w:fldCharType="begin"/>
      </w:r>
      <w:r>
        <w:rPr>
          <w:noProof/>
        </w:rPr>
        <w:instrText xml:space="preserve"> SEQ Map \* ARABIC \s 1 </w:instrText>
      </w:r>
      <w:r>
        <w:rPr>
          <w:noProof/>
        </w:rPr>
        <w:fldChar w:fldCharType="separate"/>
      </w:r>
      <w:r>
        <w:rPr>
          <w:noProof/>
        </w:rPr>
        <w:t>3</w:t>
      </w:r>
      <w:r>
        <w:rPr>
          <w:noProof/>
        </w:rPr>
        <w:fldChar w:fldCharType="end"/>
      </w:r>
      <w:r>
        <w:rPr>
          <w:noProof/>
        </w:rPr>
        <w:t>: Result of the expert judgement: Rural r</w:t>
      </w:r>
      <w:r>
        <w:rPr>
          <w:noProof/>
          <w:kern w:val="32"/>
        </w:rPr>
        <w:t>egions facin</w:t>
      </w:r>
      <w:r>
        <w:rPr>
          <w:noProof/>
          <w:kern w:val="32"/>
        </w:rPr>
        <w:t>g danger of droughts</w:t>
      </w:r>
      <w:r>
        <w:rPr>
          <w:noProof/>
        </w:rPr>
        <w:t xml:space="preserve"> affected by the </w:t>
      </w:r>
      <w:r>
        <w:rPr>
          <w:noProof/>
          <w:lang w:eastAsia="de-AT"/>
        </w:rPr>
        <w:t>development of minimum quality requirements for reused water in agricultural irrigation and aquifer recharge</w:t>
      </w:r>
      <w:r>
        <w:rPr>
          <w:noProof/>
        </w:rPr>
        <w:t xml:space="preserve"> – expert judgement: strong advantageous effect</w:t>
      </w:r>
      <w:bookmarkEnd w:id="209"/>
    </w:p>
    <w:p w:rsidR="00AB50C5" w:rsidRDefault="00724275">
      <w:pPr>
        <w:pStyle w:val="Abbildung"/>
      </w:pPr>
      <w:r>
        <w:rPr>
          <w:lang w:eastAsia="en-GB"/>
        </w:rPr>
        <w:drawing>
          <wp:inline distT="0" distB="0" distL="0" distR="0" wp14:anchorId="3AAA4AD6" wp14:editId="3205D90C">
            <wp:extent cx="5256000" cy="5536143"/>
            <wp:effectExtent l="19050" t="0" r="1800" b="0"/>
            <wp:docPr id="35920" name="Grafik 13" descr="All regions_NEW drough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 regions_NEW drought.jpeg"/>
                    <pic:cNvPicPr/>
                  </pic:nvPicPr>
                  <pic:blipFill>
                    <a:blip r:embed="rId68" cstate="email">
                      <a:extLst>
                        <a:ext uri="{28A0092B-C50C-407E-A947-70E740481C1C}">
                          <a14:useLocalDpi xmlns:a14="http://schemas.microsoft.com/office/drawing/2010/main"/>
                        </a:ext>
                      </a:extLst>
                    </a:blip>
                    <a:srcRect/>
                    <a:stretch>
                      <a:fillRect/>
                    </a:stretch>
                  </pic:blipFill>
                  <pic:spPr>
                    <a:xfrm>
                      <a:off x="0" y="0"/>
                      <a:ext cx="5256000" cy="5536143"/>
                    </a:xfrm>
                    <a:prstGeom prst="rect">
                      <a:avLst/>
                    </a:prstGeom>
                  </pic:spPr>
                </pic:pic>
              </a:graphicData>
            </a:graphic>
          </wp:inline>
        </w:drawing>
      </w:r>
    </w:p>
    <w:p w:rsidR="00AB50C5" w:rsidRDefault="00724275">
      <w:pPr>
        <w:pStyle w:val="Quelle"/>
        <w:rPr>
          <w:noProof/>
        </w:rPr>
      </w:pPr>
      <w:r>
        <w:rPr>
          <w:noProof/>
        </w:rPr>
        <w:t>Source: Territorial impact assessment expert workshop, Brusse</w:t>
      </w:r>
      <w:r>
        <w:rPr>
          <w:noProof/>
        </w:rPr>
        <w:t>ls, 5 April 2017</w:t>
      </w:r>
    </w:p>
    <w:p w:rsidR="00AB50C5" w:rsidRDefault="00AB50C5">
      <w:pPr>
        <w:rPr>
          <w:noProof/>
        </w:rPr>
      </w:pPr>
    </w:p>
    <w:p w:rsidR="00AB50C5" w:rsidRDefault="00724275">
      <w:pPr>
        <w:pStyle w:val="Heading2"/>
        <w:numPr>
          <w:ilvl w:val="1"/>
          <w:numId w:val="133"/>
        </w:numPr>
        <w:spacing w:before="60" w:after="160"/>
        <w:ind w:left="578" w:hanging="578"/>
        <w:jc w:val="left"/>
        <w:rPr>
          <w:noProof/>
          <w:lang w:eastAsia="en-US"/>
        </w:rPr>
      </w:pPr>
      <w:bookmarkStart w:id="210" w:name="_Toc484768723"/>
      <w:bookmarkStart w:id="211" w:name="_Toc516234810"/>
      <w:r>
        <w:rPr>
          <w:noProof/>
          <w:kern w:val="32"/>
        </w:rPr>
        <w:t xml:space="preserve">The potential territorial impact on regions facing </w:t>
      </w:r>
      <w:r>
        <w:rPr>
          <w:noProof/>
          <w:lang w:eastAsia="en-US"/>
        </w:rPr>
        <w:t>heat waves</w:t>
      </w:r>
      <w:bookmarkEnd w:id="210"/>
      <w:bookmarkEnd w:id="211"/>
    </w:p>
    <w:p w:rsidR="00AB50C5" w:rsidRDefault="00724275">
      <w:pPr>
        <w:pStyle w:val="EText"/>
        <w:spacing w:line="240" w:lineRule="auto"/>
        <w:rPr>
          <w:rFonts w:ascii="Times New Roman" w:hAnsi="Times New Roman"/>
          <w:noProof/>
          <w:kern w:val="32"/>
          <w:sz w:val="24"/>
          <w:szCs w:val="24"/>
        </w:rPr>
      </w:pPr>
      <w:r>
        <w:rPr>
          <w:rFonts w:ascii="Times New Roman" w:hAnsi="Times New Roman"/>
          <w:noProof/>
          <w:sz w:val="24"/>
          <w:szCs w:val="24"/>
        </w:rPr>
        <w:t xml:space="preserve">In the workshop the experts judged that the development of minimum </w:t>
      </w:r>
      <w:r>
        <w:rPr>
          <w:rFonts w:ascii="Times New Roman" w:hAnsi="Times New Roman"/>
          <w:noProof/>
          <w:sz w:val="24"/>
          <w:szCs w:val="24"/>
          <w:lang w:eastAsia="de-AT"/>
        </w:rPr>
        <w:t>quality requirements for reused water in agricultural irrigation and aquifer recharge would bring advantageou</w:t>
      </w:r>
      <w:r>
        <w:rPr>
          <w:rFonts w:ascii="Times New Roman" w:hAnsi="Times New Roman"/>
          <w:noProof/>
          <w:sz w:val="24"/>
          <w:szCs w:val="24"/>
          <w:lang w:eastAsia="de-AT"/>
        </w:rPr>
        <w:t xml:space="preserve">s effects on regions </w:t>
      </w:r>
      <w:r>
        <w:rPr>
          <w:rFonts w:ascii="Times New Roman" w:hAnsi="Times New Roman"/>
          <w:noProof/>
          <w:kern w:val="32"/>
          <w:sz w:val="24"/>
          <w:szCs w:val="24"/>
        </w:rPr>
        <w:t xml:space="preserve">facing </w:t>
      </w:r>
      <w:r>
        <w:rPr>
          <w:rFonts w:ascii="Times New Roman" w:hAnsi="Times New Roman"/>
          <w:noProof/>
          <w:sz w:val="24"/>
          <w:szCs w:val="24"/>
          <w:lang w:eastAsia="en-US"/>
        </w:rPr>
        <w:t>heat waves</w:t>
      </w:r>
      <w:r>
        <w:rPr>
          <w:rFonts w:ascii="Times New Roman" w:hAnsi="Times New Roman"/>
          <w:noProof/>
          <w:kern w:val="32"/>
          <w:sz w:val="24"/>
          <w:szCs w:val="24"/>
        </w:rPr>
        <w:t xml:space="preserve">. No one voted for a negative effect. </w:t>
      </w:r>
    </w:p>
    <w:p w:rsidR="00AB50C5" w:rsidRDefault="00724275">
      <w:pPr>
        <w:pStyle w:val="EText"/>
        <w:spacing w:line="240" w:lineRule="auto"/>
        <w:rPr>
          <w:rFonts w:ascii="Times New Roman" w:hAnsi="Times New Roman"/>
          <w:noProof/>
          <w:sz w:val="24"/>
          <w:szCs w:val="24"/>
          <w:lang w:eastAsia="de-AT"/>
        </w:rPr>
      </w:pPr>
      <w:r>
        <w:rPr>
          <w:rFonts w:ascii="Times New Roman" w:hAnsi="Times New Roman"/>
          <w:noProof/>
          <w:kern w:val="32"/>
          <w:sz w:val="24"/>
          <w:szCs w:val="24"/>
        </w:rPr>
        <w:t xml:space="preserve">The indicator picturing the sensitivity </w:t>
      </w:r>
      <w:r>
        <w:rPr>
          <w:rFonts w:ascii="Times New Roman" w:hAnsi="Times New Roman"/>
          <w:noProof/>
          <w:sz w:val="24"/>
          <w:szCs w:val="24"/>
          <w:lang w:eastAsia="fr-BE"/>
        </w:rPr>
        <w:t xml:space="preserve">of a region </w:t>
      </w:r>
      <w:r>
        <w:rPr>
          <w:rFonts w:ascii="Times New Roman" w:hAnsi="Times New Roman"/>
          <w:noProof/>
          <w:kern w:val="32"/>
          <w:sz w:val="24"/>
          <w:szCs w:val="24"/>
        </w:rPr>
        <w:t>facing heat waves</w:t>
      </w:r>
      <w:r>
        <w:rPr>
          <w:rFonts w:ascii="Times New Roman" w:hAnsi="Times New Roman"/>
          <w:noProof/>
          <w:sz w:val="24"/>
          <w:szCs w:val="24"/>
        </w:rPr>
        <w:t xml:space="preserve"> </w:t>
      </w:r>
      <w:r>
        <w:rPr>
          <w:rFonts w:ascii="Times New Roman" w:hAnsi="Times New Roman"/>
          <w:noProof/>
          <w:sz w:val="24"/>
          <w:szCs w:val="24"/>
          <w:lang w:eastAsia="fr-BE"/>
        </w:rPr>
        <w:t xml:space="preserve">was measured by the number of </w:t>
      </w:r>
      <w:r>
        <w:rPr>
          <w:rFonts w:ascii="Times New Roman" w:hAnsi="Times New Roman"/>
          <w:noProof/>
          <w:sz w:val="24"/>
          <w:szCs w:val="24"/>
        </w:rPr>
        <w:t xml:space="preserve">days over 30 °C. </w:t>
      </w:r>
      <w:r>
        <w:rPr>
          <w:rFonts w:ascii="Times New Roman" w:hAnsi="Times New Roman"/>
          <w:noProof/>
          <w:sz w:val="24"/>
          <w:szCs w:val="24"/>
          <w:lang w:eastAsia="fr-BE"/>
        </w:rPr>
        <w:t>This indicator was criticized by several experts, because they judged the cause-effect relation between the additional options for irrigation reducing the negative effects of heat waves for agriculture and the concrete sensitivity indicator as too weak. Co</w:t>
      </w:r>
      <w:r>
        <w:rPr>
          <w:rFonts w:ascii="Times New Roman" w:hAnsi="Times New Roman"/>
          <w:noProof/>
          <w:sz w:val="24"/>
          <w:szCs w:val="24"/>
          <w:lang w:eastAsia="fr-BE"/>
        </w:rPr>
        <w:t xml:space="preserve">nsequently, a large group of </w:t>
      </w:r>
      <w:r>
        <w:rPr>
          <w:rFonts w:ascii="Times New Roman" w:hAnsi="Times New Roman"/>
          <w:noProof/>
          <w:kern w:val="32"/>
          <w:sz w:val="24"/>
          <w:szCs w:val="24"/>
        </w:rPr>
        <w:t>experts did not see any effect of the EU initiative on this indicator. Due to this judgement, it was decided as not useful to picture this voting in maps.</w:t>
      </w:r>
    </w:p>
    <w:p w:rsidR="00AB50C5" w:rsidRDefault="00724275">
      <w:pPr>
        <w:pStyle w:val="Caption"/>
        <w:rPr>
          <w:noProof/>
          <w:szCs w:val="22"/>
        </w:rPr>
      </w:pPr>
      <w:bookmarkStart w:id="212" w:name="_Toc484768766"/>
      <w:r>
        <w:rPr>
          <w:noProof/>
        </w:rPr>
        <w:t xml:space="preserve">Figure </w:t>
      </w:r>
      <w:r>
        <w:rPr>
          <w:noProof/>
        </w:rPr>
        <w:fldChar w:fldCharType="begin"/>
      </w:r>
      <w:r>
        <w:rPr>
          <w:noProof/>
        </w:rPr>
        <w:instrText xml:space="preserve"> STYLEREF 1 \s </w:instrText>
      </w:r>
      <w:r>
        <w:rPr>
          <w:noProof/>
        </w:rPr>
        <w:fldChar w:fldCharType="separate"/>
      </w:r>
      <w:r>
        <w:rPr>
          <w:noProof/>
        </w:rPr>
        <w:t>3</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Pr>
          <w:noProof/>
        </w:rPr>
        <w:t>5</w:t>
      </w:r>
      <w:r>
        <w:rPr>
          <w:noProof/>
        </w:rPr>
        <w:fldChar w:fldCharType="end"/>
      </w:r>
      <w:r>
        <w:rPr>
          <w:noProof/>
        </w:rPr>
        <w:t xml:space="preserve">: </w:t>
      </w:r>
      <w:r>
        <w:rPr>
          <w:noProof/>
          <w:szCs w:val="22"/>
        </w:rPr>
        <w:t>Workshop fin</w:t>
      </w:r>
      <w:r>
        <w:rPr>
          <w:noProof/>
          <w:szCs w:val="22"/>
        </w:rPr>
        <w:t xml:space="preserve">dings: Expert judgement: Effect of the development of minimum </w:t>
      </w:r>
      <w:r>
        <w:rPr>
          <w:noProof/>
          <w:lang w:eastAsia="de-AT"/>
        </w:rPr>
        <w:t>quality requirements for reused water in agricultural irrigation and aquifer recharge</w:t>
      </w:r>
      <w:r>
        <w:rPr>
          <w:noProof/>
        </w:rPr>
        <w:t xml:space="preserve"> </w:t>
      </w:r>
      <w:r>
        <w:rPr>
          <w:noProof/>
          <w:szCs w:val="22"/>
        </w:rPr>
        <w:t xml:space="preserve">on </w:t>
      </w:r>
      <w:r>
        <w:rPr>
          <w:noProof/>
          <w:kern w:val="32"/>
        </w:rPr>
        <w:t xml:space="preserve">regions facing </w:t>
      </w:r>
      <w:r>
        <w:rPr>
          <w:noProof/>
        </w:rPr>
        <w:t>heat waves</w:t>
      </w:r>
      <w:bookmarkEnd w:id="212"/>
    </w:p>
    <w:p w:rsidR="00AB50C5" w:rsidRDefault="00724275">
      <w:pPr>
        <w:pStyle w:val="Abbildung"/>
        <w:rPr>
          <w:lang w:eastAsia="en-US"/>
        </w:rPr>
      </w:pPr>
      <w:r>
        <w:rPr>
          <w:lang w:eastAsia="en-GB"/>
        </w:rPr>
        <w:drawing>
          <wp:inline distT="0" distB="0" distL="0" distR="0" wp14:anchorId="25646B04" wp14:editId="186A4123">
            <wp:extent cx="5274310" cy="2452370"/>
            <wp:effectExtent l="19050" t="0" r="2540" b="0"/>
            <wp:docPr id="35921"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email">
                      <a:extLst>
                        <a:ext uri="{28A0092B-C50C-407E-A947-70E740481C1C}">
                          <a14:useLocalDpi xmlns:a14="http://schemas.microsoft.com/office/drawing/2010/main"/>
                        </a:ext>
                      </a:extLst>
                    </a:blip>
                    <a:srcRect/>
                    <a:stretch>
                      <a:fillRect/>
                    </a:stretch>
                  </pic:blipFill>
                  <pic:spPr bwMode="auto">
                    <a:xfrm>
                      <a:off x="0" y="0"/>
                      <a:ext cx="5274310" cy="2452370"/>
                    </a:xfrm>
                    <a:prstGeom prst="rect">
                      <a:avLst/>
                    </a:prstGeom>
                    <a:noFill/>
                    <a:ln w="9525">
                      <a:noFill/>
                      <a:miter lim="800000"/>
                      <a:headEnd/>
                      <a:tailEnd/>
                    </a:ln>
                  </pic:spPr>
                </pic:pic>
              </a:graphicData>
            </a:graphic>
          </wp:inline>
        </w:drawing>
      </w:r>
    </w:p>
    <w:p w:rsidR="00AB50C5" w:rsidRDefault="00724275">
      <w:pPr>
        <w:pStyle w:val="Quelle"/>
        <w:rPr>
          <w:noProof/>
        </w:rPr>
      </w:pPr>
      <w:r>
        <w:rPr>
          <w:noProof/>
        </w:rPr>
        <w:t>Source: Territorial impact assessment expert workshop, Brussels, 5 April 2017</w:t>
      </w:r>
    </w:p>
    <w:p w:rsidR="00AB50C5" w:rsidRDefault="00724275">
      <w:pPr>
        <w:pStyle w:val="Caption"/>
        <w:rPr>
          <w:noProof/>
          <w:szCs w:val="22"/>
        </w:rPr>
      </w:pPr>
      <w:bookmarkStart w:id="213" w:name="_Toc484768767"/>
      <w:r>
        <w:rPr>
          <w:noProof/>
        </w:rPr>
        <w:t xml:space="preserve">Figure </w:t>
      </w:r>
      <w:r>
        <w:rPr>
          <w:noProof/>
        </w:rPr>
        <w:fldChar w:fldCharType="begin"/>
      </w:r>
      <w:r>
        <w:rPr>
          <w:noProof/>
        </w:rPr>
        <w:instrText xml:space="preserve"> STYLEREF 1 \s </w:instrText>
      </w:r>
      <w:r>
        <w:rPr>
          <w:noProof/>
        </w:rPr>
        <w:fldChar w:fldCharType="separate"/>
      </w:r>
      <w:r>
        <w:rPr>
          <w:noProof/>
        </w:rPr>
        <w:t>3</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Pr>
          <w:noProof/>
        </w:rPr>
        <w:t>6</w:t>
      </w:r>
      <w:r>
        <w:rPr>
          <w:noProof/>
        </w:rPr>
        <w:fldChar w:fldCharType="end"/>
      </w:r>
      <w:r>
        <w:rPr>
          <w:noProof/>
        </w:rPr>
        <w:t xml:space="preserve">: </w:t>
      </w:r>
      <w:r>
        <w:rPr>
          <w:noProof/>
          <w:szCs w:val="22"/>
        </w:rPr>
        <w:t xml:space="preserve">Workshop findings: Expert judgement: Effect of the development of minimum </w:t>
      </w:r>
      <w:r>
        <w:rPr>
          <w:noProof/>
          <w:lang w:eastAsia="de-AT"/>
        </w:rPr>
        <w:t>quality requirements for reused water in agricultural irrigation and aquifer recharge</w:t>
      </w:r>
      <w:r>
        <w:rPr>
          <w:noProof/>
        </w:rPr>
        <w:t xml:space="preserve"> </w:t>
      </w:r>
      <w:r>
        <w:rPr>
          <w:noProof/>
          <w:szCs w:val="22"/>
        </w:rPr>
        <w:t xml:space="preserve">on rural </w:t>
      </w:r>
      <w:r>
        <w:rPr>
          <w:noProof/>
          <w:kern w:val="32"/>
        </w:rPr>
        <w:t xml:space="preserve">regions facing </w:t>
      </w:r>
      <w:r>
        <w:rPr>
          <w:noProof/>
        </w:rPr>
        <w:t>heat waves</w:t>
      </w:r>
      <w:bookmarkEnd w:id="213"/>
    </w:p>
    <w:p w:rsidR="00AB50C5" w:rsidRDefault="00724275">
      <w:pPr>
        <w:pStyle w:val="Abbildung"/>
        <w:rPr>
          <w:lang w:eastAsia="en-US"/>
        </w:rPr>
      </w:pPr>
      <w:r>
        <w:rPr>
          <w:lang w:eastAsia="en-GB"/>
        </w:rPr>
        <w:drawing>
          <wp:inline distT="0" distB="0" distL="0" distR="0" wp14:anchorId="3F519689" wp14:editId="3808CFCD">
            <wp:extent cx="5274310" cy="2452370"/>
            <wp:effectExtent l="19050" t="0" r="2540" b="0"/>
            <wp:docPr id="35922"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5274310" cy="2452370"/>
                    </a:xfrm>
                    <a:prstGeom prst="rect">
                      <a:avLst/>
                    </a:prstGeom>
                    <a:noFill/>
                    <a:ln w="9525">
                      <a:noFill/>
                      <a:miter lim="800000"/>
                      <a:headEnd/>
                      <a:tailEnd/>
                    </a:ln>
                  </pic:spPr>
                </pic:pic>
              </a:graphicData>
            </a:graphic>
          </wp:inline>
        </w:drawing>
      </w:r>
    </w:p>
    <w:p w:rsidR="00AB50C5" w:rsidRDefault="00724275">
      <w:pPr>
        <w:pStyle w:val="Quelle"/>
        <w:rPr>
          <w:noProof/>
        </w:rPr>
      </w:pPr>
      <w:r>
        <w:rPr>
          <w:noProof/>
        </w:rPr>
        <w:t>Source: Territorial impact assessment expert workshop, Brussels, 5 April 2017</w:t>
      </w:r>
    </w:p>
    <w:p w:rsidR="00AB50C5" w:rsidRDefault="00AB50C5">
      <w:pPr>
        <w:rPr>
          <w:noProof/>
        </w:rPr>
      </w:pPr>
    </w:p>
    <w:p w:rsidR="00AB50C5" w:rsidRDefault="00724275">
      <w:pPr>
        <w:pStyle w:val="Heading2"/>
        <w:numPr>
          <w:ilvl w:val="1"/>
          <w:numId w:val="133"/>
        </w:numPr>
        <w:spacing w:before="60" w:after="160"/>
        <w:ind w:left="578" w:hanging="578"/>
        <w:jc w:val="left"/>
        <w:rPr>
          <w:noProof/>
          <w:lang w:eastAsia="en-US"/>
        </w:rPr>
      </w:pPr>
      <w:bookmarkStart w:id="214" w:name="_Toc484768724"/>
      <w:bookmarkStart w:id="215" w:name="_Toc516234811"/>
      <w:r>
        <w:rPr>
          <w:noProof/>
          <w:kern w:val="32"/>
        </w:rPr>
        <w:t xml:space="preserve">The potential territorial impact based on </w:t>
      </w:r>
      <w:bookmarkEnd w:id="204"/>
      <w:bookmarkEnd w:id="205"/>
      <w:r>
        <w:rPr>
          <w:noProof/>
          <w:lang w:eastAsia="en-US"/>
        </w:rPr>
        <w:t>pollutants in soil and ground/surface water indicator</w:t>
      </w:r>
      <w:bookmarkEnd w:id="214"/>
      <w:bookmarkEnd w:id="215"/>
    </w:p>
    <w:p w:rsidR="00AB50C5" w:rsidRDefault="00724275">
      <w:pPr>
        <w:pStyle w:val="EText"/>
        <w:spacing w:line="240" w:lineRule="auto"/>
        <w:rPr>
          <w:rFonts w:ascii="Times New Roman" w:hAnsi="Times New Roman"/>
          <w:noProof/>
          <w:sz w:val="24"/>
          <w:szCs w:val="24"/>
          <w:u w:val="single"/>
        </w:rPr>
      </w:pPr>
      <w:r>
        <w:rPr>
          <w:rFonts w:ascii="Times New Roman" w:hAnsi="Times New Roman"/>
          <w:noProof/>
          <w:sz w:val="24"/>
          <w:szCs w:val="24"/>
        </w:rPr>
        <w:t xml:space="preserve">The experts’ opinion on the potential effects of the EU initiative based on the indicator </w:t>
      </w:r>
      <w:r>
        <w:rPr>
          <w:rFonts w:ascii="Times New Roman" w:hAnsi="Times New Roman"/>
          <w:noProof/>
          <w:sz w:val="24"/>
          <w:szCs w:val="24"/>
          <w:lang w:eastAsia="en-US"/>
        </w:rPr>
        <w:t>pollutants in soil and ground/surface water</w:t>
      </w:r>
      <w:r>
        <w:rPr>
          <w:rFonts w:ascii="Times New Roman" w:hAnsi="Times New Roman"/>
          <w:noProof/>
          <w:sz w:val="24"/>
          <w:szCs w:val="24"/>
        </w:rPr>
        <w:t xml:space="preserve"> was quite diverging. A majority of them judged the effects as strongly advantageous (6 for all regions, 7 for rural region</w:t>
      </w:r>
      <w:r>
        <w:rPr>
          <w:rFonts w:ascii="Times New Roman" w:hAnsi="Times New Roman"/>
          <w:noProof/>
          <w:sz w:val="24"/>
          <w:szCs w:val="24"/>
        </w:rPr>
        <w:t xml:space="preserve">s) or weakly advantageous (3 for all regions, 4 for rural regions). However, a minority judged the effects weakly or even strongly disadvantageous. About one third of the experts judged the effects as neutral or unknown. </w:t>
      </w:r>
      <w:r>
        <w:rPr>
          <w:rFonts w:ascii="Times New Roman" w:hAnsi="Times New Roman"/>
          <w:noProof/>
          <w:sz w:val="24"/>
          <w:szCs w:val="24"/>
          <w:u w:val="single"/>
        </w:rPr>
        <w:t>Consequently, no clear effect of th</w:t>
      </w:r>
      <w:r>
        <w:rPr>
          <w:rFonts w:ascii="Times New Roman" w:hAnsi="Times New Roman"/>
          <w:noProof/>
          <w:sz w:val="24"/>
          <w:szCs w:val="24"/>
          <w:u w:val="single"/>
        </w:rPr>
        <w:t xml:space="preserve">e EU initiative on </w:t>
      </w:r>
      <w:r>
        <w:rPr>
          <w:rFonts w:ascii="Times New Roman" w:hAnsi="Times New Roman"/>
          <w:noProof/>
          <w:sz w:val="24"/>
          <w:szCs w:val="24"/>
          <w:u w:val="single"/>
          <w:lang w:eastAsia="en-US"/>
        </w:rPr>
        <w:t>pollutants in soil and ground/surface water</w:t>
      </w:r>
      <w:r>
        <w:rPr>
          <w:rFonts w:ascii="Times New Roman" w:hAnsi="Times New Roman"/>
          <w:noProof/>
          <w:sz w:val="24"/>
          <w:szCs w:val="24"/>
          <w:u w:val="single"/>
        </w:rPr>
        <w:t xml:space="preserve"> can be given. </w:t>
      </w:r>
    </w:p>
    <w:p w:rsidR="00AB50C5" w:rsidRDefault="00724275">
      <w:pPr>
        <w:pStyle w:val="Caption"/>
        <w:rPr>
          <w:noProof/>
          <w:szCs w:val="22"/>
        </w:rPr>
      </w:pPr>
      <w:bookmarkStart w:id="216" w:name="_Toc484768768"/>
      <w:r>
        <w:rPr>
          <w:noProof/>
        </w:rPr>
        <w:t xml:space="preserve">Figure </w:t>
      </w:r>
      <w:r>
        <w:rPr>
          <w:noProof/>
        </w:rPr>
        <w:fldChar w:fldCharType="begin"/>
      </w:r>
      <w:r>
        <w:rPr>
          <w:noProof/>
        </w:rPr>
        <w:instrText xml:space="preserve"> STYLEREF 1 \s </w:instrText>
      </w:r>
      <w:r>
        <w:rPr>
          <w:noProof/>
        </w:rPr>
        <w:fldChar w:fldCharType="separate"/>
      </w:r>
      <w:r>
        <w:rPr>
          <w:noProof/>
        </w:rPr>
        <w:t>3</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Pr>
          <w:noProof/>
        </w:rPr>
        <w:t>7</w:t>
      </w:r>
      <w:r>
        <w:rPr>
          <w:noProof/>
        </w:rPr>
        <w:fldChar w:fldCharType="end"/>
      </w:r>
      <w:r>
        <w:rPr>
          <w:noProof/>
        </w:rPr>
        <w:t xml:space="preserve">: </w:t>
      </w:r>
      <w:r>
        <w:rPr>
          <w:noProof/>
          <w:szCs w:val="22"/>
        </w:rPr>
        <w:t>Workshop findings: Expert judgement: Effect of the development of minimum quality requirements on pollutants in soil a</w:t>
      </w:r>
      <w:r>
        <w:rPr>
          <w:noProof/>
          <w:szCs w:val="22"/>
        </w:rPr>
        <w:t>nd ground/surface water</w:t>
      </w:r>
      <w:bookmarkEnd w:id="216"/>
    </w:p>
    <w:p w:rsidR="00AB50C5" w:rsidRDefault="00724275">
      <w:pPr>
        <w:pStyle w:val="Abbildung"/>
        <w:rPr>
          <w:lang w:eastAsia="en-US"/>
        </w:rPr>
      </w:pPr>
      <w:r>
        <w:rPr>
          <w:lang w:eastAsia="en-GB"/>
        </w:rPr>
        <w:drawing>
          <wp:inline distT="0" distB="0" distL="0" distR="0" wp14:anchorId="4518B0A2" wp14:editId="5F3D036D">
            <wp:extent cx="5220335" cy="2427274"/>
            <wp:effectExtent l="19050" t="0" r="0" b="0"/>
            <wp:docPr id="35923"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5220335" cy="2427274"/>
                    </a:xfrm>
                    <a:prstGeom prst="rect">
                      <a:avLst/>
                    </a:prstGeom>
                    <a:noFill/>
                    <a:ln w="9525">
                      <a:noFill/>
                      <a:miter lim="800000"/>
                      <a:headEnd/>
                      <a:tailEnd/>
                    </a:ln>
                  </pic:spPr>
                </pic:pic>
              </a:graphicData>
            </a:graphic>
          </wp:inline>
        </w:drawing>
      </w:r>
    </w:p>
    <w:p w:rsidR="00AB50C5" w:rsidRDefault="00724275">
      <w:pPr>
        <w:pStyle w:val="Quelle"/>
        <w:rPr>
          <w:noProof/>
        </w:rPr>
      </w:pPr>
      <w:r>
        <w:rPr>
          <w:noProof/>
        </w:rPr>
        <w:t>Source: Territorial impact assessment expert workshop, Brussels, 5 April 2017</w:t>
      </w:r>
    </w:p>
    <w:p w:rsidR="00AB50C5" w:rsidRDefault="00724275">
      <w:pPr>
        <w:pStyle w:val="Caption"/>
        <w:rPr>
          <w:noProof/>
          <w:szCs w:val="22"/>
        </w:rPr>
      </w:pPr>
      <w:bookmarkStart w:id="217" w:name="_Toc484768769"/>
      <w:r>
        <w:rPr>
          <w:noProof/>
        </w:rPr>
        <w:t xml:space="preserve">Figure </w:t>
      </w:r>
      <w:r>
        <w:rPr>
          <w:noProof/>
        </w:rPr>
        <w:fldChar w:fldCharType="begin"/>
      </w:r>
      <w:r>
        <w:rPr>
          <w:noProof/>
        </w:rPr>
        <w:instrText xml:space="preserve"> STYLEREF 1 \s </w:instrText>
      </w:r>
      <w:r>
        <w:rPr>
          <w:noProof/>
        </w:rPr>
        <w:fldChar w:fldCharType="separate"/>
      </w:r>
      <w:r>
        <w:rPr>
          <w:noProof/>
        </w:rPr>
        <w:t>3</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Pr>
          <w:noProof/>
        </w:rPr>
        <w:t>8</w:t>
      </w:r>
      <w:r>
        <w:rPr>
          <w:noProof/>
        </w:rPr>
        <w:fldChar w:fldCharType="end"/>
      </w:r>
      <w:r>
        <w:rPr>
          <w:noProof/>
        </w:rPr>
        <w:t xml:space="preserve">: </w:t>
      </w:r>
      <w:r>
        <w:rPr>
          <w:noProof/>
          <w:szCs w:val="22"/>
        </w:rPr>
        <w:t xml:space="preserve">Workshop findings: Expert judgement: Effect of the development of minimum quality </w:t>
      </w:r>
      <w:r>
        <w:rPr>
          <w:noProof/>
          <w:szCs w:val="22"/>
        </w:rPr>
        <w:t>requirements on pollutants in soil and ground/surface water in rural regions</w:t>
      </w:r>
      <w:bookmarkEnd w:id="217"/>
    </w:p>
    <w:p w:rsidR="00AB50C5" w:rsidRDefault="00724275">
      <w:pPr>
        <w:pStyle w:val="Abbildung"/>
        <w:rPr>
          <w:lang w:eastAsia="en-US"/>
        </w:rPr>
      </w:pPr>
      <w:r>
        <w:rPr>
          <w:lang w:eastAsia="en-GB"/>
        </w:rPr>
        <w:drawing>
          <wp:inline distT="0" distB="0" distL="0" distR="0" wp14:anchorId="42B95EDD" wp14:editId="5C791E33">
            <wp:extent cx="5220335" cy="2427274"/>
            <wp:effectExtent l="19050" t="0" r="0" b="0"/>
            <wp:docPr id="35924"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5220335" cy="2427274"/>
                    </a:xfrm>
                    <a:prstGeom prst="rect">
                      <a:avLst/>
                    </a:prstGeom>
                    <a:noFill/>
                    <a:ln w="9525">
                      <a:noFill/>
                      <a:miter lim="800000"/>
                      <a:headEnd/>
                      <a:tailEnd/>
                    </a:ln>
                  </pic:spPr>
                </pic:pic>
              </a:graphicData>
            </a:graphic>
          </wp:inline>
        </w:drawing>
      </w:r>
    </w:p>
    <w:p w:rsidR="00AB50C5" w:rsidRDefault="00724275">
      <w:pPr>
        <w:pStyle w:val="Quelle"/>
        <w:rPr>
          <w:noProof/>
        </w:rPr>
      </w:pPr>
      <w:r>
        <w:rPr>
          <w:noProof/>
        </w:rPr>
        <w:t>Source: Territorial impact assessment expert workshop, Brussels, 5 April 2017</w:t>
      </w:r>
    </w:p>
    <w:p w:rsidR="00AB50C5" w:rsidRDefault="00724275">
      <w:pPr>
        <w:pStyle w:val="EText"/>
        <w:spacing w:line="240" w:lineRule="auto"/>
        <w:rPr>
          <w:rFonts w:ascii="Times New Roman" w:hAnsi="Times New Roman"/>
          <w:noProof/>
          <w:sz w:val="24"/>
          <w:szCs w:val="24"/>
        </w:rPr>
      </w:pPr>
      <w:r>
        <w:rPr>
          <w:rFonts w:ascii="Times New Roman" w:hAnsi="Times New Roman"/>
          <w:noProof/>
          <w:sz w:val="24"/>
          <w:szCs w:val="24"/>
          <w:lang w:eastAsia="fr-BE"/>
        </w:rPr>
        <w:t xml:space="preserve">The sensitivity of a region towards policies affecting the </w:t>
      </w:r>
      <w:r>
        <w:rPr>
          <w:rFonts w:ascii="Times New Roman" w:hAnsi="Times New Roman"/>
          <w:noProof/>
          <w:sz w:val="24"/>
          <w:szCs w:val="24"/>
          <w:lang w:eastAsia="en-US"/>
        </w:rPr>
        <w:t>pollution of soil and ground and surface</w:t>
      </w:r>
      <w:r>
        <w:rPr>
          <w:rFonts w:ascii="Times New Roman" w:hAnsi="Times New Roman"/>
          <w:noProof/>
          <w:sz w:val="24"/>
          <w:szCs w:val="24"/>
          <w:lang w:eastAsia="en-US"/>
        </w:rPr>
        <w:t xml:space="preserve"> water</w:t>
      </w:r>
      <w:r>
        <w:rPr>
          <w:rFonts w:ascii="Times New Roman" w:hAnsi="Times New Roman"/>
          <w:noProof/>
          <w:sz w:val="24"/>
          <w:szCs w:val="24"/>
        </w:rPr>
        <w:t xml:space="preserve"> is measured by a proxy indicator taking into account the population density and the employment density. As this indicator is more responding to pollutants caused by urban developments than by agricultural land use, a map could lead to wrong interpre</w:t>
      </w:r>
      <w:r>
        <w:rPr>
          <w:rFonts w:ascii="Times New Roman" w:hAnsi="Times New Roman"/>
          <w:noProof/>
          <w:sz w:val="24"/>
          <w:szCs w:val="24"/>
        </w:rPr>
        <w:t>tations. Taking into account the weak validity of the indicator measuring effects caused by agriculture and the quite inhomogeneous expert judgement, no further analysis and mapping seems to be useful.</w:t>
      </w:r>
    </w:p>
    <w:p w:rsidR="00AB50C5" w:rsidRDefault="00724275">
      <w:pPr>
        <w:pStyle w:val="Heading1"/>
        <w:keepNext w:val="0"/>
        <w:pageBreakBefore/>
        <w:numPr>
          <w:ilvl w:val="0"/>
          <w:numId w:val="133"/>
        </w:numPr>
        <w:spacing w:before="0" w:after="160"/>
        <w:ind w:left="431" w:hanging="431"/>
        <w:jc w:val="left"/>
        <w:rPr>
          <w:noProof/>
          <w:kern w:val="32"/>
        </w:rPr>
      </w:pPr>
      <w:bookmarkStart w:id="218" w:name="_Toc484768725"/>
      <w:bookmarkStart w:id="219" w:name="_Toc516234812"/>
      <w:bookmarkStart w:id="220" w:name="_Toc438042039"/>
      <w:r>
        <w:rPr>
          <w:noProof/>
          <w:kern w:val="32"/>
        </w:rPr>
        <w:t xml:space="preserve">Results of the TIA quick check: Potential territorial </w:t>
      </w:r>
      <w:r>
        <w:rPr>
          <w:noProof/>
          <w:kern w:val="32"/>
        </w:rPr>
        <w:t>impact considering the economy aspects</w:t>
      </w:r>
      <w:bookmarkEnd w:id="218"/>
      <w:bookmarkEnd w:id="219"/>
    </w:p>
    <w:p w:rsidR="00AB50C5" w:rsidRDefault="00724275">
      <w:pPr>
        <w:pStyle w:val="Heading2"/>
        <w:numPr>
          <w:ilvl w:val="1"/>
          <w:numId w:val="133"/>
        </w:numPr>
        <w:spacing w:before="60" w:after="160"/>
        <w:ind w:left="578" w:hanging="578"/>
        <w:jc w:val="left"/>
        <w:rPr>
          <w:noProof/>
          <w:kern w:val="32"/>
        </w:rPr>
      </w:pPr>
      <w:bookmarkStart w:id="221" w:name="_Toc484768726"/>
      <w:bookmarkStart w:id="222" w:name="_Toc516234813"/>
      <w:r>
        <w:rPr>
          <w:noProof/>
          <w:kern w:val="32"/>
        </w:rPr>
        <w:t>The potential territorial impact based on the added value in agriculture and forestry</w:t>
      </w:r>
      <w:bookmarkEnd w:id="221"/>
      <w:bookmarkEnd w:id="222"/>
      <w:r>
        <w:rPr>
          <w:noProof/>
          <w:kern w:val="32"/>
        </w:rPr>
        <w:t xml:space="preserve"> </w:t>
      </w:r>
    </w:p>
    <w:p w:rsidR="00AB50C5" w:rsidRDefault="00724275">
      <w:pPr>
        <w:pStyle w:val="EText"/>
        <w:spacing w:line="240" w:lineRule="auto"/>
        <w:rPr>
          <w:rFonts w:ascii="Times New Roman" w:hAnsi="Times New Roman"/>
          <w:noProof/>
          <w:sz w:val="24"/>
          <w:szCs w:val="24"/>
        </w:rPr>
      </w:pPr>
      <w:r>
        <w:rPr>
          <w:rFonts w:ascii="Times New Roman" w:hAnsi="Times New Roman"/>
          <w:noProof/>
          <w:sz w:val="24"/>
          <w:szCs w:val="24"/>
        </w:rPr>
        <w:t xml:space="preserve">There was a clear agreement of the experts that the </w:t>
      </w:r>
      <w:r>
        <w:rPr>
          <w:rFonts w:ascii="Times New Roman" w:hAnsi="Times New Roman"/>
          <w:noProof/>
          <w:sz w:val="24"/>
          <w:szCs w:val="24"/>
          <w:lang w:eastAsia="de-AT"/>
        </w:rPr>
        <w:t>development of minimum quality requirements for reused water in agricultural i</w:t>
      </w:r>
      <w:r>
        <w:rPr>
          <w:rFonts w:ascii="Times New Roman" w:hAnsi="Times New Roman"/>
          <w:noProof/>
          <w:sz w:val="24"/>
          <w:szCs w:val="24"/>
          <w:lang w:eastAsia="de-AT"/>
        </w:rPr>
        <w:t>rrigation and aquifer recharge</w:t>
      </w:r>
      <w:r>
        <w:rPr>
          <w:rFonts w:ascii="Times New Roman" w:hAnsi="Times New Roman"/>
          <w:noProof/>
          <w:sz w:val="24"/>
          <w:szCs w:val="24"/>
        </w:rPr>
        <w:t xml:space="preserve"> would definitely have a positive effect on the </w:t>
      </w:r>
      <w:r>
        <w:rPr>
          <w:rFonts w:ascii="Times New Roman" w:hAnsi="Times New Roman"/>
          <w:noProof/>
          <w:kern w:val="32"/>
          <w:sz w:val="24"/>
          <w:szCs w:val="24"/>
        </w:rPr>
        <w:t>on the added value in agriculture and forestry</w:t>
      </w:r>
      <w:r>
        <w:rPr>
          <w:rFonts w:ascii="Times New Roman" w:hAnsi="Times New Roman"/>
          <w:noProof/>
          <w:sz w:val="24"/>
          <w:szCs w:val="24"/>
        </w:rPr>
        <w:t xml:space="preserve">. </w:t>
      </w:r>
      <w:r>
        <w:rPr>
          <w:rFonts w:ascii="Times New Roman" w:hAnsi="Times New Roman"/>
          <w:noProof/>
          <w:sz w:val="24"/>
          <w:szCs w:val="24"/>
          <w:lang w:eastAsia="en-US"/>
        </w:rPr>
        <w:t xml:space="preserve">When looking at all regions, nine experts judged the effects as strongly </w:t>
      </w:r>
      <w:r>
        <w:rPr>
          <w:rFonts w:ascii="Times New Roman" w:hAnsi="Times New Roman"/>
          <w:noProof/>
          <w:sz w:val="24"/>
          <w:szCs w:val="24"/>
        </w:rPr>
        <w:t>advantageous, twelve judged them as weakly advantageous a</w:t>
      </w:r>
      <w:r>
        <w:rPr>
          <w:rFonts w:ascii="Times New Roman" w:hAnsi="Times New Roman"/>
          <w:noProof/>
          <w:sz w:val="24"/>
          <w:szCs w:val="24"/>
        </w:rPr>
        <w:t xml:space="preserve">nd only two as weakly disadvantageous. </w:t>
      </w:r>
    </w:p>
    <w:p w:rsidR="00AB50C5" w:rsidRDefault="00724275">
      <w:pPr>
        <w:pStyle w:val="Caption"/>
        <w:rPr>
          <w:noProof/>
          <w:szCs w:val="22"/>
        </w:rPr>
      </w:pPr>
      <w:bookmarkStart w:id="223" w:name="_Toc484768770"/>
      <w:r>
        <w:rPr>
          <w:noProof/>
        </w:rPr>
        <w:t xml:space="preserve">Figure </w:t>
      </w:r>
      <w:r>
        <w:rPr>
          <w:noProof/>
        </w:rPr>
        <w:fldChar w:fldCharType="begin"/>
      </w:r>
      <w:r>
        <w:rPr>
          <w:noProof/>
        </w:rPr>
        <w:instrText xml:space="preserve"> STYLEREF 1 \s </w:instrText>
      </w:r>
      <w:r>
        <w:rPr>
          <w:noProof/>
        </w:rPr>
        <w:fldChar w:fldCharType="separate"/>
      </w:r>
      <w:r>
        <w:rPr>
          <w:noProof/>
        </w:rPr>
        <w:t>4</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Pr>
          <w:noProof/>
        </w:rPr>
        <w:t>1</w:t>
      </w:r>
      <w:r>
        <w:rPr>
          <w:noProof/>
        </w:rPr>
        <w:fldChar w:fldCharType="end"/>
      </w:r>
      <w:r>
        <w:rPr>
          <w:noProof/>
        </w:rPr>
        <w:t xml:space="preserve">: </w:t>
      </w:r>
      <w:r>
        <w:rPr>
          <w:noProof/>
          <w:szCs w:val="22"/>
        </w:rPr>
        <w:t xml:space="preserve">Workshop findings: Expert judgement: Effect of the development of minimum </w:t>
      </w:r>
      <w:r>
        <w:rPr>
          <w:noProof/>
          <w:lang w:eastAsia="de-AT"/>
        </w:rPr>
        <w:t>quality requirements for reused water in agricultural irrigation and aquifer recha</w:t>
      </w:r>
      <w:r>
        <w:rPr>
          <w:noProof/>
          <w:lang w:eastAsia="de-AT"/>
        </w:rPr>
        <w:t>rge</w:t>
      </w:r>
      <w:r>
        <w:rPr>
          <w:noProof/>
        </w:rPr>
        <w:t xml:space="preserve"> </w:t>
      </w:r>
      <w:r>
        <w:rPr>
          <w:noProof/>
          <w:szCs w:val="22"/>
        </w:rPr>
        <w:t>on added value in agriculture and forestry</w:t>
      </w:r>
      <w:bookmarkEnd w:id="223"/>
    </w:p>
    <w:p w:rsidR="00AB50C5" w:rsidRDefault="00724275">
      <w:pPr>
        <w:pStyle w:val="Abbildung"/>
        <w:rPr>
          <w:lang w:eastAsia="en-US"/>
        </w:rPr>
      </w:pPr>
      <w:r>
        <w:rPr>
          <w:lang w:eastAsia="en-GB"/>
        </w:rPr>
        <w:drawing>
          <wp:inline distT="0" distB="0" distL="0" distR="0" wp14:anchorId="2D88632B" wp14:editId="64513DE3">
            <wp:extent cx="5220335" cy="2427274"/>
            <wp:effectExtent l="19050" t="0" r="0" b="0"/>
            <wp:docPr id="3592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email">
                      <a:extLst>
                        <a:ext uri="{28A0092B-C50C-407E-A947-70E740481C1C}">
                          <a14:useLocalDpi xmlns:a14="http://schemas.microsoft.com/office/drawing/2010/main"/>
                        </a:ext>
                      </a:extLst>
                    </a:blip>
                    <a:srcRect/>
                    <a:stretch>
                      <a:fillRect/>
                    </a:stretch>
                  </pic:blipFill>
                  <pic:spPr bwMode="auto">
                    <a:xfrm>
                      <a:off x="0" y="0"/>
                      <a:ext cx="5220335" cy="2427274"/>
                    </a:xfrm>
                    <a:prstGeom prst="rect">
                      <a:avLst/>
                    </a:prstGeom>
                    <a:noFill/>
                    <a:ln w="9525">
                      <a:noFill/>
                      <a:miter lim="800000"/>
                      <a:headEnd/>
                      <a:tailEnd/>
                    </a:ln>
                  </pic:spPr>
                </pic:pic>
              </a:graphicData>
            </a:graphic>
          </wp:inline>
        </w:drawing>
      </w:r>
    </w:p>
    <w:p w:rsidR="00AB50C5" w:rsidRDefault="00724275">
      <w:pPr>
        <w:pStyle w:val="Quelle"/>
        <w:rPr>
          <w:noProof/>
        </w:rPr>
      </w:pPr>
      <w:r>
        <w:rPr>
          <w:noProof/>
        </w:rPr>
        <w:t>Source: Territorial impact assessment expert workshop, Brussels, 5 April 2017</w:t>
      </w:r>
    </w:p>
    <w:p w:rsidR="00AB50C5" w:rsidRDefault="00724275">
      <w:pPr>
        <w:pStyle w:val="Caption"/>
        <w:rPr>
          <w:noProof/>
          <w:szCs w:val="22"/>
        </w:rPr>
      </w:pPr>
      <w:bookmarkStart w:id="224" w:name="_Toc484768771"/>
      <w:r>
        <w:rPr>
          <w:noProof/>
        </w:rPr>
        <w:t xml:space="preserve">Figure </w:t>
      </w:r>
      <w:r>
        <w:rPr>
          <w:noProof/>
        </w:rPr>
        <w:fldChar w:fldCharType="begin"/>
      </w:r>
      <w:r>
        <w:rPr>
          <w:noProof/>
        </w:rPr>
        <w:instrText xml:space="preserve"> STYLEREF 1 \s </w:instrText>
      </w:r>
      <w:r>
        <w:rPr>
          <w:noProof/>
        </w:rPr>
        <w:fldChar w:fldCharType="separate"/>
      </w:r>
      <w:r>
        <w:rPr>
          <w:noProof/>
        </w:rPr>
        <w:t>4</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Pr>
          <w:noProof/>
        </w:rPr>
        <w:t>2</w:t>
      </w:r>
      <w:r>
        <w:rPr>
          <w:noProof/>
        </w:rPr>
        <w:fldChar w:fldCharType="end"/>
      </w:r>
      <w:r>
        <w:rPr>
          <w:noProof/>
        </w:rPr>
        <w:t xml:space="preserve">: </w:t>
      </w:r>
      <w:r>
        <w:rPr>
          <w:noProof/>
          <w:szCs w:val="22"/>
        </w:rPr>
        <w:t>Workshop findings: Expert judgement: Effect of the development of min</w:t>
      </w:r>
      <w:r>
        <w:rPr>
          <w:noProof/>
          <w:szCs w:val="22"/>
        </w:rPr>
        <w:t xml:space="preserve">imum </w:t>
      </w:r>
      <w:r>
        <w:rPr>
          <w:noProof/>
          <w:lang w:eastAsia="de-AT"/>
        </w:rPr>
        <w:t>quality requirements for reused water in agricultural irrigation and aquifer recharge</w:t>
      </w:r>
      <w:r>
        <w:rPr>
          <w:noProof/>
        </w:rPr>
        <w:t xml:space="preserve"> </w:t>
      </w:r>
      <w:r>
        <w:rPr>
          <w:noProof/>
          <w:szCs w:val="22"/>
        </w:rPr>
        <w:t>on added value in agriculture and forestry in rural regions</w:t>
      </w:r>
      <w:bookmarkEnd w:id="224"/>
    </w:p>
    <w:p w:rsidR="00AB50C5" w:rsidRDefault="00724275">
      <w:pPr>
        <w:pStyle w:val="Abbildung"/>
        <w:rPr>
          <w:lang w:eastAsia="en-US"/>
        </w:rPr>
      </w:pPr>
      <w:r>
        <w:rPr>
          <w:lang w:eastAsia="en-GB"/>
        </w:rPr>
        <w:drawing>
          <wp:inline distT="0" distB="0" distL="0" distR="0" wp14:anchorId="1BC0226E" wp14:editId="34F59E31">
            <wp:extent cx="5220335" cy="2427274"/>
            <wp:effectExtent l="19050" t="0" r="0" b="0"/>
            <wp:docPr id="35926"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5220335" cy="2427274"/>
                    </a:xfrm>
                    <a:prstGeom prst="rect">
                      <a:avLst/>
                    </a:prstGeom>
                    <a:noFill/>
                    <a:ln w="9525">
                      <a:noFill/>
                      <a:miter lim="800000"/>
                      <a:headEnd/>
                      <a:tailEnd/>
                    </a:ln>
                  </pic:spPr>
                </pic:pic>
              </a:graphicData>
            </a:graphic>
          </wp:inline>
        </w:drawing>
      </w:r>
    </w:p>
    <w:p w:rsidR="00AB50C5" w:rsidRDefault="00724275">
      <w:pPr>
        <w:pStyle w:val="Quelle"/>
        <w:rPr>
          <w:noProof/>
        </w:rPr>
      </w:pPr>
      <w:r>
        <w:rPr>
          <w:noProof/>
        </w:rPr>
        <w:t>Source: Territorial impact assessment expert workshop, Brussels, 5 April 2017</w:t>
      </w:r>
    </w:p>
    <w:p w:rsidR="00AB50C5" w:rsidRDefault="00724275">
      <w:pPr>
        <w:pStyle w:val="EText"/>
        <w:spacing w:line="240" w:lineRule="auto"/>
        <w:rPr>
          <w:rFonts w:ascii="Times New Roman" w:hAnsi="Times New Roman"/>
          <w:noProof/>
          <w:sz w:val="24"/>
          <w:szCs w:val="24"/>
        </w:rPr>
      </w:pPr>
      <w:r>
        <w:rPr>
          <w:rFonts w:ascii="Times New Roman" w:hAnsi="Times New Roman"/>
          <w:noProof/>
          <w:sz w:val="24"/>
          <w:szCs w:val="24"/>
        </w:rPr>
        <w:t xml:space="preserve">When focusing </w:t>
      </w:r>
      <w:r>
        <w:rPr>
          <w:rFonts w:ascii="Times New Roman" w:hAnsi="Times New Roman"/>
          <w:b/>
          <w:noProof/>
          <w:sz w:val="24"/>
          <w:szCs w:val="24"/>
        </w:rPr>
        <w:t xml:space="preserve">on rural </w:t>
      </w:r>
      <w:r>
        <w:rPr>
          <w:rFonts w:ascii="Times New Roman" w:hAnsi="Times New Roman"/>
          <w:b/>
          <w:noProof/>
          <w:sz w:val="24"/>
          <w:szCs w:val="24"/>
        </w:rPr>
        <w:t>regions</w:t>
      </w:r>
      <w:r>
        <w:rPr>
          <w:rFonts w:ascii="Times New Roman" w:hAnsi="Times New Roman"/>
          <w:noProof/>
          <w:sz w:val="24"/>
          <w:szCs w:val="24"/>
        </w:rPr>
        <w:t>, a majority of 13</w:t>
      </w:r>
      <w:r>
        <w:rPr>
          <w:rFonts w:ascii="Times New Roman" w:hAnsi="Times New Roman"/>
          <w:noProof/>
          <w:sz w:val="24"/>
          <w:szCs w:val="24"/>
          <w:lang w:eastAsia="en-US"/>
        </w:rPr>
        <w:t xml:space="preserve"> experts judged the effects of this initiative as strongly </w:t>
      </w:r>
      <w:r>
        <w:rPr>
          <w:rFonts w:ascii="Times New Roman" w:hAnsi="Times New Roman"/>
          <w:noProof/>
          <w:sz w:val="24"/>
          <w:szCs w:val="24"/>
        </w:rPr>
        <w:t>advantageous, eight judged them as weakly advantageous and one judged them as strongly disadvantageous.</w:t>
      </w:r>
    </w:p>
    <w:p w:rsidR="00AB50C5" w:rsidRDefault="0072427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The sensitivity of regions is measured by the indicator “gross </w:t>
      </w:r>
      <w:r>
        <w:rPr>
          <w:rFonts w:ascii="Times New Roman" w:hAnsi="Times New Roman" w:cs="Times New Roman"/>
          <w:noProof/>
          <w:kern w:val="32"/>
          <w:sz w:val="24"/>
          <w:szCs w:val="24"/>
        </w:rPr>
        <w:t>value</w:t>
      </w:r>
      <w:r>
        <w:rPr>
          <w:rFonts w:ascii="Times New Roman" w:hAnsi="Times New Roman" w:cs="Times New Roman"/>
          <w:noProof/>
          <w:kern w:val="32"/>
          <w:sz w:val="24"/>
          <w:szCs w:val="24"/>
        </w:rPr>
        <w:t xml:space="preserve"> added in agriculture and forestry”</w:t>
      </w:r>
      <w:r>
        <w:rPr>
          <w:rFonts w:ascii="Times New Roman" w:hAnsi="Times New Roman" w:cs="Times New Roman"/>
          <w:noProof/>
          <w:sz w:val="24"/>
          <w:szCs w:val="24"/>
          <w:lang w:eastAsia="fr-BE"/>
        </w:rPr>
        <w:t xml:space="preserve">. Regions where agriculture and forestry have an important share of the total regional gross value added are expected to benefit more from the EU initiative stimulating the </w:t>
      </w:r>
      <w:r>
        <w:rPr>
          <w:rFonts w:ascii="Times New Roman" w:hAnsi="Times New Roman" w:cs="Times New Roman"/>
          <w:noProof/>
          <w:kern w:val="32"/>
          <w:sz w:val="24"/>
          <w:szCs w:val="24"/>
        </w:rPr>
        <w:t>added value of agriculture and forestry than oth</w:t>
      </w:r>
      <w:r>
        <w:rPr>
          <w:rFonts w:ascii="Times New Roman" w:hAnsi="Times New Roman" w:cs="Times New Roman"/>
          <w:noProof/>
          <w:kern w:val="32"/>
          <w:sz w:val="24"/>
          <w:szCs w:val="24"/>
        </w:rPr>
        <w:t>ers</w:t>
      </w:r>
      <w:r>
        <w:rPr>
          <w:rFonts w:ascii="Times New Roman" w:hAnsi="Times New Roman" w:cs="Times New Roman"/>
          <w:noProof/>
          <w:sz w:val="24"/>
          <w:szCs w:val="24"/>
          <w:lang w:eastAsia="fr-BE"/>
        </w:rPr>
        <w:t xml:space="preserve">. </w:t>
      </w:r>
      <w:r>
        <w:rPr>
          <w:rFonts w:ascii="Times New Roman" w:hAnsi="Times New Roman" w:cs="Times New Roman"/>
          <w:noProof/>
          <w:sz w:val="24"/>
          <w:szCs w:val="24"/>
        </w:rPr>
        <w:t>The following maps show the potential territorial impact of setting</w:t>
      </w:r>
      <w:r>
        <w:rPr>
          <w:rFonts w:ascii="Times New Roman" w:hAnsi="Times New Roman" w:cs="Times New Roman"/>
          <w:noProof/>
          <w:kern w:val="32"/>
          <w:sz w:val="24"/>
          <w:szCs w:val="24"/>
        </w:rPr>
        <w:t xml:space="preserve"> </w:t>
      </w:r>
      <w:r>
        <w:rPr>
          <w:rFonts w:ascii="Times New Roman" w:hAnsi="Times New Roman" w:cs="Times New Roman"/>
          <w:noProof/>
          <w:sz w:val="24"/>
          <w:szCs w:val="24"/>
          <w:lang w:eastAsia="de-AT"/>
        </w:rPr>
        <w:t>minimum quality requirements for reused water in agricultural irrigation and aquifer recharge</w:t>
      </w:r>
      <w:r>
        <w:rPr>
          <w:rFonts w:ascii="Times New Roman" w:hAnsi="Times New Roman" w:cs="Times New Roman"/>
          <w:noProof/>
          <w:sz w:val="24"/>
          <w:szCs w:val="24"/>
        </w:rPr>
        <w:t xml:space="preserve"> by combining the expert judgement with the given sensitivity. </w:t>
      </w:r>
    </w:p>
    <w:p w:rsidR="00AB50C5" w:rsidRDefault="00724275">
      <w:pPr>
        <w:spacing w:line="240" w:lineRule="auto"/>
        <w:jc w:val="both"/>
        <w:rPr>
          <w:rFonts w:ascii="Times New Roman" w:hAnsi="Times New Roman" w:cs="Times New Roman"/>
          <w:noProof/>
          <w:sz w:val="24"/>
          <w:szCs w:val="24"/>
          <w:u w:val="single"/>
        </w:rPr>
      </w:pPr>
      <w:r>
        <w:rPr>
          <w:rFonts w:ascii="Times New Roman" w:hAnsi="Times New Roman" w:cs="Times New Roman"/>
          <w:noProof/>
          <w:sz w:val="24"/>
          <w:szCs w:val="24"/>
        </w:rPr>
        <w:t>Taking into account the po</w:t>
      </w:r>
      <w:r>
        <w:rPr>
          <w:rFonts w:ascii="Times New Roman" w:hAnsi="Times New Roman" w:cs="Times New Roman"/>
          <w:noProof/>
          <w:sz w:val="24"/>
          <w:szCs w:val="24"/>
        </w:rPr>
        <w:t xml:space="preserve">tential effects on </w:t>
      </w:r>
      <w:r>
        <w:rPr>
          <w:rFonts w:ascii="Times New Roman" w:hAnsi="Times New Roman" w:cs="Times New Roman"/>
          <w:noProof/>
          <w:sz w:val="24"/>
          <w:szCs w:val="24"/>
          <w:u w:val="single"/>
        </w:rPr>
        <w:t>all regions</w:t>
      </w:r>
      <w:r>
        <w:rPr>
          <w:rFonts w:ascii="Times New Roman" w:hAnsi="Times New Roman" w:cs="Times New Roman"/>
          <w:noProof/>
          <w:sz w:val="24"/>
          <w:szCs w:val="24"/>
        </w:rPr>
        <w:t xml:space="preserve">, the majority of the experts presumes a </w:t>
      </w:r>
      <w:r>
        <w:rPr>
          <w:rFonts w:ascii="Times New Roman" w:hAnsi="Times New Roman" w:cs="Times New Roman"/>
          <w:noProof/>
          <w:sz w:val="24"/>
          <w:szCs w:val="24"/>
          <w:u w:val="single"/>
        </w:rPr>
        <w:t>weakly advantageous effect.</w:t>
      </w:r>
      <w:r>
        <w:rPr>
          <w:rFonts w:ascii="Times New Roman" w:hAnsi="Times New Roman" w:cs="Times New Roman"/>
          <w:noProof/>
          <w:sz w:val="24"/>
          <w:szCs w:val="24"/>
        </w:rPr>
        <w:t xml:space="preserve"> This would lead to </w:t>
      </w:r>
      <w:r>
        <w:rPr>
          <w:rFonts w:ascii="Times New Roman" w:hAnsi="Times New Roman" w:cs="Times New Roman"/>
          <w:b/>
          <w:noProof/>
          <w:sz w:val="24"/>
          <w:szCs w:val="24"/>
        </w:rPr>
        <w:t>minor positive impacts on most regions</w:t>
      </w:r>
      <w:r>
        <w:rPr>
          <w:rFonts w:ascii="Times New Roman" w:hAnsi="Times New Roman" w:cs="Times New Roman"/>
          <w:noProof/>
          <w:sz w:val="24"/>
          <w:szCs w:val="24"/>
        </w:rPr>
        <w:t xml:space="preserve">. When they can use the new options for reusing sewage water, </w:t>
      </w:r>
      <w:r>
        <w:rPr>
          <w:rFonts w:ascii="Times New Roman" w:hAnsi="Times New Roman" w:cs="Times New Roman"/>
          <w:noProof/>
          <w:sz w:val="24"/>
          <w:szCs w:val="24"/>
          <w:u w:val="single"/>
        </w:rPr>
        <w:t xml:space="preserve">regions with a high economic importance of agriculture could gain a moderate positive impact as e.g. in Romania, Bulgaria, the North of Greece, the North East of Poland, the centre of Spain and the South of Portugal. </w:t>
      </w:r>
    </w:p>
    <w:p w:rsidR="00AB50C5" w:rsidRDefault="00724275">
      <w:pPr>
        <w:spacing w:line="240" w:lineRule="auto"/>
        <w:jc w:val="both"/>
        <w:rPr>
          <w:rFonts w:ascii="Times New Roman" w:hAnsi="Times New Roman" w:cs="Times New Roman"/>
          <w:noProof/>
          <w:sz w:val="24"/>
          <w:szCs w:val="24"/>
          <w:u w:val="single"/>
        </w:rPr>
      </w:pPr>
      <w:r>
        <w:rPr>
          <w:rFonts w:ascii="Times New Roman" w:hAnsi="Times New Roman" w:cs="Times New Roman"/>
          <w:noProof/>
          <w:sz w:val="24"/>
          <w:szCs w:val="24"/>
        </w:rPr>
        <w:t xml:space="preserve">For </w:t>
      </w:r>
      <w:r>
        <w:rPr>
          <w:rFonts w:ascii="Times New Roman" w:hAnsi="Times New Roman" w:cs="Times New Roman"/>
          <w:noProof/>
          <w:sz w:val="24"/>
          <w:szCs w:val="24"/>
          <w:u w:val="single"/>
        </w:rPr>
        <w:t>rural regions</w:t>
      </w:r>
      <w:r>
        <w:rPr>
          <w:rFonts w:ascii="Times New Roman" w:hAnsi="Times New Roman" w:cs="Times New Roman"/>
          <w:noProof/>
          <w:sz w:val="24"/>
          <w:szCs w:val="24"/>
        </w:rPr>
        <w:t xml:space="preserve"> the majority of the </w:t>
      </w:r>
      <w:r>
        <w:rPr>
          <w:rFonts w:ascii="Times New Roman" w:hAnsi="Times New Roman" w:cs="Times New Roman"/>
          <w:noProof/>
          <w:sz w:val="24"/>
          <w:szCs w:val="24"/>
        </w:rPr>
        <w:t xml:space="preserve">experts presumes a </w:t>
      </w:r>
      <w:r>
        <w:rPr>
          <w:rFonts w:ascii="Times New Roman" w:hAnsi="Times New Roman" w:cs="Times New Roman"/>
          <w:noProof/>
          <w:sz w:val="24"/>
          <w:szCs w:val="24"/>
          <w:u w:val="single"/>
        </w:rPr>
        <w:t>strongly advantageous effect</w:t>
      </w:r>
      <w:r>
        <w:rPr>
          <w:rFonts w:ascii="Times New Roman" w:hAnsi="Times New Roman" w:cs="Times New Roman"/>
          <w:noProof/>
          <w:sz w:val="24"/>
          <w:szCs w:val="24"/>
        </w:rPr>
        <w:t xml:space="preserve">. When they can use the new options for reusing sewage water rural regions with a high economic importance of agriculture </w:t>
      </w:r>
      <w:r>
        <w:rPr>
          <w:rFonts w:ascii="Times New Roman" w:hAnsi="Times New Roman" w:cs="Times New Roman"/>
          <w:noProof/>
          <w:sz w:val="24"/>
          <w:szCs w:val="24"/>
          <w:u w:val="single"/>
        </w:rPr>
        <w:t xml:space="preserve">rural regions could gain a very high positive impact as e.g. in Romania, Bulgaria, the </w:t>
      </w:r>
      <w:r>
        <w:rPr>
          <w:rFonts w:ascii="Times New Roman" w:hAnsi="Times New Roman" w:cs="Times New Roman"/>
          <w:noProof/>
          <w:sz w:val="24"/>
          <w:szCs w:val="24"/>
          <w:u w:val="single"/>
        </w:rPr>
        <w:t xml:space="preserve">North of Greece, the North East of Poland, South of Madrid and in the South of Portugal. </w:t>
      </w:r>
    </w:p>
    <w:p w:rsidR="00AB50C5" w:rsidRDefault="00724275">
      <w:pPr>
        <w:pStyle w:val="Caption"/>
        <w:rPr>
          <w:noProof/>
        </w:rPr>
      </w:pPr>
      <w:bookmarkStart w:id="225" w:name="_Toc484768787"/>
      <w:r>
        <w:rPr>
          <w:noProof/>
        </w:rPr>
        <w:t xml:space="preserve">Map </w:t>
      </w:r>
      <w:r>
        <w:rPr>
          <w:noProof/>
        </w:rPr>
        <w:fldChar w:fldCharType="begin"/>
      </w:r>
      <w:r>
        <w:rPr>
          <w:noProof/>
        </w:rPr>
        <w:instrText xml:space="preserve"> STYLEREF 1 \s </w:instrText>
      </w:r>
      <w:r>
        <w:rPr>
          <w:noProof/>
        </w:rPr>
        <w:fldChar w:fldCharType="separate"/>
      </w:r>
      <w:r>
        <w:rPr>
          <w:noProof/>
        </w:rPr>
        <w:t>4</w:t>
      </w:r>
      <w:r>
        <w:rPr>
          <w:noProof/>
        </w:rPr>
        <w:fldChar w:fldCharType="end"/>
      </w:r>
      <w:r>
        <w:rPr>
          <w:noProof/>
        </w:rPr>
        <w:t>.</w:t>
      </w:r>
      <w:r>
        <w:rPr>
          <w:noProof/>
        </w:rPr>
        <w:fldChar w:fldCharType="begin"/>
      </w:r>
      <w:r>
        <w:rPr>
          <w:noProof/>
        </w:rPr>
        <w:instrText xml:space="preserve"> SEQ Map \* ARABIC \s 1 </w:instrText>
      </w:r>
      <w:r>
        <w:rPr>
          <w:noProof/>
        </w:rPr>
        <w:fldChar w:fldCharType="separate"/>
      </w:r>
      <w:r>
        <w:rPr>
          <w:noProof/>
        </w:rPr>
        <w:t>1</w:t>
      </w:r>
      <w:r>
        <w:rPr>
          <w:noProof/>
        </w:rPr>
        <w:fldChar w:fldCharType="end"/>
      </w:r>
      <w:r>
        <w:rPr>
          <w:noProof/>
        </w:rPr>
        <w:t xml:space="preserve">: Result of the expert judgement: Added value in agriculture and forestry affected by the </w:t>
      </w:r>
      <w:r>
        <w:rPr>
          <w:noProof/>
          <w:lang w:eastAsia="de-AT"/>
        </w:rPr>
        <w:t>development of minimum q</w:t>
      </w:r>
      <w:r>
        <w:rPr>
          <w:noProof/>
          <w:lang w:eastAsia="de-AT"/>
        </w:rPr>
        <w:t>uality requirements for reused water in agricultural irrigation and aquifer recharge</w:t>
      </w:r>
      <w:r>
        <w:rPr>
          <w:noProof/>
        </w:rPr>
        <w:t xml:space="preserve"> – expert judgement: weak advantageous effect</w:t>
      </w:r>
      <w:bookmarkEnd w:id="225"/>
    </w:p>
    <w:p w:rsidR="00AB50C5" w:rsidRDefault="00724275">
      <w:pPr>
        <w:pStyle w:val="Abbildung"/>
      </w:pPr>
      <w:r>
        <w:rPr>
          <w:lang w:eastAsia="en-GB"/>
        </w:rPr>
        <w:drawing>
          <wp:inline distT="0" distB="0" distL="0" distR="0" wp14:anchorId="4DC29B89" wp14:editId="3DD5B987">
            <wp:extent cx="5256000" cy="5403600"/>
            <wp:effectExtent l="0" t="0" r="1905" b="6985"/>
            <wp:docPr id="35927"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cstate="email">
                      <a:extLst>
                        <a:ext uri="{28A0092B-C50C-407E-A947-70E740481C1C}">
                          <a14:useLocalDpi xmlns:a14="http://schemas.microsoft.com/office/drawing/2010/main"/>
                        </a:ext>
                      </a:extLst>
                    </a:blip>
                    <a:srcRect/>
                    <a:stretch/>
                  </pic:blipFill>
                  <pic:spPr bwMode="auto">
                    <a:xfrm>
                      <a:off x="0" y="0"/>
                      <a:ext cx="5256000" cy="5403600"/>
                    </a:xfrm>
                    <a:prstGeom prst="rect">
                      <a:avLst/>
                    </a:prstGeom>
                    <a:ln>
                      <a:noFill/>
                    </a:ln>
                    <a:extLst>
                      <a:ext uri="{53640926-AAD7-44D8-BBD7-CCE9431645EC}">
                        <a14:shadowObscured xmlns:a14="http://schemas.microsoft.com/office/drawing/2010/main"/>
                      </a:ext>
                    </a:extLst>
                  </pic:spPr>
                </pic:pic>
              </a:graphicData>
            </a:graphic>
          </wp:inline>
        </w:drawing>
      </w:r>
    </w:p>
    <w:p w:rsidR="00AB50C5" w:rsidRDefault="00724275">
      <w:pPr>
        <w:pStyle w:val="Quelle"/>
        <w:rPr>
          <w:noProof/>
        </w:rPr>
      </w:pPr>
      <w:r>
        <w:rPr>
          <w:noProof/>
        </w:rPr>
        <w:t>Source: Territorial impact assessment expert workshop, Brussels, 5 April 2017</w:t>
      </w:r>
    </w:p>
    <w:p w:rsidR="00AB50C5" w:rsidRDefault="00724275">
      <w:pPr>
        <w:pStyle w:val="Caption"/>
        <w:rPr>
          <w:noProof/>
        </w:rPr>
      </w:pPr>
      <w:bookmarkStart w:id="226" w:name="_Toc484768788"/>
      <w:r>
        <w:rPr>
          <w:noProof/>
        </w:rPr>
        <w:t xml:space="preserve">Map </w:t>
      </w:r>
      <w:r>
        <w:rPr>
          <w:noProof/>
        </w:rPr>
        <w:fldChar w:fldCharType="begin"/>
      </w:r>
      <w:r>
        <w:rPr>
          <w:noProof/>
        </w:rPr>
        <w:instrText xml:space="preserve"> STYLEREF 1 \s </w:instrText>
      </w:r>
      <w:r>
        <w:rPr>
          <w:noProof/>
        </w:rPr>
        <w:fldChar w:fldCharType="separate"/>
      </w:r>
      <w:r>
        <w:rPr>
          <w:noProof/>
        </w:rPr>
        <w:t>4</w:t>
      </w:r>
      <w:r>
        <w:rPr>
          <w:noProof/>
        </w:rPr>
        <w:fldChar w:fldCharType="end"/>
      </w:r>
      <w:r>
        <w:rPr>
          <w:noProof/>
        </w:rPr>
        <w:t>.</w:t>
      </w:r>
      <w:r>
        <w:rPr>
          <w:noProof/>
        </w:rPr>
        <w:fldChar w:fldCharType="begin"/>
      </w:r>
      <w:r>
        <w:rPr>
          <w:noProof/>
        </w:rPr>
        <w:instrText xml:space="preserve"> SEQ Map \* ARABIC \s 1 </w:instrText>
      </w:r>
      <w:r>
        <w:rPr>
          <w:noProof/>
        </w:rPr>
        <w:fldChar w:fldCharType="separate"/>
      </w:r>
      <w:r>
        <w:rPr>
          <w:noProof/>
        </w:rPr>
        <w:t>2</w:t>
      </w:r>
      <w:r>
        <w:rPr>
          <w:noProof/>
        </w:rPr>
        <w:fldChar w:fldCharType="end"/>
      </w:r>
      <w:r>
        <w:rPr>
          <w:noProof/>
        </w:rPr>
        <w:t xml:space="preserve">: Result of the expert judgement: Added value in agriculture and forestry in rural regions affected by the </w:t>
      </w:r>
      <w:r>
        <w:rPr>
          <w:noProof/>
          <w:lang w:eastAsia="de-AT"/>
        </w:rPr>
        <w:t>development of minimum quality requirements for reused water in agricultural irrigation and aquifer recharge</w:t>
      </w:r>
      <w:r>
        <w:rPr>
          <w:noProof/>
        </w:rPr>
        <w:t xml:space="preserve"> – expert jud</w:t>
      </w:r>
      <w:r>
        <w:rPr>
          <w:noProof/>
        </w:rPr>
        <w:t>gement: strong advantageous effect</w:t>
      </w:r>
      <w:bookmarkEnd w:id="226"/>
    </w:p>
    <w:p w:rsidR="00AB50C5" w:rsidRDefault="00724275">
      <w:pPr>
        <w:pStyle w:val="Abbildung"/>
      </w:pPr>
      <w:r>
        <w:rPr>
          <w:lang w:eastAsia="en-GB"/>
        </w:rPr>
        <w:drawing>
          <wp:inline distT="0" distB="0" distL="0" distR="0" wp14:anchorId="4B3B32F4" wp14:editId="391E9C59">
            <wp:extent cx="5256000" cy="5392800"/>
            <wp:effectExtent l="0" t="0" r="1905" b="0"/>
            <wp:docPr id="35928"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cstate="email">
                      <a:extLst>
                        <a:ext uri="{28A0092B-C50C-407E-A947-70E740481C1C}">
                          <a14:useLocalDpi xmlns:a14="http://schemas.microsoft.com/office/drawing/2010/main"/>
                        </a:ext>
                      </a:extLst>
                    </a:blip>
                    <a:srcRect/>
                    <a:stretch/>
                  </pic:blipFill>
                  <pic:spPr bwMode="auto">
                    <a:xfrm>
                      <a:off x="0" y="0"/>
                      <a:ext cx="5256000" cy="5392800"/>
                    </a:xfrm>
                    <a:prstGeom prst="rect">
                      <a:avLst/>
                    </a:prstGeom>
                    <a:ln>
                      <a:noFill/>
                    </a:ln>
                    <a:extLst>
                      <a:ext uri="{53640926-AAD7-44D8-BBD7-CCE9431645EC}">
                        <a14:shadowObscured xmlns:a14="http://schemas.microsoft.com/office/drawing/2010/main"/>
                      </a:ext>
                    </a:extLst>
                  </pic:spPr>
                </pic:pic>
              </a:graphicData>
            </a:graphic>
          </wp:inline>
        </w:drawing>
      </w:r>
    </w:p>
    <w:p w:rsidR="00AB50C5" w:rsidRDefault="00724275">
      <w:pPr>
        <w:pStyle w:val="Quelle"/>
        <w:rPr>
          <w:noProof/>
        </w:rPr>
      </w:pPr>
      <w:r>
        <w:rPr>
          <w:noProof/>
        </w:rPr>
        <w:t>Source: Territorial impact assessment expert workshop, Brussels, 5 April 2017</w:t>
      </w:r>
    </w:p>
    <w:p w:rsidR="00AB50C5" w:rsidRDefault="00AB50C5">
      <w:pPr>
        <w:rPr>
          <w:noProof/>
        </w:rPr>
      </w:pPr>
    </w:p>
    <w:p w:rsidR="00AB50C5" w:rsidRDefault="00724275">
      <w:pPr>
        <w:pStyle w:val="Heading2"/>
        <w:numPr>
          <w:ilvl w:val="1"/>
          <w:numId w:val="133"/>
        </w:numPr>
        <w:spacing w:before="60" w:after="160"/>
        <w:ind w:left="578" w:hanging="578"/>
        <w:jc w:val="left"/>
        <w:rPr>
          <w:noProof/>
          <w:kern w:val="32"/>
        </w:rPr>
      </w:pPr>
      <w:bookmarkStart w:id="227" w:name="_Toc484768727"/>
      <w:bookmarkStart w:id="228" w:name="_Toc516234814"/>
      <w:r>
        <w:rPr>
          <w:noProof/>
          <w:kern w:val="32"/>
        </w:rPr>
        <w:t>The potential territorial impact based on the economic growth</w:t>
      </w:r>
      <w:bookmarkEnd w:id="227"/>
      <w:bookmarkEnd w:id="228"/>
      <w:r>
        <w:rPr>
          <w:noProof/>
          <w:kern w:val="32"/>
        </w:rPr>
        <w:t xml:space="preserve"> </w:t>
      </w:r>
    </w:p>
    <w:p w:rsidR="00AB50C5" w:rsidRDefault="00724275">
      <w:pPr>
        <w:pStyle w:val="EText"/>
        <w:spacing w:line="240" w:lineRule="auto"/>
        <w:rPr>
          <w:rFonts w:ascii="Times New Roman" w:hAnsi="Times New Roman"/>
          <w:noProof/>
          <w:sz w:val="24"/>
          <w:szCs w:val="24"/>
        </w:rPr>
      </w:pPr>
      <w:r>
        <w:rPr>
          <w:rFonts w:ascii="Times New Roman" w:hAnsi="Times New Roman"/>
          <w:noProof/>
          <w:sz w:val="24"/>
          <w:szCs w:val="24"/>
        </w:rPr>
        <w:t xml:space="preserve">The experts identified a </w:t>
      </w:r>
      <w:r>
        <w:rPr>
          <w:rFonts w:ascii="Times New Roman" w:hAnsi="Times New Roman"/>
          <w:noProof/>
          <w:sz w:val="24"/>
          <w:szCs w:val="24"/>
          <w:u w:val="single"/>
        </w:rPr>
        <w:t>positive effect</w:t>
      </w:r>
      <w:r>
        <w:rPr>
          <w:rFonts w:ascii="Times New Roman" w:hAnsi="Times New Roman"/>
          <w:noProof/>
          <w:sz w:val="24"/>
          <w:szCs w:val="24"/>
        </w:rPr>
        <w:t xml:space="preserve"> of the </w:t>
      </w:r>
      <w:r>
        <w:rPr>
          <w:rFonts w:ascii="Times New Roman" w:hAnsi="Times New Roman"/>
          <w:noProof/>
          <w:sz w:val="24"/>
          <w:szCs w:val="24"/>
          <w:lang w:eastAsia="de-AT"/>
        </w:rPr>
        <w:t xml:space="preserve">development of minimum </w:t>
      </w:r>
      <w:r>
        <w:rPr>
          <w:rFonts w:ascii="Times New Roman" w:hAnsi="Times New Roman"/>
          <w:noProof/>
          <w:sz w:val="24"/>
          <w:szCs w:val="24"/>
          <w:lang w:eastAsia="de-AT"/>
        </w:rPr>
        <w:t>quality requirements for reused water in agricultural irrigation and aquifer recharge</w:t>
      </w:r>
      <w:r>
        <w:rPr>
          <w:rFonts w:ascii="Times New Roman" w:hAnsi="Times New Roman"/>
          <w:noProof/>
          <w:sz w:val="24"/>
          <w:szCs w:val="24"/>
        </w:rPr>
        <w:t xml:space="preserve"> on the overall economic growth of all regions. Three voted for a strongly advantageous effect, fourteen for a weakly advantageous effect. Just one expert saw a weakly dis</w:t>
      </w:r>
      <w:r>
        <w:rPr>
          <w:rFonts w:ascii="Times New Roman" w:hAnsi="Times New Roman"/>
          <w:noProof/>
          <w:sz w:val="24"/>
          <w:szCs w:val="24"/>
        </w:rPr>
        <w:t xml:space="preserve">advantageous effect. </w:t>
      </w:r>
    </w:p>
    <w:p w:rsidR="00AB50C5" w:rsidRDefault="00724275">
      <w:pPr>
        <w:pStyle w:val="EText"/>
        <w:spacing w:line="240" w:lineRule="auto"/>
        <w:rPr>
          <w:rFonts w:ascii="Times New Roman" w:hAnsi="Times New Roman"/>
          <w:noProof/>
          <w:sz w:val="24"/>
          <w:szCs w:val="24"/>
        </w:rPr>
      </w:pPr>
      <w:r>
        <w:rPr>
          <w:rFonts w:ascii="Times New Roman" w:hAnsi="Times New Roman"/>
          <w:noProof/>
          <w:sz w:val="24"/>
          <w:szCs w:val="24"/>
        </w:rPr>
        <w:t>When focusing on rural regions the judgement was even more positive: In this case seven voted for a strongly advantageous effect and twelve for a weakly advantageous effect.</w:t>
      </w:r>
    </w:p>
    <w:p w:rsidR="00AB50C5" w:rsidRDefault="00724275">
      <w:pPr>
        <w:pStyle w:val="Caption"/>
        <w:rPr>
          <w:noProof/>
          <w:szCs w:val="22"/>
        </w:rPr>
      </w:pPr>
      <w:bookmarkStart w:id="229" w:name="_Toc484768772"/>
      <w:r>
        <w:rPr>
          <w:noProof/>
        </w:rPr>
        <w:t xml:space="preserve">Figure </w:t>
      </w:r>
      <w:r>
        <w:rPr>
          <w:noProof/>
        </w:rPr>
        <w:fldChar w:fldCharType="begin"/>
      </w:r>
      <w:r>
        <w:rPr>
          <w:noProof/>
        </w:rPr>
        <w:instrText xml:space="preserve"> STYLEREF 1 \s </w:instrText>
      </w:r>
      <w:r>
        <w:rPr>
          <w:noProof/>
        </w:rPr>
        <w:fldChar w:fldCharType="separate"/>
      </w:r>
      <w:r>
        <w:rPr>
          <w:noProof/>
        </w:rPr>
        <w:t>4</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Pr>
          <w:noProof/>
        </w:rPr>
        <w:t>3</w:t>
      </w:r>
      <w:r>
        <w:rPr>
          <w:noProof/>
        </w:rPr>
        <w:fldChar w:fldCharType="end"/>
      </w:r>
      <w:r>
        <w:rPr>
          <w:noProof/>
        </w:rPr>
        <w:t xml:space="preserve">: </w:t>
      </w:r>
      <w:r>
        <w:rPr>
          <w:noProof/>
          <w:szCs w:val="22"/>
        </w:rPr>
        <w:t xml:space="preserve">Workshop findings: Expert judgement: Effect of the development of minimum </w:t>
      </w:r>
      <w:r>
        <w:rPr>
          <w:noProof/>
          <w:lang w:eastAsia="de-AT"/>
        </w:rPr>
        <w:t>quality requirements for reused water in agricultural irrigation and aquifer recharge</w:t>
      </w:r>
      <w:r>
        <w:rPr>
          <w:noProof/>
        </w:rPr>
        <w:t xml:space="preserve"> </w:t>
      </w:r>
      <w:r>
        <w:rPr>
          <w:noProof/>
          <w:szCs w:val="22"/>
        </w:rPr>
        <w:t>on economic growth</w:t>
      </w:r>
      <w:bookmarkEnd w:id="229"/>
      <w:r>
        <w:rPr>
          <w:noProof/>
          <w:szCs w:val="22"/>
        </w:rPr>
        <w:t xml:space="preserve"> </w:t>
      </w:r>
    </w:p>
    <w:p w:rsidR="00AB50C5" w:rsidRDefault="00724275">
      <w:pPr>
        <w:pStyle w:val="Abbildung"/>
        <w:rPr>
          <w:lang w:eastAsia="en-US"/>
        </w:rPr>
      </w:pPr>
      <w:r>
        <w:rPr>
          <w:lang w:eastAsia="en-GB"/>
        </w:rPr>
        <w:drawing>
          <wp:inline distT="0" distB="0" distL="0" distR="0" wp14:anchorId="6660D6C6" wp14:editId="2C1C5EF8">
            <wp:extent cx="5274310" cy="2452370"/>
            <wp:effectExtent l="19050" t="0" r="2540" b="0"/>
            <wp:docPr id="35929"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 cstate="email">
                      <a:extLst>
                        <a:ext uri="{28A0092B-C50C-407E-A947-70E740481C1C}">
                          <a14:useLocalDpi xmlns:a14="http://schemas.microsoft.com/office/drawing/2010/main"/>
                        </a:ext>
                      </a:extLst>
                    </a:blip>
                    <a:srcRect/>
                    <a:stretch>
                      <a:fillRect/>
                    </a:stretch>
                  </pic:blipFill>
                  <pic:spPr bwMode="auto">
                    <a:xfrm>
                      <a:off x="0" y="0"/>
                      <a:ext cx="5274310" cy="2452370"/>
                    </a:xfrm>
                    <a:prstGeom prst="rect">
                      <a:avLst/>
                    </a:prstGeom>
                    <a:noFill/>
                    <a:ln w="9525">
                      <a:noFill/>
                      <a:miter lim="800000"/>
                      <a:headEnd/>
                      <a:tailEnd/>
                    </a:ln>
                  </pic:spPr>
                </pic:pic>
              </a:graphicData>
            </a:graphic>
          </wp:inline>
        </w:drawing>
      </w:r>
    </w:p>
    <w:p w:rsidR="00AB50C5" w:rsidRDefault="00724275">
      <w:pPr>
        <w:pStyle w:val="Quelle"/>
        <w:rPr>
          <w:noProof/>
        </w:rPr>
      </w:pPr>
      <w:r>
        <w:rPr>
          <w:noProof/>
        </w:rPr>
        <w:t>Source: Territorial impact assessment expert workshop, Brussels, 5 April 2</w:t>
      </w:r>
      <w:r>
        <w:rPr>
          <w:noProof/>
        </w:rPr>
        <w:t>017</w:t>
      </w:r>
    </w:p>
    <w:p w:rsidR="00AB50C5" w:rsidRDefault="00724275">
      <w:pPr>
        <w:pStyle w:val="Caption"/>
        <w:rPr>
          <w:noProof/>
          <w:szCs w:val="22"/>
        </w:rPr>
      </w:pPr>
      <w:bookmarkStart w:id="230" w:name="_Toc484768773"/>
      <w:r>
        <w:rPr>
          <w:noProof/>
        </w:rPr>
        <w:t xml:space="preserve">Figure </w:t>
      </w:r>
      <w:r>
        <w:rPr>
          <w:noProof/>
        </w:rPr>
        <w:fldChar w:fldCharType="begin"/>
      </w:r>
      <w:r>
        <w:rPr>
          <w:noProof/>
        </w:rPr>
        <w:instrText xml:space="preserve"> STYLEREF 1 \s </w:instrText>
      </w:r>
      <w:r>
        <w:rPr>
          <w:noProof/>
        </w:rPr>
        <w:fldChar w:fldCharType="separate"/>
      </w:r>
      <w:r>
        <w:rPr>
          <w:noProof/>
        </w:rPr>
        <w:t>4</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Pr>
          <w:noProof/>
        </w:rPr>
        <w:t>4</w:t>
      </w:r>
      <w:r>
        <w:rPr>
          <w:noProof/>
        </w:rPr>
        <w:fldChar w:fldCharType="end"/>
      </w:r>
      <w:r>
        <w:rPr>
          <w:noProof/>
        </w:rPr>
        <w:t xml:space="preserve">: </w:t>
      </w:r>
      <w:r>
        <w:rPr>
          <w:noProof/>
          <w:szCs w:val="22"/>
        </w:rPr>
        <w:t xml:space="preserve">Workshop findings: Expert judgement: Effect of the development of minimum </w:t>
      </w:r>
      <w:r>
        <w:rPr>
          <w:noProof/>
          <w:lang w:eastAsia="de-AT"/>
        </w:rPr>
        <w:t>quality requirements for reused water in agricultural irrigation and aquifer recharge</w:t>
      </w:r>
      <w:r>
        <w:rPr>
          <w:noProof/>
        </w:rPr>
        <w:t xml:space="preserve"> </w:t>
      </w:r>
      <w:r>
        <w:rPr>
          <w:noProof/>
          <w:szCs w:val="22"/>
        </w:rPr>
        <w:t>on economic growth in rural regi</w:t>
      </w:r>
      <w:r>
        <w:rPr>
          <w:noProof/>
          <w:szCs w:val="22"/>
        </w:rPr>
        <w:t>ons</w:t>
      </w:r>
      <w:bookmarkEnd w:id="230"/>
    </w:p>
    <w:p w:rsidR="00AB50C5" w:rsidRDefault="00724275">
      <w:pPr>
        <w:pStyle w:val="Abbildung"/>
        <w:rPr>
          <w:lang w:eastAsia="en-US"/>
        </w:rPr>
      </w:pPr>
      <w:r>
        <w:rPr>
          <w:lang w:eastAsia="en-GB"/>
        </w:rPr>
        <w:drawing>
          <wp:inline distT="0" distB="0" distL="0" distR="0" wp14:anchorId="57741F4B" wp14:editId="1CE159DD">
            <wp:extent cx="5274310" cy="2452370"/>
            <wp:effectExtent l="19050" t="0" r="2540" b="0"/>
            <wp:docPr id="35930"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5274310" cy="2452370"/>
                    </a:xfrm>
                    <a:prstGeom prst="rect">
                      <a:avLst/>
                    </a:prstGeom>
                    <a:noFill/>
                    <a:ln w="9525">
                      <a:noFill/>
                      <a:miter lim="800000"/>
                      <a:headEnd/>
                      <a:tailEnd/>
                    </a:ln>
                  </pic:spPr>
                </pic:pic>
              </a:graphicData>
            </a:graphic>
          </wp:inline>
        </w:drawing>
      </w:r>
    </w:p>
    <w:p w:rsidR="00AB50C5" w:rsidRDefault="00724275">
      <w:pPr>
        <w:pStyle w:val="Quelle"/>
        <w:rPr>
          <w:noProof/>
        </w:rPr>
      </w:pPr>
      <w:r>
        <w:rPr>
          <w:noProof/>
        </w:rPr>
        <w:t>Source: Territorial impact assessment expert workshop, Brussels, 5 April 2017</w:t>
      </w:r>
    </w:p>
    <w:p w:rsidR="00AB50C5" w:rsidRDefault="00724275">
      <w:pPr>
        <w:pStyle w:val="EText"/>
        <w:spacing w:line="240" w:lineRule="auto"/>
        <w:rPr>
          <w:rFonts w:ascii="Times New Roman" w:hAnsi="Times New Roman"/>
          <w:noProof/>
          <w:sz w:val="24"/>
          <w:szCs w:val="24"/>
          <w:lang w:eastAsia="en-US"/>
        </w:rPr>
      </w:pPr>
      <w:r>
        <w:rPr>
          <w:rFonts w:ascii="Times New Roman" w:hAnsi="Times New Roman"/>
          <w:noProof/>
          <w:sz w:val="24"/>
          <w:szCs w:val="24"/>
        </w:rPr>
        <w:t>The sensitivity of the regions is measured by the indicator “</w:t>
      </w:r>
      <w:r>
        <w:rPr>
          <w:rFonts w:ascii="Times New Roman" w:hAnsi="Times New Roman"/>
          <w:noProof/>
          <w:sz w:val="24"/>
          <w:szCs w:val="24"/>
          <w:lang w:eastAsia="fr-BE"/>
        </w:rPr>
        <w:t>GDP per capita”. Regions with lower GDP per capita are expected to benefit more from the EU initiative (like th</w:t>
      </w:r>
      <w:r>
        <w:rPr>
          <w:rFonts w:ascii="Times New Roman" w:hAnsi="Times New Roman"/>
          <w:noProof/>
          <w:sz w:val="24"/>
          <w:szCs w:val="24"/>
          <w:lang w:eastAsia="fr-BE"/>
        </w:rPr>
        <w:t xml:space="preserve">e one on reuse of water) aimed at GDP growth increase and that inadvertently harm economic growth. </w:t>
      </w:r>
      <w:r>
        <w:rPr>
          <w:rFonts w:ascii="Times New Roman" w:hAnsi="Times New Roman"/>
          <w:noProof/>
          <w:sz w:val="24"/>
          <w:szCs w:val="24"/>
        </w:rPr>
        <w:t xml:space="preserve">The following map shows the potential territorial impact of the </w:t>
      </w:r>
      <w:r>
        <w:rPr>
          <w:rFonts w:ascii="Times New Roman" w:hAnsi="Times New Roman"/>
          <w:noProof/>
          <w:sz w:val="24"/>
          <w:szCs w:val="24"/>
          <w:lang w:eastAsia="de-AT"/>
        </w:rPr>
        <w:t>development of minimum quality requirements for reused water in agricultural irrigation and a</w:t>
      </w:r>
      <w:r>
        <w:rPr>
          <w:rFonts w:ascii="Times New Roman" w:hAnsi="Times New Roman"/>
          <w:noProof/>
          <w:sz w:val="24"/>
          <w:szCs w:val="24"/>
          <w:lang w:eastAsia="de-AT"/>
        </w:rPr>
        <w:t>quifer recharge</w:t>
      </w:r>
      <w:r>
        <w:rPr>
          <w:rFonts w:ascii="Times New Roman" w:hAnsi="Times New Roman"/>
          <w:noProof/>
          <w:sz w:val="24"/>
          <w:szCs w:val="24"/>
        </w:rPr>
        <w:t xml:space="preserve"> </w:t>
      </w:r>
      <w:r>
        <w:rPr>
          <w:rFonts w:ascii="Times New Roman" w:hAnsi="Times New Roman"/>
          <w:noProof/>
          <w:kern w:val="32"/>
          <w:sz w:val="24"/>
          <w:szCs w:val="24"/>
        </w:rPr>
        <w:t xml:space="preserve">on </w:t>
      </w:r>
      <w:r>
        <w:rPr>
          <w:rFonts w:ascii="Times New Roman" w:hAnsi="Times New Roman"/>
          <w:noProof/>
          <w:sz w:val="24"/>
          <w:szCs w:val="24"/>
        </w:rPr>
        <w:t xml:space="preserve">the economy growth by combining the judgement of the majority of the experts (weakly advantageous effect) </w:t>
      </w:r>
      <w:r>
        <w:rPr>
          <w:rFonts w:ascii="Times New Roman" w:hAnsi="Times New Roman"/>
          <w:noProof/>
          <w:sz w:val="24"/>
          <w:szCs w:val="24"/>
          <w:lang w:eastAsia="en-US"/>
        </w:rPr>
        <w:t xml:space="preserve">with the corresponding sensitivity. </w:t>
      </w:r>
    </w:p>
    <w:p w:rsidR="00AB50C5" w:rsidRDefault="00724275">
      <w:pPr>
        <w:spacing w:line="240" w:lineRule="auto"/>
        <w:rPr>
          <w:rFonts w:ascii="Times New Roman" w:hAnsi="Times New Roman" w:cs="Times New Roman"/>
          <w:noProof/>
          <w:sz w:val="24"/>
          <w:szCs w:val="24"/>
          <w:u w:val="single"/>
        </w:rPr>
      </w:pPr>
      <w:r>
        <w:rPr>
          <w:rFonts w:ascii="Times New Roman" w:hAnsi="Times New Roman" w:cs="Times New Roman"/>
          <w:noProof/>
          <w:sz w:val="24"/>
          <w:szCs w:val="24"/>
        </w:rPr>
        <w:t xml:space="preserve">It is assumed that </w:t>
      </w:r>
      <w:r>
        <w:rPr>
          <w:rFonts w:ascii="Times New Roman" w:hAnsi="Times New Roman" w:cs="Times New Roman"/>
          <w:noProof/>
          <w:sz w:val="24"/>
          <w:szCs w:val="24"/>
          <w:u w:val="single"/>
        </w:rPr>
        <w:t>especially the Eastern European regions in the Baltic Sea and the Black Sea</w:t>
      </w:r>
      <w:r>
        <w:rPr>
          <w:rFonts w:ascii="Times New Roman" w:hAnsi="Times New Roman" w:cs="Times New Roman"/>
          <w:noProof/>
          <w:sz w:val="24"/>
          <w:szCs w:val="24"/>
          <w:u w:val="single"/>
        </w:rPr>
        <w:t xml:space="preserve"> and some regions in Greece could potentially benefit with a high positive impact from the EU initiative. Most other regions would have a moderate impact.</w:t>
      </w:r>
    </w:p>
    <w:p w:rsidR="00AB50C5" w:rsidRDefault="00724275">
      <w:pPr>
        <w:pStyle w:val="Caption"/>
        <w:rPr>
          <w:noProof/>
        </w:rPr>
      </w:pPr>
      <w:bookmarkStart w:id="231" w:name="_Toc484768789"/>
      <w:r>
        <w:rPr>
          <w:noProof/>
        </w:rPr>
        <w:t xml:space="preserve">Map </w:t>
      </w:r>
      <w:r>
        <w:rPr>
          <w:noProof/>
        </w:rPr>
        <w:fldChar w:fldCharType="begin"/>
      </w:r>
      <w:r>
        <w:rPr>
          <w:noProof/>
        </w:rPr>
        <w:instrText xml:space="preserve"> STYLEREF 1 \s </w:instrText>
      </w:r>
      <w:r>
        <w:rPr>
          <w:noProof/>
        </w:rPr>
        <w:fldChar w:fldCharType="separate"/>
      </w:r>
      <w:r>
        <w:rPr>
          <w:noProof/>
        </w:rPr>
        <w:t>4</w:t>
      </w:r>
      <w:r>
        <w:rPr>
          <w:noProof/>
        </w:rPr>
        <w:fldChar w:fldCharType="end"/>
      </w:r>
      <w:r>
        <w:rPr>
          <w:noProof/>
        </w:rPr>
        <w:t>.</w:t>
      </w:r>
      <w:r>
        <w:rPr>
          <w:noProof/>
        </w:rPr>
        <w:fldChar w:fldCharType="begin"/>
      </w:r>
      <w:r>
        <w:rPr>
          <w:noProof/>
        </w:rPr>
        <w:instrText xml:space="preserve"> SEQ Map \* ARABIC \s 1 </w:instrText>
      </w:r>
      <w:r>
        <w:rPr>
          <w:noProof/>
        </w:rPr>
        <w:fldChar w:fldCharType="separate"/>
      </w:r>
      <w:r>
        <w:rPr>
          <w:noProof/>
        </w:rPr>
        <w:t>3</w:t>
      </w:r>
      <w:r>
        <w:rPr>
          <w:noProof/>
        </w:rPr>
        <w:fldChar w:fldCharType="end"/>
      </w:r>
      <w:r>
        <w:rPr>
          <w:noProof/>
        </w:rPr>
        <w:t>: Result of the expert judgement: Economic growth</w:t>
      </w:r>
      <w:r>
        <w:rPr>
          <w:noProof/>
        </w:rPr>
        <w:t xml:space="preserve"> affected by the </w:t>
      </w:r>
      <w:r>
        <w:rPr>
          <w:noProof/>
          <w:lang w:eastAsia="de-AT"/>
        </w:rPr>
        <w:t>development of minimum quality requirements for reused water in agricultural irrigation and aquifer recharge</w:t>
      </w:r>
      <w:r>
        <w:rPr>
          <w:noProof/>
        </w:rPr>
        <w:t xml:space="preserve"> – expert judgement: weak advantageous effect</w:t>
      </w:r>
      <w:bookmarkEnd w:id="231"/>
    </w:p>
    <w:p w:rsidR="00AB50C5" w:rsidRDefault="00724275">
      <w:pPr>
        <w:pStyle w:val="Abbildung"/>
      </w:pPr>
      <w:r>
        <w:rPr>
          <w:lang w:eastAsia="en-GB"/>
        </w:rPr>
        <w:drawing>
          <wp:inline distT="0" distB="0" distL="0" distR="0" wp14:anchorId="0C41300E" wp14:editId="3BDD487A">
            <wp:extent cx="5256000" cy="5392800"/>
            <wp:effectExtent l="0" t="0" r="1905" b="0"/>
            <wp:docPr id="35931"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cstate="email">
                      <a:extLst>
                        <a:ext uri="{28A0092B-C50C-407E-A947-70E740481C1C}">
                          <a14:useLocalDpi xmlns:a14="http://schemas.microsoft.com/office/drawing/2010/main"/>
                        </a:ext>
                      </a:extLst>
                    </a:blip>
                    <a:srcRect/>
                    <a:stretch/>
                  </pic:blipFill>
                  <pic:spPr bwMode="auto">
                    <a:xfrm>
                      <a:off x="0" y="0"/>
                      <a:ext cx="5256000" cy="5392800"/>
                    </a:xfrm>
                    <a:prstGeom prst="rect">
                      <a:avLst/>
                    </a:prstGeom>
                    <a:ln>
                      <a:noFill/>
                    </a:ln>
                    <a:extLst>
                      <a:ext uri="{53640926-AAD7-44D8-BBD7-CCE9431645EC}">
                        <a14:shadowObscured xmlns:a14="http://schemas.microsoft.com/office/drawing/2010/main"/>
                      </a:ext>
                    </a:extLst>
                  </pic:spPr>
                </pic:pic>
              </a:graphicData>
            </a:graphic>
          </wp:inline>
        </w:drawing>
      </w:r>
    </w:p>
    <w:p w:rsidR="00AB50C5" w:rsidRDefault="00724275">
      <w:pPr>
        <w:pStyle w:val="Quelle"/>
        <w:rPr>
          <w:noProof/>
        </w:rPr>
      </w:pPr>
      <w:r>
        <w:rPr>
          <w:noProof/>
        </w:rPr>
        <w:t>Source: Territorial impact assessment expert workshop, Brussels, 5 April 2017</w:t>
      </w:r>
    </w:p>
    <w:p w:rsidR="00AB50C5" w:rsidRDefault="00AB50C5">
      <w:pPr>
        <w:rPr>
          <w:noProof/>
        </w:rPr>
      </w:pPr>
    </w:p>
    <w:p w:rsidR="00AB50C5" w:rsidRDefault="00724275">
      <w:pPr>
        <w:pStyle w:val="Heading2"/>
        <w:numPr>
          <w:ilvl w:val="1"/>
          <w:numId w:val="133"/>
        </w:numPr>
        <w:spacing w:before="60" w:after="160"/>
        <w:ind w:left="578" w:hanging="578"/>
        <w:jc w:val="left"/>
        <w:rPr>
          <w:noProof/>
          <w:kern w:val="32"/>
        </w:rPr>
      </w:pPr>
      <w:bookmarkStart w:id="232" w:name="_Toc484768728"/>
      <w:bookmarkStart w:id="233" w:name="_Toc516234815"/>
      <w:r>
        <w:rPr>
          <w:noProof/>
          <w:kern w:val="32"/>
        </w:rPr>
        <w:t xml:space="preserve">The </w:t>
      </w:r>
      <w:r>
        <w:rPr>
          <w:noProof/>
          <w:kern w:val="32"/>
        </w:rPr>
        <w:t>potential territorial impact based on the R&amp;D Climate</w:t>
      </w:r>
      <w:bookmarkEnd w:id="232"/>
      <w:bookmarkEnd w:id="233"/>
      <w:r>
        <w:rPr>
          <w:noProof/>
          <w:kern w:val="32"/>
        </w:rPr>
        <w:t xml:space="preserve"> </w:t>
      </w:r>
    </w:p>
    <w:p w:rsidR="00AB50C5" w:rsidRDefault="00724275">
      <w:pPr>
        <w:pStyle w:val="EText"/>
        <w:spacing w:line="240" w:lineRule="auto"/>
        <w:rPr>
          <w:rFonts w:ascii="Times New Roman" w:hAnsi="Times New Roman"/>
          <w:noProof/>
          <w:sz w:val="24"/>
          <w:szCs w:val="24"/>
        </w:rPr>
      </w:pPr>
      <w:r>
        <w:rPr>
          <w:rFonts w:ascii="Times New Roman" w:hAnsi="Times New Roman"/>
          <w:noProof/>
          <w:sz w:val="24"/>
          <w:szCs w:val="24"/>
        </w:rPr>
        <w:t xml:space="preserve">The experts assumed that new possibilities for using new technologies could arise in connection with the reuse of water </w:t>
      </w:r>
      <w:r>
        <w:rPr>
          <w:rFonts w:ascii="Times New Roman" w:hAnsi="Times New Roman"/>
          <w:noProof/>
          <w:sz w:val="24"/>
          <w:szCs w:val="24"/>
          <w:lang w:eastAsia="de-AT"/>
        </w:rPr>
        <w:t>in agricultural irrigation and aquifer recharge, which could stimulate the develo</w:t>
      </w:r>
      <w:r>
        <w:rPr>
          <w:rFonts w:ascii="Times New Roman" w:hAnsi="Times New Roman"/>
          <w:noProof/>
          <w:sz w:val="24"/>
          <w:szCs w:val="24"/>
          <w:lang w:eastAsia="de-AT"/>
        </w:rPr>
        <w:t>pment of technologies in this field.</w:t>
      </w:r>
      <w:r>
        <w:rPr>
          <w:rFonts w:ascii="Times New Roman" w:hAnsi="Times New Roman"/>
          <w:noProof/>
          <w:sz w:val="24"/>
          <w:szCs w:val="24"/>
        </w:rPr>
        <w:t xml:space="preserve"> Consequently, the experts saw an advantageous effect of the EU initiative on the R&amp;D climate: Five voted for a strongly advantageous effect, eleven for a weakly advantageous effect. This result was the same for all regi</w:t>
      </w:r>
      <w:r>
        <w:rPr>
          <w:rFonts w:ascii="Times New Roman" w:hAnsi="Times New Roman"/>
          <w:noProof/>
          <w:sz w:val="24"/>
          <w:szCs w:val="24"/>
        </w:rPr>
        <w:t>ons as well as for rural regions.</w:t>
      </w:r>
    </w:p>
    <w:p w:rsidR="00AB50C5" w:rsidRDefault="00724275">
      <w:pPr>
        <w:pStyle w:val="Caption"/>
        <w:rPr>
          <w:noProof/>
          <w:szCs w:val="22"/>
        </w:rPr>
      </w:pPr>
      <w:bookmarkStart w:id="234" w:name="_Toc484768774"/>
      <w:r>
        <w:rPr>
          <w:noProof/>
        </w:rPr>
        <w:t xml:space="preserve">Figure </w:t>
      </w:r>
      <w:r>
        <w:rPr>
          <w:noProof/>
        </w:rPr>
        <w:fldChar w:fldCharType="begin"/>
      </w:r>
      <w:r>
        <w:rPr>
          <w:noProof/>
        </w:rPr>
        <w:instrText xml:space="preserve"> STYLEREF 1 \s </w:instrText>
      </w:r>
      <w:r>
        <w:rPr>
          <w:noProof/>
        </w:rPr>
        <w:fldChar w:fldCharType="separate"/>
      </w:r>
      <w:r>
        <w:rPr>
          <w:noProof/>
        </w:rPr>
        <w:t>4</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Pr>
          <w:noProof/>
        </w:rPr>
        <w:t>5</w:t>
      </w:r>
      <w:r>
        <w:rPr>
          <w:noProof/>
        </w:rPr>
        <w:fldChar w:fldCharType="end"/>
      </w:r>
      <w:r>
        <w:rPr>
          <w:noProof/>
        </w:rPr>
        <w:t xml:space="preserve">: </w:t>
      </w:r>
      <w:r>
        <w:rPr>
          <w:noProof/>
          <w:szCs w:val="22"/>
        </w:rPr>
        <w:t xml:space="preserve">Workshop findings: Expert judgement: Effect of the development of minimum </w:t>
      </w:r>
      <w:r>
        <w:rPr>
          <w:noProof/>
          <w:lang w:eastAsia="de-AT"/>
        </w:rPr>
        <w:t>quality requirements for reused water in agricultural irrigation and aquifer recharge</w:t>
      </w:r>
      <w:r>
        <w:rPr>
          <w:noProof/>
        </w:rPr>
        <w:t xml:space="preserve"> </w:t>
      </w:r>
      <w:r>
        <w:rPr>
          <w:noProof/>
          <w:szCs w:val="22"/>
        </w:rPr>
        <w:t>on</w:t>
      </w:r>
      <w:r>
        <w:rPr>
          <w:noProof/>
          <w:szCs w:val="22"/>
        </w:rPr>
        <w:t xml:space="preserve"> R&amp;D Climate (R&amp;D expenditure)</w:t>
      </w:r>
      <w:bookmarkEnd w:id="234"/>
    </w:p>
    <w:p w:rsidR="00AB50C5" w:rsidRDefault="00724275">
      <w:pPr>
        <w:pStyle w:val="Abbildung"/>
        <w:rPr>
          <w:lang w:eastAsia="en-US"/>
        </w:rPr>
      </w:pPr>
      <w:r>
        <w:rPr>
          <w:lang w:eastAsia="en-GB"/>
        </w:rPr>
        <w:drawing>
          <wp:inline distT="0" distB="0" distL="0" distR="0" wp14:anchorId="33323D6C" wp14:editId="296B2E8E">
            <wp:extent cx="5220335" cy="2427274"/>
            <wp:effectExtent l="19050" t="0" r="0" b="0"/>
            <wp:docPr id="35932"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0" y="0"/>
                      <a:ext cx="5220335" cy="2427274"/>
                    </a:xfrm>
                    <a:prstGeom prst="rect">
                      <a:avLst/>
                    </a:prstGeom>
                    <a:noFill/>
                    <a:ln w="9525">
                      <a:noFill/>
                      <a:miter lim="800000"/>
                      <a:headEnd/>
                      <a:tailEnd/>
                    </a:ln>
                  </pic:spPr>
                </pic:pic>
              </a:graphicData>
            </a:graphic>
          </wp:inline>
        </w:drawing>
      </w:r>
    </w:p>
    <w:p w:rsidR="00AB50C5" w:rsidRDefault="00724275">
      <w:pPr>
        <w:pStyle w:val="Quelle"/>
        <w:rPr>
          <w:noProof/>
        </w:rPr>
      </w:pPr>
      <w:r>
        <w:rPr>
          <w:noProof/>
        </w:rPr>
        <w:t>Source: Territorial impact assessment expert workshop, Brussels, 5 April 2017</w:t>
      </w:r>
    </w:p>
    <w:p w:rsidR="00AB50C5" w:rsidRDefault="00724275">
      <w:pPr>
        <w:pStyle w:val="Caption"/>
        <w:rPr>
          <w:noProof/>
          <w:szCs w:val="22"/>
        </w:rPr>
      </w:pPr>
      <w:bookmarkStart w:id="235" w:name="_Toc484768775"/>
      <w:r>
        <w:rPr>
          <w:noProof/>
        </w:rPr>
        <w:t xml:space="preserve">Figure </w:t>
      </w:r>
      <w:r>
        <w:rPr>
          <w:noProof/>
        </w:rPr>
        <w:fldChar w:fldCharType="begin"/>
      </w:r>
      <w:r>
        <w:rPr>
          <w:noProof/>
        </w:rPr>
        <w:instrText xml:space="preserve"> STYLEREF 1 \s </w:instrText>
      </w:r>
      <w:r>
        <w:rPr>
          <w:noProof/>
        </w:rPr>
        <w:fldChar w:fldCharType="separate"/>
      </w:r>
      <w:r>
        <w:rPr>
          <w:noProof/>
        </w:rPr>
        <w:t>4</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Pr>
          <w:noProof/>
        </w:rPr>
        <w:t>6</w:t>
      </w:r>
      <w:r>
        <w:rPr>
          <w:noProof/>
        </w:rPr>
        <w:fldChar w:fldCharType="end"/>
      </w:r>
      <w:r>
        <w:rPr>
          <w:noProof/>
        </w:rPr>
        <w:t xml:space="preserve">: </w:t>
      </w:r>
      <w:r>
        <w:rPr>
          <w:noProof/>
          <w:szCs w:val="22"/>
        </w:rPr>
        <w:t xml:space="preserve">Workshop findings: Expert judgement: Effect of the development of minimum </w:t>
      </w:r>
      <w:r>
        <w:rPr>
          <w:noProof/>
          <w:lang w:eastAsia="de-AT"/>
        </w:rPr>
        <w:t>quality req</w:t>
      </w:r>
      <w:r>
        <w:rPr>
          <w:noProof/>
          <w:lang w:eastAsia="de-AT"/>
        </w:rPr>
        <w:t>uirements for reused water in agricultural irrigation and aquifer recharge</w:t>
      </w:r>
      <w:r>
        <w:rPr>
          <w:noProof/>
        </w:rPr>
        <w:t xml:space="preserve"> </w:t>
      </w:r>
      <w:r>
        <w:rPr>
          <w:noProof/>
          <w:szCs w:val="22"/>
        </w:rPr>
        <w:t>on R&amp;D Climate (R&amp;D expenditure) in rural regions</w:t>
      </w:r>
      <w:bookmarkEnd w:id="235"/>
    </w:p>
    <w:p w:rsidR="00AB50C5" w:rsidRDefault="00724275">
      <w:pPr>
        <w:pStyle w:val="Abbildung"/>
        <w:rPr>
          <w:lang w:eastAsia="en-US"/>
        </w:rPr>
      </w:pPr>
      <w:r>
        <w:rPr>
          <w:lang w:eastAsia="en-GB"/>
        </w:rPr>
        <w:drawing>
          <wp:inline distT="0" distB="0" distL="0" distR="0" wp14:anchorId="0FE5BAA8" wp14:editId="7B3673ED">
            <wp:extent cx="5220335" cy="2427274"/>
            <wp:effectExtent l="19050" t="0" r="0" b="0"/>
            <wp:docPr id="35933"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5220335" cy="2427274"/>
                    </a:xfrm>
                    <a:prstGeom prst="rect">
                      <a:avLst/>
                    </a:prstGeom>
                    <a:noFill/>
                    <a:ln w="9525">
                      <a:noFill/>
                      <a:miter lim="800000"/>
                      <a:headEnd/>
                      <a:tailEnd/>
                    </a:ln>
                  </pic:spPr>
                </pic:pic>
              </a:graphicData>
            </a:graphic>
          </wp:inline>
        </w:drawing>
      </w:r>
    </w:p>
    <w:p w:rsidR="00AB50C5" w:rsidRDefault="00724275">
      <w:pPr>
        <w:pStyle w:val="Quelle"/>
        <w:rPr>
          <w:noProof/>
        </w:rPr>
      </w:pPr>
      <w:r>
        <w:rPr>
          <w:noProof/>
        </w:rPr>
        <w:t>Source: Territorial impact assessment expert workshop, Brussels, 5 April 2017</w:t>
      </w:r>
    </w:p>
    <w:p w:rsidR="00AB50C5" w:rsidRDefault="00724275">
      <w:pPr>
        <w:pStyle w:val="EText"/>
        <w:spacing w:line="240" w:lineRule="auto"/>
        <w:rPr>
          <w:rFonts w:ascii="Times New Roman" w:hAnsi="Times New Roman"/>
          <w:noProof/>
          <w:sz w:val="24"/>
          <w:szCs w:val="24"/>
          <w:u w:val="single"/>
        </w:rPr>
      </w:pPr>
      <w:r>
        <w:rPr>
          <w:rFonts w:ascii="Times New Roman" w:hAnsi="Times New Roman"/>
          <w:noProof/>
          <w:sz w:val="24"/>
          <w:szCs w:val="24"/>
        </w:rPr>
        <w:t xml:space="preserve">The sensitivity of regions related to the </w:t>
      </w:r>
      <w:r>
        <w:rPr>
          <w:rFonts w:ascii="Times New Roman" w:hAnsi="Times New Roman"/>
          <w:noProof/>
          <w:sz w:val="24"/>
          <w:szCs w:val="24"/>
          <w:lang w:eastAsia="fr-BE"/>
        </w:rPr>
        <w:t>R&amp;</w:t>
      </w:r>
      <w:r>
        <w:rPr>
          <w:rFonts w:ascii="Times New Roman" w:hAnsi="Times New Roman"/>
          <w:noProof/>
          <w:sz w:val="24"/>
          <w:szCs w:val="24"/>
          <w:lang w:eastAsia="fr-BE"/>
        </w:rPr>
        <w:t xml:space="preserve">D climate </w:t>
      </w:r>
      <w:r>
        <w:rPr>
          <w:rFonts w:ascii="Times New Roman" w:hAnsi="Times New Roman"/>
          <w:noProof/>
          <w:sz w:val="24"/>
          <w:szCs w:val="24"/>
        </w:rPr>
        <w:t>is measured by the indicator “</w:t>
      </w:r>
      <w:r>
        <w:rPr>
          <w:rFonts w:ascii="Times New Roman" w:hAnsi="Times New Roman"/>
          <w:noProof/>
          <w:sz w:val="24"/>
          <w:szCs w:val="24"/>
          <w:lang w:eastAsia="fr-BE"/>
        </w:rPr>
        <w:t xml:space="preserve">R&amp;D expenditure”. </w:t>
      </w:r>
      <w:r>
        <w:rPr>
          <w:rFonts w:ascii="Times New Roman" w:hAnsi="Times New Roman"/>
          <w:noProof/>
          <w:sz w:val="24"/>
          <w:szCs w:val="24"/>
        </w:rPr>
        <w:t>Regions with an already highly innovative climate and with a greater share of enterprises engaged in product and/or process innovation activities are considered to be more sensitive to EU initiative</w:t>
      </w:r>
      <w:r>
        <w:rPr>
          <w:rFonts w:ascii="Times New Roman" w:hAnsi="Times New Roman"/>
          <w:noProof/>
          <w:sz w:val="24"/>
          <w:szCs w:val="24"/>
        </w:rPr>
        <w:t xml:space="preserve">s influencing innovation than others. Combining the expert judgement of the weakly advantageous effect with the corresponding sensitivity results in a </w:t>
      </w:r>
      <w:r>
        <w:rPr>
          <w:rFonts w:ascii="Times New Roman" w:hAnsi="Times New Roman"/>
          <w:noProof/>
          <w:sz w:val="24"/>
          <w:szCs w:val="24"/>
          <w:u w:val="single"/>
        </w:rPr>
        <w:t>quite equal distribution of a minor positive impact in most European regions.</w:t>
      </w:r>
    </w:p>
    <w:p w:rsidR="00AB50C5" w:rsidRDefault="00724275">
      <w:pPr>
        <w:pStyle w:val="Heading1"/>
        <w:keepNext w:val="0"/>
        <w:pageBreakBefore/>
        <w:numPr>
          <w:ilvl w:val="0"/>
          <w:numId w:val="133"/>
        </w:numPr>
        <w:spacing w:before="0" w:after="160"/>
        <w:ind w:left="431" w:hanging="431"/>
        <w:jc w:val="left"/>
        <w:rPr>
          <w:noProof/>
          <w:kern w:val="32"/>
        </w:rPr>
      </w:pPr>
      <w:bookmarkStart w:id="236" w:name="_Toc484768729"/>
      <w:bookmarkStart w:id="237" w:name="_Toc516234816"/>
      <w:r>
        <w:rPr>
          <w:noProof/>
          <w:kern w:val="32"/>
        </w:rPr>
        <w:t>Results of the TIA quick ch</w:t>
      </w:r>
      <w:r>
        <w:rPr>
          <w:noProof/>
          <w:kern w:val="32"/>
        </w:rPr>
        <w:t xml:space="preserve">eck: Potential territorial impact based on society </w:t>
      </w:r>
      <w:bookmarkEnd w:id="220"/>
      <w:r>
        <w:rPr>
          <w:noProof/>
          <w:kern w:val="32"/>
        </w:rPr>
        <w:t>aspects</w:t>
      </w:r>
      <w:bookmarkEnd w:id="236"/>
      <w:bookmarkEnd w:id="237"/>
    </w:p>
    <w:p w:rsidR="00AB50C5" w:rsidRDefault="00724275">
      <w:pPr>
        <w:pStyle w:val="Heading2"/>
        <w:numPr>
          <w:ilvl w:val="1"/>
          <w:numId w:val="133"/>
        </w:numPr>
        <w:spacing w:before="60" w:after="160"/>
        <w:ind w:left="578" w:hanging="578"/>
        <w:jc w:val="left"/>
        <w:rPr>
          <w:noProof/>
          <w:kern w:val="32"/>
        </w:rPr>
      </w:pPr>
      <w:bookmarkStart w:id="238" w:name="_Toc484768730"/>
      <w:bookmarkStart w:id="239" w:name="_Toc516234817"/>
      <w:r>
        <w:rPr>
          <w:noProof/>
          <w:kern w:val="32"/>
        </w:rPr>
        <w:t>The potential territorial impact based on the employment in agriculture and forestry</w:t>
      </w:r>
      <w:bookmarkEnd w:id="238"/>
      <w:bookmarkEnd w:id="239"/>
      <w:r>
        <w:rPr>
          <w:noProof/>
          <w:kern w:val="32"/>
        </w:rPr>
        <w:t xml:space="preserve"> </w:t>
      </w:r>
    </w:p>
    <w:p w:rsidR="00AB50C5" w:rsidRDefault="00724275">
      <w:pPr>
        <w:pStyle w:val="EText"/>
        <w:spacing w:line="240" w:lineRule="auto"/>
        <w:rPr>
          <w:rFonts w:ascii="Times New Roman" w:hAnsi="Times New Roman"/>
          <w:noProof/>
          <w:sz w:val="24"/>
          <w:szCs w:val="24"/>
        </w:rPr>
      </w:pPr>
      <w:r>
        <w:rPr>
          <w:rFonts w:ascii="Times New Roman" w:hAnsi="Times New Roman"/>
          <w:noProof/>
          <w:sz w:val="24"/>
          <w:szCs w:val="24"/>
        </w:rPr>
        <w:t xml:space="preserve">The </w:t>
      </w:r>
      <w:r>
        <w:rPr>
          <w:rFonts w:ascii="Times New Roman" w:hAnsi="Times New Roman"/>
          <w:noProof/>
          <w:sz w:val="24"/>
          <w:szCs w:val="24"/>
          <w:lang w:eastAsia="de-AT"/>
        </w:rPr>
        <w:t>development of minimum quality requirements for reused water in agricultural irrigation and aquifer recharg</w:t>
      </w:r>
      <w:r>
        <w:rPr>
          <w:rFonts w:ascii="Times New Roman" w:hAnsi="Times New Roman"/>
          <w:noProof/>
          <w:sz w:val="24"/>
          <w:szCs w:val="24"/>
          <w:lang w:eastAsia="de-AT"/>
        </w:rPr>
        <w:t>e</w:t>
      </w:r>
      <w:r>
        <w:rPr>
          <w:rFonts w:ascii="Times New Roman" w:hAnsi="Times New Roman"/>
          <w:noProof/>
          <w:sz w:val="24"/>
          <w:szCs w:val="24"/>
        </w:rPr>
        <w:t xml:space="preserve"> </w:t>
      </w:r>
      <w:r>
        <w:rPr>
          <w:rFonts w:ascii="Times New Roman" w:hAnsi="Times New Roman"/>
          <w:b/>
          <w:noProof/>
          <w:sz w:val="24"/>
          <w:szCs w:val="24"/>
        </w:rPr>
        <w:t>could improve the public acceptance of reused water, which could open chances for development, especially in rural areas.</w:t>
      </w:r>
      <w:r>
        <w:rPr>
          <w:rFonts w:ascii="Times New Roman" w:hAnsi="Times New Roman"/>
          <w:noProof/>
          <w:sz w:val="24"/>
          <w:szCs w:val="24"/>
        </w:rPr>
        <w:t xml:space="preserve"> Consequently, the participants judged the effects </w:t>
      </w:r>
      <w:r>
        <w:rPr>
          <w:rFonts w:ascii="Times New Roman" w:hAnsi="Times New Roman"/>
          <w:noProof/>
          <w:kern w:val="32"/>
          <w:sz w:val="24"/>
          <w:szCs w:val="24"/>
        </w:rPr>
        <w:t>on the employment in agriculture and forestry as positive.</w:t>
      </w:r>
      <w:r>
        <w:rPr>
          <w:rFonts w:ascii="Times New Roman" w:hAnsi="Times New Roman"/>
          <w:noProof/>
          <w:sz w:val="24"/>
          <w:szCs w:val="24"/>
          <w:lang w:eastAsia="en-US"/>
        </w:rPr>
        <w:t xml:space="preserve"> When looking at </w:t>
      </w:r>
      <w:r>
        <w:rPr>
          <w:rFonts w:ascii="Times New Roman" w:hAnsi="Times New Roman"/>
          <w:noProof/>
          <w:sz w:val="24"/>
          <w:szCs w:val="24"/>
          <w:u w:val="single"/>
          <w:lang w:eastAsia="en-US"/>
        </w:rPr>
        <w:t xml:space="preserve">all </w:t>
      </w:r>
      <w:r>
        <w:rPr>
          <w:rFonts w:ascii="Times New Roman" w:hAnsi="Times New Roman"/>
          <w:noProof/>
          <w:sz w:val="24"/>
          <w:szCs w:val="24"/>
          <w:u w:val="single"/>
          <w:lang w:eastAsia="en-US"/>
        </w:rPr>
        <w:t>regions</w:t>
      </w:r>
      <w:r>
        <w:rPr>
          <w:rStyle w:val="FootnoteReference"/>
          <w:rFonts w:ascii="Times New Roman" w:hAnsi="Times New Roman"/>
          <w:noProof/>
          <w:sz w:val="24"/>
          <w:szCs w:val="24"/>
          <w:u w:val="single"/>
          <w:lang w:eastAsia="en-US"/>
        </w:rPr>
        <w:footnoteReference w:id="14"/>
      </w:r>
      <w:r>
        <w:rPr>
          <w:rFonts w:ascii="Times New Roman" w:hAnsi="Times New Roman"/>
          <w:noProof/>
          <w:sz w:val="24"/>
          <w:szCs w:val="24"/>
          <w:lang w:eastAsia="en-US"/>
        </w:rPr>
        <w:t xml:space="preserve">, four experts judged the effects as strongly </w:t>
      </w:r>
      <w:r>
        <w:rPr>
          <w:rFonts w:ascii="Times New Roman" w:hAnsi="Times New Roman"/>
          <w:noProof/>
          <w:sz w:val="24"/>
          <w:szCs w:val="24"/>
        </w:rPr>
        <w:t xml:space="preserve">advantageous and ten as weakly advantageous. </w:t>
      </w:r>
    </w:p>
    <w:p w:rsidR="00AB50C5" w:rsidRDefault="00724275">
      <w:pPr>
        <w:pStyle w:val="Caption"/>
        <w:rPr>
          <w:noProof/>
          <w:szCs w:val="22"/>
        </w:rPr>
      </w:pPr>
      <w:bookmarkStart w:id="240" w:name="_Toc484768776"/>
      <w:r>
        <w:rPr>
          <w:noProof/>
        </w:rPr>
        <w:t xml:space="preserve">Figure </w:t>
      </w:r>
      <w:r>
        <w:rPr>
          <w:noProof/>
        </w:rPr>
        <w:fldChar w:fldCharType="begin"/>
      </w:r>
      <w:r>
        <w:rPr>
          <w:noProof/>
        </w:rPr>
        <w:instrText xml:space="preserve"> STYLEREF 1 \s </w:instrText>
      </w:r>
      <w:r>
        <w:rPr>
          <w:noProof/>
        </w:rPr>
        <w:fldChar w:fldCharType="separate"/>
      </w:r>
      <w:r>
        <w:rPr>
          <w:noProof/>
        </w:rPr>
        <w:t>5</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Pr>
          <w:noProof/>
        </w:rPr>
        <w:t>1</w:t>
      </w:r>
      <w:r>
        <w:rPr>
          <w:noProof/>
        </w:rPr>
        <w:fldChar w:fldCharType="end"/>
      </w:r>
      <w:r>
        <w:rPr>
          <w:noProof/>
        </w:rPr>
        <w:t xml:space="preserve">: </w:t>
      </w:r>
      <w:r>
        <w:rPr>
          <w:noProof/>
          <w:szCs w:val="22"/>
        </w:rPr>
        <w:t xml:space="preserve">Workshop findings: Expert judgement: Effect of the development of minimum </w:t>
      </w:r>
      <w:r>
        <w:rPr>
          <w:noProof/>
          <w:lang w:eastAsia="de-AT"/>
        </w:rPr>
        <w:t>quality requirements f</w:t>
      </w:r>
      <w:r>
        <w:rPr>
          <w:noProof/>
          <w:lang w:eastAsia="de-AT"/>
        </w:rPr>
        <w:t>or reused water in agricultural irrigation and aquifer recharge</w:t>
      </w:r>
      <w:r>
        <w:rPr>
          <w:noProof/>
        </w:rPr>
        <w:t xml:space="preserve"> </w:t>
      </w:r>
      <w:r>
        <w:rPr>
          <w:noProof/>
          <w:szCs w:val="22"/>
        </w:rPr>
        <w:t>on employment in agriculture and forestry</w:t>
      </w:r>
      <w:bookmarkEnd w:id="240"/>
    </w:p>
    <w:p w:rsidR="00AB50C5" w:rsidRDefault="00724275">
      <w:pPr>
        <w:pStyle w:val="Abbildung"/>
        <w:rPr>
          <w:lang w:eastAsia="en-US"/>
        </w:rPr>
      </w:pPr>
      <w:r>
        <w:rPr>
          <w:lang w:eastAsia="en-GB"/>
        </w:rPr>
        <w:drawing>
          <wp:inline distT="0" distB="0" distL="0" distR="0" wp14:anchorId="730A5470" wp14:editId="6E564AF0">
            <wp:extent cx="5220335" cy="2427274"/>
            <wp:effectExtent l="19050" t="0" r="0" b="0"/>
            <wp:docPr id="35934"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0" y="0"/>
                      <a:ext cx="5220335" cy="2427274"/>
                    </a:xfrm>
                    <a:prstGeom prst="rect">
                      <a:avLst/>
                    </a:prstGeom>
                    <a:noFill/>
                    <a:ln w="9525">
                      <a:noFill/>
                      <a:miter lim="800000"/>
                      <a:headEnd/>
                      <a:tailEnd/>
                    </a:ln>
                  </pic:spPr>
                </pic:pic>
              </a:graphicData>
            </a:graphic>
          </wp:inline>
        </w:drawing>
      </w:r>
    </w:p>
    <w:p w:rsidR="00AB50C5" w:rsidRDefault="00724275">
      <w:pPr>
        <w:pStyle w:val="Quelle"/>
        <w:rPr>
          <w:noProof/>
        </w:rPr>
      </w:pPr>
      <w:r>
        <w:rPr>
          <w:noProof/>
        </w:rPr>
        <w:t>Source: Territorial impact assessment expert workshop, Brussels, 5 April 2017</w:t>
      </w:r>
    </w:p>
    <w:p w:rsidR="00AB50C5" w:rsidRDefault="00724275">
      <w:pPr>
        <w:pStyle w:val="EText"/>
        <w:spacing w:line="240" w:lineRule="auto"/>
        <w:rPr>
          <w:rFonts w:ascii="Times New Roman" w:hAnsi="Times New Roman"/>
          <w:noProof/>
          <w:sz w:val="24"/>
          <w:szCs w:val="24"/>
        </w:rPr>
      </w:pPr>
      <w:r>
        <w:rPr>
          <w:rFonts w:ascii="Times New Roman" w:hAnsi="Times New Roman"/>
          <w:noProof/>
          <w:sz w:val="24"/>
          <w:szCs w:val="24"/>
        </w:rPr>
        <w:t>When focusing the judgement on rural regions a majority of eleven expe</w:t>
      </w:r>
      <w:r>
        <w:rPr>
          <w:rFonts w:ascii="Times New Roman" w:hAnsi="Times New Roman"/>
          <w:noProof/>
          <w:sz w:val="24"/>
          <w:szCs w:val="24"/>
        </w:rPr>
        <w:t xml:space="preserve">rts judged the effects of this initiative as strongly advantageous and additionally ten experts judged them as weakly advantageous. </w:t>
      </w:r>
    </w:p>
    <w:p w:rsidR="00AB50C5" w:rsidRDefault="00724275">
      <w:pPr>
        <w:pStyle w:val="Caption"/>
        <w:rPr>
          <w:noProof/>
          <w:szCs w:val="22"/>
        </w:rPr>
      </w:pPr>
      <w:bookmarkStart w:id="241" w:name="_Toc484768777"/>
      <w:r>
        <w:rPr>
          <w:noProof/>
        </w:rPr>
        <w:t xml:space="preserve">Figure </w:t>
      </w:r>
      <w:r>
        <w:rPr>
          <w:noProof/>
        </w:rPr>
        <w:fldChar w:fldCharType="begin"/>
      </w:r>
      <w:r>
        <w:rPr>
          <w:noProof/>
        </w:rPr>
        <w:instrText xml:space="preserve"> STYLEREF 1 \s </w:instrText>
      </w:r>
      <w:r>
        <w:rPr>
          <w:noProof/>
        </w:rPr>
        <w:fldChar w:fldCharType="separate"/>
      </w:r>
      <w:r>
        <w:rPr>
          <w:noProof/>
        </w:rPr>
        <w:t>5</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Pr>
          <w:noProof/>
        </w:rPr>
        <w:t>2</w:t>
      </w:r>
      <w:r>
        <w:rPr>
          <w:noProof/>
        </w:rPr>
        <w:fldChar w:fldCharType="end"/>
      </w:r>
      <w:r>
        <w:rPr>
          <w:noProof/>
        </w:rPr>
        <w:t xml:space="preserve">: </w:t>
      </w:r>
      <w:r>
        <w:rPr>
          <w:noProof/>
          <w:szCs w:val="22"/>
        </w:rPr>
        <w:t xml:space="preserve">Workshop findings: Expert judgement: Effect of the development </w:t>
      </w:r>
      <w:r>
        <w:rPr>
          <w:noProof/>
          <w:szCs w:val="22"/>
        </w:rPr>
        <w:t xml:space="preserve">of minimum </w:t>
      </w:r>
      <w:r>
        <w:rPr>
          <w:noProof/>
          <w:lang w:eastAsia="de-AT"/>
        </w:rPr>
        <w:t>quality requirements for reused water in agricultural irrigation and aquifer recharge</w:t>
      </w:r>
      <w:r>
        <w:rPr>
          <w:noProof/>
        </w:rPr>
        <w:t xml:space="preserve"> </w:t>
      </w:r>
      <w:r>
        <w:rPr>
          <w:noProof/>
          <w:szCs w:val="22"/>
        </w:rPr>
        <w:t>on employment in agriculture and forestry in rural regions</w:t>
      </w:r>
      <w:bookmarkEnd w:id="241"/>
    </w:p>
    <w:p w:rsidR="00AB50C5" w:rsidRDefault="00724275">
      <w:pPr>
        <w:pStyle w:val="Abbildung"/>
        <w:rPr>
          <w:lang w:eastAsia="en-US"/>
        </w:rPr>
      </w:pPr>
      <w:r>
        <w:rPr>
          <w:lang w:eastAsia="en-GB"/>
        </w:rPr>
        <w:drawing>
          <wp:inline distT="0" distB="0" distL="0" distR="0" wp14:anchorId="7F85DBEF" wp14:editId="4D535EAD">
            <wp:extent cx="5220335" cy="2427274"/>
            <wp:effectExtent l="19050" t="0" r="0" b="0"/>
            <wp:docPr id="35935"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5220335" cy="2427274"/>
                    </a:xfrm>
                    <a:prstGeom prst="rect">
                      <a:avLst/>
                    </a:prstGeom>
                    <a:noFill/>
                    <a:ln w="9525">
                      <a:noFill/>
                      <a:miter lim="800000"/>
                      <a:headEnd/>
                      <a:tailEnd/>
                    </a:ln>
                  </pic:spPr>
                </pic:pic>
              </a:graphicData>
            </a:graphic>
          </wp:inline>
        </w:drawing>
      </w:r>
    </w:p>
    <w:p w:rsidR="00AB50C5" w:rsidRDefault="00724275">
      <w:pPr>
        <w:pStyle w:val="Quelle"/>
        <w:rPr>
          <w:noProof/>
        </w:rPr>
      </w:pPr>
      <w:r>
        <w:rPr>
          <w:noProof/>
        </w:rPr>
        <w:t>Source: Territorial impact assessment expert workshop, Brussels, 5 April 2017</w:t>
      </w:r>
    </w:p>
    <w:p w:rsidR="00AB50C5" w:rsidRDefault="00724275">
      <w:pPr>
        <w:spacing w:line="240" w:lineRule="auto"/>
        <w:jc w:val="both"/>
        <w:rPr>
          <w:rFonts w:ascii="Times New Roman" w:hAnsi="Times New Roman" w:cs="Times New Roman"/>
          <w:noProof/>
          <w:sz w:val="24"/>
          <w:szCs w:val="24"/>
          <w:lang w:eastAsia="fr-BE"/>
        </w:rPr>
      </w:pPr>
      <w:r>
        <w:rPr>
          <w:rFonts w:ascii="Times New Roman" w:hAnsi="Times New Roman" w:cs="Times New Roman"/>
          <w:noProof/>
          <w:sz w:val="24"/>
          <w:szCs w:val="24"/>
        </w:rPr>
        <w:t xml:space="preserve">The sensitivity of </w:t>
      </w:r>
      <w:r>
        <w:rPr>
          <w:rFonts w:ascii="Times New Roman" w:hAnsi="Times New Roman" w:cs="Times New Roman"/>
          <w:noProof/>
          <w:sz w:val="24"/>
          <w:szCs w:val="24"/>
        </w:rPr>
        <w:t>the regions related to agriculture and forestry</w:t>
      </w:r>
      <w:r>
        <w:rPr>
          <w:rFonts w:ascii="Times New Roman" w:hAnsi="Times New Roman" w:cs="Times New Roman"/>
          <w:noProof/>
          <w:sz w:val="24"/>
          <w:szCs w:val="24"/>
          <w:lang w:eastAsia="fr-BE"/>
        </w:rPr>
        <w:t xml:space="preserve"> </w:t>
      </w:r>
      <w:r>
        <w:rPr>
          <w:rFonts w:ascii="Times New Roman" w:hAnsi="Times New Roman" w:cs="Times New Roman"/>
          <w:noProof/>
          <w:sz w:val="24"/>
          <w:szCs w:val="24"/>
        </w:rPr>
        <w:t>is measured by the indicator “share of employment” in these sectors</w:t>
      </w:r>
      <w:r>
        <w:rPr>
          <w:rFonts w:ascii="Times New Roman" w:hAnsi="Times New Roman" w:cs="Times New Roman"/>
          <w:noProof/>
          <w:sz w:val="24"/>
          <w:szCs w:val="24"/>
          <w:lang w:eastAsia="fr-BE"/>
        </w:rPr>
        <w:t xml:space="preserve">. Regions with a greater share of employment in </w:t>
      </w:r>
      <w:r>
        <w:rPr>
          <w:rFonts w:ascii="Times New Roman" w:hAnsi="Times New Roman" w:cs="Times New Roman"/>
          <w:noProof/>
          <w:sz w:val="24"/>
          <w:szCs w:val="24"/>
        </w:rPr>
        <w:t>agriculture and forestry</w:t>
      </w:r>
      <w:r>
        <w:rPr>
          <w:rFonts w:ascii="Times New Roman" w:hAnsi="Times New Roman" w:cs="Times New Roman"/>
          <w:noProof/>
          <w:sz w:val="24"/>
          <w:szCs w:val="24"/>
          <w:lang w:eastAsia="fr-BE"/>
        </w:rPr>
        <w:t xml:space="preserve"> are likely to be more affected from changes in the level of employme</w:t>
      </w:r>
      <w:r>
        <w:rPr>
          <w:rFonts w:ascii="Times New Roman" w:hAnsi="Times New Roman" w:cs="Times New Roman"/>
          <w:noProof/>
          <w:sz w:val="24"/>
          <w:szCs w:val="24"/>
          <w:lang w:eastAsia="fr-BE"/>
        </w:rPr>
        <w:t xml:space="preserve">nt in this sector induced by the Commission initiative. </w:t>
      </w:r>
    </w:p>
    <w:p w:rsidR="00AB50C5" w:rsidRDefault="0072427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following maps show the potential territorial impact of setting</w:t>
      </w:r>
      <w:r>
        <w:rPr>
          <w:rFonts w:ascii="Times New Roman" w:hAnsi="Times New Roman" w:cs="Times New Roman"/>
          <w:noProof/>
          <w:kern w:val="32"/>
          <w:sz w:val="24"/>
          <w:szCs w:val="24"/>
        </w:rPr>
        <w:t xml:space="preserve"> </w:t>
      </w:r>
      <w:r>
        <w:rPr>
          <w:rFonts w:ascii="Times New Roman" w:hAnsi="Times New Roman" w:cs="Times New Roman"/>
          <w:noProof/>
          <w:sz w:val="24"/>
          <w:szCs w:val="24"/>
          <w:lang w:eastAsia="de-AT"/>
        </w:rPr>
        <w:t xml:space="preserve">minimum quality requirements for reused water in agricultural irrigation and aquifer recharge on the </w:t>
      </w:r>
      <w:r>
        <w:rPr>
          <w:rFonts w:ascii="Times New Roman" w:hAnsi="Times New Roman" w:cs="Times New Roman"/>
          <w:noProof/>
          <w:sz w:val="24"/>
          <w:szCs w:val="24"/>
          <w:lang w:eastAsia="fr-BE"/>
        </w:rPr>
        <w:t xml:space="preserve">employment in </w:t>
      </w:r>
      <w:r>
        <w:rPr>
          <w:rFonts w:ascii="Times New Roman" w:hAnsi="Times New Roman" w:cs="Times New Roman"/>
          <w:noProof/>
          <w:sz w:val="24"/>
          <w:szCs w:val="24"/>
        </w:rPr>
        <w:t xml:space="preserve">agriculture and </w:t>
      </w:r>
      <w:r>
        <w:rPr>
          <w:rFonts w:ascii="Times New Roman" w:hAnsi="Times New Roman" w:cs="Times New Roman"/>
          <w:noProof/>
          <w:sz w:val="24"/>
          <w:szCs w:val="24"/>
        </w:rPr>
        <w:t xml:space="preserve">forestry by combining the expert judgement with the sensitivity. </w:t>
      </w:r>
    </w:p>
    <w:p w:rsidR="00AB50C5" w:rsidRDefault="00724275">
      <w:pPr>
        <w:pStyle w:val="Caption"/>
        <w:rPr>
          <w:noProof/>
        </w:rPr>
      </w:pPr>
      <w:bookmarkStart w:id="242" w:name="_Toc484768790"/>
      <w:r>
        <w:rPr>
          <w:noProof/>
        </w:rPr>
        <w:br w:type="page"/>
      </w:r>
    </w:p>
    <w:p w:rsidR="00AB50C5" w:rsidRDefault="00724275">
      <w:pPr>
        <w:pStyle w:val="Caption"/>
        <w:rPr>
          <w:noProof/>
        </w:rPr>
      </w:pPr>
      <w:r>
        <w:rPr>
          <w:noProof/>
        </w:rPr>
        <w:t xml:space="preserve">Map </w:t>
      </w:r>
      <w:r>
        <w:rPr>
          <w:noProof/>
        </w:rPr>
        <w:fldChar w:fldCharType="begin"/>
      </w:r>
      <w:r>
        <w:rPr>
          <w:noProof/>
        </w:rPr>
        <w:instrText xml:space="preserve"> STYLEREF 1 \s </w:instrText>
      </w:r>
      <w:r>
        <w:rPr>
          <w:noProof/>
        </w:rPr>
        <w:fldChar w:fldCharType="separate"/>
      </w:r>
      <w:r>
        <w:rPr>
          <w:noProof/>
        </w:rPr>
        <w:t>5</w:t>
      </w:r>
      <w:r>
        <w:rPr>
          <w:noProof/>
        </w:rPr>
        <w:fldChar w:fldCharType="end"/>
      </w:r>
      <w:r>
        <w:rPr>
          <w:noProof/>
        </w:rPr>
        <w:t>.</w:t>
      </w:r>
      <w:r>
        <w:rPr>
          <w:noProof/>
        </w:rPr>
        <w:fldChar w:fldCharType="begin"/>
      </w:r>
      <w:r>
        <w:rPr>
          <w:noProof/>
        </w:rPr>
        <w:instrText xml:space="preserve"> SEQ Map \* ARABIC \s 1 </w:instrText>
      </w:r>
      <w:r>
        <w:rPr>
          <w:noProof/>
        </w:rPr>
        <w:fldChar w:fldCharType="separate"/>
      </w:r>
      <w:r>
        <w:rPr>
          <w:noProof/>
        </w:rPr>
        <w:t>1</w:t>
      </w:r>
      <w:r>
        <w:rPr>
          <w:noProof/>
        </w:rPr>
        <w:fldChar w:fldCharType="end"/>
      </w:r>
      <w:r>
        <w:rPr>
          <w:noProof/>
        </w:rPr>
        <w:t xml:space="preserve">: Result of the expert judgement: Employment in agriculture and forestry affected by the </w:t>
      </w:r>
      <w:r>
        <w:rPr>
          <w:noProof/>
          <w:lang w:eastAsia="de-AT"/>
        </w:rPr>
        <w:t>development of minimum quality requirements for</w:t>
      </w:r>
      <w:r>
        <w:rPr>
          <w:noProof/>
          <w:lang w:eastAsia="de-AT"/>
        </w:rPr>
        <w:t xml:space="preserve"> reused water in agricultural irrigation and aquifer recharge</w:t>
      </w:r>
      <w:r>
        <w:rPr>
          <w:noProof/>
        </w:rPr>
        <w:t xml:space="preserve"> – expert judgement: weak advantageous effect</w:t>
      </w:r>
      <w:bookmarkEnd w:id="242"/>
    </w:p>
    <w:p w:rsidR="00AB50C5" w:rsidRDefault="00724275">
      <w:pPr>
        <w:pStyle w:val="Abbildung"/>
      </w:pPr>
      <w:r>
        <w:rPr>
          <w:lang w:eastAsia="en-GB"/>
        </w:rPr>
        <w:drawing>
          <wp:inline distT="0" distB="0" distL="0" distR="0" wp14:anchorId="1264009F" wp14:editId="21788B36">
            <wp:extent cx="5256000" cy="5392800"/>
            <wp:effectExtent l="0" t="0" r="1905" b="0"/>
            <wp:docPr id="35936"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4" cstate="email">
                      <a:extLst>
                        <a:ext uri="{28A0092B-C50C-407E-A947-70E740481C1C}">
                          <a14:useLocalDpi xmlns:a14="http://schemas.microsoft.com/office/drawing/2010/main"/>
                        </a:ext>
                      </a:extLst>
                    </a:blip>
                    <a:srcRect/>
                    <a:stretch/>
                  </pic:blipFill>
                  <pic:spPr bwMode="auto">
                    <a:xfrm>
                      <a:off x="0" y="0"/>
                      <a:ext cx="5256000" cy="5392800"/>
                    </a:xfrm>
                    <a:prstGeom prst="rect">
                      <a:avLst/>
                    </a:prstGeom>
                    <a:ln>
                      <a:noFill/>
                    </a:ln>
                    <a:extLst>
                      <a:ext uri="{53640926-AAD7-44D8-BBD7-CCE9431645EC}">
                        <a14:shadowObscured xmlns:a14="http://schemas.microsoft.com/office/drawing/2010/main"/>
                      </a:ext>
                    </a:extLst>
                  </pic:spPr>
                </pic:pic>
              </a:graphicData>
            </a:graphic>
          </wp:inline>
        </w:drawing>
      </w:r>
    </w:p>
    <w:p w:rsidR="00AB50C5" w:rsidRDefault="00724275">
      <w:pPr>
        <w:pStyle w:val="Quelle"/>
        <w:rPr>
          <w:noProof/>
        </w:rPr>
      </w:pPr>
      <w:r>
        <w:rPr>
          <w:noProof/>
        </w:rPr>
        <w:t>Source: Territorial impact assessment expert workshop, Brussels, 5 April 2017</w:t>
      </w:r>
    </w:p>
    <w:p w:rsidR="00AB50C5" w:rsidRDefault="00724275">
      <w:pPr>
        <w:spacing w:line="240" w:lineRule="auto"/>
        <w:jc w:val="both"/>
        <w:rPr>
          <w:rFonts w:ascii="Times New Roman" w:hAnsi="Times New Roman" w:cs="Times New Roman"/>
          <w:noProof/>
          <w:sz w:val="24"/>
          <w:szCs w:val="24"/>
          <w:u w:val="single"/>
        </w:rPr>
      </w:pPr>
      <w:r>
        <w:rPr>
          <w:rFonts w:ascii="Times New Roman" w:hAnsi="Times New Roman" w:cs="Times New Roman"/>
          <w:noProof/>
          <w:sz w:val="24"/>
          <w:szCs w:val="24"/>
        </w:rPr>
        <w:t>Taking into account the effects on all regions the majority of the ex</w:t>
      </w:r>
      <w:r>
        <w:rPr>
          <w:rFonts w:ascii="Times New Roman" w:hAnsi="Times New Roman" w:cs="Times New Roman"/>
          <w:noProof/>
          <w:sz w:val="24"/>
          <w:szCs w:val="24"/>
        </w:rPr>
        <w:t xml:space="preserve">perts presumes a </w:t>
      </w:r>
      <w:r>
        <w:rPr>
          <w:rFonts w:ascii="Times New Roman" w:hAnsi="Times New Roman" w:cs="Times New Roman"/>
          <w:noProof/>
          <w:sz w:val="24"/>
          <w:szCs w:val="24"/>
          <w:u w:val="single"/>
        </w:rPr>
        <w:t>weakly advantageous effect.</w:t>
      </w:r>
      <w:r>
        <w:rPr>
          <w:rFonts w:ascii="Times New Roman" w:hAnsi="Times New Roman" w:cs="Times New Roman"/>
          <w:noProof/>
          <w:sz w:val="24"/>
          <w:szCs w:val="24"/>
        </w:rPr>
        <w:t xml:space="preserve"> This would lead to minor positive impacts on most regions. </w:t>
      </w:r>
      <w:r>
        <w:rPr>
          <w:rFonts w:ascii="Times New Roman" w:hAnsi="Times New Roman" w:cs="Times New Roman"/>
          <w:noProof/>
          <w:sz w:val="24"/>
          <w:szCs w:val="24"/>
          <w:u w:val="single"/>
        </w:rPr>
        <w:t xml:space="preserve">Regions in the North and the South of Romania could gain a moderate positive impact if they can use the new options for reusing waste water </w:t>
      </w:r>
    </w:p>
    <w:p w:rsidR="00AB50C5" w:rsidRDefault="00724275">
      <w:pPr>
        <w:pStyle w:val="Caption"/>
        <w:rPr>
          <w:noProof/>
        </w:rPr>
      </w:pPr>
      <w:bookmarkStart w:id="243" w:name="_Toc484768791"/>
      <w:r>
        <w:rPr>
          <w:noProof/>
        </w:rPr>
        <w:br w:type="page"/>
      </w:r>
    </w:p>
    <w:p w:rsidR="00AB50C5" w:rsidRDefault="00724275">
      <w:pPr>
        <w:pStyle w:val="Caption"/>
        <w:rPr>
          <w:noProof/>
        </w:rPr>
      </w:pPr>
      <w:r>
        <w:rPr>
          <w:noProof/>
        </w:rPr>
        <w:t xml:space="preserve">Map </w:t>
      </w:r>
      <w:r>
        <w:rPr>
          <w:noProof/>
        </w:rPr>
        <w:fldChar w:fldCharType="begin"/>
      </w:r>
      <w:r>
        <w:rPr>
          <w:noProof/>
        </w:rPr>
        <w:instrText xml:space="preserve"> STYLEREF 1 \s </w:instrText>
      </w:r>
      <w:r>
        <w:rPr>
          <w:noProof/>
        </w:rPr>
        <w:fldChar w:fldCharType="separate"/>
      </w:r>
      <w:r>
        <w:rPr>
          <w:noProof/>
        </w:rPr>
        <w:t>5</w:t>
      </w:r>
      <w:r>
        <w:rPr>
          <w:noProof/>
        </w:rPr>
        <w:fldChar w:fldCharType="end"/>
      </w:r>
      <w:r>
        <w:rPr>
          <w:noProof/>
        </w:rPr>
        <w:t>.</w:t>
      </w:r>
      <w:r>
        <w:rPr>
          <w:noProof/>
        </w:rPr>
        <w:fldChar w:fldCharType="begin"/>
      </w:r>
      <w:r>
        <w:rPr>
          <w:noProof/>
        </w:rPr>
        <w:instrText xml:space="preserve"> SEQ Map \* ARABIC \s 1 </w:instrText>
      </w:r>
      <w:r>
        <w:rPr>
          <w:noProof/>
        </w:rPr>
        <w:fldChar w:fldCharType="separate"/>
      </w:r>
      <w:r>
        <w:rPr>
          <w:noProof/>
        </w:rPr>
        <w:t>2</w:t>
      </w:r>
      <w:r>
        <w:rPr>
          <w:noProof/>
        </w:rPr>
        <w:fldChar w:fldCharType="end"/>
      </w:r>
      <w:r>
        <w:rPr>
          <w:noProof/>
        </w:rPr>
        <w:t xml:space="preserve">: Result of the expert judgement: Employment in agriculture and forestry in rural regions affected by the </w:t>
      </w:r>
      <w:r>
        <w:rPr>
          <w:noProof/>
          <w:lang w:eastAsia="de-AT"/>
        </w:rPr>
        <w:t>development of minimum quality requirements for reused water in agricultural irrigation and aquifer re</w:t>
      </w:r>
      <w:r>
        <w:rPr>
          <w:noProof/>
          <w:lang w:eastAsia="de-AT"/>
        </w:rPr>
        <w:t>charge</w:t>
      </w:r>
      <w:r>
        <w:rPr>
          <w:noProof/>
        </w:rPr>
        <w:t xml:space="preserve"> – expert judgement: strong advantageous effect</w:t>
      </w:r>
      <w:bookmarkEnd w:id="243"/>
    </w:p>
    <w:p w:rsidR="00AB50C5" w:rsidRDefault="00724275">
      <w:pPr>
        <w:pStyle w:val="Abbildung"/>
      </w:pPr>
      <w:r>
        <w:rPr>
          <w:lang w:eastAsia="en-GB"/>
        </w:rPr>
        <w:drawing>
          <wp:inline distT="0" distB="0" distL="0" distR="0" wp14:anchorId="288159FB" wp14:editId="0565B0FA">
            <wp:extent cx="5256000" cy="5392800"/>
            <wp:effectExtent l="0" t="0" r="1905" b="0"/>
            <wp:docPr id="3593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5" cstate="email">
                      <a:extLst>
                        <a:ext uri="{28A0092B-C50C-407E-A947-70E740481C1C}">
                          <a14:useLocalDpi xmlns:a14="http://schemas.microsoft.com/office/drawing/2010/main"/>
                        </a:ext>
                      </a:extLst>
                    </a:blip>
                    <a:srcRect/>
                    <a:stretch/>
                  </pic:blipFill>
                  <pic:spPr bwMode="auto">
                    <a:xfrm>
                      <a:off x="0" y="0"/>
                      <a:ext cx="5256000" cy="5392800"/>
                    </a:xfrm>
                    <a:prstGeom prst="rect">
                      <a:avLst/>
                    </a:prstGeom>
                    <a:ln>
                      <a:noFill/>
                    </a:ln>
                    <a:extLst>
                      <a:ext uri="{53640926-AAD7-44D8-BBD7-CCE9431645EC}">
                        <a14:shadowObscured xmlns:a14="http://schemas.microsoft.com/office/drawing/2010/main"/>
                      </a:ext>
                    </a:extLst>
                  </pic:spPr>
                </pic:pic>
              </a:graphicData>
            </a:graphic>
          </wp:inline>
        </w:drawing>
      </w:r>
    </w:p>
    <w:p w:rsidR="00AB50C5" w:rsidRDefault="00724275">
      <w:pPr>
        <w:pStyle w:val="Quelle"/>
        <w:rPr>
          <w:noProof/>
        </w:rPr>
      </w:pPr>
      <w:r>
        <w:rPr>
          <w:noProof/>
        </w:rPr>
        <w:t>Source: Territorial impact assessment expert workshop, Brussels, 5 April 2017</w:t>
      </w:r>
    </w:p>
    <w:p w:rsidR="00AB50C5" w:rsidRDefault="00724275">
      <w:pPr>
        <w:spacing w:line="240" w:lineRule="auto"/>
        <w:jc w:val="both"/>
        <w:rPr>
          <w:rFonts w:ascii="Times New Roman" w:hAnsi="Times New Roman" w:cs="Times New Roman"/>
          <w:noProof/>
          <w:sz w:val="24"/>
          <w:szCs w:val="24"/>
          <w:u w:val="single"/>
        </w:rPr>
      </w:pPr>
      <w:r>
        <w:rPr>
          <w:rFonts w:ascii="Times New Roman" w:hAnsi="Times New Roman" w:cs="Times New Roman"/>
          <w:noProof/>
          <w:sz w:val="24"/>
          <w:szCs w:val="24"/>
        </w:rPr>
        <w:t xml:space="preserve">Focusing on </w:t>
      </w:r>
      <w:r>
        <w:rPr>
          <w:rFonts w:ascii="Times New Roman" w:hAnsi="Times New Roman" w:cs="Times New Roman"/>
          <w:noProof/>
          <w:sz w:val="24"/>
          <w:szCs w:val="24"/>
          <w:u w:val="single"/>
        </w:rPr>
        <w:t>rural regions</w:t>
      </w:r>
      <w:r>
        <w:rPr>
          <w:rFonts w:ascii="Times New Roman" w:hAnsi="Times New Roman" w:cs="Times New Roman"/>
          <w:noProof/>
          <w:sz w:val="24"/>
          <w:szCs w:val="24"/>
        </w:rPr>
        <w:t xml:space="preserve"> the majority of the experts voted for a </w:t>
      </w:r>
      <w:r>
        <w:rPr>
          <w:rFonts w:ascii="Times New Roman" w:hAnsi="Times New Roman" w:cs="Times New Roman"/>
          <w:noProof/>
          <w:sz w:val="24"/>
          <w:szCs w:val="24"/>
          <w:u w:val="single"/>
        </w:rPr>
        <w:t>strongly advantageous effect</w:t>
      </w:r>
      <w:r>
        <w:rPr>
          <w:rFonts w:ascii="Times New Roman" w:hAnsi="Times New Roman" w:cs="Times New Roman"/>
          <w:noProof/>
          <w:sz w:val="24"/>
          <w:szCs w:val="24"/>
        </w:rPr>
        <w:t xml:space="preserve">. If they can use the new options for reusing waste water regions as enabled by the proposal of DG ENV to improve agricultural land use, </w:t>
      </w:r>
      <w:r>
        <w:rPr>
          <w:rFonts w:ascii="Times New Roman" w:hAnsi="Times New Roman" w:cs="Times New Roman"/>
          <w:noProof/>
          <w:sz w:val="24"/>
          <w:szCs w:val="24"/>
          <w:u w:val="single"/>
        </w:rPr>
        <w:t>several regions could potentially gain a high or very high positive impact, as e.g. in Lithuania, Finland, Poland, Roma</w:t>
      </w:r>
      <w:r>
        <w:rPr>
          <w:rFonts w:ascii="Times New Roman" w:hAnsi="Times New Roman" w:cs="Times New Roman"/>
          <w:noProof/>
          <w:sz w:val="24"/>
          <w:szCs w:val="24"/>
          <w:u w:val="single"/>
        </w:rPr>
        <w:t>nia, the South of Italy, Portugal and Spain.</w:t>
      </w:r>
    </w:p>
    <w:p w:rsidR="00AB50C5" w:rsidRDefault="00AB50C5">
      <w:pPr>
        <w:rPr>
          <w:noProof/>
        </w:rPr>
      </w:pPr>
    </w:p>
    <w:p w:rsidR="00AB50C5" w:rsidRDefault="00724275">
      <w:pPr>
        <w:pStyle w:val="Heading2"/>
        <w:numPr>
          <w:ilvl w:val="1"/>
          <w:numId w:val="133"/>
        </w:numPr>
        <w:spacing w:before="60" w:after="160"/>
        <w:ind w:left="578" w:hanging="578"/>
        <w:jc w:val="left"/>
        <w:rPr>
          <w:noProof/>
          <w:kern w:val="32"/>
        </w:rPr>
      </w:pPr>
      <w:bookmarkStart w:id="244" w:name="_Toc484768731"/>
      <w:bookmarkStart w:id="245" w:name="_Toc516234818"/>
      <w:r>
        <w:rPr>
          <w:noProof/>
          <w:kern w:val="32"/>
        </w:rPr>
        <w:t>The potential territorial impact based on out-migration/brain drain/“shrinking” of regions</w:t>
      </w:r>
      <w:bookmarkEnd w:id="244"/>
      <w:bookmarkEnd w:id="245"/>
      <w:r>
        <w:rPr>
          <w:noProof/>
          <w:kern w:val="32"/>
        </w:rPr>
        <w:t xml:space="preserve"> </w:t>
      </w:r>
    </w:p>
    <w:p w:rsidR="00AB50C5" w:rsidRDefault="00724275">
      <w:pPr>
        <w:pStyle w:val="EText"/>
        <w:spacing w:line="240" w:lineRule="auto"/>
        <w:rPr>
          <w:rFonts w:ascii="Times New Roman" w:hAnsi="Times New Roman"/>
          <w:noProof/>
          <w:sz w:val="24"/>
          <w:szCs w:val="24"/>
        </w:rPr>
      </w:pPr>
      <w:r>
        <w:rPr>
          <w:rFonts w:ascii="Times New Roman" w:hAnsi="Times New Roman"/>
          <w:noProof/>
          <w:sz w:val="24"/>
          <w:szCs w:val="24"/>
          <w:lang w:eastAsia="en-US"/>
        </w:rPr>
        <w:t>According to the experts’ opinion the improved possibilities for agriculture and related employment possibilities in a</w:t>
      </w:r>
      <w:r>
        <w:rPr>
          <w:rFonts w:ascii="Times New Roman" w:hAnsi="Times New Roman"/>
          <w:noProof/>
          <w:sz w:val="24"/>
          <w:szCs w:val="24"/>
          <w:lang w:eastAsia="en-US"/>
        </w:rPr>
        <w:t xml:space="preserve">griculture could reduce out-migration in currently shrinking regions. Twelve experts voted for </w:t>
      </w:r>
      <w:r>
        <w:rPr>
          <w:rFonts w:ascii="Times New Roman" w:hAnsi="Times New Roman"/>
          <w:noProof/>
          <w:sz w:val="24"/>
          <w:szCs w:val="24"/>
        </w:rPr>
        <w:t>a weakly advantageous effect in all regions and two experts voted even for a strongly advantageous effect. Focusing on rural regions</w:t>
      </w:r>
      <w:r>
        <w:rPr>
          <w:rStyle w:val="FootnoteReference"/>
          <w:rFonts w:ascii="Times New Roman" w:hAnsi="Times New Roman"/>
          <w:noProof/>
          <w:sz w:val="24"/>
          <w:szCs w:val="24"/>
        </w:rPr>
        <w:footnoteReference w:id="15"/>
      </w:r>
      <w:r>
        <w:rPr>
          <w:rFonts w:ascii="Times New Roman" w:hAnsi="Times New Roman"/>
          <w:noProof/>
          <w:sz w:val="24"/>
          <w:szCs w:val="24"/>
        </w:rPr>
        <w:t xml:space="preserve"> the effect was seen even mo</w:t>
      </w:r>
      <w:r>
        <w:rPr>
          <w:rFonts w:ascii="Times New Roman" w:hAnsi="Times New Roman"/>
          <w:noProof/>
          <w:sz w:val="24"/>
          <w:szCs w:val="24"/>
        </w:rPr>
        <w:t xml:space="preserve">re positively: Six experts voted for a strongly advantageous effect, four experts for a weakly advantageous effect. </w:t>
      </w:r>
      <w:r>
        <w:rPr>
          <w:rFonts w:ascii="Times New Roman" w:hAnsi="Times New Roman"/>
          <w:noProof/>
          <w:sz w:val="24"/>
          <w:szCs w:val="24"/>
          <w:lang w:eastAsia="en-US"/>
        </w:rPr>
        <w:t xml:space="preserve">However, a few participants saw a </w:t>
      </w:r>
      <w:r>
        <w:rPr>
          <w:rFonts w:ascii="Times New Roman" w:hAnsi="Times New Roman"/>
          <w:noProof/>
          <w:sz w:val="24"/>
          <w:szCs w:val="24"/>
        </w:rPr>
        <w:t xml:space="preserve">weakly disadvantageous </w:t>
      </w:r>
      <w:r>
        <w:rPr>
          <w:rFonts w:ascii="Times New Roman" w:hAnsi="Times New Roman"/>
          <w:noProof/>
          <w:sz w:val="24"/>
          <w:szCs w:val="24"/>
          <w:lang w:eastAsia="en-US"/>
        </w:rPr>
        <w:t xml:space="preserve">effect </w:t>
      </w:r>
      <w:r>
        <w:rPr>
          <w:rFonts w:ascii="Times New Roman" w:hAnsi="Times New Roman"/>
          <w:noProof/>
          <w:sz w:val="24"/>
          <w:szCs w:val="24"/>
        </w:rPr>
        <w:t xml:space="preserve">on out-migration. </w:t>
      </w:r>
    </w:p>
    <w:p w:rsidR="00AB50C5" w:rsidRDefault="00724275">
      <w:pPr>
        <w:pStyle w:val="Caption"/>
        <w:rPr>
          <w:noProof/>
          <w:szCs w:val="22"/>
        </w:rPr>
      </w:pPr>
      <w:bookmarkStart w:id="246" w:name="_Toc484768778"/>
      <w:r>
        <w:rPr>
          <w:noProof/>
        </w:rPr>
        <w:t xml:space="preserve">Figure </w:t>
      </w:r>
      <w:r>
        <w:rPr>
          <w:noProof/>
        </w:rPr>
        <w:fldChar w:fldCharType="begin"/>
      </w:r>
      <w:r>
        <w:rPr>
          <w:noProof/>
        </w:rPr>
        <w:instrText xml:space="preserve"> STYLEREF 1 \s </w:instrText>
      </w:r>
      <w:r>
        <w:rPr>
          <w:noProof/>
        </w:rPr>
        <w:fldChar w:fldCharType="separate"/>
      </w:r>
      <w:r>
        <w:rPr>
          <w:noProof/>
        </w:rPr>
        <w:t>5</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Pr>
          <w:noProof/>
        </w:rPr>
        <w:t>3</w:t>
      </w:r>
      <w:r>
        <w:rPr>
          <w:noProof/>
        </w:rPr>
        <w:fldChar w:fldCharType="end"/>
      </w:r>
      <w:r>
        <w:rPr>
          <w:noProof/>
        </w:rPr>
        <w:t xml:space="preserve">: </w:t>
      </w:r>
      <w:r>
        <w:rPr>
          <w:noProof/>
          <w:szCs w:val="22"/>
        </w:rPr>
        <w:t xml:space="preserve">Workshop findings: Expert judgement: Effect of the development of minimum </w:t>
      </w:r>
      <w:r>
        <w:rPr>
          <w:noProof/>
          <w:lang w:eastAsia="de-AT"/>
        </w:rPr>
        <w:t>quality requirements for reused water in agricultural irrigation and aquifer recharge</w:t>
      </w:r>
      <w:r>
        <w:rPr>
          <w:noProof/>
        </w:rPr>
        <w:t xml:space="preserve"> </w:t>
      </w:r>
      <w:r>
        <w:rPr>
          <w:noProof/>
          <w:szCs w:val="22"/>
        </w:rPr>
        <w:t>on out-migration/brain drain/“shrinking” of regions</w:t>
      </w:r>
      <w:bookmarkEnd w:id="246"/>
    </w:p>
    <w:p w:rsidR="00AB50C5" w:rsidRDefault="00724275">
      <w:pPr>
        <w:pStyle w:val="Abbildung"/>
        <w:rPr>
          <w:lang w:eastAsia="en-US"/>
        </w:rPr>
      </w:pPr>
      <w:r>
        <w:rPr>
          <w:lang w:eastAsia="en-GB"/>
        </w:rPr>
        <w:drawing>
          <wp:inline distT="0" distB="0" distL="0" distR="0" wp14:anchorId="2943228A" wp14:editId="0F90D90F">
            <wp:extent cx="5274310" cy="2452370"/>
            <wp:effectExtent l="19050" t="0" r="2540" b="0"/>
            <wp:docPr id="35938"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6" cstate="email">
                      <a:extLst>
                        <a:ext uri="{28A0092B-C50C-407E-A947-70E740481C1C}">
                          <a14:useLocalDpi xmlns:a14="http://schemas.microsoft.com/office/drawing/2010/main"/>
                        </a:ext>
                      </a:extLst>
                    </a:blip>
                    <a:srcRect/>
                    <a:stretch>
                      <a:fillRect/>
                    </a:stretch>
                  </pic:blipFill>
                  <pic:spPr bwMode="auto">
                    <a:xfrm>
                      <a:off x="0" y="0"/>
                      <a:ext cx="5274310" cy="2452370"/>
                    </a:xfrm>
                    <a:prstGeom prst="rect">
                      <a:avLst/>
                    </a:prstGeom>
                    <a:noFill/>
                    <a:ln w="9525">
                      <a:noFill/>
                      <a:miter lim="800000"/>
                      <a:headEnd/>
                      <a:tailEnd/>
                    </a:ln>
                  </pic:spPr>
                </pic:pic>
              </a:graphicData>
            </a:graphic>
          </wp:inline>
        </w:drawing>
      </w:r>
    </w:p>
    <w:p w:rsidR="00AB50C5" w:rsidRDefault="00724275">
      <w:pPr>
        <w:pStyle w:val="Quelle"/>
        <w:rPr>
          <w:noProof/>
        </w:rPr>
      </w:pPr>
      <w:r>
        <w:rPr>
          <w:noProof/>
        </w:rPr>
        <w:t>Source: Territorial impact assessment e</w:t>
      </w:r>
      <w:r>
        <w:rPr>
          <w:noProof/>
        </w:rPr>
        <w:t>xpert workshop, Brussels, 5 April 2017</w:t>
      </w:r>
    </w:p>
    <w:p w:rsidR="00AB50C5" w:rsidRDefault="00724275">
      <w:pPr>
        <w:pStyle w:val="Caption"/>
        <w:rPr>
          <w:noProof/>
          <w:szCs w:val="22"/>
        </w:rPr>
      </w:pPr>
      <w:bookmarkStart w:id="247" w:name="_Toc484768779"/>
      <w:r>
        <w:rPr>
          <w:noProof/>
        </w:rPr>
        <w:t xml:space="preserve">Figure </w:t>
      </w:r>
      <w:r>
        <w:rPr>
          <w:noProof/>
        </w:rPr>
        <w:fldChar w:fldCharType="begin"/>
      </w:r>
      <w:r>
        <w:rPr>
          <w:noProof/>
        </w:rPr>
        <w:instrText xml:space="preserve"> STYLEREF 1 \s </w:instrText>
      </w:r>
      <w:r>
        <w:rPr>
          <w:noProof/>
        </w:rPr>
        <w:fldChar w:fldCharType="separate"/>
      </w:r>
      <w:r>
        <w:rPr>
          <w:noProof/>
        </w:rPr>
        <w:t>5</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Pr>
          <w:noProof/>
        </w:rPr>
        <w:t>4</w:t>
      </w:r>
      <w:r>
        <w:rPr>
          <w:noProof/>
        </w:rPr>
        <w:fldChar w:fldCharType="end"/>
      </w:r>
      <w:r>
        <w:rPr>
          <w:noProof/>
        </w:rPr>
        <w:t xml:space="preserve">: </w:t>
      </w:r>
      <w:r>
        <w:rPr>
          <w:noProof/>
          <w:szCs w:val="22"/>
        </w:rPr>
        <w:t xml:space="preserve">Workshop findings: Expert judgement: Effect of the development of minimum </w:t>
      </w:r>
      <w:r>
        <w:rPr>
          <w:noProof/>
          <w:lang w:eastAsia="de-AT"/>
        </w:rPr>
        <w:t>quality requirements for reused water in agricultural irrigation and aquifer rechar</w:t>
      </w:r>
      <w:r>
        <w:rPr>
          <w:noProof/>
          <w:lang w:eastAsia="de-AT"/>
        </w:rPr>
        <w:t>ge</w:t>
      </w:r>
      <w:r>
        <w:rPr>
          <w:noProof/>
        </w:rPr>
        <w:t xml:space="preserve"> </w:t>
      </w:r>
      <w:r>
        <w:rPr>
          <w:noProof/>
          <w:szCs w:val="22"/>
        </w:rPr>
        <w:t>on out-migration/brain drain/“shrinking” of rural regions</w:t>
      </w:r>
      <w:bookmarkEnd w:id="247"/>
    </w:p>
    <w:p w:rsidR="00AB50C5" w:rsidRDefault="00724275">
      <w:pPr>
        <w:pStyle w:val="Abbildung"/>
        <w:rPr>
          <w:lang w:eastAsia="en-US"/>
        </w:rPr>
      </w:pPr>
      <w:r>
        <w:rPr>
          <w:lang w:eastAsia="en-GB"/>
        </w:rPr>
        <w:drawing>
          <wp:inline distT="0" distB="0" distL="0" distR="0" wp14:anchorId="42E3CE85" wp14:editId="38769564">
            <wp:extent cx="5274310" cy="2452370"/>
            <wp:effectExtent l="19050" t="0" r="2540" b="0"/>
            <wp:docPr id="35939"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7" cstate="email">
                      <a:extLst>
                        <a:ext uri="{28A0092B-C50C-407E-A947-70E740481C1C}">
                          <a14:useLocalDpi xmlns:a14="http://schemas.microsoft.com/office/drawing/2010/main"/>
                        </a:ext>
                      </a:extLst>
                    </a:blip>
                    <a:srcRect/>
                    <a:stretch>
                      <a:fillRect/>
                    </a:stretch>
                  </pic:blipFill>
                  <pic:spPr bwMode="auto">
                    <a:xfrm>
                      <a:off x="0" y="0"/>
                      <a:ext cx="5274310" cy="2452370"/>
                    </a:xfrm>
                    <a:prstGeom prst="rect">
                      <a:avLst/>
                    </a:prstGeom>
                    <a:noFill/>
                    <a:ln w="9525">
                      <a:noFill/>
                      <a:miter lim="800000"/>
                      <a:headEnd/>
                      <a:tailEnd/>
                    </a:ln>
                  </pic:spPr>
                </pic:pic>
              </a:graphicData>
            </a:graphic>
          </wp:inline>
        </w:drawing>
      </w:r>
    </w:p>
    <w:p w:rsidR="00AB50C5" w:rsidRDefault="00724275">
      <w:pPr>
        <w:pStyle w:val="Quelle"/>
        <w:rPr>
          <w:noProof/>
        </w:rPr>
      </w:pPr>
      <w:r>
        <w:rPr>
          <w:noProof/>
        </w:rPr>
        <w:t>Source: Territorial impact assessment expert workshop, Brussels, 5 April 2017</w:t>
      </w:r>
    </w:p>
    <w:p w:rsidR="00AB50C5" w:rsidRDefault="00724275">
      <w:pPr>
        <w:pStyle w:val="EText"/>
        <w:spacing w:line="240" w:lineRule="auto"/>
        <w:rPr>
          <w:rFonts w:ascii="Times New Roman" w:hAnsi="Times New Roman"/>
          <w:noProof/>
          <w:sz w:val="24"/>
          <w:szCs w:val="24"/>
          <w:u w:val="single"/>
        </w:rPr>
      </w:pPr>
      <w:r>
        <w:rPr>
          <w:rFonts w:ascii="Times New Roman" w:hAnsi="Times New Roman"/>
          <w:noProof/>
          <w:sz w:val="24"/>
          <w:szCs w:val="24"/>
        </w:rPr>
        <w:t>The sensitivity of the regions related to out migration</w:t>
      </w:r>
      <w:r>
        <w:rPr>
          <w:rFonts w:ascii="Times New Roman" w:hAnsi="Times New Roman"/>
          <w:noProof/>
          <w:sz w:val="24"/>
          <w:szCs w:val="24"/>
          <w:lang w:eastAsia="fr-BE"/>
        </w:rPr>
        <w:t xml:space="preserve"> </w:t>
      </w:r>
      <w:r>
        <w:rPr>
          <w:rFonts w:ascii="Times New Roman" w:hAnsi="Times New Roman"/>
          <w:noProof/>
          <w:sz w:val="24"/>
          <w:szCs w:val="24"/>
        </w:rPr>
        <w:t xml:space="preserve">is measured by the indicator “net migration balance” (i.e. </w:t>
      </w:r>
      <w:r>
        <w:rPr>
          <w:rFonts w:ascii="Times New Roman" w:hAnsi="Times New Roman"/>
          <w:noProof/>
          <w:sz w:val="24"/>
          <w:szCs w:val="24"/>
        </w:rPr>
        <w:t xml:space="preserve">immigration minus out-migration on total population). The underlying hypothesis for describing the sensitivity of the regions towards out migration is that </w:t>
      </w:r>
      <w:r>
        <w:rPr>
          <w:rFonts w:ascii="Times New Roman" w:hAnsi="Times New Roman"/>
          <w:noProof/>
          <w:sz w:val="24"/>
          <w:szCs w:val="24"/>
          <w:lang w:eastAsia="fr-BE"/>
        </w:rPr>
        <w:t>regions experiencing out-migration and brain drain will benefit more from actions aimed at their red</w:t>
      </w:r>
      <w:r>
        <w:rPr>
          <w:rFonts w:ascii="Times New Roman" w:hAnsi="Times New Roman"/>
          <w:noProof/>
          <w:sz w:val="24"/>
          <w:szCs w:val="24"/>
          <w:lang w:eastAsia="fr-BE"/>
        </w:rPr>
        <w:t>uction or suffer more from their exacerbation.</w:t>
      </w:r>
      <w:r>
        <w:rPr>
          <w:rFonts w:ascii="Times New Roman" w:hAnsi="Times New Roman"/>
          <w:noProof/>
          <w:sz w:val="24"/>
          <w:szCs w:val="24"/>
        </w:rPr>
        <w:t xml:space="preserve"> The following map shows the potential territorial impact of the proposal of DG ENV taking under consideration </w:t>
      </w:r>
      <w:r>
        <w:rPr>
          <w:rFonts w:ascii="Times New Roman" w:hAnsi="Times New Roman"/>
          <w:noProof/>
          <w:sz w:val="24"/>
          <w:szCs w:val="24"/>
          <w:lang w:eastAsia="fr-BE"/>
        </w:rPr>
        <w:t xml:space="preserve">out-migration and brain drain </w:t>
      </w:r>
      <w:r>
        <w:rPr>
          <w:rFonts w:ascii="Times New Roman" w:hAnsi="Times New Roman"/>
          <w:noProof/>
          <w:sz w:val="24"/>
          <w:szCs w:val="24"/>
        </w:rPr>
        <w:t>by combining the expert judgement of the weakly advantageous effect w</w:t>
      </w:r>
      <w:r>
        <w:rPr>
          <w:rFonts w:ascii="Times New Roman" w:hAnsi="Times New Roman"/>
          <w:noProof/>
          <w:sz w:val="24"/>
          <w:szCs w:val="24"/>
        </w:rPr>
        <w:t xml:space="preserve">ith the corresponding sensitivity. If the regions can benefit from the new possibilities to reuse waste water </w:t>
      </w:r>
      <w:r>
        <w:rPr>
          <w:rFonts w:ascii="Times New Roman" w:hAnsi="Times New Roman"/>
          <w:noProof/>
          <w:sz w:val="24"/>
          <w:szCs w:val="24"/>
          <w:lang w:eastAsia="de-AT"/>
        </w:rPr>
        <w:t>in agricultural irrigation and aquifer recharge</w:t>
      </w:r>
      <w:r>
        <w:rPr>
          <w:rFonts w:ascii="Times New Roman" w:hAnsi="Times New Roman"/>
          <w:noProof/>
          <w:sz w:val="24"/>
          <w:szCs w:val="24"/>
        </w:rPr>
        <w:t xml:space="preserve"> </w:t>
      </w:r>
      <w:r>
        <w:rPr>
          <w:rFonts w:ascii="Times New Roman" w:hAnsi="Times New Roman"/>
          <w:noProof/>
          <w:sz w:val="24"/>
          <w:szCs w:val="24"/>
          <w:u w:val="single"/>
        </w:rPr>
        <w:t>most of them could get a moderately positive impact reducing out migration. Some regions mainly lo</w:t>
      </w:r>
      <w:r>
        <w:rPr>
          <w:rFonts w:ascii="Times New Roman" w:hAnsi="Times New Roman"/>
          <w:noProof/>
          <w:sz w:val="24"/>
          <w:szCs w:val="24"/>
          <w:u w:val="single"/>
        </w:rPr>
        <w:t>cated at the European external borders could gain even a highly positive impact.</w:t>
      </w:r>
    </w:p>
    <w:p w:rsidR="00AB50C5" w:rsidRDefault="00724275">
      <w:pPr>
        <w:pStyle w:val="Caption"/>
        <w:rPr>
          <w:rFonts w:cs="Arial"/>
          <w:noProof/>
        </w:rPr>
      </w:pPr>
      <w:bookmarkStart w:id="248" w:name="_Toc484768792"/>
      <w:r>
        <w:rPr>
          <w:rFonts w:cs="Arial"/>
          <w:noProof/>
        </w:rPr>
        <w:t xml:space="preserve">Map </w:t>
      </w:r>
      <w:r>
        <w:rPr>
          <w:rFonts w:cs="Arial"/>
          <w:noProof/>
        </w:rPr>
        <w:fldChar w:fldCharType="begin"/>
      </w:r>
      <w:r>
        <w:rPr>
          <w:rFonts w:cs="Arial"/>
          <w:noProof/>
        </w:rPr>
        <w:instrText xml:space="preserve"> STYLEREF 1 \s </w:instrText>
      </w:r>
      <w:r>
        <w:rPr>
          <w:rFonts w:cs="Arial"/>
          <w:noProof/>
        </w:rPr>
        <w:fldChar w:fldCharType="separate"/>
      </w:r>
      <w:r>
        <w:rPr>
          <w:rFonts w:cs="Arial"/>
          <w:noProof/>
        </w:rPr>
        <w:t>5</w:t>
      </w:r>
      <w:r>
        <w:rPr>
          <w:rFonts w:cs="Arial"/>
          <w:noProof/>
        </w:rPr>
        <w:fldChar w:fldCharType="end"/>
      </w:r>
      <w:r>
        <w:rPr>
          <w:rFonts w:cs="Arial"/>
          <w:noProof/>
        </w:rPr>
        <w:t>.</w:t>
      </w:r>
      <w:r>
        <w:rPr>
          <w:rFonts w:cs="Arial"/>
          <w:noProof/>
        </w:rPr>
        <w:fldChar w:fldCharType="begin"/>
      </w:r>
      <w:r>
        <w:rPr>
          <w:rFonts w:cs="Arial"/>
          <w:noProof/>
        </w:rPr>
        <w:instrText xml:space="preserve"> SEQ Map \* ARABIC \s 1 </w:instrText>
      </w:r>
      <w:r>
        <w:rPr>
          <w:rFonts w:cs="Arial"/>
          <w:noProof/>
        </w:rPr>
        <w:fldChar w:fldCharType="separate"/>
      </w:r>
      <w:r>
        <w:rPr>
          <w:rFonts w:cs="Arial"/>
          <w:noProof/>
        </w:rPr>
        <w:t>3</w:t>
      </w:r>
      <w:r>
        <w:rPr>
          <w:rFonts w:cs="Arial"/>
          <w:noProof/>
        </w:rPr>
        <w:fldChar w:fldCharType="end"/>
      </w:r>
      <w:r>
        <w:rPr>
          <w:rFonts w:cs="Arial"/>
          <w:noProof/>
        </w:rPr>
        <w:t xml:space="preserve">: Result of the expert judgement: Out-migration/brain drain/“shrinking” of regions affected by the </w:t>
      </w:r>
      <w:r>
        <w:rPr>
          <w:rFonts w:cs="Arial"/>
          <w:noProof/>
          <w:lang w:eastAsia="de-AT"/>
        </w:rPr>
        <w:t xml:space="preserve">development of minimum </w:t>
      </w:r>
      <w:r>
        <w:rPr>
          <w:rFonts w:cs="Arial"/>
          <w:noProof/>
          <w:lang w:eastAsia="de-AT"/>
        </w:rPr>
        <w:t>quality requirements for reused water in agricultural irrigation and aquifer recharge</w:t>
      </w:r>
      <w:r>
        <w:rPr>
          <w:rFonts w:cs="Arial"/>
          <w:noProof/>
        </w:rPr>
        <w:t xml:space="preserve"> – expert judgement: weak advantageous effect</w:t>
      </w:r>
      <w:bookmarkEnd w:id="248"/>
    </w:p>
    <w:p w:rsidR="00AB50C5" w:rsidRDefault="00724275">
      <w:pPr>
        <w:pStyle w:val="Abbildung"/>
      </w:pPr>
      <w:r>
        <w:rPr>
          <w:lang w:eastAsia="en-GB"/>
        </w:rPr>
        <w:drawing>
          <wp:inline distT="0" distB="0" distL="0" distR="0" wp14:anchorId="384DE556" wp14:editId="1F63DD13">
            <wp:extent cx="5256000" cy="5541895"/>
            <wp:effectExtent l="19050" t="0" r="1800" b="0"/>
            <wp:docPr id="35940" name="Grafik 3" descr="All regions__Out-migration _ brain drain _ __shrinking__ of regions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 regions__Out-migration _ brain drain _ __shrinking__ of regions_.jpeg"/>
                    <pic:cNvPicPr/>
                  </pic:nvPicPr>
                  <pic:blipFill>
                    <a:blip r:embed="rId88" cstate="email">
                      <a:extLst>
                        <a:ext uri="{28A0092B-C50C-407E-A947-70E740481C1C}">
                          <a14:useLocalDpi xmlns:a14="http://schemas.microsoft.com/office/drawing/2010/main"/>
                        </a:ext>
                      </a:extLst>
                    </a:blip>
                    <a:srcRect/>
                    <a:stretch>
                      <a:fillRect/>
                    </a:stretch>
                  </pic:blipFill>
                  <pic:spPr>
                    <a:xfrm>
                      <a:off x="0" y="0"/>
                      <a:ext cx="5256000" cy="5541895"/>
                    </a:xfrm>
                    <a:prstGeom prst="rect">
                      <a:avLst/>
                    </a:prstGeom>
                  </pic:spPr>
                </pic:pic>
              </a:graphicData>
            </a:graphic>
          </wp:inline>
        </w:drawing>
      </w:r>
    </w:p>
    <w:p w:rsidR="00AB50C5" w:rsidRDefault="00724275">
      <w:pPr>
        <w:pStyle w:val="Quelle"/>
        <w:rPr>
          <w:noProof/>
        </w:rPr>
      </w:pPr>
      <w:r>
        <w:rPr>
          <w:noProof/>
        </w:rPr>
        <w:t>Source: Territorial impact assessment expert workshop, Brussels, 5 April 2017</w:t>
      </w:r>
    </w:p>
    <w:p w:rsidR="00AB50C5" w:rsidRDefault="00724275">
      <w:pPr>
        <w:pStyle w:val="EText"/>
        <w:spacing w:line="240" w:lineRule="auto"/>
        <w:rPr>
          <w:rFonts w:ascii="Times New Roman" w:hAnsi="Times New Roman"/>
          <w:noProof/>
          <w:sz w:val="24"/>
          <w:szCs w:val="24"/>
        </w:rPr>
      </w:pPr>
      <w:r>
        <w:rPr>
          <w:rFonts w:ascii="Times New Roman" w:hAnsi="Times New Roman"/>
          <w:noProof/>
          <w:sz w:val="24"/>
          <w:szCs w:val="24"/>
        </w:rPr>
        <w:t>Based on the fact that 9 out of the 24 expert</w:t>
      </w:r>
      <w:r>
        <w:rPr>
          <w:rFonts w:ascii="Times New Roman" w:hAnsi="Times New Roman"/>
          <w:noProof/>
          <w:sz w:val="24"/>
          <w:szCs w:val="24"/>
        </w:rPr>
        <w:t>s did not consider this indicator relevant (and therefore did not vote for it) and the fact that 4 voted for a neutral effect we consider that the strongly advantageous effect registered by those that actually vote should be taken very cautiously. Assuming</w:t>
      </w:r>
      <w:r>
        <w:rPr>
          <w:rFonts w:ascii="Times New Roman" w:hAnsi="Times New Roman"/>
          <w:noProof/>
          <w:sz w:val="24"/>
          <w:szCs w:val="24"/>
        </w:rPr>
        <w:t xml:space="preserve"> that this initiative could lead to a very highly positive impact in rural regions using wastewater </w:t>
      </w:r>
      <w:r>
        <w:rPr>
          <w:rFonts w:ascii="Times New Roman" w:hAnsi="Times New Roman"/>
          <w:noProof/>
          <w:sz w:val="24"/>
          <w:szCs w:val="24"/>
          <w:lang w:eastAsia="de-AT"/>
        </w:rPr>
        <w:t>in agricultural irrigation and aquifer recharge</w:t>
      </w:r>
      <w:r>
        <w:rPr>
          <w:rFonts w:ascii="Times New Roman" w:hAnsi="Times New Roman"/>
          <w:noProof/>
          <w:sz w:val="24"/>
          <w:szCs w:val="24"/>
        </w:rPr>
        <w:t xml:space="preserve"> (See the following map) has limitations.</w:t>
      </w:r>
    </w:p>
    <w:p w:rsidR="00AB50C5" w:rsidRDefault="00724275">
      <w:pPr>
        <w:pStyle w:val="Caption"/>
        <w:rPr>
          <w:noProof/>
        </w:rPr>
      </w:pPr>
      <w:bookmarkStart w:id="249" w:name="_Toc484768793"/>
      <w:r>
        <w:rPr>
          <w:noProof/>
        </w:rPr>
        <w:t xml:space="preserve">Map </w:t>
      </w:r>
      <w:r>
        <w:rPr>
          <w:noProof/>
        </w:rPr>
        <w:fldChar w:fldCharType="begin"/>
      </w:r>
      <w:r>
        <w:rPr>
          <w:noProof/>
        </w:rPr>
        <w:instrText xml:space="preserve"> STYLEREF 1 \s </w:instrText>
      </w:r>
      <w:r>
        <w:rPr>
          <w:noProof/>
        </w:rPr>
        <w:fldChar w:fldCharType="separate"/>
      </w:r>
      <w:r>
        <w:rPr>
          <w:noProof/>
        </w:rPr>
        <w:t>5</w:t>
      </w:r>
      <w:r>
        <w:rPr>
          <w:noProof/>
        </w:rPr>
        <w:fldChar w:fldCharType="end"/>
      </w:r>
      <w:r>
        <w:rPr>
          <w:noProof/>
        </w:rPr>
        <w:t>.</w:t>
      </w:r>
      <w:r>
        <w:rPr>
          <w:noProof/>
        </w:rPr>
        <w:fldChar w:fldCharType="begin"/>
      </w:r>
      <w:r>
        <w:rPr>
          <w:noProof/>
        </w:rPr>
        <w:instrText xml:space="preserve"> SEQ Map \* ARABIC \s 1 </w:instrText>
      </w:r>
      <w:r>
        <w:rPr>
          <w:noProof/>
        </w:rPr>
        <w:fldChar w:fldCharType="separate"/>
      </w:r>
      <w:r>
        <w:rPr>
          <w:noProof/>
        </w:rPr>
        <w:t>4</w:t>
      </w:r>
      <w:r>
        <w:rPr>
          <w:noProof/>
        </w:rPr>
        <w:fldChar w:fldCharType="end"/>
      </w:r>
      <w:r>
        <w:rPr>
          <w:noProof/>
        </w:rPr>
        <w:t>: Result of the</w:t>
      </w:r>
      <w:r>
        <w:rPr>
          <w:noProof/>
        </w:rPr>
        <w:t xml:space="preserve"> expert judgement: Out-migration/brain drain/“shrinking” of rural regions affected by the </w:t>
      </w:r>
      <w:r>
        <w:rPr>
          <w:noProof/>
          <w:lang w:eastAsia="de-AT"/>
        </w:rPr>
        <w:t>development of minimum quality requirements for reused water in agricultural irrigation and aquifer recharge</w:t>
      </w:r>
      <w:r>
        <w:rPr>
          <w:noProof/>
        </w:rPr>
        <w:t xml:space="preserve"> – expert judgement: strong advantageous effect</w:t>
      </w:r>
      <w:bookmarkEnd w:id="249"/>
    </w:p>
    <w:p w:rsidR="00AB50C5" w:rsidRDefault="00724275">
      <w:pPr>
        <w:pStyle w:val="Abbildung"/>
        <w:rPr>
          <w:lang w:val="de-AT" w:eastAsia="de-AT"/>
        </w:rPr>
      </w:pPr>
      <w:r>
        <w:rPr>
          <w:lang w:eastAsia="en-GB"/>
        </w:rPr>
        <w:drawing>
          <wp:inline distT="0" distB="0" distL="0" distR="0" wp14:anchorId="5524EAA8" wp14:editId="044B172F">
            <wp:extent cx="5336275" cy="5602718"/>
            <wp:effectExtent l="0" t="0" r="0" b="0"/>
            <wp:docPr id="35941"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ral__Out-migration _ brain drain _ __shrinking__ of regions_.jpeg"/>
                    <pic:cNvPicPr/>
                  </pic:nvPicPr>
                  <pic:blipFill rotWithShape="1">
                    <a:blip r:embed="rId89" cstate="email">
                      <a:extLst>
                        <a:ext uri="{28A0092B-C50C-407E-A947-70E740481C1C}">
                          <a14:useLocalDpi xmlns:a14="http://schemas.microsoft.com/office/drawing/2010/main"/>
                        </a:ext>
                      </a:extLst>
                    </a:blip>
                    <a:srcRect/>
                    <a:stretch/>
                  </pic:blipFill>
                  <pic:spPr bwMode="auto">
                    <a:xfrm>
                      <a:off x="0" y="0"/>
                      <a:ext cx="5335816" cy="5602236"/>
                    </a:xfrm>
                    <a:prstGeom prst="rect">
                      <a:avLst/>
                    </a:prstGeom>
                    <a:ln>
                      <a:noFill/>
                    </a:ln>
                    <a:extLst>
                      <a:ext uri="{53640926-AAD7-44D8-BBD7-CCE9431645EC}">
                        <a14:shadowObscured xmlns:a14="http://schemas.microsoft.com/office/drawing/2010/main"/>
                      </a:ext>
                    </a:extLst>
                  </pic:spPr>
                </pic:pic>
              </a:graphicData>
            </a:graphic>
          </wp:inline>
        </w:drawing>
      </w:r>
    </w:p>
    <w:p w:rsidR="00AB50C5" w:rsidRDefault="00724275">
      <w:pPr>
        <w:pStyle w:val="Quelle"/>
        <w:rPr>
          <w:noProof/>
        </w:rPr>
      </w:pPr>
      <w:r>
        <w:rPr>
          <w:noProof/>
        </w:rPr>
        <w:t xml:space="preserve">Source: </w:t>
      </w:r>
      <w:r>
        <w:rPr>
          <w:noProof/>
        </w:rPr>
        <w:t>Territorial impact assessment expert workshop, Brussels, 5 April 2017</w:t>
      </w:r>
    </w:p>
    <w:p w:rsidR="00AB50C5" w:rsidRDefault="00AB50C5">
      <w:pPr>
        <w:pStyle w:val="EText"/>
        <w:rPr>
          <w:noProof/>
          <w:szCs w:val="22"/>
        </w:rPr>
      </w:pPr>
    </w:p>
    <w:p w:rsidR="00AB50C5" w:rsidRDefault="00724275">
      <w:pPr>
        <w:pStyle w:val="Heading2"/>
        <w:numPr>
          <w:ilvl w:val="1"/>
          <w:numId w:val="133"/>
        </w:numPr>
        <w:spacing w:before="60" w:after="160"/>
        <w:ind w:left="578" w:hanging="578"/>
        <w:jc w:val="left"/>
        <w:rPr>
          <w:noProof/>
          <w:kern w:val="32"/>
        </w:rPr>
      </w:pPr>
      <w:bookmarkStart w:id="250" w:name="_Toc484768732"/>
      <w:bookmarkStart w:id="251" w:name="_Toc516234819"/>
      <w:r>
        <w:rPr>
          <w:noProof/>
          <w:kern w:val="32"/>
        </w:rPr>
        <w:t>The potential territorial impact based on healthy life expectancy</w:t>
      </w:r>
      <w:bookmarkEnd w:id="250"/>
      <w:bookmarkEnd w:id="251"/>
      <w:r>
        <w:rPr>
          <w:noProof/>
          <w:kern w:val="32"/>
        </w:rPr>
        <w:t xml:space="preserve"> </w:t>
      </w:r>
    </w:p>
    <w:p w:rsidR="00AB50C5" w:rsidRDefault="00724275">
      <w:pPr>
        <w:pStyle w:val="EText"/>
        <w:spacing w:line="240" w:lineRule="auto"/>
        <w:rPr>
          <w:rFonts w:ascii="Times New Roman" w:hAnsi="Times New Roman"/>
          <w:noProof/>
          <w:kern w:val="32"/>
          <w:sz w:val="24"/>
          <w:szCs w:val="24"/>
        </w:rPr>
      </w:pPr>
      <w:r>
        <w:rPr>
          <w:rFonts w:ascii="Times New Roman" w:hAnsi="Times New Roman"/>
          <w:noProof/>
          <w:sz w:val="24"/>
          <w:szCs w:val="24"/>
        </w:rPr>
        <w:t xml:space="preserve">The majority of the participants saw a weak advantageous effect of the </w:t>
      </w:r>
      <w:r>
        <w:rPr>
          <w:rFonts w:ascii="Times New Roman" w:hAnsi="Times New Roman"/>
          <w:noProof/>
          <w:sz w:val="24"/>
          <w:szCs w:val="24"/>
          <w:lang w:eastAsia="de-AT"/>
        </w:rPr>
        <w:t>development of minimum quality requirements for</w:t>
      </w:r>
      <w:r>
        <w:rPr>
          <w:rFonts w:ascii="Times New Roman" w:hAnsi="Times New Roman"/>
          <w:noProof/>
          <w:sz w:val="24"/>
          <w:szCs w:val="24"/>
          <w:lang w:eastAsia="de-AT"/>
        </w:rPr>
        <w:t xml:space="preserve"> reused water in agricultural irrigation and aquifer recharge</w:t>
      </w:r>
      <w:r>
        <w:rPr>
          <w:rFonts w:ascii="Times New Roman" w:hAnsi="Times New Roman"/>
          <w:noProof/>
          <w:sz w:val="24"/>
          <w:szCs w:val="24"/>
        </w:rPr>
        <w:t xml:space="preserve"> on the health of the population measured by the </w:t>
      </w:r>
      <w:r>
        <w:rPr>
          <w:rFonts w:ascii="Times New Roman" w:hAnsi="Times New Roman"/>
          <w:noProof/>
          <w:kern w:val="32"/>
          <w:sz w:val="24"/>
          <w:szCs w:val="24"/>
        </w:rPr>
        <w:t xml:space="preserve">healthy life expectancy indicator. However, a minority was afraid that this new proposal for DG ENV could lead to a weakly disadvantageous effect </w:t>
      </w:r>
      <w:r>
        <w:rPr>
          <w:rFonts w:ascii="Times New Roman" w:hAnsi="Times New Roman"/>
          <w:noProof/>
          <w:kern w:val="32"/>
          <w:sz w:val="24"/>
          <w:szCs w:val="24"/>
        </w:rPr>
        <w:t>on health.</w:t>
      </w:r>
    </w:p>
    <w:p w:rsidR="00AB50C5" w:rsidRDefault="00724275">
      <w:pPr>
        <w:pStyle w:val="Caption"/>
        <w:rPr>
          <w:noProof/>
          <w:szCs w:val="22"/>
        </w:rPr>
      </w:pPr>
      <w:bookmarkStart w:id="252" w:name="_Toc484768780"/>
      <w:r>
        <w:rPr>
          <w:noProof/>
        </w:rPr>
        <w:t xml:space="preserve">Figure </w:t>
      </w:r>
      <w:r>
        <w:rPr>
          <w:noProof/>
        </w:rPr>
        <w:fldChar w:fldCharType="begin"/>
      </w:r>
      <w:r>
        <w:rPr>
          <w:noProof/>
        </w:rPr>
        <w:instrText xml:space="preserve"> STYLEREF 1 \s </w:instrText>
      </w:r>
      <w:r>
        <w:rPr>
          <w:noProof/>
        </w:rPr>
        <w:fldChar w:fldCharType="separate"/>
      </w:r>
      <w:r>
        <w:rPr>
          <w:noProof/>
        </w:rPr>
        <w:t>5</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Pr>
          <w:noProof/>
        </w:rPr>
        <w:t>5</w:t>
      </w:r>
      <w:r>
        <w:rPr>
          <w:noProof/>
        </w:rPr>
        <w:fldChar w:fldCharType="end"/>
      </w:r>
      <w:r>
        <w:rPr>
          <w:noProof/>
        </w:rPr>
        <w:t xml:space="preserve">: </w:t>
      </w:r>
      <w:r>
        <w:rPr>
          <w:noProof/>
          <w:szCs w:val="22"/>
        </w:rPr>
        <w:t xml:space="preserve">Workshop findings: Expert judgement: Effect of the development of minimum </w:t>
      </w:r>
      <w:r>
        <w:rPr>
          <w:noProof/>
          <w:lang w:eastAsia="de-AT"/>
        </w:rPr>
        <w:t>quality requirements for reused water in agricultural irrigation and aquifer recharge</w:t>
      </w:r>
      <w:r>
        <w:rPr>
          <w:noProof/>
        </w:rPr>
        <w:t xml:space="preserve"> </w:t>
      </w:r>
      <w:r>
        <w:rPr>
          <w:noProof/>
          <w:szCs w:val="22"/>
        </w:rPr>
        <w:t xml:space="preserve">on healthy life </w:t>
      </w:r>
      <w:r>
        <w:rPr>
          <w:noProof/>
          <w:szCs w:val="22"/>
        </w:rPr>
        <w:t>expectancy</w:t>
      </w:r>
      <w:bookmarkEnd w:id="252"/>
      <w:r>
        <w:rPr>
          <w:noProof/>
          <w:szCs w:val="22"/>
        </w:rPr>
        <w:t xml:space="preserve"> </w:t>
      </w:r>
    </w:p>
    <w:p w:rsidR="00AB50C5" w:rsidRDefault="00724275">
      <w:pPr>
        <w:pStyle w:val="Abbildung"/>
        <w:rPr>
          <w:lang w:eastAsia="en-US"/>
        </w:rPr>
      </w:pPr>
      <w:r>
        <w:rPr>
          <w:lang w:eastAsia="en-GB"/>
        </w:rPr>
        <w:drawing>
          <wp:inline distT="0" distB="0" distL="0" distR="0" wp14:anchorId="4FC52BFB" wp14:editId="5A352814">
            <wp:extent cx="5274310" cy="2452370"/>
            <wp:effectExtent l="19050" t="0" r="2540" b="0"/>
            <wp:docPr id="35942"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5274310" cy="2452370"/>
                    </a:xfrm>
                    <a:prstGeom prst="rect">
                      <a:avLst/>
                    </a:prstGeom>
                    <a:noFill/>
                    <a:ln w="9525">
                      <a:noFill/>
                      <a:miter lim="800000"/>
                      <a:headEnd/>
                      <a:tailEnd/>
                    </a:ln>
                  </pic:spPr>
                </pic:pic>
              </a:graphicData>
            </a:graphic>
          </wp:inline>
        </w:drawing>
      </w:r>
    </w:p>
    <w:p w:rsidR="00AB50C5" w:rsidRDefault="00724275">
      <w:pPr>
        <w:pStyle w:val="Quelle"/>
        <w:rPr>
          <w:noProof/>
        </w:rPr>
      </w:pPr>
      <w:r>
        <w:rPr>
          <w:noProof/>
        </w:rPr>
        <w:t>Source: Territorial impact assessment expert workshop, Brussels, 5 April 2017</w:t>
      </w:r>
    </w:p>
    <w:p w:rsidR="00AB50C5" w:rsidRDefault="00724275">
      <w:pPr>
        <w:pStyle w:val="Caption"/>
        <w:rPr>
          <w:noProof/>
          <w:szCs w:val="22"/>
        </w:rPr>
      </w:pPr>
      <w:bookmarkStart w:id="253" w:name="_Toc484768781"/>
      <w:r>
        <w:rPr>
          <w:noProof/>
        </w:rPr>
        <w:t xml:space="preserve">Figure </w:t>
      </w:r>
      <w:r>
        <w:rPr>
          <w:noProof/>
        </w:rPr>
        <w:fldChar w:fldCharType="begin"/>
      </w:r>
      <w:r>
        <w:rPr>
          <w:noProof/>
        </w:rPr>
        <w:instrText xml:space="preserve"> STYLEREF 1 \s </w:instrText>
      </w:r>
      <w:r>
        <w:rPr>
          <w:noProof/>
        </w:rPr>
        <w:fldChar w:fldCharType="separate"/>
      </w:r>
      <w:r>
        <w:rPr>
          <w:noProof/>
        </w:rPr>
        <w:t>5</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Pr>
          <w:noProof/>
        </w:rPr>
        <w:t>6</w:t>
      </w:r>
      <w:r>
        <w:rPr>
          <w:noProof/>
        </w:rPr>
        <w:fldChar w:fldCharType="end"/>
      </w:r>
      <w:r>
        <w:rPr>
          <w:noProof/>
        </w:rPr>
        <w:t xml:space="preserve">: </w:t>
      </w:r>
      <w:r>
        <w:rPr>
          <w:noProof/>
          <w:szCs w:val="22"/>
        </w:rPr>
        <w:t xml:space="preserve">Workshop findings: Expert judgement: Effect of the development of minimum </w:t>
      </w:r>
      <w:r>
        <w:rPr>
          <w:noProof/>
          <w:lang w:eastAsia="de-AT"/>
        </w:rPr>
        <w:t xml:space="preserve">quality requirements for </w:t>
      </w:r>
      <w:r>
        <w:rPr>
          <w:noProof/>
          <w:lang w:eastAsia="de-AT"/>
        </w:rPr>
        <w:t>reused water in agricultural irrigation and aquifer recharge</w:t>
      </w:r>
      <w:r>
        <w:rPr>
          <w:noProof/>
        </w:rPr>
        <w:t xml:space="preserve"> </w:t>
      </w:r>
      <w:r>
        <w:rPr>
          <w:noProof/>
          <w:szCs w:val="22"/>
        </w:rPr>
        <w:t>on healthy life expectancy in rural regions</w:t>
      </w:r>
      <w:bookmarkEnd w:id="253"/>
    </w:p>
    <w:p w:rsidR="00AB50C5" w:rsidRDefault="00724275">
      <w:pPr>
        <w:pStyle w:val="Abbildung"/>
        <w:rPr>
          <w:lang w:eastAsia="en-US"/>
        </w:rPr>
      </w:pPr>
      <w:r>
        <w:rPr>
          <w:lang w:eastAsia="en-GB"/>
        </w:rPr>
        <w:drawing>
          <wp:inline distT="0" distB="0" distL="0" distR="0" wp14:anchorId="444F76AF" wp14:editId="3788F53C">
            <wp:extent cx="5274310" cy="2452370"/>
            <wp:effectExtent l="19050" t="0" r="2540" b="0"/>
            <wp:docPr id="35943"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1" cstate="email">
                      <a:extLst>
                        <a:ext uri="{28A0092B-C50C-407E-A947-70E740481C1C}">
                          <a14:useLocalDpi xmlns:a14="http://schemas.microsoft.com/office/drawing/2010/main"/>
                        </a:ext>
                      </a:extLst>
                    </a:blip>
                    <a:srcRect/>
                    <a:stretch>
                      <a:fillRect/>
                    </a:stretch>
                  </pic:blipFill>
                  <pic:spPr bwMode="auto">
                    <a:xfrm>
                      <a:off x="0" y="0"/>
                      <a:ext cx="5274310" cy="2452370"/>
                    </a:xfrm>
                    <a:prstGeom prst="rect">
                      <a:avLst/>
                    </a:prstGeom>
                    <a:noFill/>
                    <a:ln w="9525">
                      <a:noFill/>
                      <a:miter lim="800000"/>
                      <a:headEnd/>
                      <a:tailEnd/>
                    </a:ln>
                  </pic:spPr>
                </pic:pic>
              </a:graphicData>
            </a:graphic>
          </wp:inline>
        </w:drawing>
      </w:r>
    </w:p>
    <w:p w:rsidR="00AB50C5" w:rsidRDefault="00724275">
      <w:pPr>
        <w:pStyle w:val="Quelle"/>
        <w:rPr>
          <w:noProof/>
        </w:rPr>
      </w:pPr>
      <w:r>
        <w:rPr>
          <w:noProof/>
        </w:rPr>
        <w:t>Source: Territorial impact assessment expert workshop, Brussels, 5 April 2017</w:t>
      </w:r>
    </w:p>
    <w:p w:rsidR="00AB50C5" w:rsidRDefault="00724275">
      <w:pPr>
        <w:pStyle w:val="EText"/>
        <w:spacing w:line="240" w:lineRule="auto"/>
        <w:rPr>
          <w:rFonts w:ascii="Times New Roman" w:hAnsi="Times New Roman"/>
          <w:noProof/>
          <w:sz w:val="24"/>
          <w:szCs w:val="24"/>
        </w:rPr>
      </w:pPr>
      <w:r>
        <w:rPr>
          <w:rFonts w:ascii="Times New Roman" w:hAnsi="Times New Roman"/>
          <w:noProof/>
          <w:sz w:val="24"/>
          <w:szCs w:val="24"/>
          <w:lang w:eastAsia="fr-BE"/>
        </w:rPr>
        <w:t>Regions in which the life expectancy is lower are expected to benefit m</w:t>
      </w:r>
      <w:r>
        <w:rPr>
          <w:rFonts w:ascii="Times New Roman" w:hAnsi="Times New Roman"/>
          <w:noProof/>
          <w:sz w:val="24"/>
          <w:szCs w:val="24"/>
          <w:lang w:eastAsia="fr-BE"/>
        </w:rPr>
        <w:t>ore from policy measures effecting its increase and more negatively influenced by those which decrease it. This indicator was not considered as suitable by several experts, because they judged the cause-effect relation between the additional options for ir</w:t>
      </w:r>
      <w:r>
        <w:rPr>
          <w:rFonts w:ascii="Times New Roman" w:hAnsi="Times New Roman"/>
          <w:noProof/>
          <w:sz w:val="24"/>
          <w:szCs w:val="24"/>
          <w:lang w:eastAsia="fr-BE"/>
        </w:rPr>
        <w:t xml:space="preserve">rigation having positive effects on life expectancy as too weak. Consequently, a large group of </w:t>
      </w:r>
      <w:r>
        <w:rPr>
          <w:rFonts w:ascii="Times New Roman" w:hAnsi="Times New Roman"/>
          <w:noProof/>
          <w:kern w:val="32"/>
          <w:sz w:val="24"/>
          <w:szCs w:val="24"/>
        </w:rPr>
        <w:t xml:space="preserve">experts did not see any effect of setting </w:t>
      </w:r>
      <w:r>
        <w:rPr>
          <w:rFonts w:ascii="Times New Roman" w:hAnsi="Times New Roman"/>
          <w:noProof/>
          <w:sz w:val="24"/>
          <w:szCs w:val="24"/>
        </w:rPr>
        <w:t xml:space="preserve">minimum </w:t>
      </w:r>
      <w:r>
        <w:rPr>
          <w:rFonts w:ascii="Times New Roman" w:hAnsi="Times New Roman"/>
          <w:noProof/>
          <w:sz w:val="24"/>
          <w:szCs w:val="24"/>
          <w:lang w:eastAsia="de-AT"/>
        </w:rPr>
        <w:t>quality requirements for reused water in agricultural irrigation and aquifer recharge</w:t>
      </w:r>
      <w:r>
        <w:rPr>
          <w:rFonts w:ascii="Times New Roman" w:hAnsi="Times New Roman"/>
          <w:noProof/>
          <w:kern w:val="32"/>
          <w:sz w:val="24"/>
          <w:szCs w:val="24"/>
        </w:rPr>
        <w:t xml:space="preserve"> based on this indicator.</w:t>
      </w:r>
      <w:r>
        <w:rPr>
          <w:rFonts w:ascii="Times New Roman" w:hAnsi="Times New Roman"/>
          <w:noProof/>
          <w:kern w:val="32"/>
          <w:sz w:val="24"/>
          <w:szCs w:val="24"/>
        </w:rPr>
        <w:t xml:space="preserve"> Due to this judgement, it was decided not useful to picture this voting in maps.</w:t>
      </w:r>
    </w:p>
    <w:p w:rsidR="00AB50C5" w:rsidRDefault="00724275">
      <w:pPr>
        <w:pStyle w:val="Heading1"/>
        <w:keepNext w:val="0"/>
        <w:pageBreakBefore/>
        <w:numPr>
          <w:ilvl w:val="0"/>
          <w:numId w:val="133"/>
        </w:numPr>
        <w:spacing w:before="0" w:after="160"/>
        <w:ind w:left="431" w:hanging="431"/>
        <w:jc w:val="left"/>
        <w:rPr>
          <w:noProof/>
          <w:kern w:val="32"/>
        </w:rPr>
      </w:pPr>
      <w:bookmarkStart w:id="254" w:name="_Toc438042046"/>
      <w:bookmarkStart w:id="255" w:name="_Toc484768733"/>
      <w:bookmarkStart w:id="256" w:name="_Toc516234820"/>
      <w:r>
        <w:rPr>
          <w:noProof/>
          <w:kern w:val="32"/>
        </w:rPr>
        <w:t>Results of the TIA quick check:</w:t>
      </w:r>
      <w:r>
        <w:rPr>
          <w:noProof/>
          <w:kern w:val="32"/>
        </w:rPr>
        <w:br/>
        <w:t xml:space="preserve">Potential territorial impact based on governance </w:t>
      </w:r>
      <w:bookmarkEnd w:id="254"/>
      <w:r>
        <w:rPr>
          <w:noProof/>
          <w:kern w:val="32"/>
        </w:rPr>
        <w:t>aspects</w:t>
      </w:r>
      <w:bookmarkEnd w:id="255"/>
      <w:bookmarkEnd w:id="256"/>
    </w:p>
    <w:p w:rsidR="00AB50C5" w:rsidRDefault="00724275">
      <w:pPr>
        <w:pStyle w:val="Heading2"/>
        <w:numPr>
          <w:ilvl w:val="1"/>
          <w:numId w:val="133"/>
        </w:numPr>
        <w:spacing w:before="60" w:after="160"/>
        <w:ind w:left="578" w:hanging="578"/>
        <w:jc w:val="left"/>
        <w:rPr>
          <w:noProof/>
          <w:lang w:eastAsia="en-US"/>
        </w:rPr>
      </w:pPr>
      <w:bookmarkStart w:id="257" w:name="_Toc484768734"/>
      <w:bookmarkStart w:id="258" w:name="_Toc516234821"/>
      <w:r>
        <w:rPr>
          <w:noProof/>
          <w:kern w:val="32"/>
        </w:rPr>
        <w:t xml:space="preserve">The potential territorial impact on </w:t>
      </w:r>
      <w:r>
        <w:rPr>
          <w:noProof/>
          <w:lang w:eastAsia="en-US"/>
        </w:rPr>
        <w:t>government effectiveness</w:t>
      </w:r>
      <w:bookmarkEnd w:id="257"/>
      <w:bookmarkEnd w:id="258"/>
    </w:p>
    <w:p w:rsidR="00AB50C5" w:rsidRDefault="00724275">
      <w:pPr>
        <w:pStyle w:val="EText"/>
        <w:spacing w:line="240" w:lineRule="auto"/>
        <w:rPr>
          <w:rFonts w:ascii="Times New Roman" w:hAnsi="Times New Roman"/>
          <w:noProof/>
          <w:sz w:val="24"/>
          <w:szCs w:val="24"/>
        </w:rPr>
      </w:pPr>
      <w:r>
        <w:rPr>
          <w:rFonts w:ascii="Times New Roman" w:hAnsi="Times New Roman"/>
          <w:noProof/>
          <w:sz w:val="24"/>
          <w:szCs w:val="24"/>
        </w:rPr>
        <w:t xml:space="preserve">The experts considered that an efficient and correct implementation of the proposal to set minimum </w:t>
      </w:r>
      <w:r>
        <w:rPr>
          <w:rFonts w:ascii="Times New Roman" w:hAnsi="Times New Roman"/>
          <w:noProof/>
          <w:sz w:val="24"/>
          <w:szCs w:val="24"/>
          <w:lang w:eastAsia="de-AT"/>
        </w:rPr>
        <w:t>quality requirements for reused water in agricultural irrigation and aquifer recharge</w:t>
      </w:r>
      <w:r>
        <w:rPr>
          <w:rFonts w:ascii="Times New Roman" w:hAnsi="Times New Roman"/>
          <w:noProof/>
          <w:sz w:val="24"/>
          <w:szCs w:val="24"/>
        </w:rPr>
        <w:t xml:space="preserve"> </w:t>
      </w:r>
      <w:r>
        <w:rPr>
          <w:rFonts w:ascii="Times New Roman" w:hAnsi="Times New Roman"/>
          <w:b/>
          <w:noProof/>
          <w:sz w:val="24"/>
          <w:szCs w:val="24"/>
        </w:rPr>
        <w:t>could contribute to reduce administrative burdens</w:t>
      </w:r>
      <w:r>
        <w:rPr>
          <w:rFonts w:ascii="Times New Roman" w:hAnsi="Times New Roman"/>
          <w:noProof/>
          <w:sz w:val="24"/>
          <w:szCs w:val="24"/>
        </w:rPr>
        <w:t>. However, if the impl</w:t>
      </w:r>
      <w:r>
        <w:rPr>
          <w:rFonts w:ascii="Times New Roman" w:hAnsi="Times New Roman"/>
          <w:noProof/>
          <w:sz w:val="24"/>
          <w:szCs w:val="24"/>
        </w:rPr>
        <w:t xml:space="preserve">ementation of the initiative is too complicated, its implementation could be very demanding for some regions as e.g. for islands. This diverging approach was reflected in the experts’ votes on the effects of government effectiveness: </w:t>
      </w:r>
      <w:r>
        <w:rPr>
          <w:rFonts w:ascii="Times New Roman" w:hAnsi="Times New Roman"/>
          <w:noProof/>
          <w:sz w:val="24"/>
          <w:szCs w:val="24"/>
          <w:lang w:val="en-US"/>
        </w:rPr>
        <w:t>A</w:t>
      </w:r>
      <w:r>
        <w:rPr>
          <w:rFonts w:ascii="Times New Roman" w:hAnsi="Times New Roman"/>
          <w:noProof/>
          <w:sz w:val="24"/>
          <w:szCs w:val="24"/>
        </w:rPr>
        <w:t xml:space="preserve"> majority of experts </w:t>
      </w:r>
      <w:r>
        <w:rPr>
          <w:rFonts w:ascii="Times New Roman" w:hAnsi="Times New Roman"/>
          <w:noProof/>
          <w:sz w:val="24"/>
          <w:szCs w:val="24"/>
        </w:rPr>
        <w:t>is expecting positive effects but there is a quite large group that did not see any effects on government effectiveness, and a minority of experts that judged the effect as disadvantageous.</w:t>
      </w:r>
    </w:p>
    <w:p w:rsidR="00AB50C5" w:rsidRDefault="00724275">
      <w:pPr>
        <w:pStyle w:val="Caption"/>
        <w:rPr>
          <w:noProof/>
          <w:szCs w:val="22"/>
        </w:rPr>
      </w:pPr>
      <w:bookmarkStart w:id="259" w:name="_Toc484768782"/>
      <w:r>
        <w:rPr>
          <w:noProof/>
        </w:rPr>
        <w:t xml:space="preserve">Figure </w:t>
      </w:r>
      <w:r>
        <w:rPr>
          <w:noProof/>
        </w:rPr>
        <w:fldChar w:fldCharType="begin"/>
      </w:r>
      <w:r>
        <w:rPr>
          <w:noProof/>
        </w:rPr>
        <w:instrText xml:space="preserve"> STYLEREF 1 \s </w:instrText>
      </w:r>
      <w:r>
        <w:rPr>
          <w:noProof/>
        </w:rPr>
        <w:fldChar w:fldCharType="separate"/>
      </w:r>
      <w:r>
        <w:rPr>
          <w:noProof/>
        </w:rPr>
        <w:t>6</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Pr>
          <w:noProof/>
        </w:rPr>
        <w:t>1</w:t>
      </w:r>
      <w:r>
        <w:rPr>
          <w:noProof/>
        </w:rPr>
        <w:fldChar w:fldCharType="end"/>
      </w:r>
      <w:r>
        <w:rPr>
          <w:noProof/>
        </w:rPr>
        <w:t xml:space="preserve">: </w:t>
      </w:r>
      <w:r>
        <w:rPr>
          <w:noProof/>
          <w:szCs w:val="22"/>
        </w:rPr>
        <w:t>Worksh</w:t>
      </w:r>
      <w:r>
        <w:rPr>
          <w:noProof/>
          <w:szCs w:val="22"/>
        </w:rPr>
        <w:t xml:space="preserve">op findings: Expert judgement: Effect of the development of minimum </w:t>
      </w:r>
      <w:r>
        <w:rPr>
          <w:noProof/>
          <w:lang w:eastAsia="de-AT"/>
        </w:rPr>
        <w:t>quality requirements for reused water in agricultural irrigation and aquifer recharge</w:t>
      </w:r>
      <w:r>
        <w:rPr>
          <w:noProof/>
        </w:rPr>
        <w:t xml:space="preserve"> </w:t>
      </w:r>
      <w:r>
        <w:rPr>
          <w:noProof/>
          <w:szCs w:val="22"/>
        </w:rPr>
        <w:t>on government effectiveness</w:t>
      </w:r>
      <w:bookmarkEnd w:id="259"/>
    </w:p>
    <w:p w:rsidR="00AB50C5" w:rsidRDefault="00724275">
      <w:pPr>
        <w:pStyle w:val="Abbildung"/>
      </w:pPr>
      <w:r>
        <w:rPr>
          <w:lang w:eastAsia="en-GB"/>
        </w:rPr>
        <w:drawing>
          <wp:inline distT="0" distB="0" distL="0" distR="0" wp14:anchorId="1C34DA96" wp14:editId="32B27386">
            <wp:extent cx="5131558" cy="2385996"/>
            <wp:effectExtent l="0" t="0" r="0" b="0"/>
            <wp:docPr id="3594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email">
                      <a:extLst>
                        <a:ext uri="{28A0092B-C50C-407E-A947-70E740481C1C}">
                          <a14:useLocalDpi xmlns:a14="http://schemas.microsoft.com/office/drawing/2010/main"/>
                        </a:ext>
                      </a:extLst>
                    </a:blip>
                    <a:srcRect/>
                    <a:stretch>
                      <a:fillRect/>
                    </a:stretch>
                  </pic:blipFill>
                  <pic:spPr bwMode="auto">
                    <a:xfrm>
                      <a:off x="0" y="0"/>
                      <a:ext cx="5131624" cy="2386027"/>
                    </a:xfrm>
                    <a:prstGeom prst="rect">
                      <a:avLst/>
                    </a:prstGeom>
                    <a:noFill/>
                    <a:ln w="9525">
                      <a:noFill/>
                      <a:miter lim="800000"/>
                      <a:headEnd/>
                      <a:tailEnd/>
                    </a:ln>
                  </pic:spPr>
                </pic:pic>
              </a:graphicData>
            </a:graphic>
          </wp:inline>
        </w:drawing>
      </w:r>
    </w:p>
    <w:p w:rsidR="00AB50C5" w:rsidRDefault="00724275">
      <w:pPr>
        <w:pStyle w:val="Quelle"/>
        <w:rPr>
          <w:noProof/>
        </w:rPr>
      </w:pPr>
      <w:r>
        <w:rPr>
          <w:noProof/>
        </w:rPr>
        <w:t>Source: Territorial impact assessment expert workshop, Brussels, 5 April</w:t>
      </w:r>
      <w:r>
        <w:rPr>
          <w:noProof/>
        </w:rPr>
        <w:t xml:space="preserve"> 2017</w:t>
      </w:r>
    </w:p>
    <w:p w:rsidR="00AB50C5" w:rsidRDefault="00724275">
      <w:pPr>
        <w:pStyle w:val="Caption"/>
        <w:rPr>
          <w:noProof/>
          <w:szCs w:val="22"/>
        </w:rPr>
      </w:pPr>
      <w:bookmarkStart w:id="260" w:name="_Toc484768783"/>
      <w:r>
        <w:rPr>
          <w:noProof/>
        </w:rPr>
        <w:t xml:space="preserve">Figure </w:t>
      </w:r>
      <w:r>
        <w:rPr>
          <w:noProof/>
        </w:rPr>
        <w:fldChar w:fldCharType="begin"/>
      </w:r>
      <w:r>
        <w:rPr>
          <w:noProof/>
        </w:rPr>
        <w:instrText xml:space="preserve"> STYLEREF 1 \s </w:instrText>
      </w:r>
      <w:r>
        <w:rPr>
          <w:noProof/>
        </w:rPr>
        <w:fldChar w:fldCharType="separate"/>
      </w:r>
      <w:r>
        <w:rPr>
          <w:noProof/>
        </w:rPr>
        <w:t>6</w:t>
      </w:r>
      <w:r>
        <w:rPr>
          <w:noProof/>
        </w:rPr>
        <w:fldChar w:fldCharType="end"/>
      </w:r>
      <w:r>
        <w:rPr>
          <w:noProof/>
        </w:rPr>
        <w:t>.</w:t>
      </w:r>
      <w:r>
        <w:rPr>
          <w:noProof/>
        </w:rPr>
        <w:fldChar w:fldCharType="begin"/>
      </w:r>
      <w:r>
        <w:rPr>
          <w:noProof/>
        </w:rPr>
        <w:instrText xml:space="preserve"> SEQ Figure \* ARABIC \s 1 </w:instrText>
      </w:r>
      <w:r>
        <w:rPr>
          <w:noProof/>
        </w:rPr>
        <w:fldChar w:fldCharType="separate"/>
      </w:r>
      <w:r>
        <w:rPr>
          <w:noProof/>
        </w:rPr>
        <w:t>2</w:t>
      </w:r>
      <w:r>
        <w:rPr>
          <w:noProof/>
        </w:rPr>
        <w:fldChar w:fldCharType="end"/>
      </w:r>
      <w:r>
        <w:rPr>
          <w:noProof/>
        </w:rPr>
        <w:t xml:space="preserve">: </w:t>
      </w:r>
      <w:r>
        <w:rPr>
          <w:noProof/>
          <w:szCs w:val="22"/>
        </w:rPr>
        <w:t xml:space="preserve">Workshop findings: Expert judgement: Effect of the development of minimum </w:t>
      </w:r>
      <w:r>
        <w:rPr>
          <w:noProof/>
          <w:lang w:eastAsia="de-AT"/>
        </w:rPr>
        <w:t>quality requirements for reused water in agricultural irrigation and aquifer recharge on</w:t>
      </w:r>
      <w:r>
        <w:rPr>
          <w:noProof/>
        </w:rPr>
        <w:t xml:space="preserve"> </w:t>
      </w:r>
      <w:r>
        <w:rPr>
          <w:noProof/>
          <w:szCs w:val="22"/>
        </w:rPr>
        <w:t>government effectiveness in</w:t>
      </w:r>
      <w:r>
        <w:rPr>
          <w:noProof/>
          <w:szCs w:val="22"/>
        </w:rPr>
        <w:t xml:space="preserve"> rural regions</w:t>
      </w:r>
      <w:bookmarkEnd w:id="260"/>
    </w:p>
    <w:p w:rsidR="00AB50C5" w:rsidRDefault="00724275">
      <w:pPr>
        <w:pStyle w:val="Abbildung"/>
        <w:rPr>
          <w:lang w:eastAsia="en-US"/>
        </w:rPr>
      </w:pPr>
      <w:r>
        <w:rPr>
          <w:lang w:eastAsia="en-GB"/>
        </w:rPr>
        <w:drawing>
          <wp:inline distT="0" distB="0" distL="0" distR="0" wp14:anchorId="0306BD04" wp14:editId="348DF40F">
            <wp:extent cx="5152029" cy="2395514"/>
            <wp:effectExtent l="0" t="0" r="0" b="5080"/>
            <wp:docPr id="35945"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3" cstate="email">
                      <a:extLst>
                        <a:ext uri="{28A0092B-C50C-407E-A947-70E740481C1C}">
                          <a14:useLocalDpi xmlns:a14="http://schemas.microsoft.com/office/drawing/2010/main"/>
                        </a:ext>
                      </a:extLst>
                    </a:blip>
                    <a:srcRect/>
                    <a:stretch>
                      <a:fillRect/>
                    </a:stretch>
                  </pic:blipFill>
                  <pic:spPr bwMode="auto">
                    <a:xfrm>
                      <a:off x="0" y="0"/>
                      <a:ext cx="5152095" cy="2395545"/>
                    </a:xfrm>
                    <a:prstGeom prst="rect">
                      <a:avLst/>
                    </a:prstGeom>
                    <a:noFill/>
                    <a:ln w="9525">
                      <a:noFill/>
                      <a:miter lim="800000"/>
                      <a:headEnd/>
                      <a:tailEnd/>
                    </a:ln>
                  </pic:spPr>
                </pic:pic>
              </a:graphicData>
            </a:graphic>
          </wp:inline>
        </w:drawing>
      </w:r>
    </w:p>
    <w:p w:rsidR="00AB50C5" w:rsidRDefault="00724275">
      <w:pPr>
        <w:pStyle w:val="Quelle"/>
        <w:rPr>
          <w:noProof/>
        </w:rPr>
      </w:pPr>
      <w:r>
        <w:rPr>
          <w:noProof/>
        </w:rPr>
        <w:t>Source: Territorial impact assessment expert workshop, Brussels, 5 April 2017</w:t>
      </w:r>
    </w:p>
    <w:p w:rsidR="00AB50C5" w:rsidRDefault="00724275">
      <w:pPr>
        <w:pStyle w:val="EText"/>
        <w:spacing w:line="240" w:lineRule="auto"/>
        <w:rPr>
          <w:rFonts w:ascii="Times New Roman" w:hAnsi="Times New Roman"/>
          <w:noProof/>
          <w:sz w:val="24"/>
          <w:szCs w:val="24"/>
          <w:lang w:eastAsia="fr-BE"/>
        </w:rPr>
      </w:pPr>
      <w:r>
        <w:rPr>
          <w:rFonts w:ascii="Times New Roman" w:hAnsi="Times New Roman"/>
          <w:noProof/>
          <w:sz w:val="24"/>
          <w:szCs w:val="24"/>
          <w:lang w:eastAsia="fr-BE"/>
        </w:rPr>
        <w:t>The sensitivity of government effectiveness is measured by the indicator being part of the Regional Competiveness Index. Regions with low government effectivenes</w:t>
      </w:r>
      <w:r>
        <w:rPr>
          <w:rFonts w:ascii="Times New Roman" w:hAnsi="Times New Roman"/>
          <w:noProof/>
          <w:sz w:val="24"/>
          <w:szCs w:val="24"/>
          <w:lang w:eastAsia="fr-BE"/>
        </w:rPr>
        <w:t xml:space="preserve">s will benefit more from the implementation of new standards of administration than regions that already have high standards of their administration. </w:t>
      </w:r>
    </w:p>
    <w:p w:rsidR="00AB50C5" w:rsidRDefault="00724275">
      <w:pPr>
        <w:pStyle w:val="EText"/>
        <w:spacing w:line="240" w:lineRule="auto"/>
        <w:rPr>
          <w:rFonts w:ascii="Times New Roman" w:hAnsi="Times New Roman"/>
          <w:noProof/>
          <w:sz w:val="24"/>
          <w:szCs w:val="24"/>
          <w:u w:val="single"/>
        </w:rPr>
      </w:pPr>
      <w:r>
        <w:rPr>
          <w:rFonts w:ascii="Times New Roman" w:hAnsi="Times New Roman"/>
          <w:noProof/>
          <w:sz w:val="24"/>
          <w:szCs w:val="24"/>
        </w:rPr>
        <w:t xml:space="preserve">The following map shows the potential territorial impact of setting minimum </w:t>
      </w:r>
      <w:r>
        <w:rPr>
          <w:rFonts w:ascii="Times New Roman" w:hAnsi="Times New Roman"/>
          <w:noProof/>
          <w:sz w:val="24"/>
          <w:szCs w:val="24"/>
          <w:lang w:eastAsia="de-AT"/>
        </w:rPr>
        <w:t xml:space="preserve">quality requirements for </w:t>
      </w:r>
      <w:r>
        <w:rPr>
          <w:rFonts w:ascii="Times New Roman" w:hAnsi="Times New Roman"/>
          <w:noProof/>
          <w:sz w:val="24"/>
          <w:szCs w:val="24"/>
          <w:lang w:eastAsia="de-AT"/>
        </w:rPr>
        <w:t>reused water in agricultural irrigation and aquifer recharge</w:t>
      </w:r>
      <w:r>
        <w:rPr>
          <w:rFonts w:ascii="Times New Roman" w:hAnsi="Times New Roman"/>
          <w:noProof/>
          <w:sz w:val="24"/>
          <w:szCs w:val="24"/>
        </w:rPr>
        <w:t xml:space="preserve"> </w:t>
      </w:r>
      <w:r>
        <w:rPr>
          <w:rFonts w:ascii="Times New Roman" w:hAnsi="Times New Roman"/>
          <w:noProof/>
          <w:kern w:val="32"/>
          <w:sz w:val="24"/>
          <w:szCs w:val="24"/>
        </w:rPr>
        <w:t xml:space="preserve">on </w:t>
      </w:r>
      <w:r>
        <w:rPr>
          <w:rFonts w:ascii="Times New Roman" w:hAnsi="Times New Roman"/>
          <w:noProof/>
          <w:sz w:val="24"/>
          <w:szCs w:val="24"/>
          <w:lang w:eastAsia="en-US"/>
        </w:rPr>
        <w:t>government effectiveness</w:t>
      </w:r>
      <w:r>
        <w:rPr>
          <w:rFonts w:ascii="Times New Roman" w:hAnsi="Times New Roman"/>
          <w:noProof/>
          <w:sz w:val="24"/>
          <w:szCs w:val="24"/>
        </w:rPr>
        <w:t xml:space="preserve"> combining the expert judgement of the weakly advantageous effect with the corresponding sensitivity. </w:t>
      </w:r>
      <w:r>
        <w:rPr>
          <w:rFonts w:ascii="Times New Roman" w:hAnsi="Times New Roman"/>
          <w:noProof/>
          <w:sz w:val="24"/>
          <w:szCs w:val="24"/>
          <w:u w:val="single"/>
        </w:rPr>
        <w:t>Eastern European regions in Latvia, Lithuania, Poland, Romania and</w:t>
      </w:r>
      <w:r>
        <w:rPr>
          <w:rFonts w:ascii="Times New Roman" w:hAnsi="Times New Roman"/>
          <w:noProof/>
          <w:sz w:val="24"/>
          <w:szCs w:val="24"/>
          <w:u w:val="single"/>
        </w:rPr>
        <w:t xml:space="preserve"> Bulgaria as well as Italian and Greek regions and some Spanish regions could gain a moderate to high positive impact on government effectiveness. Most of the other regions would gain a minor positive impact. </w:t>
      </w:r>
    </w:p>
    <w:p w:rsidR="00AB50C5" w:rsidRDefault="00724275">
      <w:pPr>
        <w:pStyle w:val="Caption"/>
        <w:rPr>
          <w:noProof/>
        </w:rPr>
      </w:pPr>
      <w:bookmarkStart w:id="261" w:name="_Toc484768794"/>
      <w:r>
        <w:rPr>
          <w:noProof/>
        </w:rPr>
        <w:br w:type="page"/>
      </w:r>
    </w:p>
    <w:p w:rsidR="00AB50C5" w:rsidRDefault="00724275">
      <w:pPr>
        <w:pStyle w:val="Caption"/>
        <w:rPr>
          <w:noProof/>
        </w:rPr>
      </w:pPr>
      <w:r>
        <w:rPr>
          <w:noProof/>
        </w:rPr>
        <w:t xml:space="preserve">Map </w:t>
      </w:r>
      <w:r>
        <w:rPr>
          <w:noProof/>
        </w:rPr>
        <w:fldChar w:fldCharType="begin"/>
      </w:r>
      <w:r>
        <w:rPr>
          <w:noProof/>
        </w:rPr>
        <w:instrText xml:space="preserve"> STYLEREF 1 \s </w:instrText>
      </w:r>
      <w:r>
        <w:rPr>
          <w:noProof/>
        </w:rPr>
        <w:fldChar w:fldCharType="separate"/>
      </w:r>
      <w:r>
        <w:rPr>
          <w:noProof/>
        </w:rPr>
        <w:t>6</w:t>
      </w:r>
      <w:r>
        <w:rPr>
          <w:noProof/>
        </w:rPr>
        <w:fldChar w:fldCharType="end"/>
      </w:r>
      <w:r>
        <w:rPr>
          <w:noProof/>
        </w:rPr>
        <w:t>.</w:t>
      </w:r>
      <w:r>
        <w:rPr>
          <w:noProof/>
        </w:rPr>
        <w:fldChar w:fldCharType="begin"/>
      </w:r>
      <w:r>
        <w:rPr>
          <w:noProof/>
        </w:rPr>
        <w:instrText xml:space="preserve"> SEQ Map \* ARABIC \</w:instrText>
      </w:r>
      <w:r>
        <w:rPr>
          <w:noProof/>
        </w:rPr>
        <w:instrText xml:space="preserve">s 1 </w:instrText>
      </w:r>
      <w:r>
        <w:rPr>
          <w:noProof/>
        </w:rPr>
        <w:fldChar w:fldCharType="separate"/>
      </w:r>
      <w:r>
        <w:rPr>
          <w:noProof/>
        </w:rPr>
        <w:t>1</w:t>
      </w:r>
      <w:r>
        <w:rPr>
          <w:noProof/>
        </w:rPr>
        <w:fldChar w:fldCharType="end"/>
      </w:r>
      <w:r>
        <w:rPr>
          <w:noProof/>
        </w:rPr>
        <w:t xml:space="preserve">: Result of the expert judgement: Government effectiveness affected by the </w:t>
      </w:r>
      <w:r>
        <w:rPr>
          <w:noProof/>
          <w:lang w:eastAsia="de-AT"/>
        </w:rPr>
        <w:t>development of minimum quality requirements for reused water in agricultural irrigation and aquifer recharge</w:t>
      </w:r>
      <w:r>
        <w:rPr>
          <w:noProof/>
        </w:rPr>
        <w:t xml:space="preserve"> – expert judgement: weak advantageous effect</w:t>
      </w:r>
      <w:bookmarkEnd w:id="261"/>
    </w:p>
    <w:p w:rsidR="00AB50C5" w:rsidRDefault="00724275">
      <w:pPr>
        <w:pStyle w:val="Abbildung"/>
      </w:pPr>
      <w:r>
        <w:rPr>
          <w:lang w:eastAsia="en-GB"/>
        </w:rPr>
        <w:drawing>
          <wp:inline distT="0" distB="0" distL="0" distR="0" wp14:anchorId="44D8A05E" wp14:editId="458D1A7A">
            <wp:extent cx="5264150" cy="5862549"/>
            <wp:effectExtent l="0" t="0" r="0" b="5080"/>
            <wp:docPr id="3594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 regions_Government Effectiveness+.jpeg"/>
                    <pic:cNvPicPr/>
                  </pic:nvPicPr>
                  <pic:blipFill rotWithShape="1">
                    <a:blip r:embed="rId94" cstate="email">
                      <a:extLst>
                        <a:ext uri="{28A0092B-C50C-407E-A947-70E740481C1C}">
                          <a14:useLocalDpi xmlns:a14="http://schemas.microsoft.com/office/drawing/2010/main"/>
                        </a:ext>
                      </a:extLst>
                    </a:blip>
                    <a:srcRect/>
                    <a:stretch/>
                  </pic:blipFill>
                  <pic:spPr bwMode="auto">
                    <a:xfrm>
                      <a:off x="0" y="0"/>
                      <a:ext cx="5268055" cy="5866898"/>
                    </a:xfrm>
                    <a:prstGeom prst="rect">
                      <a:avLst/>
                    </a:prstGeom>
                    <a:ln>
                      <a:noFill/>
                    </a:ln>
                    <a:extLst>
                      <a:ext uri="{53640926-AAD7-44D8-BBD7-CCE9431645EC}">
                        <a14:shadowObscured xmlns:a14="http://schemas.microsoft.com/office/drawing/2010/main"/>
                      </a:ext>
                    </a:extLst>
                  </pic:spPr>
                </pic:pic>
              </a:graphicData>
            </a:graphic>
          </wp:inline>
        </w:drawing>
      </w:r>
    </w:p>
    <w:p w:rsidR="00AB50C5" w:rsidRDefault="00724275">
      <w:pPr>
        <w:pStyle w:val="Quelle"/>
        <w:rPr>
          <w:noProof/>
        </w:rPr>
      </w:pPr>
      <w:r>
        <w:rPr>
          <w:noProof/>
        </w:rPr>
        <w:t>Source: Territori</w:t>
      </w:r>
      <w:r>
        <w:rPr>
          <w:noProof/>
        </w:rPr>
        <w:t>al impact assessment expert workshop, Brussels, 5 April 2017</w:t>
      </w:r>
    </w:p>
    <w:p w:rsidR="00AB50C5" w:rsidRDefault="00724275">
      <w:pPr>
        <w:pStyle w:val="Heading1"/>
        <w:keepNext w:val="0"/>
        <w:pageBreakBefore/>
        <w:numPr>
          <w:ilvl w:val="0"/>
          <w:numId w:val="133"/>
        </w:numPr>
        <w:spacing w:before="0" w:after="160"/>
        <w:ind w:left="431" w:hanging="431"/>
        <w:jc w:val="left"/>
        <w:rPr>
          <w:noProof/>
        </w:rPr>
      </w:pPr>
      <w:bookmarkStart w:id="262" w:name="_Toc484768735"/>
      <w:bookmarkStart w:id="263" w:name="_Toc516234822"/>
      <w:r>
        <w:rPr>
          <w:noProof/>
        </w:rPr>
        <w:t>Conclusions and policy implications</w:t>
      </w:r>
      <w:bookmarkEnd w:id="262"/>
      <w:bookmarkEnd w:id="263"/>
    </w:p>
    <w:p w:rsidR="00AB50C5" w:rsidRDefault="00724275">
      <w:pPr>
        <w:pStyle w:val="Heading2"/>
        <w:numPr>
          <w:ilvl w:val="1"/>
          <w:numId w:val="133"/>
        </w:numPr>
        <w:spacing w:before="60" w:after="160"/>
        <w:ind w:left="578" w:hanging="578"/>
        <w:jc w:val="left"/>
        <w:rPr>
          <w:noProof/>
        </w:rPr>
      </w:pPr>
      <w:bookmarkStart w:id="264" w:name="_Toc484768736"/>
      <w:bookmarkStart w:id="265" w:name="_Toc516234823"/>
      <w:r>
        <w:rPr>
          <w:noProof/>
        </w:rPr>
        <w:t>Findings based on the results of the TIA Quick check</w:t>
      </w:r>
      <w:bookmarkEnd w:id="264"/>
      <w:bookmarkEnd w:id="265"/>
    </w:p>
    <w:p w:rsidR="00AB50C5" w:rsidRDefault="00724275">
      <w:pPr>
        <w:pStyle w:val="EText"/>
        <w:spacing w:line="240" w:lineRule="auto"/>
        <w:rPr>
          <w:rFonts w:ascii="Times New Roman" w:hAnsi="Times New Roman"/>
          <w:b/>
          <w:noProof/>
          <w:sz w:val="24"/>
          <w:szCs w:val="24"/>
          <w:u w:val="single"/>
          <w:lang w:eastAsia="en-US"/>
        </w:rPr>
      </w:pPr>
      <w:r>
        <w:rPr>
          <w:rFonts w:ascii="Times New Roman" w:hAnsi="Times New Roman"/>
          <w:noProof/>
          <w:sz w:val="24"/>
          <w:szCs w:val="24"/>
        </w:rPr>
        <w:t xml:space="preserve">The effects of setting minimum </w:t>
      </w:r>
      <w:r>
        <w:rPr>
          <w:rFonts w:ascii="Times New Roman" w:hAnsi="Times New Roman"/>
          <w:noProof/>
          <w:sz w:val="24"/>
          <w:szCs w:val="24"/>
          <w:lang w:eastAsia="de-AT"/>
        </w:rPr>
        <w:t xml:space="preserve">quality requirements for reused water in agricultural irrigation and aquifer recharge will mainly concentrate on regions with an important share of </w:t>
      </w:r>
      <w:r>
        <w:rPr>
          <w:rFonts w:ascii="Times New Roman" w:hAnsi="Times New Roman"/>
          <w:noProof/>
          <w:kern w:val="32"/>
          <w:sz w:val="24"/>
          <w:szCs w:val="24"/>
        </w:rPr>
        <w:t>agriculture depending on</w:t>
      </w:r>
      <w:r>
        <w:rPr>
          <w:rFonts w:ascii="Times New Roman" w:hAnsi="Times New Roman"/>
          <w:noProof/>
          <w:sz w:val="24"/>
          <w:szCs w:val="24"/>
          <w:lang w:eastAsia="en-US"/>
        </w:rPr>
        <w:t xml:space="preserve"> irrigated land,</w:t>
      </w:r>
      <w:r>
        <w:rPr>
          <w:rFonts w:ascii="Times New Roman" w:hAnsi="Times New Roman"/>
          <w:noProof/>
          <w:sz w:val="24"/>
          <w:szCs w:val="24"/>
          <w:lang w:eastAsia="de-AT"/>
        </w:rPr>
        <w:t xml:space="preserve"> and considering the experts expectation of a weakly advantageous ef</w:t>
      </w:r>
      <w:r>
        <w:rPr>
          <w:rFonts w:ascii="Times New Roman" w:hAnsi="Times New Roman"/>
          <w:noProof/>
          <w:sz w:val="24"/>
          <w:szCs w:val="24"/>
          <w:lang w:eastAsia="de-AT"/>
        </w:rPr>
        <w:t xml:space="preserve">fect, </w:t>
      </w:r>
      <w:r>
        <w:rPr>
          <w:rFonts w:ascii="Times New Roman" w:hAnsi="Times New Roman"/>
          <w:noProof/>
          <w:sz w:val="24"/>
          <w:szCs w:val="24"/>
          <w:u w:val="single"/>
          <w:lang w:eastAsia="de-AT"/>
        </w:rPr>
        <w:t xml:space="preserve">only 4.8% of the regions </w:t>
      </w:r>
      <w:r>
        <w:rPr>
          <w:rFonts w:ascii="Times New Roman" w:hAnsi="Times New Roman"/>
          <w:noProof/>
          <w:sz w:val="24"/>
          <w:szCs w:val="24"/>
          <w:u w:val="single"/>
          <w:lang w:eastAsia="en-US"/>
        </w:rPr>
        <w:t xml:space="preserve">could generate a moderate or highly positive impact: Spanish regions on the Mediterranean coast, Greek regions on the Northern coast of the Aegean Sea and Italian regions around Torino. All other regions could gain just </w:t>
      </w:r>
      <w:r>
        <w:rPr>
          <w:rFonts w:ascii="Times New Roman" w:hAnsi="Times New Roman"/>
          <w:noProof/>
          <w:sz w:val="24"/>
          <w:szCs w:val="24"/>
          <w:u w:val="single"/>
        </w:rPr>
        <w:t xml:space="preserve">a </w:t>
      </w:r>
      <w:r>
        <w:rPr>
          <w:rFonts w:ascii="Times New Roman" w:hAnsi="Times New Roman"/>
          <w:noProof/>
          <w:sz w:val="24"/>
          <w:szCs w:val="24"/>
          <w:u w:val="single"/>
        </w:rPr>
        <w:t>minor positive impact.</w:t>
      </w:r>
    </w:p>
    <w:p w:rsidR="00AB50C5" w:rsidRDefault="00724275">
      <w:pPr>
        <w:pStyle w:val="Caption"/>
        <w:rPr>
          <w:noProof/>
        </w:rPr>
      </w:pPr>
      <w:bookmarkStart w:id="266" w:name="_Toc484768795"/>
      <w:r>
        <w:rPr>
          <w:noProof/>
        </w:rPr>
        <w:t xml:space="preserve">Map </w:t>
      </w:r>
      <w:r>
        <w:rPr>
          <w:noProof/>
        </w:rPr>
        <w:fldChar w:fldCharType="begin"/>
      </w:r>
      <w:r>
        <w:rPr>
          <w:noProof/>
        </w:rPr>
        <w:instrText xml:space="preserve"> STYLEREF 1 \s </w:instrText>
      </w:r>
      <w:r>
        <w:rPr>
          <w:noProof/>
        </w:rPr>
        <w:fldChar w:fldCharType="separate"/>
      </w:r>
      <w:r>
        <w:rPr>
          <w:noProof/>
        </w:rPr>
        <w:t>7</w:t>
      </w:r>
      <w:r>
        <w:rPr>
          <w:noProof/>
        </w:rPr>
        <w:fldChar w:fldCharType="end"/>
      </w:r>
      <w:r>
        <w:rPr>
          <w:noProof/>
        </w:rPr>
        <w:t>.</w:t>
      </w:r>
      <w:r>
        <w:rPr>
          <w:noProof/>
        </w:rPr>
        <w:fldChar w:fldCharType="begin"/>
      </w:r>
      <w:r>
        <w:rPr>
          <w:noProof/>
        </w:rPr>
        <w:instrText xml:space="preserve"> SEQ Map \* ARABIC \s 1 </w:instrText>
      </w:r>
      <w:r>
        <w:rPr>
          <w:noProof/>
        </w:rPr>
        <w:fldChar w:fldCharType="separate"/>
      </w:r>
      <w:r>
        <w:rPr>
          <w:noProof/>
        </w:rPr>
        <w:t>1</w:t>
      </w:r>
      <w:r>
        <w:rPr>
          <w:noProof/>
        </w:rPr>
        <w:fldChar w:fldCharType="end"/>
      </w:r>
      <w:r>
        <w:rPr>
          <w:noProof/>
        </w:rPr>
        <w:t xml:space="preserve">: Result of the expert judgement: </w:t>
      </w:r>
      <w:r>
        <w:rPr>
          <w:noProof/>
          <w:kern w:val="32"/>
        </w:rPr>
        <w:t>Agriculture depending on</w:t>
      </w:r>
      <w:r>
        <w:rPr>
          <w:noProof/>
        </w:rPr>
        <w:t xml:space="preserve"> irrigated land affected by the </w:t>
      </w:r>
      <w:r>
        <w:rPr>
          <w:noProof/>
          <w:lang w:eastAsia="de-AT"/>
        </w:rPr>
        <w:t>development of minimum quality requirements for reused water in agricultural irrigation and</w:t>
      </w:r>
      <w:r>
        <w:rPr>
          <w:noProof/>
          <w:lang w:eastAsia="de-AT"/>
        </w:rPr>
        <w:t xml:space="preserve"> aquifer recharge</w:t>
      </w:r>
      <w:r>
        <w:rPr>
          <w:noProof/>
        </w:rPr>
        <w:t xml:space="preserve"> – expert judgement: weak advantageous effect</w:t>
      </w:r>
      <w:bookmarkEnd w:id="266"/>
    </w:p>
    <w:p w:rsidR="00AB50C5" w:rsidRDefault="00724275">
      <w:pPr>
        <w:pStyle w:val="Abbildung"/>
      </w:pPr>
      <w:r>
        <w:rPr>
          <w:lang w:eastAsia="en-GB"/>
        </w:rPr>
        <w:drawing>
          <wp:inline distT="0" distB="0" distL="0" distR="0" wp14:anchorId="513D9C7A" wp14:editId="43A8CC36">
            <wp:extent cx="5258211" cy="5561463"/>
            <wp:effectExtent l="0" t="0" r="0" b="1270"/>
            <wp:docPr id="35947" name="Grafik 23" descr="All regions_NEW share of irregated lan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 regions_NEW share of irregated land.jpeg"/>
                    <pic:cNvPicPr/>
                  </pic:nvPicPr>
                  <pic:blipFill rotWithShape="1">
                    <a:blip r:embed="rId95" cstate="email">
                      <a:extLst>
                        <a:ext uri="{28A0092B-C50C-407E-A947-70E740481C1C}">
                          <a14:useLocalDpi xmlns:a14="http://schemas.microsoft.com/office/drawing/2010/main"/>
                        </a:ext>
                      </a:extLst>
                    </a:blip>
                    <a:srcRect/>
                    <a:stretch/>
                  </pic:blipFill>
                  <pic:spPr bwMode="auto">
                    <a:xfrm>
                      <a:off x="0" y="0"/>
                      <a:ext cx="5256000" cy="5559125"/>
                    </a:xfrm>
                    <a:prstGeom prst="rect">
                      <a:avLst/>
                    </a:prstGeom>
                    <a:ln>
                      <a:noFill/>
                    </a:ln>
                    <a:extLst>
                      <a:ext uri="{53640926-AAD7-44D8-BBD7-CCE9431645EC}">
                        <a14:shadowObscured xmlns:a14="http://schemas.microsoft.com/office/drawing/2010/main"/>
                      </a:ext>
                    </a:extLst>
                  </pic:spPr>
                </pic:pic>
              </a:graphicData>
            </a:graphic>
          </wp:inline>
        </w:drawing>
      </w:r>
    </w:p>
    <w:p w:rsidR="00AB50C5" w:rsidRDefault="00724275">
      <w:pPr>
        <w:pStyle w:val="Quelle"/>
        <w:rPr>
          <w:noProof/>
        </w:rPr>
      </w:pPr>
      <w:r>
        <w:rPr>
          <w:noProof/>
        </w:rPr>
        <w:t>Source: Territorial impact assessment expert workshop, Brussels, 5 April 2017</w:t>
      </w:r>
    </w:p>
    <w:p w:rsidR="00AB50C5" w:rsidRDefault="00724275">
      <w:pPr>
        <w:pStyle w:val="EText"/>
        <w:spacing w:line="240" w:lineRule="auto"/>
        <w:rPr>
          <w:rFonts w:ascii="Times New Roman" w:hAnsi="Times New Roman"/>
          <w:b/>
          <w:noProof/>
          <w:sz w:val="24"/>
          <w:szCs w:val="24"/>
          <w:u w:val="single"/>
          <w:lang w:eastAsia="de-AT"/>
        </w:rPr>
      </w:pPr>
      <w:r>
        <w:rPr>
          <w:rFonts w:ascii="Times New Roman" w:hAnsi="Times New Roman"/>
          <w:noProof/>
          <w:sz w:val="24"/>
          <w:szCs w:val="24"/>
          <w:u w:val="single"/>
        </w:rPr>
        <w:t xml:space="preserve">More benefits from setting minimum quality requirements for the reuse of wastewater </w:t>
      </w:r>
      <w:r>
        <w:rPr>
          <w:rFonts w:ascii="Times New Roman" w:hAnsi="Times New Roman"/>
          <w:noProof/>
          <w:sz w:val="24"/>
          <w:szCs w:val="24"/>
          <w:u w:val="single"/>
          <w:lang w:eastAsia="de-AT"/>
        </w:rPr>
        <w:t>and aquifer recharge would pr</w:t>
      </w:r>
      <w:r>
        <w:rPr>
          <w:rFonts w:ascii="Times New Roman" w:hAnsi="Times New Roman"/>
          <w:noProof/>
          <w:sz w:val="24"/>
          <w:szCs w:val="24"/>
          <w:u w:val="single"/>
          <w:lang w:eastAsia="de-AT"/>
        </w:rPr>
        <w:t>obably mainly concentrate on regions suffering from water scarcity, which are mainly regions endangered by droughts.</w:t>
      </w:r>
      <w:r>
        <w:rPr>
          <w:rFonts w:ascii="Times New Roman" w:hAnsi="Times New Roman"/>
          <w:noProof/>
          <w:sz w:val="24"/>
          <w:szCs w:val="24"/>
          <w:lang w:eastAsia="de-AT"/>
        </w:rPr>
        <w:t xml:space="preserve"> The majority of experts expected positive effects for such regions. The map combining the </w:t>
      </w:r>
      <w:r>
        <w:rPr>
          <w:rFonts w:ascii="Times New Roman" w:hAnsi="Times New Roman"/>
          <w:noProof/>
          <w:sz w:val="24"/>
          <w:szCs w:val="24"/>
        </w:rPr>
        <w:t>expert judgement of a weak advantageous effect wi</w:t>
      </w:r>
      <w:r>
        <w:rPr>
          <w:rFonts w:ascii="Times New Roman" w:hAnsi="Times New Roman"/>
          <w:noProof/>
          <w:sz w:val="24"/>
          <w:szCs w:val="24"/>
        </w:rPr>
        <w:t xml:space="preserve">th the corresponding sensitivity of regions facing droughts shows that </w:t>
      </w:r>
      <w:r>
        <w:rPr>
          <w:rFonts w:ascii="Times New Roman" w:hAnsi="Times New Roman"/>
          <w:b/>
          <w:noProof/>
          <w:sz w:val="24"/>
          <w:szCs w:val="24"/>
          <w:u w:val="single"/>
        </w:rPr>
        <w:t>about 24% of the regions could gain a moderate positive impact. They are situated in the South of Europe (Portugal, Spain, the Mediterranean coast of France, Italy, Greece, Cyprus) in E</w:t>
      </w:r>
      <w:r>
        <w:rPr>
          <w:rFonts w:ascii="Times New Roman" w:hAnsi="Times New Roman"/>
          <w:b/>
          <w:noProof/>
          <w:sz w:val="24"/>
          <w:szCs w:val="24"/>
          <w:u w:val="single"/>
        </w:rPr>
        <w:t>ast of Europe (East of Poland, South of Hungary, parts of Romania and Bulgaria) and in the centre of France. Only 1% of the regions located in the South of Portugal, in the very South of Italy and Haute-Corse could gain a high impact. The majority of 75% o</w:t>
      </w:r>
      <w:r>
        <w:rPr>
          <w:rFonts w:ascii="Times New Roman" w:hAnsi="Times New Roman"/>
          <w:b/>
          <w:noProof/>
          <w:sz w:val="24"/>
          <w:szCs w:val="24"/>
          <w:u w:val="single"/>
        </w:rPr>
        <w:t>f the regions would face only a minor impact.</w:t>
      </w:r>
    </w:p>
    <w:p w:rsidR="00AB50C5" w:rsidRDefault="00724275">
      <w:pPr>
        <w:pStyle w:val="Caption"/>
        <w:rPr>
          <w:noProof/>
        </w:rPr>
      </w:pPr>
      <w:bookmarkStart w:id="267" w:name="_Toc484768796"/>
      <w:r>
        <w:rPr>
          <w:noProof/>
        </w:rPr>
        <w:t xml:space="preserve">Map </w:t>
      </w:r>
      <w:r>
        <w:rPr>
          <w:noProof/>
        </w:rPr>
        <w:fldChar w:fldCharType="begin"/>
      </w:r>
      <w:r>
        <w:rPr>
          <w:noProof/>
        </w:rPr>
        <w:instrText xml:space="preserve"> STYLEREF 1 \s </w:instrText>
      </w:r>
      <w:r>
        <w:rPr>
          <w:noProof/>
        </w:rPr>
        <w:fldChar w:fldCharType="separate"/>
      </w:r>
      <w:r>
        <w:rPr>
          <w:noProof/>
        </w:rPr>
        <w:t>7</w:t>
      </w:r>
      <w:r>
        <w:rPr>
          <w:noProof/>
        </w:rPr>
        <w:fldChar w:fldCharType="end"/>
      </w:r>
      <w:r>
        <w:rPr>
          <w:noProof/>
        </w:rPr>
        <w:t>.</w:t>
      </w:r>
      <w:r>
        <w:rPr>
          <w:noProof/>
        </w:rPr>
        <w:fldChar w:fldCharType="begin"/>
      </w:r>
      <w:r>
        <w:rPr>
          <w:noProof/>
        </w:rPr>
        <w:instrText xml:space="preserve"> SEQ Map \* ARABIC \s 1 </w:instrText>
      </w:r>
      <w:r>
        <w:rPr>
          <w:noProof/>
        </w:rPr>
        <w:fldChar w:fldCharType="separate"/>
      </w:r>
      <w:r>
        <w:rPr>
          <w:noProof/>
        </w:rPr>
        <w:t>2</w:t>
      </w:r>
      <w:r>
        <w:rPr>
          <w:noProof/>
        </w:rPr>
        <w:fldChar w:fldCharType="end"/>
      </w:r>
      <w:r>
        <w:rPr>
          <w:noProof/>
        </w:rPr>
        <w:t xml:space="preserve">: Result of the expert judgement: </w:t>
      </w:r>
      <w:r>
        <w:rPr>
          <w:noProof/>
          <w:kern w:val="32"/>
        </w:rPr>
        <w:t>Regions facing danger of droughts</w:t>
      </w:r>
      <w:r>
        <w:rPr>
          <w:noProof/>
        </w:rPr>
        <w:t xml:space="preserve"> affected by the </w:t>
      </w:r>
      <w:r>
        <w:rPr>
          <w:noProof/>
          <w:lang w:eastAsia="de-AT"/>
        </w:rPr>
        <w:t>development of minimum quality requirements for reused water in agricultur</w:t>
      </w:r>
      <w:r>
        <w:rPr>
          <w:noProof/>
          <w:lang w:eastAsia="de-AT"/>
        </w:rPr>
        <w:t>al irrigation and aquifer recharge</w:t>
      </w:r>
      <w:r>
        <w:rPr>
          <w:noProof/>
        </w:rPr>
        <w:t xml:space="preserve"> – expert judgement: weak advantageous effect</w:t>
      </w:r>
      <w:bookmarkEnd w:id="267"/>
    </w:p>
    <w:p w:rsidR="00AB50C5" w:rsidRDefault="00724275">
      <w:pPr>
        <w:pStyle w:val="Abbildung"/>
      </w:pPr>
      <w:r>
        <w:rPr>
          <w:lang w:eastAsia="en-GB"/>
        </w:rPr>
        <w:drawing>
          <wp:inline distT="0" distB="0" distL="0" distR="0" wp14:anchorId="3DAF0FEE" wp14:editId="0002EEEA">
            <wp:extent cx="5240114" cy="5650173"/>
            <wp:effectExtent l="0" t="0" r="0" b="8255"/>
            <wp:docPr id="35948"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 regions_NEW drought.jpeg"/>
                    <pic:cNvPicPr/>
                  </pic:nvPicPr>
                  <pic:blipFill rotWithShape="1">
                    <a:blip r:embed="rId96" cstate="email">
                      <a:extLst>
                        <a:ext uri="{28A0092B-C50C-407E-A947-70E740481C1C}">
                          <a14:useLocalDpi xmlns:a14="http://schemas.microsoft.com/office/drawing/2010/main"/>
                        </a:ext>
                      </a:extLst>
                    </a:blip>
                    <a:srcRect/>
                    <a:stretch/>
                  </pic:blipFill>
                  <pic:spPr bwMode="auto">
                    <a:xfrm>
                      <a:off x="0" y="0"/>
                      <a:ext cx="5242537" cy="5652786"/>
                    </a:xfrm>
                    <a:prstGeom prst="rect">
                      <a:avLst/>
                    </a:prstGeom>
                    <a:ln>
                      <a:noFill/>
                    </a:ln>
                    <a:extLst>
                      <a:ext uri="{53640926-AAD7-44D8-BBD7-CCE9431645EC}">
                        <a14:shadowObscured xmlns:a14="http://schemas.microsoft.com/office/drawing/2010/main"/>
                      </a:ext>
                    </a:extLst>
                  </pic:spPr>
                </pic:pic>
              </a:graphicData>
            </a:graphic>
          </wp:inline>
        </w:drawing>
      </w:r>
    </w:p>
    <w:p w:rsidR="00AB50C5" w:rsidRDefault="00724275">
      <w:pPr>
        <w:pStyle w:val="Quelle"/>
        <w:rPr>
          <w:noProof/>
        </w:rPr>
      </w:pPr>
      <w:r>
        <w:rPr>
          <w:noProof/>
        </w:rPr>
        <w:t>Source: Territorial impact assessment expert workshop, Brussels, 5 April 2017</w:t>
      </w:r>
    </w:p>
    <w:p w:rsidR="00AB50C5" w:rsidRDefault="00724275">
      <w:pPr>
        <w:pStyle w:val="EText"/>
        <w:spacing w:line="240" w:lineRule="auto"/>
        <w:rPr>
          <w:rFonts w:ascii="Times New Roman" w:hAnsi="Times New Roman"/>
          <w:b/>
          <w:noProof/>
          <w:sz w:val="24"/>
          <w:szCs w:val="24"/>
          <w:u w:val="single"/>
          <w:lang w:eastAsia="de-AT"/>
        </w:rPr>
      </w:pPr>
      <w:r>
        <w:rPr>
          <w:rFonts w:ascii="Times New Roman" w:hAnsi="Times New Roman"/>
          <w:noProof/>
          <w:sz w:val="24"/>
          <w:szCs w:val="24"/>
        </w:rPr>
        <w:t xml:space="preserve">Taking into account that only 5% of regions with </w:t>
      </w:r>
      <w:r>
        <w:rPr>
          <w:rFonts w:ascii="Times New Roman" w:hAnsi="Times New Roman"/>
          <w:noProof/>
          <w:kern w:val="32"/>
          <w:sz w:val="24"/>
          <w:szCs w:val="24"/>
        </w:rPr>
        <w:t>agriculture depending on</w:t>
      </w:r>
      <w:r>
        <w:rPr>
          <w:rFonts w:ascii="Times New Roman" w:hAnsi="Times New Roman"/>
          <w:noProof/>
          <w:sz w:val="24"/>
          <w:szCs w:val="24"/>
          <w:lang w:eastAsia="en-US"/>
        </w:rPr>
        <w:t xml:space="preserve"> irrigated land</w:t>
      </w:r>
      <w:r>
        <w:rPr>
          <w:rFonts w:ascii="Times New Roman" w:hAnsi="Times New Roman"/>
          <w:noProof/>
          <w:sz w:val="24"/>
          <w:szCs w:val="24"/>
        </w:rPr>
        <w:t xml:space="preserve"> and about 25% of regions in </w:t>
      </w:r>
      <w:r>
        <w:rPr>
          <w:rFonts w:ascii="Times New Roman" w:hAnsi="Times New Roman"/>
          <w:noProof/>
          <w:kern w:val="32"/>
          <w:sz w:val="24"/>
          <w:szCs w:val="24"/>
        </w:rPr>
        <w:t>danger of droughts</w:t>
      </w:r>
      <w:r>
        <w:rPr>
          <w:rFonts w:ascii="Times New Roman" w:hAnsi="Times New Roman"/>
          <w:noProof/>
          <w:sz w:val="24"/>
          <w:szCs w:val="24"/>
        </w:rPr>
        <w:t xml:space="preserve"> are at least moderately impacted by setting minimum </w:t>
      </w:r>
      <w:r>
        <w:rPr>
          <w:rFonts w:ascii="Times New Roman" w:hAnsi="Times New Roman"/>
          <w:noProof/>
          <w:sz w:val="24"/>
          <w:szCs w:val="24"/>
          <w:lang w:eastAsia="de-AT"/>
        </w:rPr>
        <w:t>quality requirements for reused water in agricultural irrigation and aquifer recharge</w:t>
      </w:r>
      <w:r>
        <w:rPr>
          <w:rFonts w:ascii="Times New Roman" w:hAnsi="Times New Roman"/>
          <w:noProof/>
          <w:sz w:val="24"/>
          <w:szCs w:val="24"/>
        </w:rPr>
        <w:t xml:space="preserve">, it is quite clear, that </w:t>
      </w:r>
      <w:r>
        <w:rPr>
          <w:rFonts w:ascii="Times New Roman" w:hAnsi="Times New Roman"/>
          <w:b/>
          <w:noProof/>
          <w:sz w:val="24"/>
          <w:szCs w:val="24"/>
        </w:rPr>
        <w:t>only a minority of NUTS 3 regions in Europe a</w:t>
      </w:r>
      <w:r>
        <w:rPr>
          <w:rFonts w:ascii="Times New Roman" w:hAnsi="Times New Roman"/>
          <w:b/>
          <w:noProof/>
          <w:sz w:val="24"/>
          <w:szCs w:val="24"/>
        </w:rPr>
        <w:t xml:space="preserve">re currently challenged. </w:t>
      </w:r>
      <w:r>
        <w:rPr>
          <w:rFonts w:ascii="Times New Roman" w:hAnsi="Times New Roman"/>
          <w:b/>
          <w:noProof/>
          <w:sz w:val="24"/>
          <w:szCs w:val="24"/>
          <w:lang w:eastAsia="de-AT"/>
        </w:rPr>
        <w:t>These regions are mainly located in the South and the East of Europe.</w:t>
      </w:r>
      <w:r>
        <w:rPr>
          <w:rFonts w:ascii="Times New Roman" w:hAnsi="Times New Roman"/>
          <w:b/>
          <w:noProof/>
          <w:sz w:val="24"/>
          <w:szCs w:val="24"/>
          <w:u w:val="single"/>
          <w:lang w:eastAsia="de-AT"/>
        </w:rPr>
        <w:t xml:space="preserve"> </w:t>
      </w:r>
    </w:p>
    <w:p w:rsidR="00AB50C5" w:rsidRDefault="00724275">
      <w:pPr>
        <w:pStyle w:val="EText"/>
        <w:spacing w:line="240" w:lineRule="auto"/>
        <w:rPr>
          <w:rFonts w:ascii="Times New Roman" w:hAnsi="Times New Roman"/>
          <w:b/>
          <w:noProof/>
          <w:sz w:val="24"/>
          <w:szCs w:val="24"/>
          <w:u w:val="single"/>
          <w:lang w:eastAsia="de-AT"/>
        </w:rPr>
      </w:pPr>
      <w:r>
        <w:rPr>
          <w:rFonts w:ascii="Times New Roman" w:hAnsi="Times New Roman"/>
          <w:b/>
          <w:noProof/>
          <w:sz w:val="24"/>
          <w:szCs w:val="24"/>
          <w:u w:val="single"/>
          <w:lang w:eastAsia="de-AT"/>
        </w:rPr>
        <w:t>However one should consider that the predictions for water scarcity and droughts are such that the situation will become more severe and the effects in the futu</w:t>
      </w:r>
      <w:r>
        <w:rPr>
          <w:rFonts w:ascii="Times New Roman" w:hAnsi="Times New Roman"/>
          <w:b/>
          <w:noProof/>
          <w:sz w:val="24"/>
          <w:szCs w:val="24"/>
          <w:u w:val="single"/>
          <w:lang w:eastAsia="de-AT"/>
        </w:rPr>
        <w:t>re could concern more parts of Europe.</w:t>
      </w:r>
    </w:p>
    <w:p w:rsidR="00AB50C5" w:rsidRDefault="00724275">
      <w:pPr>
        <w:pStyle w:val="ETextNoSpacing"/>
        <w:spacing w:line="240" w:lineRule="auto"/>
        <w:rPr>
          <w:rFonts w:ascii="Times New Roman" w:hAnsi="Times New Roman"/>
          <w:noProof/>
          <w:sz w:val="24"/>
          <w:szCs w:val="24"/>
          <w:lang w:eastAsia="de-AT"/>
        </w:rPr>
      </w:pPr>
      <w:r>
        <w:rPr>
          <w:rFonts w:ascii="Times New Roman" w:hAnsi="Times New Roman"/>
          <w:noProof/>
          <w:sz w:val="24"/>
          <w:szCs w:val="24"/>
        </w:rPr>
        <w:t xml:space="preserve">When looking at other potential territorial effects of setting minimum </w:t>
      </w:r>
      <w:r>
        <w:rPr>
          <w:rFonts w:ascii="Times New Roman" w:hAnsi="Times New Roman"/>
          <w:noProof/>
          <w:sz w:val="24"/>
          <w:szCs w:val="24"/>
          <w:lang w:eastAsia="de-AT"/>
        </w:rPr>
        <w:t>quality requirements for reused water in agricultural irrigation and aquifer recharge</w:t>
      </w:r>
      <w:r>
        <w:rPr>
          <w:rFonts w:ascii="Times New Roman" w:hAnsi="Times New Roman"/>
          <w:noProof/>
          <w:sz w:val="24"/>
          <w:szCs w:val="24"/>
        </w:rPr>
        <w:t xml:space="preserve"> </w:t>
      </w:r>
      <w:r>
        <w:rPr>
          <w:rFonts w:ascii="Times New Roman" w:hAnsi="Times New Roman"/>
          <w:noProof/>
          <w:sz w:val="24"/>
          <w:szCs w:val="24"/>
          <w:lang w:eastAsia="de-AT"/>
        </w:rPr>
        <w:t>it has to be taken into account that these effects have been</w:t>
      </w:r>
      <w:r>
        <w:rPr>
          <w:rFonts w:ascii="Times New Roman" w:hAnsi="Times New Roman"/>
          <w:noProof/>
          <w:sz w:val="24"/>
          <w:szCs w:val="24"/>
          <w:lang w:eastAsia="de-AT"/>
        </w:rPr>
        <w:t xml:space="preserve"> always considered under the presumption that the proposal will be actually applied for agriculture irrigation and aquifer recharge:</w:t>
      </w:r>
    </w:p>
    <w:p w:rsidR="00AB50C5" w:rsidRDefault="00724275">
      <w:pPr>
        <w:pStyle w:val="EBP1"/>
        <w:spacing w:line="240" w:lineRule="auto"/>
        <w:ind w:left="567"/>
        <w:rPr>
          <w:rFonts w:ascii="Times New Roman" w:hAnsi="Times New Roman"/>
          <w:noProof/>
          <w:sz w:val="24"/>
          <w:szCs w:val="24"/>
        </w:rPr>
      </w:pPr>
      <w:r>
        <w:rPr>
          <w:rFonts w:ascii="Times New Roman" w:hAnsi="Times New Roman"/>
          <w:noProof/>
          <w:sz w:val="24"/>
          <w:szCs w:val="24"/>
        </w:rPr>
        <w:t xml:space="preserve">The experts judged most effects of the development of minimum quality requirements for the reuse of wastewater and aquifer </w:t>
      </w:r>
      <w:r>
        <w:rPr>
          <w:rFonts w:ascii="Times New Roman" w:hAnsi="Times New Roman"/>
          <w:noProof/>
          <w:sz w:val="24"/>
          <w:szCs w:val="24"/>
        </w:rPr>
        <w:t>recharge weakly or even strongly advantageous. Just in a few cases negative effects were expected.</w:t>
      </w:r>
    </w:p>
    <w:p w:rsidR="00AB50C5" w:rsidRDefault="00724275">
      <w:pPr>
        <w:pStyle w:val="EBP1"/>
        <w:spacing w:line="240" w:lineRule="auto"/>
        <w:ind w:left="567"/>
        <w:rPr>
          <w:rFonts w:ascii="Times New Roman" w:hAnsi="Times New Roman"/>
          <w:noProof/>
          <w:sz w:val="24"/>
          <w:szCs w:val="24"/>
        </w:rPr>
      </w:pPr>
      <w:r>
        <w:rPr>
          <w:rFonts w:ascii="Times New Roman" w:hAnsi="Times New Roman"/>
          <w:noProof/>
          <w:sz w:val="24"/>
          <w:szCs w:val="24"/>
        </w:rPr>
        <w:t>Regions with a high economic importance of agriculture could gain positive effects on the GVA in agriculture as e.g. in Romania, Bulgaria, the North of Greec</w:t>
      </w:r>
      <w:r>
        <w:rPr>
          <w:rFonts w:ascii="Times New Roman" w:hAnsi="Times New Roman"/>
          <w:noProof/>
          <w:sz w:val="24"/>
          <w:szCs w:val="24"/>
        </w:rPr>
        <w:t>e, the north East of Poland, in the centre of Spain and in the south of Portugal.</w:t>
      </w:r>
    </w:p>
    <w:p w:rsidR="00AB50C5" w:rsidRDefault="00724275">
      <w:pPr>
        <w:pStyle w:val="EBP1"/>
        <w:spacing w:line="240" w:lineRule="auto"/>
        <w:ind w:left="567"/>
        <w:rPr>
          <w:rFonts w:ascii="Times New Roman" w:hAnsi="Times New Roman"/>
          <w:noProof/>
          <w:sz w:val="24"/>
          <w:szCs w:val="24"/>
        </w:rPr>
      </w:pPr>
      <w:r>
        <w:rPr>
          <w:rFonts w:ascii="Times New Roman" w:hAnsi="Times New Roman"/>
          <w:noProof/>
          <w:sz w:val="24"/>
          <w:szCs w:val="24"/>
        </w:rPr>
        <w:t>Some peripheral regions mainly located at the European external borders could gain a highly positive impact reducing out-migration.</w:t>
      </w:r>
    </w:p>
    <w:p w:rsidR="00AB50C5" w:rsidRDefault="00724275">
      <w:pPr>
        <w:pStyle w:val="EBP1"/>
        <w:spacing w:line="240" w:lineRule="auto"/>
        <w:ind w:left="567"/>
        <w:rPr>
          <w:rFonts w:ascii="Times New Roman" w:hAnsi="Times New Roman"/>
          <w:noProof/>
          <w:sz w:val="24"/>
          <w:szCs w:val="24"/>
          <w:lang w:eastAsia="fr-BE"/>
        </w:rPr>
      </w:pPr>
      <w:r>
        <w:rPr>
          <w:rFonts w:ascii="Times New Roman" w:hAnsi="Times New Roman"/>
          <w:noProof/>
          <w:sz w:val="24"/>
          <w:szCs w:val="24"/>
        </w:rPr>
        <w:t xml:space="preserve">Eastern European regions and some regions </w:t>
      </w:r>
      <w:r>
        <w:rPr>
          <w:rFonts w:ascii="Times New Roman" w:hAnsi="Times New Roman"/>
          <w:noProof/>
          <w:sz w:val="24"/>
          <w:szCs w:val="24"/>
        </w:rPr>
        <w:t xml:space="preserve">in Greece could potentially benefit with a highly positive impact on </w:t>
      </w:r>
      <w:r>
        <w:rPr>
          <w:rFonts w:ascii="Times New Roman" w:hAnsi="Times New Roman"/>
          <w:noProof/>
          <w:sz w:val="24"/>
          <w:szCs w:val="24"/>
          <w:lang w:eastAsia="fr-BE"/>
        </w:rPr>
        <w:t>GDP growth.</w:t>
      </w:r>
    </w:p>
    <w:p w:rsidR="00AB50C5" w:rsidRDefault="00724275">
      <w:pPr>
        <w:pStyle w:val="EBP1"/>
        <w:spacing w:line="240" w:lineRule="auto"/>
        <w:ind w:left="567"/>
        <w:rPr>
          <w:rFonts w:ascii="Times New Roman" w:hAnsi="Times New Roman"/>
          <w:noProof/>
          <w:sz w:val="24"/>
          <w:szCs w:val="24"/>
        </w:rPr>
      </w:pPr>
      <w:r>
        <w:rPr>
          <w:rFonts w:ascii="Times New Roman" w:hAnsi="Times New Roman"/>
          <w:noProof/>
          <w:sz w:val="24"/>
          <w:szCs w:val="24"/>
        </w:rPr>
        <w:t>If the EU initiative is implemented efficiently and effectively, the regions in Latvia, Lithuania, Poland, Romania and Bulgaria as well as Italian and Greek regions and some S</w:t>
      </w:r>
      <w:r>
        <w:rPr>
          <w:rFonts w:ascii="Times New Roman" w:hAnsi="Times New Roman"/>
          <w:noProof/>
          <w:sz w:val="24"/>
          <w:szCs w:val="24"/>
        </w:rPr>
        <w:t>panish regions could gain a moderate to high positive impact on government effectiveness.</w:t>
      </w:r>
    </w:p>
    <w:p w:rsidR="00AB50C5" w:rsidRDefault="00724275">
      <w:pPr>
        <w:pStyle w:val="EBP1"/>
        <w:spacing w:line="240" w:lineRule="auto"/>
        <w:ind w:left="567"/>
        <w:rPr>
          <w:rFonts w:ascii="Times New Roman" w:hAnsi="Times New Roman"/>
          <w:noProof/>
          <w:sz w:val="24"/>
          <w:szCs w:val="24"/>
        </w:rPr>
      </w:pPr>
      <w:r>
        <w:rPr>
          <w:rFonts w:ascii="Times New Roman" w:hAnsi="Times New Roman"/>
          <w:noProof/>
          <w:sz w:val="24"/>
          <w:szCs w:val="24"/>
        </w:rPr>
        <w:t>Outermost regions could benefit from catching up effects as e.g. considering economic growth or from the improvement of government effectiveness. However, a complicat</w:t>
      </w:r>
      <w:r>
        <w:rPr>
          <w:rFonts w:ascii="Times New Roman" w:hAnsi="Times New Roman"/>
          <w:noProof/>
          <w:sz w:val="24"/>
          <w:szCs w:val="24"/>
        </w:rPr>
        <w:t>ed regulation could be too demanding for its implementation considering the administrative capacity of the public services there.</w:t>
      </w:r>
    </w:p>
    <w:p w:rsidR="00AB50C5" w:rsidRDefault="00AB50C5">
      <w:pPr>
        <w:pStyle w:val="EText"/>
        <w:rPr>
          <w:noProof/>
        </w:rPr>
      </w:pPr>
    </w:p>
    <w:p w:rsidR="00AB50C5" w:rsidRDefault="00724275">
      <w:pPr>
        <w:pStyle w:val="Heading2"/>
        <w:numPr>
          <w:ilvl w:val="1"/>
          <w:numId w:val="133"/>
        </w:numPr>
        <w:spacing w:before="60" w:after="160"/>
        <w:ind w:left="578" w:hanging="578"/>
        <w:jc w:val="left"/>
        <w:rPr>
          <w:noProof/>
        </w:rPr>
      </w:pPr>
      <w:bookmarkStart w:id="268" w:name="_Toc484768737"/>
      <w:bookmarkStart w:id="269" w:name="_Toc516234824"/>
      <w:r>
        <w:rPr>
          <w:noProof/>
        </w:rPr>
        <w:t>Findings and recommendations from the expert discussion</w:t>
      </w:r>
      <w:bookmarkEnd w:id="268"/>
      <w:bookmarkEnd w:id="269"/>
    </w:p>
    <w:p w:rsidR="00AB50C5" w:rsidRDefault="00724275">
      <w:pPr>
        <w:pStyle w:val="EText"/>
        <w:spacing w:line="240" w:lineRule="auto"/>
        <w:rPr>
          <w:rFonts w:ascii="Times New Roman" w:hAnsi="Times New Roman"/>
          <w:noProof/>
          <w:sz w:val="24"/>
          <w:szCs w:val="24"/>
        </w:rPr>
      </w:pPr>
      <w:r>
        <w:rPr>
          <w:rFonts w:ascii="Times New Roman" w:hAnsi="Times New Roman"/>
          <w:noProof/>
          <w:sz w:val="24"/>
          <w:szCs w:val="24"/>
        </w:rPr>
        <w:t xml:space="preserve">Based on the maps showing potential territorial impact from the </w:t>
      </w:r>
      <w:r>
        <w:rPr>
          <w:rFonts w:ascii="Times New Roman" w:hAnsi="Times New Roman"/>
          <w:noProof/>
          <w:sz w:val="24"/>
          <w:szCs w:val="24"/>
        </w:rPr>
        <w:t>development of minimum quality requirements by linking the results of the expert judgements on the effects with the sensitivity of the regions towards these effects the experts discussed on conclusions and policy implications:</w:t>
      </w:r>
    </w:p>
    <w:p w:rsidR="00AB50C5" w:rsidRDefault="00724275">
      <w:pPr>
        <w:pStyle w:val="Heading5"/>
        <w:numPr>
          <w:ilvl w:val="0"/>
          <w:numId w:val="139"/>
        </w:numPr>
        <w:spacing w:before="60" w:after="120"/>
        <w:rPr>
          <w:rFonts w:ascii="Times New Roman" w:hAnsi="Times New Roman"/>
          <w:noProof/>
          <w:sz w:val="24"/>
        </w:rPr>
      </w:pPr>
      <w:r>
        <w:rPr>
          <w:rFonts w:ascii="Times New Roman" w:hAnsi="Times New Roman"/>
          <w:noProof/>
          <w:sz w:val="24"/>
        </w:rPr>
        <w:t>Initiative contributes to str</w:t>
      </w:r>
      <w:r>
        <w:rPr>
          <w:rFonts w:ascii="Times New Roman" w:hAnsi="Times New Roman"/>
          <w:noProof/>
          <w:sz w:val="24"/>
        </w:rPr>
        <w:t>engthen European cohesion</w:t>
      </w:r>
    </w:p>
    <w:p w:rsidR="00AB50C5" w:rsidRDefault="00724275">
      <w:pPr>
        <w:pStyle w:val="EText"/>
        <w:spacing w:line="240" w:lineRule="auto"/>
        <w:rPr>
          <w:rFonts w:ascii="Times New Roman" w:hAnsi="Times New Roman"/>
          <w:noProof/>
          <w:sz w:val="24"/>
          <w:szCs w:val="24"/>
          <w:u w:val="single"/>
        </w:rPr>
      </w:pPr>
      <w:r>
        <w:rPr>
          <w:rFonts w:ascii="Times New Roman" w:hAnsi="Times New Roman"/>
          <w:noProof/>
          <w:sz w:val="24"/>
          <w:szCs w:val="24"/>
          <w:u w:val="single"/>
        </w:rPr>
        <w:t xml:space="preserve">It was agreed that the EU initiative </w:t>
      </w:r>
      <w:r>
        <w:rPr>
          <w:rFonts w:ascii="Times New Roman" w:hAnsi="Times New Roman"/>
          <w:noProof/>
          <w:sz w:val="24"/>
          <w:szCs w:val="24"/>
          <w:u w:val="single"/>
          <w:lang w:eastAsia="de-AT"/>
        </w:rPr>
        <w:t xml:space="preserve">would definitely contribute to </w:t>
      </w:r>
      <w:r>
        <w:rPr>
          <w:rFonts w:ascii="Times New Roman" w:hAnsi="Times New Roman"/>
          <w:noProof/>
          <w:sz w:val="24"/>
          <w:szCs w:val="24"/>
          <w:u w:val="single"/>
        </w:rPr>
        <w:t>strengthen cohesion in EU, as it gives especially regions in the South and East of Europe the chance to gain positive effects on e.g. economy or government effect</w:t>
      </w:r>
      <w:r>
        <w:rPr>
          <w:rFonts w:ascii="Times New Roman" w:hAnsi="Times New Roman"/>
          <w:noProof/>
          <w:sz w:val="24"/>
          <w:szCs w:val="24"/>
          <w:u w:val="single"/>
        </w:rPr>
        <w:t>iveness. However, the positive effects will not be felt in the short term in regions where water is not scarce at the moment.</w:t>
      </w:r>
    </w:p>
    <w:p w:rsidR="00AB50C5" w:rsidRDefault="00724275">
      <w:pPr>
        <w:pStyle w:val="Heading5"/>
        <w:numPr>
          <w:ilvl w:val="0"/>
          <w:numId w:val="139"/>
        </w:numPr>
        <w:spacing w:before="60" w:after="120"/>
        <w:rPr>
          <w:rFonts w:ascii="Times New Roman" w:hAnsi="Times New Roman"/>
          <w:noProof/>
          <w:sz w:val="24"/>
        </w:rPr>
      </w:pPr>
      <w:r>
        <w:rPr>
          <w:rFonts w:ascii="Times New Roman" w:hAnsi="Times New Roman"/>
          <w:noProof/>
          <w:sz w:val="24"/>
        </w:rPr>
        <w:t>Quality standards</w:t>
      </w:r>
    </w:p>
    <w:p w:rsidR="00AB50C5" w:rsidRDefault="0072427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It was noted that the EU initiative must not lead to a reduction of existing ambitious water goals. The EU initiative would provide the possibility to opt for higher quality standards, especially in Member States with already existing higher water quality </w:t>
      </w:r>
      <w:r>
        <w:rPr>
          <w:rFonts w:ascii="Times New Roman" w:hAnsi="Times New Roman" w:cs="Times New Roman"/>
          <w:noProof/>
          <w:sz w:val="24"/>
          <w:szCs w:val="24"/>
        </w:rPr>
        <w:t xml:space="preserve">standards. It was clarified that the EU initiative </w:t>
      </w:r>
      <w:r>
        <w:rPr>
          <w:rFonts w:ascii="Times New Roman" w:hAnsi="Times New Roman" w:cs="Times New Roman"/>
          <w:noProof/>
          <w:sz w:val="24"/>
          <w:szCs w:val="24"/>
          <w:lang w:eastAsia="de-AT"/>
        </w:rPr>
        <w:t xml:space="preserve">will not undermine the standards set in the </w:t>
      </w:r>
      <w:r>
        <w:rPr>
          <w:rFonts w:ascii="Times New Roman" w:hAnsi="Times New Roman" w:cs="Times New Roman"/>
          <w:noProof/>
          <w:sz w:val="24"/>
          <w:szCs w:val="24"/>
        </w:rPr>
        <w:t>Urban Waste Water Treatment Directive and the Water Framework Directive. Is was proposed to think about a regional differentiation of the EU initiative.</w:t>
      </w:r>
    </w:p>
    <w:p w:rsidR="00AB50C5" w:rsidRDefault="00724275">
      <w:pPr>
        <w:pStyle w:val="Heading5"/>
        <w:numPr>
          <w:ilvl w:val="0"/>
          <w:numId w:val="139"/>
        </w:numPr>
        <w:spacing w:before="60" w:after="120"/>
        <w:rPr>
          <w:rFonts w:ascii="Times New Roman" w:hAnsi="Times New Roman"/>
          <w:noProof/>
          <w:sz w:val="24"/>
        </w:rPr>
      </w:pPr>
      <w:r>
        <w:rPr>
          <w:rFonts w:ascii="Times New Roman" w:hAnsi="Times New Roman"/>
          <w:noProof/>
          <w:sz w:val="24"/>
        </w:rPr>
        <w:t>Implemen</w:t>
      </w:r>
      <w:r>
        <w:rPr>
          <w:rFonts w:ascii="Times New Roman" w:hAnsi="Times New Roman"/>
          <w:noProof/>
          <w:sz w:val="24"/>
        </w:rPr>
        <w:t>tation</w:t>
      </w:r>
    </w:p>
    <w:p w:rsidR="00AB50C5" w:rsidRDefault="00724275">
      <w:pPr>
        <w:spacing w:line="240" w:lineRule="auto"/>
        <w:jc w:val="both"/>
        <w:rPr>
          <w:rFonts w:ascii="Times New Roman" w:hAnsi="Times New Roman" w:cs="Times New Roman"/>
          <w:noProof/>
          <w:sz w:val="24"/>
          <w:szCs w:val="24"/>
          <w:lang w:eastAsia="de-AT"/>
        </w:rPr>
      </w:pPr>
      <w:r>
        <w:rPr>
          <w:rFonts w:ascii="Times New Roman" w:hAnsi="Times New Roman" w:cs="Times New Roman"/>
          <w:noProof/>
          <w:sz w:val="24"/>
          <w:szCs w:val="24"/>
        </w:rPr>
        <w:t xml:space="preserve">When the goal is to increase the reuse of wastewater especially for </w:t>
      </w:r>
      <w:r>
        <w:rPr>
          <w:rFonts w:ascii="Times New Roman" w:hAnsi="Times New Roman" w:cs="Times New Roman"/>
          <w:noProof/>
          <w:sz w:val="24"/>
          <w:szCs w:val="24"/>
          <w:lang w:eastAsia="de-AT"/>
        </w:rPr>
        <w:t>agricultural irrigation the standard setting alone will not be sufficient. Additionally, subsidies for investment into irrigation could be relevant.</w:t>
      </w:r>
    </w:p>
    <w:p w:rsidR="00AB50C5" w:rsidRDefault="00724275">
      <w:pPr>
        <w:pStyle w:val="Heading5"/>
        <w:numPr>
          <w:ilvl w:val="0"/>
          <w:numId w:val="139"/>
        </w:numPr>
        <w:spacing w:before="60" w:after="120"/>
        <w:rPr>
          <w:rFonts w:ascii="Times New Roman" w:hAnsi="Times New Roman"/>
          <w:noProof/>
          <w:sz w:val="24"/>
        </w:rPr>
      </w:pPr>
      <w:r>
        <w:rPr>
          <w:rFonts w:ascii="Times New Roman" w:hAnsi="Times New Roman"/>
          <w:noProof/>
          <w:sz w:val="24"/>
        </w:rPr>
        <w:t>Public acceptance</w:t>
      </w:r>
    </w:p>
    <w:p w:rsidR="00AB50C5" w:rsidRDefault="00724275">
      <w:pPr>
        <w:spacing w:line="240" w:lineRule="auto"/>
        <w:jc w:val="both"/>
        <w:rPr>
          <w:rFonts w:ascii="Times New Roman" w:hAnsi="Times New Roman" w:cs="Times New Roman"/>
          <w:noProof/>
          <w:sz w:val="24"/>
          <w:szCs w:val="24"/>
        </w:rPr>
      </w:pPr>
      <w:r>
        <w:rPr>
          <w:rFonts w:ascii="Times New Roman" w:hAnsi="Times New Roman" w:cs="Times New Roman"/>
          <w:noProof/>
          <w:sz w:val="24"/>
          <w:szCs w:val="24"/>
        </w:rPr>
        <w:t>The setting of</w:t>
      </w:r>
      <w:r>
        <w:rPr>
          <w:rFonts w:ascii="Times New Roman" w:hAnsi="Times New Roman" w:cs="Times New Roman"/>
          <w:noProof/>
          <w:sz w:val="24"/>
          <w:szCs w:val="24"/>
        </w:rPr>
        <w:t xml:space="preserve"> minimum </w:t>
      </w:r>
      <w:r>
        <w:rPr>
          <w:rFonts w:ascii="Times New Roman" w:hAnsi="Times New Roman" w:cs="Times New Roman"/>
          <w:noProof/>
          <w:sz w:val="24"/>
          <w:szCs w:val="24"/>
          <w:lang w:eastAsia="de-AT"/>
        </w:rPr>
        <w:t>quality requirements for reused water in agricultural irrigation and aquifer recharge</w:t>
      </w:r>
      <w:r>
        <w:rPr>
          <w:rFonts w:ascii="Times New Roman" w:hAnsi="Times New Roman" w:cs="Times New Roman"/>
          <w:noProof/>
          <w:sz w:val="24"/>
          <w:szCs w:val="24"/>
        </w:rPr>
        <w:t xml:space="preserve"> could improve the public acceptance of reused water, which could open chances for development, especially in rural areas. However, the EU initiative should be ke</w:t>
      </w:r>
      <w:r>
        <w:rPr>
          <w:rFonts w:ascii="Times New Roman" w:hAnsi="Times New Roman" w:cs="Times New Roman"/>
          <w:noProof/>
          <w:sz w:val="24"/>
          <w:szCs w:val="24"/>
        </w:rPr>
        <w:t>pt simple. The public would interpret a complicated regulation with long lists linking different quality standards to different types of use of wastewater as a sign that the reuse of water is environmentally dangerous. This could cause a problem with its p</w:t>
      </w:r>
      <w:r>
        <w:rPr>
          <w:rFonts w:ascii="Times New Roman" w:hAnsi="Times New Roman" w:cs="Times New Roman"/>
          <w:noProof/>
          <w:sz w:val="24"/>
          <w:szCs w:val="24"/>
        </w:rPr>
        <w:t>ublic acceptance.</w:t>
      </w:r>
    </w:p>
    <w:p w:rsidR="00AB50C5" w:rsidRDefault="00724275">
      <w:pPr>
        <w:pStyle w:val="TEMPLATEHeadingforAnnexesandAfterword"/>
        <w:rPr>
          <w:noProof/>
          <w:szCs w:val="28"/>
        </w:rPr>
      </w:pPr>
      <w:bookmarkStart w:id="270" w:name="_Toc438042048"/>
      <w:bookmarkStart w:id="271" w:name="_Toc484768738"/>
      <w:bookmarkStart w:id="272" w:name="_Toc516234825"/>
      <w:r>
        <w:rPr>
          <w:noProof/>
          <w:szCs w:val="28"/>
        </w:rPr>
        <w:t>Annex 1: Territorial impact assessment workshop agenda</w:t>
      </w:r>
      <w:bookmarkEnd w:id="270"/>
      <w:bookmarkEnd w:id="271"/>
      <w:bookmarkEnd w:id="272"/>
    </w:p>
    <w:p w:rsidR="00AB50C5" w:rsidRDefault="00724275">
      <w:pPr>
        <w:pStyle w:val="EText"/>
        <w:rPr>
          <w:noProof/>
          <w:szCs w:val="28"/>
        </w:rPr>
      </w:pPr>
      <w:r>
        <w:rPr>
          <w:noProof/>
          <w:szCs w:val="28"/>
        </w:rPr>
        <w:t>Territorial impact assessment expert workshop</w:t>
      </w:r>
    </w:p>
    <w:p w:rsidR="00AB50C5" w:rsidRDefault="00724275">
      <w:pPr>
        <w:pStyle w:val="EText"/>
        <w:jc w:val="left"/>
        <w:rPr>
          <w:b/>
          <w:bCs/>
          <w:noProof/>
          <w:color w:val="002060"/>
          <w:szCs w:val="36"/>
        </w:rPr>
      </w:pPr>
      <w:r>
        <w:rPr>
          <w:b/>
          <w:bCs/>
          <w:noProof/>
          <w:color w:val="002060"/>
          <w:szCs w:val="36"/>
        </w:rPr>
        <w:t>Development of Minimum Quality Requirements for Reused Water in Agricultural Irrigation and Aquifer Recharge</w:t>
      </w:r>
    </w:p>
    <w:p w:rsidR="00AB50C5" w:rsidRDefault="00724275">
      <w:pPr>
        <w:pStyle w:val="EText"/>
        <w:rPr>
          <w:noProof/>
          <w:szCs w:val="22"/>
        </w:rPr>
      </w:pPr>
      <w:r>
        <w:rPr>
          <w:noProof/>
        </w:rPr>
        <w:t>Brussels,</w:t>
      </w:r>
      <w:r>
        <w:rPr>
          <w:rFonts w:eastAsiaTheme="minorHAnsi"/>
          <w:noProof/>
          <w:szCs w:val="22"/>
        </w:rPr>
        <w:t xml:space="preserve"> 5</w:t>
      </w:r>
      <w:r>
        <w:rPr>
          <w:noProof/>
          <w:szCs w:val="22"/>
        </w:rPr>
        <w:t xml:space="preserve"> April 2017</w:t>
      </w:r>
    </w:p>
    <w:tbl>
      <w:tblPr>
        <w:tblW w:w="8562" w:type="dxa"/>
        <w:tblCellMar>
          <w:left w:w="57" w:type="dxa"/>
          <w:right w:w="57" w:type="dxa"/>
        </w:tblCellMar>
        <w:tblLook w:val="04A0" w:firstRow="1" w:lastRow="0" w:firstColumn="1" w:lastColumn="0" w:noHBand="0" w:noVBand="1"/>
      </w:tblPr>
      <w:tblGrid>
        <w:gridCol w:w="1475"/>
        <w:gridCol w:w="7087"/>
      </w:tblGrid>
      <w:tr w:rsidR="00AB50C5">
        <w:tc>
          <w:tcPr>
            <w:tcW w:w="1475" w:type="dxa"/>
            <w:tcBorders>
              <w:top w:val="single" w:sz="6" w:space="0" w:color="000000"/>
              <w:left w:val="single" w:sz="6" w:space="0" w:color="000000"/>
              <w:bottom w:val="single" w:sz="6" w:space="0" w:color="000000"/>
              <w:right w:val="single" w:sz="6" w:space="0" w:color="000000"/>
            </w:tcBorders>
            <w:hideMark/>
          </w:tcPr>
          <w:p w:rsidR="00AB50C5" w:rsidRDefault="00724275">
            <w:pPr>
              <w:pStyle w:val="EText"/>
              <w:spacing w:before="120" w:after="0"/>
              <w:jc w:val="left"/>
              <w:rPr>
                <w:rFonts w:eastAsia="Calibri"/>
                <w:noProof/>
                <w:color w:val="002060"/>
              </w:rPr>
            </w:pPr>
            <w:r>
              <w:rPr>
                <w:noProof/>
                <w:color w:val="002060"/>
              </w:rPr>
              <w:t>09.30</w:t>
            </w:r>
            <w:r>
              <w:rPr>
                <w:noProof/>
                <w:color w:val="002060"/>
              </w:rPr>
              <w:t xml:space="preserve"> – 10:00</w:t>
            </w:r>
          </w:p>
        </w:tc>
        <w:tc>
          <w:tcPr>
            <w:tcW w:w="7087" w:type="dxa"/>
            <w:tcBorders>
              <w:top w:val="single" w:sz="6" w:space="0" w:color="000000"/>
              <w:left w:val="nil"/>
              <w:bottom w:val="single" w:sz="6" w:space="0" w:color="000000"/>
              <w:right w:val="single" w:sz="6" w:space="0" w:color="000000"/>
            </w:tcBorders>
            <w:hideMark/>
          </w:tcPr>
          <w:p w:rsidR="00AB50C5" w:rsidRDefault="00724275">
            <w:pPr>
              <w:pStyle w:val="EText"/>
              <w:spacing w:before="120" w:after="0"/>
              <w:jc w:val="left"/>
              <w:rPr>
                <w:rFonts w:eastAsia="Calibri"/>
                <w:noProof/>
              </w:rPr>
            </w:pPr>
            <w:r>
              <w:rPr>
                <w:b/>
                <w:bCs/>
                <w:noProof/>
                <w:color w:val="000000"/>
              </w:rPr>
              <w:t>Registration and Welcome Coffee</w:t>
            </w:r>
          </w:p>
        </w:tc>
      </w:tr>
      <w:tr w:rsidR="00AB50C5">
        <w:tc>
          <w:tcPr>
            <w:tcW w:w="1475" w:type="dxa"/>
            <w:tcBorders>
              <w:top w:val="nil"/>
              <w:left w:val="single" w:sz="6" w:space="0" w:color="000000"/>
              <w:bottom w:val="single" w:sz="6" w:space="0" w:color="000000"/>
              <w:right w:val="single" w:sz="6" w:space="0" w:color="000000"/>
            </w:tcBorders>
            <w:hideMark/>
          </w:tcPr>
          <w:p w:rsidR="00AB50C5" w:rsidRDefault="00724275">
            <w:pPr>
              <w:pStyle w:val="EText"/>
              <w:spacing w:before="120" w:after="0"/>
              <w:jc w:val="left"/>
              <w:rPr>
                <w:rFonts w:eastAsia="Calibri"/>
                <w:noProof/>
                <w:color w:val="002060"/>
              </w:rPr>
            </w:pPr>
            <w:r>
              <w:rPr>
                <w:noProof/>
                <w:color w:val="002060"/>
              </w:rPr>
              <w:t>10:00 – 10:</w:t>
            </w:r>
            <w:r>
              <w:rPr>
                <w:noProof/>
                <w:color w:val="002060"/>
                <w:lang w:val="en-US"/>
              </w:rPr>
              <w:t>05</w:t>
            </w:r>
          </w:p>
        </w:tc>
        <w:tc>
          <w:tcPr>
            <w:tcW w:w="7087" w:type="dxa"/>
            <w:tcBorders>
              <w:top w:val="nil"/>
              <w:left w:val="nil"/>
              <w:bottom w:val="single" w:sz="6" w:space="0" w:color="000000"/>
              <w:right w:val="single" w:sz="6" w:space="0" w:color="000000"/>
            </w:tcBorders>
            <w:hideMark/>
          </w:tcPr>
          <w:p w:rsidR="00AB50C5" w:rsidRDefault="00724275">
            <w:pPr>
              <w:pStyle w:val="EText"/>
              <w:spacing w:before="120" w:after="0"/>
              <w:jc w:val="left"/>
              <w:rPr>
                <w:rFonts w:eastAsia="Calibri"/>
                <w:noProof/>
              </w:rPr>
            </w:pPr>
            <w:r>
              <w:rPr>
                <w:b/>
                <w:bCs/>
                <w:noProof/>
                <w:color w:val="000000"/>
                <w:lang w:val="en-US"/>
              </w:rPr>
              <w:t xml:space="preserve">Welcome and introduction into the Territorial Impact Assessment </w:t>
            </w:r>
          </w:p>
          <w:p w:rsidR="00AB50C5" w:rsidRDefault="00724275">
            <w:pPr>
              <w:pStyle w:val="EText"/>
              <w:spacing w:before="120" w:after="0"/>
              <w:rPr>
                <w:rFonts w:eastAsia="Calibri" w:cstheme="majorBidi"/>
                <w:b/>
                <w:bCs/>
                <w:iCs/>
                <w:noProof/>
                <w:sz w:val="21"/>
                <w:szCs w:val="26"/>
              </w:rPr>
            </w:pPr>
            <w:r>
              <w:rPr>
                <w:noProof/>
                <w:color w:val="000000"/>
                <w:lang w:val="en-US"/>
              </w:rPr>
              <w:t>Eleftherios Stavropoulos Unit, Inclusive Growth, Urban and Territorial Development, DG REGIO</w:t>
            </w:r>
          </w:p>
        </w:tc>
      </w:tr>
      <w:tr w:rsidR="00AB50C5">
        <w:tc>
          <w:tcPr>
            <w:tcW w:w="1475" w:type="dxa"/>
            <w:tcBorders>
              <w:top w:val="nil"/>
              <w:left w:val="single" w:sz="6" w:space="0" w:color="000000"/>
              <w:bottom w:val="single" w:sz="6" w:space="0" w:color="000000"/>
              <w:right w:val="single" w:sz="6" w:space="0" w:color="000000"/>
            </w:tcBorders>
            <w:hideMark/>
          </w:tcPr>
          <w:p w:rsidR="00AB50C5" w:rsidRDefault="00724275">
            <w:pPr>
              <w:pStyle w:val="EText"/>
              <w:spacing w:before="120" w:after="0"/>
              <w:jc w:val="left"/>
              <w:rPr>
                <w:rFonts w:eastAsia="Calibri"/>
                <w:noProof/>
                <w:color w:val="002060"/>
              </w:rPr>
            </w:pPr>
            <w:r>
              <w:rPr>
                <w:noProof/>
                <w:color w:val="002060"/>
              </w:rPr>
              <w:t>10:05 – 10:30</w:t>
            </w:r>
          </w:p>
        </w:tc>
        <w:tc>
          <w:tcPr>
            <w:tcW w:w="7087" w:type="dxa"/>
            <w:tcBorders>
              <w:top w:val="nil"/>
              <w:left w:val="nil"/>
              <w:bottom w:val="single" w:sz="6" w:space="0" w:color="000000"/>
              <w:right w:val="single" w:sz="6" w:space="0" w:color="000000"/>
            </w:tcBorders>
            <w:hideMark/>
          </w:tcPr>
          <w:p w:rsidR="00AB50C5" w:rsidRDefault="00724275">
            <w:pPr>
              <w:pStyle w:val="EText"/>
              <w:spacing w:before="120" w:after="0"/>
              <w:rPr>
                <w:rFonts w:eastAsia="Calibri"/>
                <w:noProof/>
              </w:rPr>
            </w:pPr>
            <w:r>
              <w:rPr>
                <w:b/>
                <w:bCs/>
                <w:noProof/>
                <w:color w:val="000000"/>
                <w:lang w:val="en-US"/>
              </w:rPr>
              <w:t xml:space="preserve">Presentation of the </w:t>
            </w:r>
            <w:r>
              <w:rPr>
                <w:b/>
                <w:bCs/>
                <w:noProof/>
                <w:color w:val="000000"/>
                <w:lang w:val="en-US"/>
              </w:rPr>
              <w:t>Development of Minimum Quality Requirements for Reused Water in Agricultural Irrigation and Aquifer Recharge – Main issues – Policy Options</w:t>
            </w:r>
          </w:p>
          <w:p w:rsidR="00AB50C5" w:rsidRDefault="00724275">
            <w:pPr>
              <w:pStyle w:val="EText"/>
              <w:spacing w:before="120" w:after="0"/>
              <w:jc w:val="left"/>
              <w:rPr>
                <w:rFonts w:eastAsia="Calibri"/>
                <w:noProof/>
              </w:rPr>
            </w:pPr>
            <w:r>
              <w:rPr>
                <w:noProof/>
              </w:rPr>
              <w:t>Thomas Petiguyot, DG ENV</w:t>
            </w:r>
          </w:p>
        </w:tc>
      </w:tr>
      <w:tr w:rsidR="00AB50C5">
        <w:tc>
          <w:tcPr>
            <w:tcW w:w="1475" w:type="dxa"/>
            <w:tcBorders>
              <w:top w:val="nil"/>
              <w:left w:val="single" w:sz="6" w:space="0" w:color="000000"/>
              <w:bottom w:val="single" w:sz="6" w:space="0" w:color="000000"/>
              <w:right w:val="single" w:sz="6" w:space="0" w:color="000000"/>
            </w:tcBorders>
            <w:hideMark/>
          </w:tcPr>
          <w:p w:rsidR="00AB50C5" w:rsidRDefault="00724275">
            <w:pPr>
              <w:pStyle w:val="EText"/>
              <w:spacing w:before="120" w:after="0"/>
              <w:jc w:val="left"/>
              <w:rPr>
                <w:rFonts w:eastAsia="Calibri"/>
                <w:noProof/>
                <w:color w:val="002060"/>
              </w:rPr>
            </w:pPr>
            <w:r>
              <w:rPr>
                <w:noProof/>
                <w:color w:val="002060"/>
              </w:rPr>
              <w:t>10:</w:t>
            </w:r>
            <w:r>
              <w:rPr>
                <w:noProof/>
                <w:color w:val="002060"/>
                <w:lang w:val="en-US"/>
              </w:rPr>
              <w:t>30</w:t>
            </w:r>
            <w:r>
              <w:rPr>
                <w:noProof/>
                <w:color w:val="002060"/>
              </w:rPr>
              <w:t xml:space="preserve"> – 10:45</w:t>
            </w:r>
          </w:p>
        </w:tc>
        <w:tc>
          <w:tcPr>
            <w:tcW w:w="7087" w:type="dxa"/>
            <w:tcBorders>
              <w:top w:val="nil"/>
              <w:left w:val="nil"/>
              <w:bottom w:val="single" w:sz="6" w:space="0" w:color="000000"/>
              <w:right w:val="single" w:sz="6" w:space="0" w:color="000000"/>
            </w:tcBorders>
            <w:hideMark/>
          </w:tcPr>
          <w:p w:rsidR="00AB50C5" w:rsidRDefault="00724275">
            <w:pPr>
              <w:pStyle w:val="EText"/>
              <w:spacing w:before="120" w:after="0"/>
              <w:jc w:val="left"/>
              <w:rPr>
                <w:rFonts w:eastAsia="Calibri"/>
                <w:noProof/>
              </w:rPr>
            </w:pPr>
            <w:r>
              <w:rPr>
                <w:b/>
                <w:bCs/>
                <w:noProof/>
              </w:rPr>
              <w:t>ESPON TIA Quick Scan tool</w:t>
            </w:r>
          </w:p>
          <w:p w:rsidR="00AB50C5" w:rsidRDefault="00724275">
            <w:pPr>
              <w:pStyle w:val="EText"/>
              <w:spacing w:before="120" w:after="0"/>
              <w:jc w:val="left"/>
              <w:rPr>
                <w:rFonts w:eastAsia="Calibri"/>
                <w:noProof/>
              </w:rPr>
            </w:pPr>
            <w:r>
              <w:rPr>
                <w:noProof/>
              </w:rPr>
              <w:t xml:space="preserve">Erich Dallhammer, Austrian Institute for Regional </w:t>
            </w:r>
            <w:r>
              <w:rPr>
                <w:noProof/>
              </w:rPr>
              <w:t>Studies and Spatial Planning</w:t>
            </w:r>
          </w:p>
        </w:tc>
      </w:tr>
      <w:tr w:rsidR="00AB50C5">
        <w:tc>
          <w:tcPr>
            <w:tcW w:w="1475" w:type="dxa"/>
            <w:tcBorders>
              <w:top w:val="nil"/>
              <w:left w:val="single" w:sz="6" w:space="0" w:color="000000"/>
              <w:bottom w:val="single" w:sz="6" w:space="0" w:color="000000"/>
              <w:right w:val="single" w:sz="6" w:space="0" w:color="000000"/>
            </w:tcBorders>
            <w:hideMark/>
          </w:tcPr>
          <w:p w:rsidR="00AB50C5" w:rsidRDefault="00724275">
            <w:pPr>
              <w:pStyle w:val="EText"/>
              <w:spacing w:before="120" w:after="0"/>
              <w:jc w:val="left"/>
              <w:rPr>
                <w:rFonts w:eastAsia="Calibri"/>
                <w:noProof/>
                <w:color w:val="002060"/>
              </w:rPr>
            </w:pPr>
            <w:r>
              <w:rPr>
                <w:noProof/>
                <w:color w:val="002060"/>
              </w:rPr>
              <w:t>10:45 – 12:30</w:t>
            </w:r>
          </w:p>
        </w:tc>
        <w:tc>
          <w:tcPr>
            <w:tcW w:w="7087" w:type="dxa"/>
            <w:tcBorders>
              <w:top w:val="nil"/>
              <w:left w:val="nil"/>
              <w:bottom w:val="single" w:sz="6" w:space="0" w:color="000000"/>
              <w:right w:val="single" w:sz="6" w:space="0" w:color="000000"/>
            </w:tcBorders>
            <w:hideMark/>
          </w:tcPr>
          <w:p w:rsidR="00AB50C5" w:rsidRDefault="00724275">
            <w:pPr>
              <w:pStyle w:val="EText"/>
              <w:spacing w:before="120" w:after="0"/>
              <w:rPr>
                <w:rFonts w:eastAsia="Calibri"/>
                <w:noProof/>
              </w:rPr>
            </w:pPr>
            <w:r>
              <w:rPr>
                <w:noProof/>
              </w:rPr>
              <w:t xml:space="preserve">Interactive discussion on </w:t>
            </w:r>
            <w:r>
              <w:rPr>
                <w:b/>
                <w:noProof/>
              </w:rPr>
              <w:t>potential benefits of</w:t>
            </w:r>
            <w:r>
              <w:rPr>
                <w:b/>
                <w:noProof/>
                <w:color w:val="1F497D"/>
              </w:rPr>
              <w:t xml:space="preserve"> </w:t>
            </w:r>
            <w:r>
              <w:rPr>
                <w:b/>
                <w:noProof/>
                <w:color w:val="000000"/>
              </w:rPr>
              <w:t>Developing</w:t>
            </w:r>
            <w:r>
              <w:rPr>
                <w:noProof/>
                <w:color w:val="000000"/>
              </w:rPr>
              <w:t xml:space="preserve"> </w:t>
            </w:r>
            <w:r>
              <w:rPr>
                <w:b/>
                <w:bCs/>
                <w:noProof/>
                <w:color w:val="000000"/>
              </w:rPr>
              <w:t xml:space="preserve">Minimum Quality Requirements for Reused Water in the EU </w:t>
            </w:r>
            <w:r>
              <w:rPr>
                <w:noProof/>
              </w:rPr>
              <w:t>with respect to the development of regions?</w:t>
            </w:r>
          </w:p>
          <w:p w:rsidR="00AB50C5" w:rsidRDefault="00724275">
            <w:pPr>
              <w:pStyle w:val="EText"/>
              <w:spacing w:after="0"/>
              <w:ind w:left="170" w:hanging="170"/>
              <w:rPr>
                <w:noProof/>
              </w:rPr>
            </w:pPr>
            <w:r>
              <w:rPr>
                <w:noProof/>
              </w:rPr>
              <w:t>§</w:t>
            </w:r>
            <w:r>
              <w:rPr>
                <w:noProof/>
              </w:rPr>
              <w:tab/>
            </w:r>
            <w:r>
              <w:rPr>
                <w:noProof/>
                <w:lang w:val="en-US"/>
              </w:rPr>
              <w:t>Dealing with cause/effect chains</w:t>
            </w:r>
          </w:p>
          <w:p w:rsidR="00AB50C5" w:rsidRDefault="00724275">
            <w:pPr>
              <w:pStyle w:val="EText"/>
              <w:spacing w:after="0"/>
              <w:ind w:left="170" w:hanging="170"/>
              <w:rPr>
                <w:rFonts w:eastAsia="Calibri"/>
                <w:noProof/>
              </w:rPr>
            </w:pPr>
            <w:r>
              <w:rPr>
                <w:noProof/>
              </w:rPr>
              <w:t>§</w:t>
            </w:r>
            <w:r>
              <w:rPr>
                <w:noProof/>
                <w:sz w:val="14"/>
                <w:szCs w:val="14"/>
              </w:rPr>
              <w:tab/>
            </w:r>
            <w:r>
              <w:rPr>
                <w:noProof/>
              </w:rPr>
              <w:t>Defining the typ</w:t>
            </w:r>
            <w:r>
              <w:rPr>
                <w:noProof/>
              </w:rPr>
              <w:t>es of regions affected and estimating the intensity of the regional exposure</w:t>
            </w:r>
          </w:p>
        </w:tc>
      </w:tr>
      <w:tr w:rsidR="00AB50C5">
        <w:tc>
          <w:tcPr>
            <w:tcW w:w="1475" w:type="dxa"/>
            <w:tcBorders>
              <w:top w:val="nil"/>
              <w:left w:val="single" w:sz="6" w:space="0" w:color="000000"/>
              <w:bottom w:val="single" w:sz="6" w:space="0" w:color="000000"/>
              <w:right w:val="single" w:sz="6" w:space="0" w:color="000000"/>
            </w:tcBorders>
            <w:hideMark/>
          </w:tcPr>
          <w:p w:rsidR="00AB50C5" w:rsidRDefault="00724275">
            <w:pPr>
              <w:pStyle w:val="EText"/>
              <w:spacing w:before="120" w:after="0"/>
              <w:jc w:val="left"/>
              <w:rPr>
                <w:rFonts w:eastAsia="Calibri"/>
                <w:noProof/>
                <w:color w:val="002060"/>
              </w:rPr>
            </w:pPr>
            <w:r>
              <w:rPr>
                <w:noProof/>
                <w:color w:val="002060"/>
              </w:rPr>
              <w:t>12:30 – 13:30</w:t>
            </w:r>
          </w:p>
        </w:tc>
        <w:tc>
          <w:tcPr>
            <w:tcW w:w="7087" w:type="dxa"/>
            <w:tcBorders>
              <w:top w:val="nil"/>
              <w:left w:val="nil"/>
              <w:bottom w:val="single" w:sz="6" w:space="0" w:color="000000"/>
              <w:right w:val="single" w:sz="6" w:space="0" w:color="000000"/>
            </w:tcBorders>
            <w:hideMark/>
          </w:tcPr>
          <w:p w:rsidR="00AB50C5" w:rsidRDefault="00724275">
            <w:pPr>
              <w:pStyle w:val="EText"/>
              <w:spacing w:before="120" w:after="0"/>
              <w:jc w:val="left"/>
              <w:rPr>
                <w:rFonts w:eastAsia="Calibri"/>
                <w:noProof/>
              </w:rPr>
            </w:pPr>
            <w:r>
              <w:rPr>
                <w:noProof/>
                <w:color w:val="000000"/>
              </w:rPr>
              <w:t xml:space="preserve">Lunch Break </w:t>
            </w:r>
          </w:p>
        </w:tc>
      </w:tr>
      <w:tr w:rsidR="00AB50C5">
        <w:tc>
          <w:tcPr>
            <w:tcW w:w="1475" w:type="dxa"/>
            <w:tcBorders>
              <w:top w:val="nil"/>
              <w:left w:val="single" w:sz="6" w:space="0" w:color="000000"/>
              <w:bottom w:val="single" w:sz="6" w:space="0" w:color="000000"/>
              <w:right w:val="single" w:sz="6" w:space="0" w:color="000000"/>
            </w:tcBorders>
            <w:hideMark/>
          </w:tcPr>
          <w:p w:rsidR="00AB50C5" w:rsidRDefault="00724275">
            <w:pPr>
              <w:pStyle w:val="EText"/>
              <w:spacing w:before="120" w:after="0"/>
              <w:jc w:val="left"/>
              <w:rPr>
                <w:rFonts w:eastAsia="Calibri"/>
                <w:noProof/>
                <w:color w:val="002060"/>
              </w:rPr>
            </w:pPr>
            <w:r>
              <w:rPr>
                <w:noProof/>
                <w:color w:val="002060"/>
              </w:rPr>
              <w:t>13:30 – 14:30</w:t>
            </w:r>
          </w:p>
        </w:tc>
        <w:tc>
          <w:tcPr>
            <w:tcW w:w="7087" w:type="dxa"/>
            <w:tcBorders>
              <w:top w:val="nil"/>
              <w:left w:val="nil"/>
              <w:bottom w:val="single" w:sz="6" w:space="0" w:color="000000"/>
              <w:right w:val="single" w:sz="6" w:space="0" w:color="000000"/>
            </w:tcBorders>
            <w:hideMark/>
          </w:tcPr>
          <w:p w:rsidR="00AB50C5" w:rsidRDefault="00724275">
            <w:pPr>
              <w:pStyle w:val="EText"/>
              <w:spacing w:before="120" w:after="0"/>
              <w:rPr>
                <w:rFonts w:eastAsia="Calibri"/>
                <w:noProof/>
              </w:rPr>
            </w:pPr>
            <w:r>
              <w:rPr>
                <w:noProof/>
              </w:rPr>
              <w:t xml:space="preserve">Interactive discussion on potential benefits of </w:t>
            </w:r>
            <w:r>
              <w:rPr>
                <w:b/>
                <w:noProof/>
              </w:rPr>
              <w:t>Developing</w:t>
            </w:r>
            <w:r>
              <w:rPr>
                <w:noProof/>
              </w:rPr>
              <w:t xml:space="preserve"> </w:t>
            </w:r>
            <w:r>
              <w:rPr>
                <w:b/>
                <w:bCs/>
                <w:noProof/>
                <w:color w:val="000000"/>
                <w:lang w:val="en-US"/>
              </w:rPr>
              <w:t xml:space="preserve">Minimum Quality Requirements for Reused Water in Agricultural Irrigation and Aquifer Recharge </w:t>
            </w:r>
            <w:r>
              <w:rPr>
                <w:noProof/>
              </w:rPr>
              <w:t>with respect to the development of regions?</w:t>
            </w:r>
          </w:p>
          <w:p w:rsidR="00AB50C5" w:rsidRDefault="00724275">
            <w:pPr>
              <w:pStyle w:val="EText"/>
              <w:spacing w:after="0"/>
              <w:ind w:left="170" w:hanging="170"/>
              <w:rPr>
                <w:rFonts w:eastAsia="Calibri"/>
                <w:noProof/>
              </w:rPr>
            </w:pPr>
            <w:r>
              <w:rPr>
                <w:noProof/>
              </w:rPr>
              <w:t>§</w:t>
            </w:r>
            <w:r>
              <w:rPr>
                <w:noProof/>
              </w:rPr>
              <w:tab/>
            </w:r>
            <w:r>
              <w:rPr>
                <w:noProof/>
                <w:lang w:val="en-US"/>
              </w:rPr>
              <w:t>Discussion</w:t>
            </w:r>
            <w:r>
              <w:rPr>
                <w:noProof/>
                <w:color w:val="000000"/>
              </w:rPr>
              <w:t xml:space="preserve"> on the findings, results and hypothesis </w:t>
            </w:r>
          </w:p>
        </w:tc>
      </w:tr>
      <w:tr w:rsidR="00AB50C5">
        <w:tc>
          <w:tcPr>
            <w:tcW w:w="1475" w:type="dxa"/>
            <w:tcBorders>
              <w:top w:val="nil"/>
              <w:left w:val="single" w:sz="6" w:space="0" w:color="000000"/>
              <w:bottom w:val="single" w:sz="6" w:space="0" w:color="000000"/>
              <w:right w:val="single" w:sz="6" w:space="0" w:color="000000"/>
            </w:tcBorders>
            <w:hideMark/>
          </w:tcPr>
          <w:p w:rsidR="00AB50C5" w:rsidRDefault="00724275">
            <w:pPr>
              <w:pStyle w:val="EText"/>
              <w:spacing w:before="120" w:after="0"/>
              <w:jc w:val="left"/>
              <w:rPr>
                <w:rFonts w:eastAsia="Calibri"/>
                <w:noProof/>
                <w:color w:val="002060"/>
              </w:rPr>
            </w:pPr>
            <w:r>
              <w:rPr>
                <w:noProof/>
                <w:color w:val="002060"/>
              </w:rPr>
              <w:t>14:30 – 15:30</w:t>
            </w:r>
          </w:p>
        </w:tc>
        <w:tc>
          <w:tcPr>
            <w:tcW w:w="7087" w:type="dxa"/>
            <w:tcBorders>
              <w:top w:val="nil"/>
              <w:left w:val="nil"/>
              <w:bottom w:val="single" w:sz="6" w:space="0" w:color="000000"/>
              <w:right w:val="single" w:sz="6" w:space="0" w:color="000000"/>
            </w:tcBorders>
            <w:hideMark/>
          </w:tcPr>
          <w:p w:rsidR="00AB50C5" w:rsidRDefault="00724275">
            <w:pPr>
              <w:pStyle w:val="EText"/>
              <w:spacing w:before="120" w:after="0"/>
              <w:jc w:val="left"/>
              <w:rPr>
                <w:rFonts w:eastAsia="Calibri"/>
                <w:noProof/>
              </w:rPr>
            </w:pPr>
            <w:r>
              <w:rPr>
                <w:b/>
                <w:bCs/>
                <w:noProof/>
                <w:color w:val="000000"/>
              </w:rPr>
              <w:t>Policy recommendations</w:t>
            </w:r>
          </w:p>
        </w:tc>
      </w:tr>
      <w:tr w:rsidR="00AB50C5">
        <w:tc>
          <w:tcPr>
            <w:tcW w:w="1475" w:type="dxa"/>
            <w:tcBorders>
              <w:top w:val="nil"/>
              <w:left w:val="single" w:sz="6" w:space="0" w:color="000000"/>
              <w:bottom w:val="single" w:sz="6" w:space="0" w:color="000000"/>
              <w:right w:val="single" w:sz="6" w:space="0" w:color="000000"/>
            </w:tcBorders>
            <w:hideMark/>
          </w:tcPr>
          <w:p w:rsidR="00AB50C5" w:rsidRDefault="00724275">
            <w:pPr>
              <w:pStyle w:val="EText"/>
              <w:spacing w:before="120" w:after="0"/>
              <w:jc w:val="left"/>
              <w:rPr>
                <w:rFonts w:eastAsia="Calibri"/>
                <w:noProof/>
                <w:color w:val="002060"/>
              </w:rPr>
            </w:pPr>
            <w:r>
              <w:rPr>
                <w:noProof/>
                <w:color w:val="002060"/>
              </w:rPr>
              <w:t>15:30 – 15:45</w:t>
            </w:r>
          </w:p>
        </w:tc>
        <w:tc>
          <w:tcPr>
            <w:tcW w:w="7087" w:type="dxa"/>
            <w:tcBorders>
              <w:top w:val="nil"/>
              <w:left w:val="nil"/>
              <w:bottom w:val="single" w:sz="6" w:space="0" w:color="000000"/>
              <w:right w:val="single" w:sz="6" w:space="0" w:color="000000"/>
            </w:tcBorders>
            <w:hideMark/>
          </w:tcPr>
          <w:p w:rsidR="00AB50C5" w:rsidRDefault="00724275">
            <w:pPr>
              <w:pStyle w:val="EText"/>
              <w:spacing w:before="120" w:after="0"/>
              <w:rPr>
                <w:rFonts w:eastAsia="Calibri"/>
                <w:noProof/>
              </w:rPr>
            </w:pPr>
            <w:r>
              <w:rPr>
                <w:b/>
                <w:bCs/>
                <w:noProof/>
                <w:color w:val="000000"/>
              </w:rPr>
              <w:t xml:space="preserve">Summing up </w:t>
            </w:r>
            <w:r>
              <w:rPr>
                <w:b/>
                <w:bCs/>
                <w:noProof/>
                <w:color w:val="000000"/>
              </w:rPr>
              <w:t xml:space="preserve">the results, feedback, discussion on options for further improvements </w:t>
            </w:r>
          </w:p>
        </w:tc>
      </w:tr>
    </w:tbl>
    <w:p w:rsidR="00AB50C5" w:rsidRDefault="00AB50C5">
      <w:pPr>
        <w:pStyle w:val="EText"/>
        <w:rPr>
          <w:noProof/>
          <w:szCs w:val="22"/>
        </w:rPr>
      </w:pPr>
    </w:p>
    <w:p w:rsidR="00AB50C5" w:rsidRDefault="00724275">
      <w:pPr>
        <w:pStyle w:val="TEMPLATEHeadingforAnnexesandAfterword"/>
        <w:rPr>
          <w:noProof/>
          <w:kern w:val="32"/>
        </w:rPr>
      </w:pPr>
      <w:bookmarkStart w:id="273" w:name="_Toc438042049"/>
      <w:bookmarkStart w:id="274" w:name="_Toc484768739"/>
      <w:bookmarkStart w:id="275" w:name="_Toc516234826"/>
      <w:r>
        <w:rPr>
          <w:noProof/>
          <w:kern w:val="32"/>
        </w:rPr>
        <w:t>Annex 2:</w:t>
      </w:r>
      <w:r>
        <w:rPr>
          <w:noProof/>
          <w:kern w:val="32"/>
        </w:rPr>
        <w:br/>
        <w:t>Description of the indicators used and regional sensitivity</w:t>
      </w:r>
      <w:bookmarkEnd w:id="273"/>
      <w:bookmarkEnd w:id="274"/>
      <w:bookmarkEnd w:id="275"/>
    </w:p>
    <w:p w:rsidR="00AB50C5" w:rsidRDefault="00724275">
      <w:pPr>
        <w:pStyle w:val="EText"/>
        <w:rPr>
          <w:noProof/>
          <w:lang w:eastAsia="en-US"/>
        </w:rPr>
      </w:pPr>
      <w:r>
        <w:rPr>
          <w:noProof/>
          <w:lang w:eastAsia="en-US"/>
        </w:rPr>
        <w:t>Following the interactive discussion among experts, the following indicators were selected and introduced into the</w:t>
      </w:r>
      <w:r>
        <w:rPr>
          <w:noProof/>
          <w:lang w:eastAsia="en-US"/>
        </w:rPr>
        <w:t xml:space="preserve"> ESPON TIA Quick Check model:</w:t>
      </w:r>
    </w:p>
    <w:p w:rsidR="00AB50C5" w:rsidRDefault="00724275">
      <w:pPr>
        <w:pStyle w:val="Heading5"/>
        <w:rPr>
          <w:noProof/>
        </w:rPr>
      </w:pPr>
      <w:r>
        <w:rPr>
          <w:noProof/>
          <w:kern w:val="32"/>
        </w:rPr>
        <w:t>Agriculture depending on</w:t>
      </w:r>
      <w:r>
        <w:rPr>
          <w:noProof/>
        </w:rPr>
        <w:t xml:space="preserve"> irrigated land</w:t>
      </w:r>
    </w:p>
    <w:tbl>
      <w:tblPr>
        <w:tblStyle w:val="HelleSchattierung-Akzent51"/>
        <w:tblW w:w="8421" w:type="dxa"/>
        <w:tblBorders>
          <w:top w:val="single" w:sz="4" w:space="0" w:color="auto"/>
          <w:bottom w:val="single" w:sz="4" w:space="0" w:color="auto"/>
          <w:insideH w:val="single" w:sz="4" w:space="0" w:color="auto"/>
        </w:tblBorders>
        <w:tblCellMar>
          <w:left w:w="57" w:type="dxa"/>
          <w:right w:w="57" w:type="dxa"/>
        </w:tblCellMar>
        <w:tblLook w:val="04A0" w:firstRow="1" w:lastRow="0" w:firstColumn="1" w:lastColumn="0" w:noHBand="0" w:noVBand="1"/>
      </w:tblPr>
      <w:tblGrid>
        <w:gridCol w:w="2325"/>
        <w:gridCol w:w="6096"/>
      </w:tblGrid>
      <w:tr w:rsidR="00AB50C5" w:rsidTr="00AB50C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25" w:type="dxa"/>
            <w:tcBorders>
              <w:top w:val="none" w:sz="0" w:space="0" w:color="auto"/>
              <w:left w:val="none" w:sz="0" w:space="0" w:color="auto"/>
              <w:bottom w:val="single" w:sz="4" w:space="0" w:color="auto"/>
              <w:right w:val="none" w:sz="0" w:space="0" w:color="auto"/>
            </w:tcBorders>
            <w:shd w:val="clear" w:color="auto" w:fill="auto"/>
          </w:tcPr>
          <w:p w:rsidR="00AB50C5" w:rsidRDefault="00724275">
            <w:pPr>
              <w:pStyle w:val="Etabletext"/>
              <w:rPr>
                <w:noProof/>
                <w:color w:val="auto"/>
                <w:lang w:eastAsia="fr-BE"/>
              </w:rPr>
            </w:pPr>
            <w:r>
              <w:rPr>
                <w:noProof/>
                <w:color w:val="auto"/>
                <w:lang w:eastAsia="fr-BE"/>
              </w:rPr>
              <w:t>Definition of sensitivity</w:t>
            </w:r>
          </w:p>
        </w:tc>
        <w:tc>
          <w:tcPr>
            <w:tcW w:w="6096" w:type="dxa"/>
            <w:tcBorders>
              <w:top w:val="none" w:sz="0" w:space="0" w:color="auto"/>
              <w:left w:val="none" w:sz="0" w:space="0" w:color="auto"/>
              <w:bottom w:val="single" w:sz="4" w:space="0" w:color="auto"/>
              <w:right w:val="none" w:sz="0" w:space="0" w:color="auto"/>
            </w:tcBorders>
            <w:shd w:val="clear" w:color="auto" w:fill="auto"/>
          </w:tcPr>
          <w:p w:rsidR="00AB50C5" w:rsidRDefault="00724275">
            <w:pPr>
              <w:pStyle w:val="Etabletext"/>
              <w:cnfStyle w:val="100000000000" w:firstRow="1" w:lastRow="0" w:firstColumn="0" w:lastColumn="0" w:oddVBand="0" w:evenVBand="0" w:oddHBand="0" w:evenHBand="0" w:firstRowFirstColumn="0" w:firstRowLastColumn="0" w:lastRowFirstColumn="0" w:lastRowLastColumn="0"/>
              <w:rPr>
                <w:noProof/>
                <w:color w:val="auto"/>
                <w:lang w:val="en-GB" w:eastAsia="fr-BE"/>
              </w:rPr>
            </w:pPr>
            <w:r>
              <w:rPr>
                <w:noProof/>
                <w:color w:val="auto"/>
                <w:lang w:val="en-GB" w:eastAsia="fr-BE"/>
              </w:rPr>
              <w:t>Regions where agriculture is depending stronger on irrigation are expected to be more sensitive towards policy proposals changing the precondition for irrigatio</w:t>
            </w:r>
            <w:r>
              <w:rPr>
                <w:noProof/>
                <w:color w:val="auto"/>
                <w:lang w:val="en-GB" w:eastAsia="fr-BE"/>
              </w:rPr>
              <w:t>n.</w:t>
            </w:r>
          </w:p>
        </w:tc>
      </w:tr>
      <w:tr w:rsidR="00AB50C5" w:rsidTr="00AB50C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25" w:type="dxa"/>
            <w:tcBorders>
              <w:left w:val="none" w:sz="0" w:space="0" w:color="auto"/>
              <w:bottom w:val="dotted" w:sz="4" w:space="0" w:color="auto"/>
              <w:right w:val="none" w:sz="0" w:space="0" w:color="auto"/>
            </w:tcBorders>
            <w:shd w:val="clear" w:color="auto" w:fill="auto"/>
          </w:tcPr>
          <w:p w:rsidR="00AB50C5" w:rsidRDefault="00724275">
            <w:pPr>
              <w:pStyle w:val="Etabletext"/>
              <w:rPr>
                <w:noProof/>
                <w:color w:val="auto"/>
                <w:lang w:eastAsia="fr-BE"/>
              </w:rPr>
            </w:pPr>
            <w:r>
              <w:rPr>
                <w:noProof/>
                <w:color w:val="auto"/>
                <w:lang w:eastAsia="fr-BE"/>
              </w:rPr>
              <w:t>Description</w:t>
            </w:r>
          </w:p>
        </w:tc>
        <w:tc>
          <w:tcPr>
            <w:tcW w:w="6096" w:type="dxa"/>
            <w:tcBorders>
              <w:left w:val="none" w:sz="0" w:space="0" w:color="auto"/>
              <w:bottom w:val="dotted" w:sz="4" w:space="0" w:color="auto"/>
              <w:right w:val="none" w:sz="0" w:space="0" w:color="auto"/>
            </w:tcBorders>
            <w:shd w:val="clear" w:color="auto" w:fill="auto"/>
          </w:tcPr>
          <w:p w:rsidR="00AB50C5" w:rsidRDefault="00724275">
            <w:pPr>
              <w:pStyle w:val="Etabletext"/>
              <w:cnfStyle w:val="000000100000" w:firstRow="0" w:lastRow="0" w:firstColumn="0" w:lastColumn="0" w:oddVBand="0" w:evenVBand="0" w:oddHBand="1" w:evenHBand="0" w:firstRowFirstColumn="0" w:firstRowLastColumn="0" w:lastRowFirstColumn="0" w:lastRowLastColumn="0"/>
              <w:rPr>
                <w:noProof/>
                <w:color w:val="auto"/>
                <w:highlight w:val="yellow"/>
                <w:lang w:val="en-GB" w:eastAsia="en-US"/>
              </w:rPr>
            </w:pPr>
            <w:r>
              <w:rPr>
                <w:noProof/>
                <w:color w:val="auto"/>
                <w:lang w:val="en-GB"/>
              </w:rPr>
              <w:t>Share of irrigated land of utilized agricultural area</w:t>
            </w:r>
          </w:p>
        </w:tc>
      </w:tr>
      <w:tr w:rsidR="00AB50C5" w:rsidTr="00AB50C5">
        <w:trPr>
          <w:trHeight w:val="20"/>
        </w:trPr>
        <w:tc>
          <w:tcPr>
            <w:cnfStyle w:val="001000000000" w:firstRow="0" w:lastRow="0" w:firstColumn="1" w:lastColumn="0" w:oddVBand="0" w:evenVBand="0" w:oddHBand="0" w:evenHBand="0" w:firstRowFirstColumn="0" w:firstRowLastColumn="0" w:lastRowFirstColumn="0" w:lastRowLastColumn="0"/>
            <w:tcW w:w="2325" w:type="dxa"/>
            <w:tcBorders>
              <w:top w:val="dotted" w:sz="4" w:space="0" w:color="auto"/>
              <w:bottom w:val="dotted" w:sz="4" w:space="0" w:color="auto"/>
            </w:tcBorders>
            <w:shd w:val="clear" w:color="auto" w:fill="auto"/>
          </w:tcPr>
          <w:p w:rsidR="00AB50C5" w:rsidRDefault="00724275">
            <w:pPr>
              <w:pStyle w:val="Etabletext"/>
              <w:rPr>
                <w:noProof/>
                <w:color w:val="auto"/>
                <w:lang w:eastAsia="fr-BE"/>
              </w:rPr>
            </w:pPr>
            <w:r>
              <w:rPr>
                <w:noProof/>
                <w:color w:val="auto"/>
                <w:lang w:eastAsia="fr-BE"/>
              </w:rPr>
              <w:t>Source</w:t>
            </w:r>
          </w:p>
        </w:tc>
        <w:tc>
          <w:tcPr>
            <w:tcW w:w="6096" w:type="dxa"/>
            <w:tcBorders>
              <w:top w:val="dotted" w:sz="4" w:space="0" w:color="auto"/>
              <w:bottom w:val="dotted" w:sz="4" w:space="0" w:color="auto"/>
            </w:tcBorders>
            <w:shd w:val="clear" w:color="auto" w:fill="auto"/>
          </w:tcPr>
          <w:p w:rsidR="00AB50C5" w:rsidRDefault="00724275">
            <w:pPr>
              <w:pStyle w:val="Etabletext"/>
              <w:cnfStyle w:val="000000000000" w:firstRow="0" w:lastRow="0" w:firstColumn="0" w:lastColumn="0" w:oddVBand="0" w:evenVBand="0" w:oddHBand="0" w:evenHBand="0" w:firstRowFirstColumn="0" w:firstRowLastColumn="0" w:lastRowFirstColumn="0" w:lastRowLastColumn="0"/>
              <w:rPr>
                <w:noProof/>
                <w:color w:val="auto"/>
                <w:highlight w:val="yellow"/>
                <w:lang w:eastAsia="en-US"/>
              </w:rPr>
            </w:pPr>
            <w:r>
              <w:rPr>
                <w:noProof/>
                <w:color w:val="auto"/>
                <w:lang w:eastAsia="en-US"/>
              </w:rPr>
              <w:t>EUROSTAT</w:t>
            </w:r>
          </w:p>
        </w:tc>
      </w:tr>
      <w:tr w:rsidR="00AB50C5" w:rsidTr="00AB50C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25" w:type="dxa"/>
            <w:tcBorders>
              <w:top w:val="dotted" w:sz="4" w:space="0" w:color="auto"/>
              <w:left w:val="none" w:sz="0" w:space="0" w:color="auto"/>
              <w:bottom w:val="dotted" w:sz="4" w:space="0" w:color="auto"/>
              <w:right w:val="none" w:sz="0" w:space="0" w:color="auto"/>
            </w:tcBorders>
            <w:shd w:val="clear" w:color="auto" w:fill="auto"/>
          </w:tcPr>
          <w:p w:rsidR="00AB50C5" w:rsidRDefault="00724275">
            <w:pPr>
              <w:pStyle w:val="Etabletext"/>
              <w:rPr>
                <w:noProof/>
                <w:color w:val="auto"/>
                <w:lang w:eastAsia="fr-BE"/>
              </w:rPr>
            </w:pPr>
            <w:r>
              <w:rPr>
                <w:noProof/>
                <w:color w:val="auto"/>
                <w:lang w:eastAsia="fr-BE"/>
              </w:rPr>
              <w:t>Reference year</w:t>
            </w:r>
          </w:p>
        </w:tc>
        <w:tc>
          <w:tcPr>
            <w:tcW w:w="6096" w:type="dxa"/>
            <w:tcBorders>
              <w:top w:val="dotted" w:sz="4" w:space="0" w:color="auto"/>
              <w:left w:val="none" w:sz="0" w:space="0" w:color="auto"/>
              <w:bottom w:val="dotted" w:sz="4" w:space="0" w:color="auto"/>
              <w:right w:val="none" w:sz="0" w:space="0" w:color="auto"/>
            </w:tcBorders>
            <w:shd w:val="clear" w:color="auto" w:fill="auto"/>
          </w:tcPr>
          <w:p w:rsidR="00AB50C5" w:rsidRDefault="00724275">
            <w:pPr>
              <w:pStyle w:val="Etabletext"/>
              <w:cnfStyle w:val="000000100000" w:firstRow="0" w:lastRow="0" w:firstColumn="0" w:lastColumn="0" w:oddVBand="0" w:evenVBand="0" w:oddHBand="1" w:evenHBand="0" w:firstRowFirstColumn="0" w:firstRowLastColumn="0" w:lastRowFirstColumn="0" w:lastRowLastColumn="0"/>
              <w:rPr>
                <w:noProof/>
                <w:color w:val="auto"/>
                <w:highlight w:val="yellow"/>
                <w:lang w:eastAsia="en-US"/>
              </w:rPr>
            </w:pPr>
            <w:r>
              <w:rPr>
                <w:noProof/>
                <w:color w:val="auto"/>
                <w:lang w:eastAsia="en-US"/>
              </w:rPr>
              <w:t>2005</w:t>
            </w:r>
          </w:p>
        </w:tc>
      </w:tr>
      <w:tr w:rsidR="00AB50C5" w:rsidTr="00AB50C5">
        <w:trPr>
          <w:trHeight w:val="20"/>
        </w:trPr>
        <w:tc>
          <w:tcPr>
            <w:cnfStyle w:val="001000000000" w:firstRow="0" w:lastRow="0" w:firstColumn="1" w:lastColumn="0" w:oddVBand="0" w:evenVBand="0" w:oddHBand="0" w:evenHBand="0" w:firstRowFirstColumn="0" w:firstRowLastColumn="0" w:lastRowFirstColumn="0" w:lastRowLastColumn="0"/>
            <w:tcW w:w="2325" w:type="dxa"/>
            <w:tcBorders>
              <w:top w:val="dotted" w:sz="4" w:space="0" w:color="auto"/>
              <w:bottom w:val="single" w:sz="4" w:space="0" w:color="auto"/>
            </w:tcBorders>
            <w:shd w:val="clear" w:color="auto" w:fill="auto"/>
          </w:tcPr>
          <w:p w:rsidR="00AB50C5" w:rsidRDefault="00724275">
            <w:pPr>
              <w:pStyle w:val="Etabletext"/>
              <w:rPr>
                <w:noProof/>
                <w:color w:val="auto"/>
                <w:lang w:eastAsia="fr-BE"/>
              </w:rPr>
            </w:pPr>
            <w:r>
              <w:rPr>
                <w:noProof/>
                <w:color w:val="auto"/>
                <w:lang w:eastAsia="fr-BE"/>
              </w:rPr>
              <w:t xml:space="preserve">Original Indicator </w:t>
            </w:r>
            <w:r>
              <w:rPr>
                <w:noProof/>
                <w:color w:val="auto"/>
                <w:lang w:eastAsia="fr-BE"/>
              </w:rPr>
              <w:br/>
              <w:t>Spatial Reference</w:t>
            </w:r>
          </w:p>
        </w:tc>
        <w:tc>
          <w:tcPr>
            <w:tcW w:w="6096" w:type="dxa"/>
            <w:tcBorders>
              <w:top w:val="dotted" w:sz="4" w:space="0" w:color="auto"/>
              <w:bottom w:val="single" w:sz="4" w:space="0" w:color="auto"/>
            </w:tcBorders>
            <w:shd w:val="clear" w:color="auto" w:fill="auto"/>
          </w:tcPr>
          <w:p w:rsidR="00AB50C5" w:rsidRDefault="00724275">
            <w:pPr>
              <w:pStyle w:val="Etabletext"/>
              <w:cnfStyle w:val="000000000000" w:firstRow="0" w:lastRow="0" w:firstColumn="0" w:lastColumn="0" w:oddVBand="0" w:evenVBand="0" w:oddHBand="0" w:evenHBand="0" w:firstRowFirstColumn="0" w:firstRowLastColumn="0" w:lastRowFirstColumn="0" w:lastRowLastColumn="0"/>
              <w:rPr>
                <w:noProof/>
                <w:color w:val="auto"/>
                <w:highlight w:val="yellow"/>
                <w:lang w:eastAsia="en-US"/>
              </w:rPr>
            </w:pPr>
            <w:r>
              <w:rPr>
                <w:noProof/>
                <w:color w:val="auto"/>
                <w:lang w:eastAsia="en-US"/>
              </w:rPr>
              <w:t>NUTS2, 2006</w:t>
            </w:r>
          </w:p>
        </w:tc>
      </w:tr>
    </w:tbl>
    <w:p w:rsidR="00AB50C5" w:rsidRDefault="00AB50C5">
      <w:pPr>
        <w:rPr>
          <w:noProof/>
        </w:rPr>
      </w:pPr>
    </w:p>
    <w:p w:rsidR="00AB50C5" w:rsidRDefault="00724275">
      <w:pPr>
        <w:pStyle w:val="Heading5"/>
        <w:spacing w:before="240"/>
        <w:rPr>
          <w:noProof/>
        </w:rPr>
      </w:pPr>
      <w:r>
        <w:rPr>
          <w:noProof/>
          <w:kern w:val="32"/>
        </w:rPr>
        <w:t>Regions facing danger of droughts</w:t>
      </w:r>
    </w:p>
    <w:tbl>
      <w:tblPr>
        <w:tblStyle w:val="HelleSchattierung-Akzent51"/>
        <w:tblW w:w="8421" w:type="dxa"/>
        <w:tblBorders>
          <w:top w:val="single" w:sz="4" w:space="0" w:color="auto"/>
          <w:bottom w:val="single" w:sz="4" w:space="0" w:color="auto"/>
          <w:insideH w:val="single" w:sz="4" w:space="0" w:color="auto"/>
        </w:tblBorders>
        <w:tblCellMar>
          <w:left w:w="57" w:type="dxa"/>
          <w:right w:w="57" w:type="dxa"/>
        </w:tblCellMar>
        <w:tblLook w:val="04A0" w:firstRow="1" w:lastRow="0" w:firstColumn="1" w:lastColumn="0" w:noHBand="0" w:noVBand="1"/>
      </w:tblPr>
      <w:tblGrid>
        <w:gridCol w:w="2325"/>
        <w:gridCol w:w="6096"/>
      </w:tblGrid>
      <w:tr w:rsidR="00AB50C5" w:rsidTr="00AB50C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25" w:type="dxa"/>
            <w:tcBorders>
              <w:top w:val="none" w:sz="0" w:space="0" w:color="auto"/>
              <w:left w:val="none" w:sz="0" w:space="0" w:color="auto"/>
              <w:bottom w:val="single" w:sz="4" w:space="0" w:color="auto"/>
              <w:right w:val="none" w:sz="0" w:space="0" w:color="auto"/>
            </w:tcBorders>
            <w:shd w:val="clear" w:color="auto" w:fill="auto"/>
          </w:tcPr>
          <w:p w:rsidR="00AB50C5" w:rsidRDefault="00724275">
            <w:pPr>
              <w:pStyle w:val="Etabletext"/>
              <w:rPr>
                <w:noProof/>
                <w:color w:val="auto"/>
                <w:lang w:eastAsia="fr-BE"/>
              </w:rPr>
            </w:pPr>
            <w:r>
              <w:rPr>
                <w:noProof/>
                <w:color w:val="auto"/>
                <w:lang w:eastAsia="fr-BE"/>
              </w:rPr>
              <w:t>Definition of sensitivity</w:t>
            </w:r>
          </w:p>
        </w:tc>
        <w:tc>
          <w:tcPr>
            <w:tcW w:w="6096" w:type="dxa"/>
            <w:tcBorders>
              <w:top w:val="none" w:sz="0" w:space="0" w:color="auto"/>
              <w:left w:val="none" w:sz="0" w:space="0" w:color="auto"/>
              <w:bottom w:val="single" w:sz="4" w:space="0" w:color="auto"/>
              <w:right w:val="none" w:sz="0" w:space="0" w:color="auto"/>
            </w:tcBorders>
            <w:shd w:val="clear" w:color="auto" w:fill="auto"/>
          </w:tcPr>
          <w:p w:rsidR="00AB50C5" w:rsidRDefault="00724275">
            <w:pPr>
              <w:pStyle w:val="Etabletext"/>
              <w:cnfStyle w:val="100000000000" w:firstRow="1" w:lastRow="0" w:firstColumn="0" w:lastColumn="0" w:oddVBand="0" w:evenVBand="0" w:oddHBand="0" w:evenHBand="0" w:firstRowFirstColumn="0" w:firstRowLastColumn="0" w:lastRowFirstColumn="0" w:lastRowLastColumn="0"/>
              <w:rPr>
                <w:noProof/>
                <w:color w:val="auto"/>
                <w:lang w:val="en-GB" w:eastAsia="fr-BE"/>
              </w:rPr>
            </w:pPr>
            <w:r>
              <w:rPr>
                <w:noProof/>
                <w:color w:val="auto"/>
                <w:lang w:val="en-GB" w:eastAsia="fr-BE"/>
              </w:rPr>
              <w:t xml:space="preserve">Regions showing a higher danger of droughts are expected to be more sensitive towards policy proposals aiming at reducing negative effects of </w:t>
            </w:r>
            <w:r>
              <w:rPr>
                <w:noProof/>
                <w:color w:val="auto"/>
                <w:kern w:val="32"/>
                <w:lang w:val="en-GB"/>
              </w:rPr>
              <w:t>water scarcity</w:t>
            </w:r>
            <w:r>
              <w:rPr>
                <w:noProof/>
                <w:color w:val="auto"/>
                <w:lang w:val="en-GB" w:eastAsia="fr-BE"/>
              </w:rPr>
              <w:t>.</w:t>
            </w:r>
          </w:p>
        </w:tc>
      </w:tr>
      <w:tr w:rsidR="00AB50C5" w:rsidTr="00AB50C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25" w:type="dxa"/>
            <w:tcBorders>
              <w:left w:val="none" w:sz="0" w:space="0" w:color="auto"/>
              <w:bottom w:val="dotted" w:sz="4" w:space="0" w:color="auto"/>
              <w:right w:val="none" w:sz="0" w:space="0" w:color="auto"/>
            </w:tcBorders>
            <w:shd w:val="clear" w:color="auto" w:fill="auto"/>
          </w:tcPr>
          <w:p w:rsidR="00AB50C5" w:rsidRDefault="00724275">
            <w:pPr>
              <w:pStyle w:val="Etabletext"/>
              <w:rPr>
                <w:noProof/>
                <w:color w:val="auto"/>
                <w:highlight w:val="yellow"/>
                <w:lang w:eastAsia="fr-BE"/>
              </w:rPr>
            </w:pPr>
            <w:r>
              <w:rPr>
                <w:noProof/>
                <w:color w:val="auto"/>
                <w:lang w:eastAsia="fr-BE"/>
              </w:rPr>
              <w:t>Description</w:t>
            </w:r>
          </w:p>
        </w:tc>
        <w:tc>
          <w:tcPr>
            <w:tcW w:w="6096" w:type="dxa"/>
            <w:tcBorders>
              <w:left w:val="none" w:sz="0" w:space="0" w:color="auto"/>
              <w:bottom w:val="dotted" w:sz="4" w:space="0" w:color="auto"/>
              <w:right w:val="none" w:sz="0" w:space="0" w:color="auto"/>
            </w:tcBorders>
            <w:shd w:val="clear" w:color="auto" w:fill="auto"/>
          </w:tcPr>
          <w:p w:rsidR="00AB50C5" w:rsidRDefault="00724275">
            <w:pPr>
              <w:pStyle w:val="Etabletext"/>
              <w:jc w:val="both"/>
              <w:cnfStyle w:val="000000100000" w:firstRow="0" w:lastRow="0" w:firstColumn="0" w:lastColumn="0" w:oddVBand="0" w:evenVBand="0" w:oddHBand="1" w:evenHBand="0" w:firstRowFirstColumn="0" w:firstRowLastColumn="0" w:lastRowFirstColumn="0" w:lastRowLastColumn="0"/>
              <w:rPr>
                <w:noProof/>
                <w:color w:val="auto"/>
                <w:highlight w:val="yellow"/>
                <w:lang w:val="en-GB" w:eastAsia="en-US"/>
              </w:rPr>
            </w:pPr>
            <w:r>
              <w:rPr>
                <w:noProof/>
                <w:color w:val="auto"/>
                <w:kern w:val="32"/>
                <w:lang w:val="en-GB"/>
              </w:rPr>
              <w:t xml:space="preserve">The sensitivity </w:t>
            </w:r>
            <w:r>
              <w:rPr>
                <w:noProof/>
                <w:color w:val="auto"/>
                <w:lang w:val="en-GB" w:eastAsia="fr-BE"/>
              </w:rPr>
              <w:t xml:space="preserve">of a region </w:t>
            </w:r>
            <w:r>
              <w:rPr>
                <w:noProof/>
                <w:color w:val="auto"/>
                <w:kern w:val="32"/>
                <w:lang w:val="en-GB"/>
              </w:rPr>
              <w:t>facing danger of droughts</w:t>
            </w:r>
            <w:r>
              <w:rPr>
                <w:noProof/>
                <w:color w:val="auto"/>
                <w:lang w:val="en-GB"/>
              </w:rPr>
              <w:t xml:space="preserve"> </w:t>
            </w:r>
            <w:r>
              <w:rPr>
                <w:noProof/>
                <w:color w:val="auto"/>
                <w:lang w:val="en-GB" w:eastAsia="fr-BE"/>
              </w:rPr>
              <w:t xml:space="preserve">is measured by the probability </w:t>
            </w:r>
            <w:r>
              <w:rPr>
                <w:noProof/>
                <w:color w:val="auto"/>
                <w:lang w:val="en-GB" w:eastAsia="fr-BE"/>
              </w:rPr>
              <w:t>of forest fires.</w:t>
            </w:r>
          </w:p>
        </w:tc>
      </w:tr>
      <w:tr w:rsidR="00AB50C5" w:rsidTr="00AB50C5">
        <w:trPr>
          <w:trHeight w:val="20"/>
        </w:trPr>
        <w:tc>
          <w:tcPr>
            <w:cnfStyle w:val="001000000000" w:firstRow="0" w:lastRow="0" w:firstColumn="1" w:lastColumn="0" w:oddVBand="0" w:evenVBand="0" w:oddHBand="0" w:evenHBand="0" w:firstRowFirstColumn="0" w:firstRowLastColumn="0" w:lastRowFirstColumn="0" w:lastRowLastColumn="0"/>
            <w:tcW w:w="2325" w:type="dxa"/>
            <w:tcBorders>
              <w:top w:val="dotted" w:sz="4" w:space="0" w:color="auto"/>
              <w:bottom w:val="dotted" w:sz="4" w:space="0" w:color="auto"/>
            </w:tcBorders>
            <w:shd w:val="clear" w:color="auto" w:fill="auto"/>
          </w:tcPr>
          <w:p w:rsidR="00AB50C5" w:rsidRDefault="00724275">
            <w:pPr>
              <w:pStyle w:val="Etabletext"/>
              <w:rPr>
                <w:noProof/>
                <w:color w:val="auto"/>
                <w:highlight w:val="yellow"/>
                <w:lang w:eastAsia="fr-BE"/>
              </w:rPr>
            </w:pPr>
            <w:r>
              <w:rPr>
                <w:noProof/>
                <w:color w:val="auto"/>
                <w:lang w:eastAsia="fr-BE"/>
              </w:rPr>
              <w:t>Source</w:t>
            </w:r>
          </w:p>
        </w:tc>
        <w:tc>
          <w:tcPr>
            <w:tcW w:w="6096" w:type="dxa"/>
            <w:tcBorders>
              <w:top w:val="dotted" w:sz="4" w:space="0" w:color="auto"/>
              <w:bottom w:val="dotted" w:sz="4" w:space="0" w:color="auto"/>
            </w:tcBorders>
            <w:shd w:val="clear" w:color="auto" w:fill="auto"/>
          </w:tcPr>
          <w:p w:rsidR="00AB50C5" w:rsidRDefault="00724275">
            <w:pPr>
              <w:pStyle w:val="Etabletext"/>
              <w:jc w:val="both"/>
              <w:cnfStyle w:val="000000000000" w:firstRow="0" w:lastRow="0" w:firstColumn="0" w:lastColumn="0" w:oddVBand="0" w:evenVBand="0" w:oddHBand="0" w:evenHBand="0" w:firstRowFirstColumn="0" w:firstRowLastColumn="0" w:lastRowFirstColumn="0" w:lastRowLastColumn="0"/>
              <w:rPr>
                <w:noProof/>
                <w:color w:val="auto"/>
                <w:highlight w:val="yellow"/>
                <w:lang w:val="en-GB" w:eastAsia="en-US"/>
              </w:rPr>
            </w:pPr>
            <w:r>
              <w:rPr>
                <w:noProof/>
                <w:color w:val="auto"/>
                <w:lang w:val="en-GB" w:eastAsia="en-US"/>
              </w:rPr>
              <w:t>ESPON project 1.3.1 “Spatial effects of natural and technological hazards.”</w:t>
            </w:r>
          </w:p>
        </w:tc>
      </w:tr>
      <w:tr w:rsidR="00AB50C5" w:rsidTr="00AB50C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25" w:type="dxa"/>
            <w:tcBorders>
              <w:top w:val="dotted" w:sz="4" w:space="0" w:color="auto"/>
              <w:left w:val="none" w:sz="0" w:space="0" w:color="auto"/>
              <w:bottom w:val="dotted" w:sz="4" w:space="0" w:color="auto"/>
              <w:right w:val="none" w:sz="0" w:space="0" w:color="auto"/>
            </w:tcBorders>
            <w:shd w:val="clear" w:color="auto" w:fill="auto"/>
          </w:tcPr>
          <w:p w:rsidR="00AB50C5" w:rsidRDefault="00724275">
            <w:pPr>
              <w:pStyle w:val="Etabletext"/>
              <w:rPr>
                <w:noProof/>
                <w:color w:val="auto"/>
                <w:highlight w:val="yellow"/>
                <w:lang w:eastAsia="fr-BE"/>
              </w:rPr>
            </w:pPr>
            <w:r>
              <w:rPr>
                <w:noProof/>
                <w:color w:val="auto"/>
                <w:lang w:eastAsia="fr-BE"/>
              </w:rPr>
              <w:t>Reference year</w:t>
            </w:r>
          </w:p>
        </w:tc>
        <w:tc>
          <w:tcPr>
            <w:tcW w:w="6096" w:type="dxa"/>
            <w:tcBorders>
              <w:top w:val="dotted" w:sz="4" w:space="0" w:color="auto"/>
              <w:left w:val="none" w:sz="0" w:space="0" w:color="auto"/>
              <w:bottom w:val="dotted" w:sz="4" w:space="0" w:color="auto"/>
              <w:right w:val="none" w:sz="0" w:space="0" w:color="auto"/>
            </w:tcBorders>
            <w:shd w:val="clear" w:color="auto" w:fill="auto"/>
          </w:tcPr>
          <w:p w:rsidR="00AB50C5" w:rsidRDefault="00724275">
            <w:pPr>
              <w:pStyle w:val="Etabletext"/>
              <w:cnfStyle w:val="000000100000" w:firstRow="0" w:lastRow="0" w:firstColumn="0" w:lastColumn="0" w:oddVBand="0" w:evenVBand="0" w:oddHBand="1" w:evenHBand="0" w:firstRowFirstColumn="0" w:firstRowLastColumn="0" w:lastRowFirstColumn="0" w:lastRowLastColumn="0"/>
              <w:rPr>
                <w:noProof/>
                <w:color w:val="auto"/>
                <w:highlight w:val="yellow"/>
                <w:lang w:eastAsia="en-US"/>
              </w:rPr>
            </w:pPr>
            <w:r>
              <w:rPr>
                <w:noProof/>
                <w:color w:val="auto"/>
                <w:lang w:eastAsia="en-US"/>
              </w:rPr>
              <w:t>1997 – 2003</w:t>
            </w:r>
          </w:p>
        </w:tc>
      </w:tr>
      <w:tr w:rsidR="00AB50C5" w:rsidTr="00AB50C5">
        <w:trPr>
          <w:trHeight w:val="20"/>
        </w:trPr>
        <w:tc>
          <w:tcPr>
            <w:cnfStyle w:val="001000000000" w:firstRow="0" w:lastRow="0" w:firstColumn="1" w:lastColumn="0" w:oddVBand="0" w:evenVBand="0" w:oddHBand="0" w:evenHBand="0" w:firstRowFirstColumn="0" w:firstRowLastColumn="0" w:lastRowFirstColumn="0" w:lastRowLastColumn="0"/>
            <w:tcW w:w="2325" w:type="dxa"/>
            <w:tcBorders>
              <w:top w:val="dotted" w:sz="4" w:space="0" w:color="auto"/>
              <w:bottom w:val="single" w:sz="4" w:space="0" w:color="auto"/>
            </w:tcBorders>
            <w:shd w:val="clear" w:color="auto" w:fill="auto"/>
          </w:tcPr>
          <w:p w:rsidR="00AB50C5" w:rsidRDefault="00724275">
            <w:pPr>
              <w:pStyle w:val="Etabletext"/>
              <w:rPr>
                <w:noProof/>
                <w:color w:val="auto"/>
                <w:highlight w:val="yellow"/>
                <w:lang w:eastAsia="fr-BE"/>
              </w:rPr>
            </w:pPr>
            <w:r>
              <w:rPr>
                <w:noProof/>
                <w:color w:val="auto"/>
                <w:lang w:eastAsia="fr-BE"/>
              </w:rPr>
              <w:t xml:space="preserve">Original Indicator </w:t>
            </w:r>
            <w:r>
              <w:rPr>
                <w:noProof/>
                <w:color w:val="auto"/>
                <w:lang w:eastAsia="fr-BE"/>
              </w:rPr>
              <w:br/>
              <w:t>Spatial Reference</w:t>
            </w:r>
          </w:p>
        </w:tc>
        <w:tc>
          <w:tcPr>
            <w:tcW w:w="6096" w:type="dxa"/>
            <w:tcBorders>
              <w:top w:val="dotted" w:sz="4" w:space="0" w:color="auto"/>
              <w:bottom w:val="single" w:sz="4" w:space="0" w:color="auto"/>
            </w:tcBorders>
            <w:shd w:val="clear" w:color="auto" w:fill="auto"/>
          </w:tcPr>
          <w:p w:rsidR="00AB50C5" w:rsidRDefault="00724275">
            <w:pPr>
              <w:pStyle w:val="Etabletext"/>
              <w:cnfStyle w:val="000000000000" w:firstRow="0" w:lastRow="0" w:firstColumn="0" w:lastColumn="0" w:oddVBand="0" w:evenVBand="0" w:oddHBand="0" w:evenHBand="0" w:firstRowFirstColumn="0" w:firstRowLastColumn="0" w:lastRowFirstColumn="0" w:lastRowLastColumn="0"/>
              <w:rPr>
                <w:noProof/>
                <w:color w:val="auto"/>
                <w:highlight w:val="yellow"/>
                <w:lang w:eastAsia="en-US"/>
              </w:rPr>
            </w:pPr>
            <w:r>
              <w:rPr>
                <w:noProof/>
                <w:color w:val="auto"/>
                <w:lang w:eastAsia="en-US"/>
              </w:rPr>
              <w:t>NUTS2, 2006</w:t>
            </w:r>
          </w:p>
        </w:tc>
      </w:tr>
    </w:tbl>
    <w:p w:rsidR="00AB50C5" w:rsidRDefault="00AB50C5">
      <w:pPr>
        <w:rPr>
          <w:noProof/>
        </w:rPr>
      </w:pPr>
    </w:p>
    <w:p w:rsidR="00AB50C5" w:rsidRDefault="00724275">
      <w:pPr>
        <w:pStyle w:val="Heading5"/>
        <w:rPr>
          <w:noProof/>
        </w:rPr>
      </w:pPr>
      <w:r>
        <w:rPr>
          <w:noProof/>
          <w:kern w:val="32"/>
        </w:rPr>
        <w:t xml:space="preserve">Regions facing </w:t>
      </w:r>
      <w:r>
        <w:rPr>
          <w:noProof/>
        </w:rPr>
        <w:t xml:space="preserve">heat waves </w:t>
      </w:r>
    </w:p>
    <w:tbl>
      <w:tblPr>
        <w:tblStyle w:val="HelleSchattierung-Akzent51"/>
        <w:tblW w:w="8421" w:type="dxa"/>
        <w:tblBorders>
          <w:top w:val="single" w:sz="4" w:space="0" w:color="auto"/>
          <w:bottom w:val="single" w:sz="4" w:space="0" w:color="auto"/>
          <w:insideH w:val="single" w:sz="4" w:space="0" w:color="auto"/>
        </w:tblBorders>
        <w:tblCellMar>
          <w:left w:w="57" w:type="dxa"/>
          <w:right w:w="57" w:type="dxa"/>
        </w:tblCellMar>
        <w:tblLook w:val="04A0" w:firstRow="1" w:lastRow="0" w:firstColumn="1" w:lastColumn="0" w:noHBand="0" w:noVBand="1"/>
      </w:tblPr>
      <w:tblGrid>
        <w:gridCol w:w="2325"/>
        <w:gridCol w:w="6096"/>
      </w:tblGrid>
      <w:tr w:rsidR="00AB50C5" w:rsidTr="00AB50C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25" w:type="dxa"/>
            <w:tcBorders>
              <w:bottom w:val="single" w:sz="4" w:space="0" w:color="auto"/>
            </w:tcBorders>
            <w:shd w:val="clear" w:color="auto" w:fill="auto"/>
          </w:tcPr>
          <w:p w:rsidR="00AB50C5" w:rsidRDefault="00724275">
            <w:pPr>
              <w:pStyle w:val="Etabletext"/>
              <w:rPr>
                <w:noProof/>
                <w:color w:val="auto"/>
                <w:lang w:eastAsia="fr-BE"/>
              </w:rPr>
            </w:pPr>
            <w:r>
              <w:rPr>
                <w:noProof/>
                <w:color w:val="auto"/>
                <w:lang w:eastAsia="fr-BE"/>
              </w:rPr>
              <w:t>Definition of sensitivity</w:t>
            </w:r>
          </w:p>
        </w:tc>
        <w:tc>
          <w:tcPr>
            <w:tcW w:w="6096" w:type="dxa"/>
            <w:tcBorders>
              <w:bottom w:val="single" w:sz="4" w:space="0" w:color="auto"/>
            </w:tcBorders>
            <w:shd w:val="clear" w:color="auto" w:fill="auto"/>
          </w:tcPr>
          <w:p w:rsidR="00AB50C5" w:rsidRDefault="00724275">
            <w:pPr>
              <w:pStyle w:val="Etabletext"/>
              <w:jc w:val="both"/>
              <w:cnfStyle w:val="100000000000" w:firstRow="1" w:lastRow="0" w:firstColumn="0" w:lastColumn="0" w:oddVBand="0" w:evenVBand="0" w:oddHBand="0" w:evenHBand="0" w:firstRowFirstColumn="0" w:firstRowLastColumn="0" w:lastRowFirstColumn="0" w:lastRowLastColumn="0"/>
              <w:rPr>
                <w:b w:val="0"/>
                <w:bCs w:val="0"/>
                <w:noProof/>
                <w:color w:val="auto"/>
                <w:lang w:val="en-GB" w:eastAsia="fr-BE"/>
              </w:rPr>
            </w:pPr>
            <w:r>
              <w:rPr>
                <w:noProof/>
                <w:color w:val="auto"/>
                <w:lang w:val="en-GB" w:eastAsia="fr-BE"/>
              </w:rPr>
              <w:t xml:space="preserve">Regions showing a </w:t>
            </w:r>
            <w:r>
              <w:rPr>
                <w:noProof/>
                <w:color w:val="auto"/>
                <w:lang w:val="en-GB" w:eastAsia="fr-BE"/>
              </w:rPr>
              <w:t>higher chance of heat waves are expected to be more sensitive towards policy proposals aiming at reducing negative effects of heat waves than others.</w:t>
            </w:r>
          </w:p>
        </w:tc>
      </w:tr>
      <w:tr w:rsidR="00AB50C5" w:rsidTr="00AB50C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25" w:type="dxa"/>
            <w:tcBorders>
              <w:left w:val="none" w:sz="0" w:space="0" w:color="auto"/>
              <w:bottom w:val="dotted" w:sz="4" w:space="0" w:color="auto"/>
              <w:right w:val="none" w:sz="0" w:space="0" w:color="auto"/>
            </w:tcBorders>
            <w:shd w:val="clear" w:color="auto" w:fill="auto"/>
          </w:tcPr>
          <w:p w:rsidR="00AB50C5" w:rsidRDefault="00724275">
            <w:pPr>
              <w:pStyle w:val="Etabletext"/>
              <w:rPr>
                <w:noProof/>
                <w:color w:val="auto"/>
                <w:highlight w:val="yellow"/>
                <w:lang w:eastAsia="fr-BE"/>
              </w:rPr>
            </w:pPr>
            <w:r>
              <w:rPr>
                <w:noProof/>
                <w:color w:val="auto"/>
                <w:lang w:eastAsia="fr-BE"/>
              </w:rPr>
              <w:t>Description</w:t>
            </w:r>
          </w:p>
        </w:tc>
        <w:tc>
          <w:tcPr>
            <w:tcW w:w="6096" w:type="dxa"/>
            <w:tcBorders>
              <w:left w:val="none" w:sz="0" w:space="0" w:color="auto"/>
              <w:bottom w:val="dotted" w:sz="4" w:space="0" w:color="auto"/>
              <w:right w:val="none" w:sz="0" w:space="0" w:color="auto"/>
            </w:tcBorders>
            <w:shd w:val="clear" w:color="auto" w:fill="auto"/>
          </w:tcPr>
          <w:p w:rsidR="00AB50C5" w:rsidRDefault="00724275">
            <w:pPr>
              <w:pStyle w:val="Etabletext"/>
              <w:cnfStyle w:val="000000100000" w:firstRow="0" w:lastRow="0" w:firstColumn="0" w:lastColumn="0" w:oddVBand="0" w:evenVBand="0" w:oddHBand="1" w:evenHBand="0" w:firstRowFirstColumn="0" w:firstRowLastColumn="0" w:lastRowFirstColumn="0" w:lastRowLastColumn="0"/>
              <w:rPr>
                <w:noProof/>
                <w:color w:val="auto"/>
                <w:highlight w:val="yellow"/>
                <w:lang w:val="en-GB" w:eastAsia="en-US"/>
              </w:rPr>
            </w:pPr>
            <w:r>
              <w:rPr>
                <w:noProof/>
                <w:color w:val="auto"/>
                <w:lang w:val="en-GB"/>
              </w:rPr>
              <w:t>days over 30 °C per year</w:t>
            </w:r>
          </w:p>
        </w:tc>
      </w:tr>
      <w:tr w:rsidR="00AB50C5" w:rsidTr="00AB50C5">
        <w:trPr>
          <w:trHeight w:val="20"/>
        </w:trPr>
        <w:tc>
          <w:tcPr>
            <w:cnfStyle w:val="001000000000" w:firstRow="0" w:lastRow="0" w:firstColumn="1" w:lastColumn="0" w:oddVBand="0" w:evenVBand="0" w:oddHBand="0" w:evenHBand="0" w:firstRowFirstColumn="0" w:firstRowLastColumn="0" w:lastRowFirstColumn="0" w:lastRowLastColumn="0"/>
            <w:tcW w:w="2325" w:type="dxa"/>
            <w:tcBorders>
              <w:top w:val="dotted" w:sz="4" w:space="0" w:color="auto"/>
              <w:bottom w:val="dotted" w:sz="4" w:space="0" w:color="auto"/>
            </w:tcBorders>
            <w:shd w:val="clear" w:color="auto" w:fill="auto"/>
          </w:tcPr>
          <w:p w:rsidR="00AB50C5" w:rsidRDefault="00724275">
            <w:pPr>
              <w:pStyle w:val="Etabletext"/>
              <w:rPr>
                <w:noProof/>
                <w:color w:val="auto"/>
                <w:highlight w:val="yellow"/>
                <w:lang w:eastAsia="fr-BE"/>
              </w:rPr>
            </w:pPr>
            <w:r>
              <w:rPr>
                <w:noProof/>
                <w:color w:val="auto"/>
                <w:lang w:eastAsia="fr-BE"/>
              </w:rPr>
              <w:t>Source</w:t>
            </w:r>
          </w:p>
        </w:tc>
        <w:tc>
          <w:tcPr>
            <w:tcW w:w="6096" w:type="dxa"/>
            <w:tcBorders>
              <w:top w:val="dotted" w:sz="4" w:space="0" w:color="auto"/>
              <w:bottom w:val="dotted" w:sz="4" w:space="0" w:color="auto"/>
            </w:tcBorders>
            <w:shd w:val="clear" w:color="auto" w:fill="auto"/>
          </w:tcPr>
          <w:p w:rsidR="00AB50C5" w:rsidRDefault="00724275">
            <w:pPr>
              <w:pStyle w:val="Etabletext"/>
              <w:cnfStyle w:val="000000000000" w:firstRow="0" w:lastRow="0" w:firstColumn="0" w:lastColumn="0" w:oddVBand="0" w:evenVBand="0" w:oddHBand="0" w:evenHBand="0" w:firstRowFirstColumn="0" w:firstRowLastColumn="0" w:lastRowFirstColumn="0" w:lastRowLastColumn="0"/>
              <w:rPr>
                <w:noProof/>
                <w:color w:val="auto"/>
                <w:highlight w:val="yellow"/>
                <w:lang w:eastAsia="en-US"/>
              </w:rPr>
            </w:pPr>
            <w:r>
              <w:rPr>
                <w:noProof/>
                <w:color w:val="auto"/>
                <w:lang w:eastAsia="en-US"/>
              </w:rPr>
              <w:t>E-OBS</w:t>
            </w:r>
          </w:p>
        </w:tc>
      </w:tr>
      <w:tr w:rsidR="00AB50C5" w:rsidTr="00AB50C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25" w:type="dxa"/>
            <w:tcBorders>
              <w:top w:val="dotted" w:sz="4" w:space="0" w:color="auto"/>
              <w:left w:val="none" w:sz="0" w:space="0" w:color="auto"/>
              <w:bottom w:val="dotted" w:sz="4" w:space="0" w:color="auto"/>
              <w:right w:val="none" w:sz="0" w:space="0" w:color="auto"/>
            </w:tcBorders>
            <w:shd w:val="clear" w:color="auto" w:fill="auto"/>
          </w:tcPr>
          <w:p w:rsidR="00AB50C5" w:rsidRDefault="00724275">
            <w:pPr>
              <w:pStyle w:val="Etabletext"/>
              <w:rPr>
                <w:noProof/>
                <w:color w:val="auto"/>
                <w:lang w:eastAsia="fr-BE"/>
              </w:rPr>
            </w:pPr>
            <w:r>
              <w:rPr>
                <w:noProof/>
                <w:color w:val="auto"/>
                <w:lang w:eastAsia="fr-BE"/>
              </w:rPr>
              <w:t>Reference year</w:t>
            </w:r>
          </w:p>
        </w:tc>
        <w:tc>
          <w:tcPr>
            <w:tcW w:w="6096" w:type="dxa"/>
            <w:tcBorders>
              <w:top w:val="dotted" w:sz="4" w:space="0" w:color="auto"/>
              <w:left w:val="none" w:sz="0" w:space="0" w:color="auto"/>
              <w:bottom w:val="dotted" w:sz="4" w:space="0" w:color="auto"/>
              <w:right w:val="none" w:sz="0" w:space="0" w:color="auto"/>
            </w:tcBorders>
            <w:shd w:val="clear" w:color="auto" w:fill="auto"/>
          </w:tcPr>
          <w:p w:rsidR="00AB50C5" w:rsidRDefault="00724275">
            <w:pPr>
              <w:pStyle w:val="Etabletext"/>
              <w:cnfStyle w:val="000000100000" w:firstRow="0" w:lastRow="0" w:firstColumn="0" w:lastColumn="0" w:oddVBand="0" w:evenVBand="0" w:oddHBand="1" w:evenHBand="0" w:firstRowFirstColumn="0" w:firstRowLastColumn="0" w:lastRowFirstColumn="0" w:lastRowLastColumn="0"/>
              <w:rPr>
                <w:noProof/>
                <w:color w:val="auto"/>
                <w:highlight w:val="yellow"/>
                <w:lang w:eastAsia="en-US"/>
              </w:rPr>
            </w:pPr>
            <w:r>
              <w:rPr>
                <w:noProof/>
                <w:color w:val="auto"/>
                <w:lang w:eastAsia="en-US"/>
              </w:rPr>
              <w:t>1995</w:t>
            </w:r>
          </w:p>
        </w:tc>
      </w:tr>
      <w:tr w:rsidR="00AB50C5" w:rsidTr="00AB50C5">
        <w:trPr>
          <w:trHeight w:val="20"/>
        </w:trPr>
        <w:tc>
          <w:tcPr>
            <w:cnfStyle w:val="001000000000" w:firstRow="0" w:lastRow="0" w:firstColumn="1" w:lastColumn="0" w:oddVBand="0" w:evenVBand="0" w:oddHBand="0" w:evenHBand="0" w:firstRowFirstColumn="0" w:firstRowLastColumn="0" w:lastRowFirstColumn="0" w:lastRowLastColumn="0"/>
            <w:tcW w:w="2325" w:type="dxa"/>
            <w:tcBorders>
              <w:top w:val="dotted" w:sz="4" w:space="0" w:color="auto"/>
              <w:bottom w:val="single" w:sz="4" w:space="0" w:color="auto"/>
            </w:tcBorders>
            <w:shd w:val="clear" w:color="auto" w:fill="auto"/>
          </w:tcPr>
          <w:p w:rsidR="00AB50C5" w:rsidRDefault="00724275">
            <w:pPr>
              <w:pStyle w:val="Etabletext"/>
              <w:rPr>
                <w:noProof/>
                <w:color w:val="auto"/>
                <w:lang w:eastAsia="fr-BE"/>
              </w:rPr>
            </w:pPr>
            <w:r>
              <w:rPr>
                <w:noProof/>
                <w:color w:val="auto"/>
                <w:lang w:eastAsia="fr-BE"/>
              </w:rPr>
              <w:t xml:space="preserve">Original Indicator </w:t>
            </w:r>
            <w:r>
              <w:rPr>
                <w:noProof/>
                <w:color w:val="auto"/>
                <w:lang w:eastAsia="fr-BE"/>
              </w:rPr>
              <w:br/>
              <w:t xml:space="preserve">Spatial </w:t>
            </w:r>
            <w:r>
              <w:rPr>
                <w:noProof/>
                <w:color w:val="auto"/>
                <w:lang w:eastAsia="fr-BE"/>
              </w:rPr>
              <w:t>Reference</w:t>
            </w:r>
          </w:p>
        </w:tc>
        <w:tc>
          <w:tcPr>
            <w:tcW w:w="6096" w:type="dxa"/>
            <w:tcBorders>
              <w:top w:val="dotted" w:sz="4" w:space="0" w:color="auto"/>
              <w:bottom w:val="single" w:sz="4" w:space="0" w:color="auto"/>
            </w:tcBorders>
            <w:shd w:val="clear" w:color="auto" w:fill="auto"/>
          </w:tcPr>
          <w:p w:rsidR="00AB50C5" w:rsidRDefault="00724275">
            <w:pPr>
              <w:pStyle w:val="Etabletext"/>
              <w:cnfStyle w:val="000000000000" w:firstRow="0" w:lastRow="0" w:firstColumn="0" w:lastColumn="0" w:oddVBand="0" w:evenVBand="0" w:oddHBand="0" w:evenHBand="0" w:firstRowFirstColumn="0" w:firstRowLastColumn="0" w:lastRowFirstColumn="0" w:lastRowLastColumn="0"/>
              <w:rPr>
                <w:noProof/>
                <w:color w:val="auto"/>
                <w:highlight w:val="yellow"/>
                <w:lang w:eastAsia="en-US"/>
              </w:rPr>
            </w:pPr>
            <w:r>
              <w:rPr>
                <w:noProof/>
                <w:color w:val="auto"/>
                <w:lang w:eastAsia="en-US"/>
              </w:rPr>
              <w:t>NUTS2, 2006</w:t>
            </w:r>
          </w:p>
        </w:tc>
      </w:tr>
    </w:tbl>
    <w:p w:rsidR="00AB50C5" w:rsidRDefault="00AB50C5">
      <w:pPr>
        <w:rPr>
          <w:noProof/>
        </w:rPr>
      </w:pPr>
    </w:p>
    <w:p w:rsidR="00AB50C5" w:rsidRDefault="00724275">
      <w:pPr>
        <w:pStyle w:val="Heading5"/>
        <w:rPr>
          <w:noProof/>
        </w:rPr>
      </w:pPr>
      <w:r>
        <w:rPr>
          <w:noProof/>
        </w:rPr>
        <w:t>Pollutants in soil and ground/surface water</w:t>
      </w:r>
    </w:p>
    <w:tbl>
      <w:tblPr>
        <w:tblStyle w:val="HelleSchattierung-Akzent51"/>
        <w:tblW w:w="8421" w:type="dxa"/>
        <w:tblBorders>
          <w:top w:val="single" w:sz="4" w:space="0" w:color="auto"/>
          <w:bottom w:val="single" w:sz="4" w:space="0" w:color="auto"/>
          <w:insideH w:val="single" w:sz="4" w:space="0" w:color="auto"/>
        </w:tblBorders>
        <w:tblCellMar>
          <w:left w:w="57" w:type="dxa"/>
          <w:right w:w="57" w:type="dxa"/>
        </w:tblCellMar>
        <w:tblLook w:val="04A0" w:firstRow="1" w:lastRow="0" w:firstColumn="1" w:lastColumn="0" w:noHBand="0" w:noVBand="1"/>
      </w:tblPr>
      <w:tblGrid>
        <w:gridCol w:w="2325"/>
        <w:gridCol w:w="6096"/>
      </w:tblGrid>
      <w:tr w:rsidR="00AB50C5" w:rsidTr="00AB50C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25" w:type="dxa"/>
            <w:tcBorders>
              <w:top w:val="none" w:sz="0" w:space="0" w:color="auto"/>
              <w:left w:val="none" w:sz="0" w:space="0" w:color="auto"/>
              <w:bottom w:val="single" w:sz="4" w:space="0" w:color="auto"/>
              <w:right w:val="none" w:sz="0" w:space="0" w:color="auto"/>
            </w:tcBorders>
            <w:shd w:val="clear" w:color="auto" w:fill="auto"/>
          </w:tcPr>
          <w:p w:rsidR="00AB50C5" w:rsidRDefault="00724275">
            <w:pPr>
              <w:pStyle w:val="Etabletext"/>
              <w:rPr>
                <w:noProof/>
                <w:color w:val="auto"/>
                <w:lang w:eastAsia="fr-BE"/>
              </w:rPr>
            </w:pPr>
            <w:r>
              <w:rPr>
                <w:noProof/>
                <w:color w:val="auto"/>
                <w:lang w:eastAsia="fr-BE"/>
              </w:rPr>
              <w:t>Definition of sensitivity</w:t>
            </w:r>
          </w:p>
        </w:tc>
        <w:tc>
          <w:tcPr>
            <w:tcW w:w="6096" w:type="dxa"/>
            <w:tcBorders>
              <w:top w:val="none" w:sz="0" w:space="0" w:color="auto"/>
              <w:left w:val="none" w:sz="0" w:space="0" w:color="auto"/>
              <w:bottom w:val="single" w:sz="4" w:space="0" w:color="auto"/>
              <w:right w:val="none" w:sz="0" w:space="0" w:color="auto"/>
            </w:tcBorders>
            <w:shd w:val="clear" w:color="auto" w:fill="auto"/>
          </w:tcPr>
          <w:p w:rsidR="00AB50C5" w:rsidRDefault="00724275">
            <w:pPr>
              <w:pStyle w:val="Etabletext"/>
              <w:jc w:val="both"/>
              <w:cnfStyle w:val="100000000000" w:firstRow="1" w:lastRow="0" w:firstColumn="0" w:lastColumn="0" w:oddVBand="0" w:evenVBand="0" w:oddHBand="0" w:evenHBand="0" w:firstRowFirstColumn="0" w:firstRowLastColumn="0" w:lastRowFirstColumn="0" w:lastRowLastColumn="0"/>
              <w:rPr>
                <w:b w:val="0"/>
                <w:bCs w:val="0"/>
                <w:noProof/>
                <w:color w:val="auto"/>
                <w:lang w:val="en-GB" w:eastAsia="fr-BE"/>
              </w:rPr>
            </w:pPr>
            <w:r>
              <w:rPr>
                <w:noProof/>
                <w:color w:val="auto"/>
                <w:lang w:val="en-GB" w:eastAsia="fr-BE"/>
              </w:rPr>
              <w:t>The sensitivity of a region towards policies affecting the pollution of soil and ground and surface water is measured by a proxy indicator taking into account the</w:t>
            </w:r>
            <w:r>
              <w:rPr>
                <w:noProof/>
                <w:color w:val="auto"/>
                <w:lang w:val="en-GB" w:eastAsia="fr-BE"/>
              </w:rPr>
              <w:t xml:space="preserve"> population density and the employment density. Regions showing a higher density of land use are expected to be more sensitive towards policy proposals aiming at a reduction of soil and water pollution.</w:t>
            </w:r>
          </w:p>
        </w:tc>
      </w:tr>
      <w:tr w:rsidR="00AB50C5" w:rsidTr="00AB50C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25" w:type="dxa"/>
            <w:tcBorders>
              <w:left w:val="none" w:sz="0" w:space="0" w:color="auto"/>
              <w:bottom w:val="dotted" w:sz="4" w:space="0" w:color="auto"/>
              <w:right w:val="none" w:sz="0" w:space="0" w:color="auto"/>
            </w:tcBorders>
            <w:shd w:val="clear" w:color="auto" w:fill="auto"/>
          </w:tcPr>
          <w:p w:rsidR="00AB50C5" w:rsidRDefault="00724275">
            <w:pPr>
              <w:pStyle w:val="Etabletext"/>
              <w:rPr>
                <w:noProof/>
                <w:color w:val="auto"/>
                <w:lang w:eastAsia="fr-BE"/>
              </w:rPr>
            </w:pPr>
            <w:r>
              <w:rPr>
                <w:noProof/>
                <w:color w:val="auto"/>
                <w:lang w:eastAsia="fr-BE"/>
              </w:rPr>
              <w:t>Description</w:t>
            </w:r>
          </w:p>
        </w:tc>
        <w:tc>
          <w:tcPr>
            <w:tcW w:w="6096" w:type="dxa"/>
            <w:tcBorders>
              <w:left w:val="none" w:sz="0" w:space="0" w:color="auto"/>
              <w:bottom w:val="dotted" w:sz="4" w:space="0" w:color="auto"/>
              <w:right w:val="none" w:sz="0" w:space="0" w:color="auto"/>
            </w:tcBorders>
            <w:shd w:val="clear" w:color="auto" w:fill="auto"/>
          </w:tcPr>
          <w:p w:rsidR="00AB50C5" w:rsidRDefault="00724275">
            <w:pPr>
              <w:pStyle w:val="Etabletext"/>
              <w:jc w:val="both"/>
              <w:cnfStyle w:val="000000100000" w:firstRow="0" w:lastRow="0" w:firstColumn="0" w:lastColumn="0" w:oddVBand="0" w:evenVBand="0" w:oddHBand="1" w:evenHBand="0" w:firstRowFirstColumn="0" w:firstRowLastColumn="0" w:lastRowFirstColumn="0" w:lastRowLastColumn="0"/>
              <w:rPr>
                <w:noProof/>
                <w:color w:val="auto"/>
                <w:highlight w:val="yellow"/>
                <w:lang w:val="en-GB" w:eastAsia="en-US"/>
              </w:rPr>
            </w:pPr>
            <w:r>
              <w:rPr>
                <w:noProof/>
                <w:color w:val="auto"/>
                <w:lang w:val="en-GB" w:eastAsia="en-US"/>
              </w:rPr>
              <w:t xml:space="preserve">Population plus employment divided by </w:t>
            </w:r>
            <w:r>
              <w:rPr>
                <w:noProof/>
                <w:color w:val="auto"/>
                <w:lang w:val="en-GB" w:eastAsia="en-US"/>
              </w:rPr>
              <w:t>the area of a NUTS Region is used as a proxy for high density land use</w:t>
            </w:r>
          </w:p>
        </w:tc>
      </w:tr>
      <w:tr w:rsidR="00AB50C5" w:rsidTr="00AB50C5">
        <w:trPr>
          <w:trHeight w:val="20"/>
        </w:trPr>
        <w:tc>
          <w:tcPr>
            <w:cnfStyle w:val="001000000000" w:firstRow="0" w:lastRow="0" w:firstColumn="1" w:lastColumn="0" w:oddVBand="0" w:evenVBand="0" w:oddHBand="0" w:evenHBand="0" w:firstRowFirstColumn="0" w:firstRowLastColumn="0" w:lastRowFirstColumn="0" w:lastRowLastColumn="0"/>
            <w:tcW w:w="2325" w:type="dxa"/>
            <w:tcBorders>
              <w:top w:val="dotted" w:sz="4" w:space="0" w:color="auto"/>
              <w:bottom w:val="dotted" w:sz="4" w:space="0" w:color="auto"/>
            </w:tcBorders>
            <w:shd w:val="clear" w:color="auto" w:fill="auto"/>
          </w:tcPr>
          <w:p w:rsidR="00AB50C5" w:rsidRDefault="00724275">
            <w:pPr>
              <w:pStyle w:val="Etabletext"/>
              <w:rPr>
                <w:noProof/>
                <w:color w:val="auto"/>
                <w:lang w:eastAsia="fr-BE"/>
              </w:rPr>
            </w:pPr>
            <w:r>
              <w:rPr>
                <w:noProof/>
                <w:color w:val="auto"/>
                <w:lang w:eastAsia="fr-BE"/>
              </w:rPr>
              <w:t>Source</w:t>
            </w:r>
          </w:p>
        </w:tc>
        <w:tc>
          <w:tcPr>
            <w:tcW w:w="6096" w:type="dxa"/>
            <w:tcBorders>
              <w:top w:val="dotted" w:sz="4" w:space="0" w:color="auto"/>
              <w:bottom w:val="dotted" w:sz="4" w:space="0" w:color="auto"/>
            </w:tcBorders>
            <w:shd w:val="clear" w:color="auto" w:fill="auto"/>
          </w:tcPr>
          <w:p w:rsidR="00AB50C5" w:rsidRDefault="00724275">
            <w:pPr>
              <w:pStyle w:val="Etabletext"/>
              <w:cnfStyle w:val="000000000000" w:firstRow="0" w:lastRow="0" w:firstColumn="0" w:lastColumn="0" w:oddVBand="0" w:evenVBand="0" w:oddHBand="0" w:evenHBand="0" w:firstRowFirstColumn="0" w:firstRowLastColumn="0" w:lastRowFirstColumn="0" w:lastRowLastColumn="0"/>
              <w:rPr>
                <w:noProof/>
                <w:color w:val="auto"/>
                <w:highlight w:val="yellow"/>
                <w:lang w:eastAsia="en-US"/>
              </w:rPr>
            </w:pPr>
            <w:r>
              <w:rPr>
                <w:noProof/>
                <w:color w:val="auto"/>
                <w:lang w:eastAsia="en-US"/>
              </w:rPr>
              <w:t>EUROSTAT; ÖIR calculation</w:t>
            </w:r>
          </w:p>
        </w:tc>
      </w:tr>
      <w:tr w:rsidR="00AB50C5" w:rsidTr="00AB50C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25" w:type="dxa"/>
            <w:tcBorders>
              <w:top w:val="dotted" w:sz="4" w:space="0" w:color="auto"/>
              <w:left w:val="none" w:sz="0" w:space="0" w:color="auto"/>
              <w:bottom w:val="dotted" w:sz="4" w:space="0" w:color="auto"/>
              <w:right w:val="none" w:sz="0" w:space="0" w:color="auto"/>
            </w:tcBorders>
            <w:shd w:val="clear" w:color="auto" w:fill="auto"/>
          </w:tcPr>
          <w:p w:rsidR="00AB50C5" w:rsidRDefault="00724275">
            <w:pPr>
              <w:pStyle w:val="Etabletext"/>
              <w:rPr>
                <w:noProof/>
                <w:color w:val="auto"/>
                <w:lang w:eastAsia="fr-BE"/>
              </w:rPr>
            </w:pPr>
            <w:r>
              <w:rPr>
                <w:noProof/>
                <w:color w:val="auto"/>
                <w:lang w:eastAsia="fr-BE"/>
              </w:rPr>
              <w:t>Reference year</w:t>
            </w:r>
          </w:p>
        </w:tc>
        <w:tc>
          <w:tcPr>
            <w:tcW w:w="6096" w:type="dxa"/>
            <w:tcBorders>
              <w:top w:val="dotted" w:sz="4" w:space="0" w:color="auto"/>
              <w:left w:val="none" w:sz="0" w:space="0" w:color="auto"/>
              <w:bottom w:val="dotted" w:sz="4" w:space="0" w:color="auto"/>
              <w:right w:val="none" w:sz="0" w:space="0" w:color="auto"/>
            </w:tcBorders>
            <w:shd w:val="clear" w:color="auto" w:fill="auto"/>
          </w:tcPr>
          <w:p w:rsidR="00AB50C5" w:rsidRDefault="00724275">
            <w:pPr>
              <w:pStyle w:val="Etabletext"/>
              <w:cnfStyle w:val="000000100000" w:firstRow="0" w:lastRow="0" w:firstColumn="0" w:lastColumn="0" w:oddVBand="0" w:evenVBand="0" w:oddHBand="1" w:evenHBand="0" w:firstRowFirstColumn="0" w:firstRowLastColumn="0" w:lastRowFirstColumn="0" w:lastRowLastColumn="0"/>
              <w:rPr>
                <w:noProof/>
                <w:color w:val="auto"/>
                <w:highlight w:val="yellow"/>
                <w:lang w:eastAsia="en-US"/>
              </w:rPr>
            </w:pPr>
            <w:r>
              <w:rPr>
                <w:noProof/>
                <w:color w:val="auto"/>
                <w:lang w:eastAsia="en-US"/>
              </w:rPr>
              <w:t>2011</w:t>
            </w:r>
          </w:p>
        </w:tc>
      </w:tr>
      <w:tr w:rsidR="00AB50C5" w:rsidTr="00AB50C5">
        <w:trPr>
          <w:trHeight w:val="20"/>
        </w:trPr>
        <w:tc>
          <w:tcPr>
            <w:cnfStyle w:val="001000000000" w:firstRow="0" w:lastRow="0" w:firstColumn="1" w:lastColumn="0" w:oddVBand="0" w:evenVBand="0" w:oddHBand="0" w:evenHBand="0" w:firstRowFirstColumn="0" w:firstRowLastColumn="0" w:lastRowFirstColumn="0" w:lastRowLastColumn="0"/>
            <w:tcW w:w="2325" w:type="dxa"/>
            <w:tcBorders>
              <w:top w:val="dotted" w:sz="4" w:space="0" w:color="auto"/>
              <w:bottom w:val="single" w:sz="4" w:space="0" w:color="auto"/>
            </w:tcBorders>
            <w:shd w:val="clear" w:color="auto" w:fill="auto"/>
          </w:tcPr>
          <w:p w:rsidR="00AB50C5" w:rsidRDefault="00724275">
            <w:pPr>
              <w:pStyle w:val="Etabletext"/>
              <w:rPr>
                <w:noProof/>
                <w:color w:val="auto"/>
                <w:lang w:eastAsia="fr-BE"/>
              </w:rPr>
            </w:pPr>
            <w:r>
              <w:rPr>
                <w:noProof/>
                <w:color w:val="auto"/>
                <w:lang w:eastAsia="fr-BE"/>
              </w:rPr>
              <w:t xml:space="preserve">Original Indicator </w:t>
            </w:r>
            <w:r>
              <w:rPr>
                <w:noProof/>
                <w:color w:val="auto"/>
                <w:lang w:eastAsia="fr-BE"/>
              </w:rPr>
              <w:br/>
              <w:t>Spatial Reference</w:t>
            </w:r>
          </w:p>
        </w:tc>
        <w:tc>
          <w:tcPr>
            <w:tcW w:w="6096" w:type="dxa"/>
            <w:tcBorders>
              <w:top w:val="dotted" w:sz="4" w:space="0" w:color="auto"/>
              <w:bottom w:val="single" w:sz="4" w:space="0" w:color="auto"/>
            </w:tcBorders>
            <w:shd w:val="clear" w:color="auto" w:fill="auto"/>
          </w:tcPr>
          <w:p w:rsidR="00AB50C5" w:rsidRDefault="00724275">
            <w:pPr>
              <w:pStyle w:val="Etabletext"/>
              <w:cnfStyle w:val="000000000000" w:firstRow="0" w:lastRow="0" w:firstColumn="0" w:lastColumn="0" w:oddVBand="0" w:evenVBand="0" w:oddHBand="0" w:evenHBand="0" w:firstRowFirstColumn="0" w:firstRowLastColumn="0" w:lastRowFirstColumn="0" w:lastRowLastColumn="0"/>
              <w:rPr>
                <w:noProof/>
                <w:color w:val="auto"/>
                <w:lang w:eastAsia="en-US"/>
              </w:rPr>
            </w:pPr>
            <w:r>
              <w:rPr>
                <w:noProof/>
                <w:color w:val="auto"/>
                <w:lang w:eastAsia="en-US"/>
              </w:rPr>
              <w:t>NUTS3, 2010</w:t>
            </w:r>
          </w:p>
        </w:tc>
      </w:tr>
    </w:tbl>
    <w:p w:rsidR="00AB50C5" w:rsidRDefault="00724275">
      <w:pPr>
        <w:pStyle w:val="Heading5"/>
        <w:rPr>
          <w:noProof/>
        </w:rPr>
      </w:pPr>
      <w:r>
        <w:rPr>
          <w:noProof/>
        </w:rPr>
        <w:t>Added value in agriculture and forestry</w:t>
      </w:r>
    </w:p>
    <w:tbl>
      <w:tblPr>
        <w:tblStyle w:val="HelleSchattierung-Akzent51"/>
        <w:tblW w:w="8421" w:type="dxa"/>
        <w:tblBorders>
          <w:top w:val="single" w:sz="4" w:space="0" w:color="auto"/>
          <w:bottom w:val="single" w:sz="4" w:space="0" w:color="auto"/>
          <w:insideH w:val="single" w:sz="4" w:space="0" w:color="auto"/>
        </w:tblBorders>
        <w:tblCellMar>
          <w:left w:w="57" w:type="dxa"/>
          <w:right w:w="57" w:type="dxa"/>
        </w:tblCellMar>
        <w:tblLook w:val="04A0" w:firstRow="1" w:lastRow="0" w:firstColumn="1" w:lastColumn="0" w:noHBand="0" w:noVBand="1"/>
      </w:tblPr>
      <w:tblGrid>
        <w:gridCol w:w="2325"/>
        <w:gridCol w:w="6096"/>
      </w:tblGrid>
      <w:tr w:rsidR="00AB50C5" w:rsidTr="00AB50C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25" w:type="dxa"/>
            <w:tcBorders>
              <w:top w:val="none" w:sz="0" w:space="0" w:color="auto"/>
              <w:left w:val="none" w:sz="0" w:space="0" w:color="auto"/>
              <w:bottom w:val="single" w:sz="4" w:space="0" w:color="auto"/>
              <w:right w:val="none" w:sz="0" w:space="0" w:color="auto"/>
            </w:tcBorders>
            <w:shd w:val="clear" w:color="auto" w:fill="auto"/>
          </w:tcPr>
          <w:p w:rsidR="00AB50C5" w:rsidRDefault="00724275">
            <w:pPr>
              <w:pStyle w:val="Etabletext"/>
              <w:rPr>
                <w:noProof/>
                <w:color w:val="auto"/>
                <w:lang w:eastAsia="fr-BE"/>
              </w:rPr>
            </w:pPr>
            <w:r>
              <w:rPr>
                <w:noProof/>
                <w:color w:val="auto"/>
                <w:lang w:eastAsia="fr-BE"/>
              </w:rPr>
              <w:t>Definition of sensitivity</w:t>
            </w:r>
          </w:p>
        </w:tc>
        <w:tc>
          <w:tcPr>
            <w:tcW w:w="6096" w:type="dxa"/>
            <w:tcBorders>
              <w:top w:val="none" w:sz="0" w:space="0" w:color="auto"/>
              <w:left w:val="none" w:sz="0" w:space="0" w:color="auto"/>
              <w:bottom w:val="single" w:sz="4" w:space="0" w:color="auto"/>
              <w:right w:val="none" w:sz="0" w:space="0" w:color="auto"/>
            </w:tcBorders>
            <w:shd w:val="clear" w:color="auto" w:fill="auto"/>
          </w:tcPr>
          <w:p w:rsidR="00AB50C5" w:rsidRDefault="00724275">
            <w:pPr>
              <w:pStyle w:val="Etabletext"/>
              <w:jc w:val="both"/>
              <w:cnfStyle w:val="100000000000" w:firstRow="1" w:lastRow="0" w:firstColumn="0" w:lastColumn="0" w:oddVBand="0" w:evenVBand="0" w:oddHBand="0" w:evenHBand="0" w:firstRowFirstColumn="0" w:firstRowLastColumn="0" w:lastRowFirstColumn="0" w:lastRowLastColumn="0"/>
              <w:rPr>
                <w:b w:val="0"/>
                <w:bCs w:val="0"/>
                <w:noProof/>
                <w:color w:val="auto"/>
                <w:lang w:val="en-GB" w:eastAsia="fr-BE"/>
              </w:rPr>
            </w:pPr>
            <w:r>
              <w:rPr>
                <w:noProof/>
                <w:color w:val="auto"/>
                <w:lang w:val="en-GB" w:eastAsia="fr-BE"/>
              </w:rPr>
              <w:t xml:space="preserve">Regions </w:t>
            </w:r>
            <w:r>
              <w:rPr>
                <w:noProof/>
                <w:color w:val="auto"/>
                <w:lang w:val="en-GB" w:eastAsia="fr-BE"/>
              </w:rPr>
              <w:t>where agriculture and forestry have an important share of the GVA are expected to benefit more from directives stimulating the added value in agriculture and forestry than others.</w:t>
            </w:r>
          </w:p>
        </w:tc>
      </w:tr>
      <w:tr w:rsidR="00AB50C5" w:rsidTr="00AB50C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25" w:type="dxa"/>
            <w:tcBorders>
              <w:left w:val="none" w:sz="0" w:space="0" w:color="auto"/>
              <w:bottom w:val="dotted" w:sz="4" w:space="0" w:color="auto"/>
              <w:right w:val="none" w:sz="0" w:space="0" w:color="auto"/>
            </w:tcBorders>
            <w:shd w:val="clear" w:color="auto" w:fill="auto"/>
          </w:tcPr>
          <w:p w:rsidR="00AB50C5" w:rsidRDefault="00724275">
            <w:pPr>
              <w:pStyle w:val="Etabletext"/>
              <w:rPr>
                <w:noProof/>
                <w:color w:val="auto"/>
                <w:lang w:eastAsia="fr-BE"/>
              </w:rPr>
            </w:pPr>
            <w:r>
              <w:rPr>
                <w:noProof/>
                <w:color w:val="auto"/>
                <w:lang w:eastAsia="fr-BE"/>
              </w:rPr>
              <w:t>Description</w:t>
            </w:r>
          </w:p>
        </w:tc>
        <w:tc>
          <w:tcPr>
            <w:tcW w:w="6096" w:type="dxa"/>
            <w:tcBorders>
              <w:left w:val="none" w:sz="0" w:space="0" w:color="auto"/>
              <w:bottom w:val="dotted" w:sz="4" w:space="0" w:color="auto"/>
              <w:right w:val="none" w:sz="0" w:space="0" w:color="auto"/>
            </w:tcBorders>
            <w:shd w:val="clear" w:color="auto" w:fill="auto"/>
          </w:tcPr>
          <w:p w:rsidR="00AB50C5" w:rsidRDefault="00724275">
            <w:pPr>
              <w:pStyle w:val="Etabletext"/>
              <w:cnfStyle w:val="000000100000" w:firstRow="0" w:lastRow="0" w:firstColumn="0" w:lastColumn="0" w:oddVBand="0" w:evenVBand="0" w:oddHBand="1" w:evenHBand="0" w:firstRowFirstColumn="0" w:firstRowLastColumn="0" w:lastRowFirstColumn="0" w:lastRowLastColumn="0"/>
              <w:rPr>
                <w:noProof/>
                <w:color w:val="auto"/>
                <w:lang w:val="en-GB" w:eastAsia="en-US"/>
              </w:rPr>
            </w:pPr>
            <w:r>
              <w:rPr>
                <w:noProof/>
                <w:color w:val="auto"/>
                <w:lang w:val="en-GB" w:eastAsia="en-US"/>
              </w:rPr>
              <w:t>Share of agriculture and forestry in GVA</w:t>
            </w:r>
          </w:p>
        </w:tc>
      </w:tr>
      <w:tr w:rsidR="00AB50C5" w:rsidTr="00AB50C5">
        <w:trPr>
          <w:trHeight w:val="20"/>
        </w:trPr>
        <w:tc>
          <w:tcPr>
            <w:cnfStyle w:val="001000000000" w:firstRow="0" w:lastRow="0" w:firstColumn="1" w:lastColumn="0" w:oddVBand="0" w:evenVBand="0" w:oddHBand="0" w:evenHBand="0" w:firstRowFirstColumn="0" w:firstRowLastColumn="0" w:lastRowFirstColumn="0" w:lastRowLastColumn="0"/>
            <w:tcW w:w="2325" w:type="dxa"/>
            <w:tcBorders>
              <w:top w:val="dotted" w:sz="4" w:space="0" w:color="auto"/>
              <w:bottom w:val="dotted" w:sz="4" w:space="0" w:color="auto"/>
            </w:tcBorders>
            <w:shd w:val="clear" w:color="auto" w:fill="auto"/>
          </w:tcPr>
          <w:p w:rsidR="00AB50C5" w:rsidRDefault="00724275">
            <w:pPr>
              <w:pStyle w:val="Etabletext"/>
              <w:rPr>
                <w:noProof/>
                <w:color w:val="auto"/>
                <w:highlight w:val="yellow"/>
                <w:lang w:eastAsia="fr-BE"/>
              </w:rPr>
            </w:pPr>
            <w:r>
              <w:rPr>
                <w:noProof/>
                <w:color w:val="auto"/>
                <w:lang w:eastAsia="fr-BE"/>
              </w:rPr>
              <w:t>Source</w:t>
            </w:r>
          </w:p>
        </w:tc>
        <w:tc>
          <w:tcPr>
            <w:tcW w:w="6096" w:type="dxa"/>
            <w:tcBorders>
              <w:top w:val="dotted" w:sz="4" w:space="0" w:color="auto"/>
              <w:bottom w:val="dotted" w:sz="4" w:space="0" w:color="auto"/>
            </w:tcBorders>
            <w:shd w:val="clear" w:color="auto" w:fill="auto"/>
          </w:tcPr>
          <w:p w:rsidR="00AB50C5" w:rsidRDefault="00724275">
            <w:pPr>
              <w:pStyle w:val="Etabletext"/>
              <w:cnfStyle w:val="000000000000" w:firstRow="0" w:lastRow="0" w:firstColumn="0" w:lastColumn="0" w:oddVBand="0" w:evenVBand="0" w:oddHBand="0" w:evenHBand="0" w:firstRowFirstColumn="0" w:firstRowLastColumn="0" w:lastRowFirstColumn="0" w:lastRowLastColumn="0"/>
              <w:rPr>
                <w:noProof/>
                <w:color w:val="auto"/>
                <w:highlight w:val="yellow"/>
                <w:lang w:eastAsia="en-US"/>
              </w:rPr>
            </w:pPr>
            <w:r>
              <w:rPr>
                <w:noProof/>
                <w:color w:val="auto"/>
                <w:lang w:eastAsia="en-US"/>
              </w:rPr>
              <w:t>EUROSTAT</w:t>
            </w:r>
          </w:p>
        </w:tc>
      </w:tr>
      <w:tr w:rsidR="00AB50C5" w:rsidTr="00AB50C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25" w:type="dxa"/>
            <w:tcBorders>
              <w:top w:val="dotted" w:sz="4" w:space="0" w:color="auto"/>
              <w:left w:val="none" w:sz="0" w:space="0" w:color="auto"/>
              <w:bottom w:val="dotted" w:sz="4" w:space="0" w:color="auto"/>
              <w:right w:val="none" w:sz="0" w:space="0" w:color="auto"/>
            </w:tcBorders>
            <w:shd w:val="clear" w:color="auto" w:fill="auto"/>
          </w:tcPr>
          <w:p w:rsidR="00AB50C5" w:rsidRDefault="00724275">
            <w:pPr>
              <w:pStyle w:val="Etabletext"/>
              <w:rPr>
                <w:noProof/>
                <w:color w:val="auto"/>
                <w:lang w:eastAsia="fr-BE"/>
              </w:rPr>
            </w:pPr>
            <w:r>
              <w:rPr>
                <w:noProof/>
                <w:color w:val="auto"/>
                <w:lang w:eastAsia="fr-BE"/>
              </w:rPr>
              <w:t>Reference year</w:t>
            </w:r>
          </w:p>
        </w:tc>
        <w:tc>
          <w:tcPr>
            <w:tcW w:w="6096" w:type="dxa"/>
            <w:tcBorders>
              <w:top w:val="dotted" w:sz="4" w:space="0" w:color="auto"/>
              <w:left w:val="none" w:sz="0" w:space="0" w:color="auto"/>
              <w:bottom w:val="dotted" w:sz="4" w:space="0" w:color="auto"/>
              <w:right w:val="none" w:sz="0" w:space="0" w:color="auto"/>
            </w:tcBorders>
            <w:shd w:val="clear" w:color="auto" w:fill="auto"/>
          </w:tcPr>
          <w:p w:rsidR="00AB50C5" w:rsidRDefault="00724275">
            <w:pPr>
              <w:pStyle w:val="Etabletext"/>
              <w:cnfStyle w:val="000000100000" w:firstRow="0" w:lastRow="0" w:firstColumn="0" w:lastColumn="0" w:oddVBand="0" w:evenVBand="0" w:oddHBand="1" w:evenHBand="0" w:firstRowFirstColumn="0" w:firstRowLastColumn="0" w:lastRowFirstColumn="0" w:lastRowLastColumn="0"/>
              <w:rPr>
                <w:noProof/>
                <w:color w:val="auto"/>
                <w:lang w:eastAsia="en-US"/>
              </w:rPr>
            </w:pPr>
            <w:r>
              <w:rPr>
                <w:noProof/>
                <w:color w:val="auto"/>
                <w:lang w:eastAsia="en-US"/>
              </w:rPr>
              <w:t>2010</w:t>
            </w:r>
          </w:p>
        </w:tc>
      </w:tr>
      <w:tr w:rsidR="00AB50C5" w:rsidTr="00AB50C5">
        <w:trPr>
          <w:trHeight w:val="20"/>
        </w:trPr>
        <w:tc>
          <w:tcPr>
            <w:cnfStyle w:val="001000000000" w:firstRow="0" w:lastRow="0" w:firstColumn="1" w:lastColumn="0" w:oddVBand="0" w:evenVBand="0" w:oddHBand="0" w:evenHBand="0" w:firstRowFirstColumn="0" w:firstRowLastColumn="0" w:lastRowFirstColumn="0" w:lastRowLastColumn="0"/>
            <w:tcW w:w="2325" w:type="dxa"/>
            <w:tcBorders>
              <w:top w:val="dotted" w:sz="4" w:space="0" w:color="auto"/>
              <w:bottom w:val="single" w:sz="4" w:space="0" w:color="auto"/>
            </w:tcBorders>
            <w:shd w:val="clear" w:color="auto" w:fill="auto"/>
          </w:tcPr>
          <w:p w:rsidR="00AB50C5" w:rsidRDefault="00724275">
            <w:pPr>
              <w:pStyle w:val="Etabletext"/>
              <w:rPr>
                <w:noProof/>
                <w:color w:val="auto"/>
                <w:highlight w:val="yellow"/>
                <w:lang w:eastAsia="fr-BE"/>
              </w:rPr>
            </w:pPr>
            <w:r>
              <w:rPr>
                <w:noProof/>
                <w:color w:val="auto"/>
                <w:lang w:eastAsia="fr-BE"/>
              </w:rPr>
              <w:t xml:space="preserve">Original Indicator </w:t>
            </w:r>
            <w:r>
              <w:rPr>
                <w:noProof/>
                <w:color w:val="auto"/>
                <w:lang w:eastAsia="fr-BE"/>
              </w:rPr>
              <w:br/>
              <w:t>Spatial Reference</w:t>
            </w:r>
          </w:p>
        </w:tc>
        <w:tc>
          <w:tcPr>
            <w:tcW w:w="6096" w:type="dxa"/>
            <w:tcBorders>
              <w:top w:val="dotted" w:sz="4" w:space="0" w:color="auto"/>
              <w:bottom w:val="single" w:sz="4" w:space="0" w:color="auto"/>
            </w:tcBorders>
            <w:shd w:val="clear" w:color="auto" w:fill="auto"/>
          </w:tcPr>
          <w:p w:rsidR="00AB50C5" w:rsidRDefault="00724275">
            <w:pPr>
              <w:pStyle w:val="Etabletext"/>
              <w:cnfStyle w:val="000000000000" w:firstRow="0" w:lastRow="0" w:firstColumn="0" w:lastColumn="0" w:oddVBand="0" w:evenVBand="0" w:oddHBand="0" w:evenHBand="0" w:firstRowFirstColumn="0" w:firstRowLastColumn="0" w:lastRowFirstColumn="0" w:lastRowLastColumn="0"/>
              <w:rPr>
                <w:noProof/>
                <w:color w:val="auto"/>
                <w:highlight w:val="yellow"/>
                <w:lang w:eastAsia="en-US"/>
              </w:rPr>
            </w:pPr>
            <w:r>
              <w:rPr>
                <w:noProof/>
                <w:color w:val="auto"/>
                <w:lang w:eastAsia="en-US"/>
              </w:rPr>
              <w:t>NUTS2, 2006</w:t>
            </w:r>
          </w:p>
        </w:tc>
      </w:tr>
    </w:tbl>
    <w:p w:rsidR="00AB50C5" w:rsidRDefault="00AB50C5">
      <w:pPr>
        <w:rPr>
          <w:noProof/>
        </w:rPr>
      </w:pPr>
    </w:p>
    <w:p w:rsidR="00AB50C5" w:rsidRDefault="00724275">
      <w:pPr>
        <w:pStyle w:val="Heading5"/>
        <w:rPr>
          <w:noProof/>
        </w:rPr>
      </w:pPr>
      <w:r>
        <w:rPr>
          <w:noProof/>
        </w:rPr>
        <w:t>Economic growth</w:t>
      </w:r>
    </w:p>
    <w:tbl>
      <w:tblPr>
        <w:tblStyle w:val="HelleSchattierung-Akzent51"/>
        <w:tblW w:w="8421" w:type="dxa"/>
        <w:tblBorders>
          <w:top w:val="single" w:sz="4" w:space="0" w:color="auto"/>
          <w:bottom w:val="single" w:sz="4" w:space="0" w:color="auto"/>
          <w:insideH w:val="single" w:sz="4" w:space="0" w:color="auto"/>
        </w:tblBorders>
        <w:tblCellMar>
          <w:left w:w="57" w:type="dxa"/>
          <w:right w:w="57" w:type="dxa"/>
        </w:tblCellMar>
        <w:tblLook w:val="04A0" w:firstRow="1" w:lastRow="0" w:firstColumn="1" w:lastColumn="0" w:noHBand="0" w:noVBand="1"/>
      </w:tblPr>
      <w:tblGrid>
        <w:gridCol w:w="2325"/>
        <w:gridCol w:w="6096"/>
      </w:tblGrid>
      <w:tr w:rsidR="00AB50C5" w:rsidTr="00AB50C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25" w:type="dxa"/>
            <w:tcBorders>
              <w:top w:val="none" w:sz="0" w:space="0" w:color="auto"/>
              <w:left w:val="none" w:sz="0" w:space="0" w:color="auto"/>
              <w:bottom w:val="single" w:sz="4" w:space="0" w:color="auto"/>
              <w:right w:val="none" w:sz="0" w:space="0" w:color="auto"/>
            </w:tcBorders>
            <w:shd w:val="clear" w:color="auto" w:fill="auto"/>
          </w:tcPr>
          <w:p w:rsidR="00AB50C5" w:rsidRDefault="00724275">
            <w:pPr>
              <w:pStyle w:val="Etabletext"/>
              <w:keepNext/>
              <w:rPr>
                <w:noProof/>
                <w:color w:val="auto"/>
                <w:lang w:eastAsia="fr-BE"/>
              </w:rPr>
            </w:pPr>
            <w:r>
              <w:rPr>
                <w:noProof/>
                <w:color w:val="auto"/>
                <w:lang w:eastAsia="fr-BE"/>
              </w:rPr>
              <w:t>Definition of sensitivity</w:t>
            </w:r>
          </w:p>
        </w:tc>
        <w:tc>
          <w:tcPr>
            <w:tcW w:w="6096" w:type="dxa"/>
            <w:tcBorders>
              <w:top w:val="none" w:sz="0" w:space="0" w:color="auto"/>
              <w:left w:val="none" w:sz="0" w:space="0" w:color="auto"/>
              <w:bottom w:val="single" w:sz="4" w:space="0" w:color="auto"/>
              <w:right w:val="none" w:sz="0" w:space="0" w:color="auto"/>
            </w:tcBorders>
            <w:shd w:val="clear" w:color="auto" w:fill="auto"/>
          </w:tcPr>
          <w:p w:rsidR="00AB50C5" w:rsidRDefault="00724275">
            <w:pPr>
              <w:pStyle w:val="Etabletext"/>
              <w:keepNext/>
              <w:jc w:val="both"/>
              <w:cnfStyle w:val="100000000000" w:firstRow="1" w:lastRow="0" w:firstColumn="0" w:lastColumn="0" w:oddVBand="0" w:evenVBand="0" w:oddHBand="0" w:evenHBand="0" w:firstRowFirstColumn="0" w:firstRowLastColumn="0" w:lastRowFirstColumn="0" w:lastRowLastColumn="0"/>
              <w:rPr>
                <w:b w:val="0"/>
                <w:bCs w:val="0"/>
                <w:noProof/>
                <w:color w:val="auto"/>
                <w:lang w:val="en-GB" w:eastAsia="fr-BE"/>
              </w:rPr>
            </w:pPr>
            <w:r>
              <w:rPr>
                <w:noProof/>
                <w:color w:val="auto"/>
                <w:lang w:val="en-GB" w:eastAsia="fr-BE"/>
              </w:rPr>
              <w:t xml:space="preserve">Regions with lower GDP per capita were expected to benefit more from directives aimed at GDP growth increase and that inadvertently harm </w:t>
            </w:r>
            <w:r>
              <w:rPr>
                <w:noProof/>
                <w:color w:val="auto"/>
                <w:lang w:val="en-GB" w:eastAsia="fr-BE"/>
              </w:rPr>
              <w:t>economic growth. Sensitivity is thus inversely proportional to the level of GDP per capita</w:t>
            </w:r>
          </w:p>
        </w:tc>
      </w:tr>
      <w:tr w:rsidR="00AB50C5" w:rsidTr="00AB50C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25" w:type="dxa"/>
            <w:tcBorders>
              <w:left w:val="none" w:sz="0" w:space="0" w:color="auto"/>
              <w:bottom w:val="dotted" w:sz="4" w:space="0" w:color="auto"/>
              <w:right w:val="none" w:sz="0" w:space="0" w:color="auto"/>
            </w:tcBorders>
            <w:shd w:val="clear" w:color="auto" w:fill="auto"/>
          </w:tcPr>
          <w:p w:rsidR="00AB50C5" w:rsidRDefault="00724275">
            <w:pPr>
              <w:pStyle w:val="Etabletext"/>
              <w:keepNext/>
              <w:rPr>
                <w:noProof/>
                <w:color w:val="auto"/>
                <w:lang w:eastAsia="fr-BE"/>
              </w:rPr>
            </w:pPr>
            <w:r>
              <w:rPr>
                <w:noProof/>
                <w:color w:val="auto"/>
                <w:lang w:eastAsia="fr-BE"/>
              </w:rPr>
              <w:t>Description</w:t>
            </w:r>
          </w:p>
        </w:tc>
        <w:tc>
          <w:tcPr>
            <w:tcW w:w="6096" w:type="dxa"/>
            <w:tcBorders>
              <w:left w:val="none" w:sz="0" w:space="0" w:color="auto"/>
              <w:bottom w:val="dotted" w:sz="4" w:space="0" w:color="auto"/>
              <w:right w:val="none" w:sz="0" w:space="0" w:color="auto"/>
            </w:tcBorders>
            <w:shd w:val="clear" w:color="auto" w:fill="auto"/>
          </w:tcPr>
          <w:p w:rsidR="00AB50C5" w:rsidRDefault="00724275">
            <w:pPr>
              <w:pStyle w:val="Etabletext"/>
              <w:keepNext/>
              <w:jc w:val="both"/>
              <w:cnfStyle w:val="000000100000" w:firstRow="0" w:lastRow="0" w:firstColumn="0" w:lastColumn="0" w:oddVBand="0" w:evenVBand="0" w:oddHBand="1" w:evenHBand="0" w:firstRowFirstColumn="0" w:firstRowLastColumn="0" w:lastRowFirstColumn="0" w:lastRowLastColumn="0"/>
              <w:rPr>
                <w:noProof/>
                <w:color w:val="auto"/>
                <w:lang w:val="en-GB" w:eastAsia="fr-BE"/>
              </w:rPr>
            </w:pPr>
            <w:r>
              <w:rPr>
                <w:noProof/>
                <w:color w:val="auto"/>
                <w:lang w:val="en-GB" w:eastAsia="fr-BE"/>
              </w:rPr>
              <w:t>Gross domestic product (GDP) at current market prices; Purchasing Power Standard per inhabitant</w:t>
            </w:r>
          </w:p>
        </w:tc>
      </w:tr>
      <w:tr w:rsidR="00AB50C5" w:rsidTr="00AB50C5">
        <w:trPr>
          <w:trHeight w:val="20"/>
        </w:trPr>
        <w:tc>
          <w:tcPr>
            <w:cnfStyle w:val="001000000000" w:firstRow="0" w:lastRow="0" w:firstColumn="1" w:lastColumn="0" w:oddVBand="0" w:evenVBand="0" w:oddHBand="0" w:evenHBand="0" w:firstRowFirstColumn="0" w:firstRowLastColumn="0" w:lastRowFirstColumn="0" w:lastRowLastColumn="0"/>
            <w:tcW w:w="2325" w:type="dxa"/>
            <w:tcBorders>
              <w:top w:val="dotted" w:sz="4" w:space="0" w:color="auto"/>
              <w:bottom w:val="dotted" w:sz="4" w:space="0" w:color="auto"/>
            </w:tcBorders>
            <w:shd w:val="clear" w:color="auto" w:fill="auto"/>
          </w:tcPr>
          <w:p w:rsidR="00AB50C5" w:rsidRDefault="00724275">
            <w:pPr>
              <w:pStyle w:val="Etabletext"/>
              <w:keepNext/>
              <w:rPr>
                <w:noProof/>
                <w:color w:val="auto"/>
                <w:lang w:eastAsia="fr-BE"/>
              </w:rPr>
            </w:pPr>
            <w:r>
              <w:rPr>
                <w:noProof/>
                <w:color w:val="auto"/>
                <w:lang w:eastAsia="fr-BE"/>
              </w:rPr>
              <w:t>Source</w:t>
            </w:r>
          </w:p>
        </w:tc>
        <w:tc>
          <w:tcPr>
            <w:tcW w:w="6096" w:type="dxa"/>
            <w:tcBorders>
              <w:top w:val="dotted" w:sz="4" w:space="0" w:color="auto"/>
              <w:bottom w:val="dotted" w:sz="4" w:space="0" w:color="auto"/>
            </w:tcBorders>
            <w:shd w:val="clear" w:color="auto" w:fill="auto"/>
          </w:tcPr>
          <w:p w:rsidR="00AB50C5" w:rsidRDefault="00724275">
            <w:pPr>
              <w:pStyle w:val="Etabletext"/>
              <w:keepNext/>
              <w:cnfStyle w:val="000000000000" w:firstRow="0" w:lastRow="0" w:firstColumn="0" w:lastColumn="0" w:oddVBand="0" w:evenVBand="0" w:oddHBand="0" w:evenHBand="0" w:firstRowFirstColumn="0" w:firstRowLastColumn="0" w:lastRowFirstColumn="0" w:lastRowLastColumn="0"/>
              <w:rPr>
                <w:noProof/>
                <w:color w:val="auto"/>
                <w:lang w:eastAsia="fr-BE"/>
              </w:rPr>
            </w:pPr>
            <w:r>
              <w:rPr>
                <w:noProof/>
                <w:color w:val="auto"/>
                <w:lang w:eastAsia="fr-BE"/>
              </w:rPr>
              <w:t>EUROSTAT</w:t>
            </w:r>
          </w:p>
        </w:tc>
      </w:tr>
      <w:tr w:rsidR="00AB50C5" w:rsidTr="00AB50C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25" w:type="dxa"/>
            <w:tcBorders>
              <w:top w:val="dotted" w:sz="4" w:space="0" w:color="auto"/>
              <w:left w:val="none" w:sz="0" w:space="0" w:color="auto"/>
              <w:bottom w:val="dotted" w:sz="4" w:space="0" w:color="auto"/>
              <w:right w:val="none" w:sz="0" w:space="0" w:color="auto"/>
            </w:tcBorders>
            <w:shd w:val="clear" w:color="auto" w:fill="auto"/>
          </w:tcPr>
          <w:p w:rsidR="00AB50C5" w:rsidRDefault="00724275">
            <w:pPr>
              <w:pStyle w:val="Etabletext"/>
              <w:keepNext/>
              <w:rPr>
                <w:noProof/>
                <w:color w:val="auto"/>
                <w:lang w:eastAsia="fr-BE"/>
              </w:rPr>
            </w:pPr>
            <w:r>
              <w:rPr>
                <w:noProof/>
                <w:color w:val="auto"/>
                <w:lang w:eastAsia="fr-BE"/>
              </w:rPr>
              <w:t>Reference year</w:t>
            </w:r>
          </w:p>
        </w:tc>
        <w:tc>
          <w:tcPr>
            <w:tcW w:w="6096" w:type="dxa"/>
            <w:tcBorders>
              <w:top w:val="dotted" w:sz="4" w:space="0" w:color="auto"/>
              <w:left w:val="none" w:sz="0" w:space="0" w:color="auto"/>
              <w:bottom w:val="dotted" w:sz="4" w:space="0" w:color="auto"/>
              <w:right w:val="none" w:sz="0" w:space="0" w:color="auto"/>
            </w:tcBorders>
            <w:shd w:val="clear" w:color="auto" w:fill="auto"/>
          </w:tcPr>
          <w:p w:rsidR="00AB50C5" w:rsidRDefault="00724275">
            <w:pPr>
              <w:pStyle w:val="Etabletext"/>
              <w:keepNext/>
              <w:cnfStyle w:val="000000100000" w:firstRow="0" w:lastRow="0" w:firstColumn="0" w:lastColumn="0" w:oddVBand="0" w:evenVBand="0" w:oddHBand="1" w:evenHBand="0" w:firstRowFirstColumn="0" w:firstRowLastColumn="0" w:lastRowFirstColumn="0" w:lastRowLastColumn="0"/>
              <w:rPr>
                <w:noProof/>
                <w:color w:val="auto"/>
                <w:lang w:eastAsia="fr-BE"/>
              </w:rPr>
            </w:pPr>
            <w:r>
              <w:rPr>
                <w:noProof/>
                <w:color w:val="auto"/>
                <w:lang w:eastAsia="fr-BE"/>
              </w:rPr>
              <w:t>2011</w:t>
            </w:r>
          </w:p>
        </w:tc>
      </w:tr>
      <w:tr w:rsidR="00AB50C5" w:rsidTr="00AB50C5">
        <w:trPr>
          <w:trHeight w:val="20"/>
        </w:trPr>
        <w:tc>
          <w:tcPr>
            <w:cnfStyle w:val="001000000000" w:firstRow="0" w:lastRow="0" w:firstColumn="1" w:lastColumn="0" w:oddVBand="0" w:evenVBand="0" w:oddHBand="0" w:evenHBand="0" w:firstRowFirstColumn="0" w:firstRowLastColumn="0" w:lastRowFirstColumn="0" w:lastRowLastColumn="0"/>
            <w:tcW w:w="2325" w:type="dxa"/>
            <w:tcBorders>
              <w:top w:val="dotted" w:sz="4" w:space="0" w:color="auto"/>
            </w:tcBorders>
            <w:shd w:val="clear" w:color="auto" w:fill="auto"/>
          </w:tcPr>
          <w:p w:rsidR="00AB50C5" w:rsidRDefault="00724275">
            <w:pPr>
              <w:pStyle w:val="Etabletext"/>
              <w:keepNext/>
              <w:rPr>
                <w:noProof/>
                <w:color w:val="auto"/>
                <w:lang w:eastAsia="fr-BE"/>
              </w:rPr>
            </w:pPr>
            <w:r>
              <w:rPr>
                <w:noProof/>
                <w:color w:val="auto"/>
                <w:lang w:eastAsia="fr-BE"/>
              </w:rPr>
              <w:t xml:space="preserve">Original </w:t>
            </w:r>
            <w:r>
              <w:rPr>
                <w:noProof/>
                <w:color w:val="auto"/>
                <w:lang w:eastAsia="fr-BE"/>
              </w:rPr>
              <w:t>Indicator</w:t>
            </w:r>
            <w:r>
              <w:rPr>
                <w:noProof/>
                <w:color w:val="auto"/>
                <w:lang w:eastAsia="fr-BE"/>
              </w:rPr>
              <w:br/>
              <w:t>Spatial Reference</w:t>
            </w:r>
          </w:p>
        </w:tc>
        <w:tc>
          <w:tcPr>
            <w:tcW w:w="6096" w:type="dxa"/>
            <w:tcBorders>
              <w:top w:val="dotted" w:sz="4" w:space="0" w:color="auto"/>
            </w:tcBorders>
            <w:shd w:val="clear" w:color="auto" w:fill="auto"/>
          </w:tcPr>
          <w:p w:rsidR="00AB50C5" w:rsidRDefault="00724275">
            <w:pPr>
              <w:pStyle w:val="Etabletext"/>
              <w:keepNext/>
              <w:cnfStyle w:val="000000000000" w:firstRow="0" w:lastRow="0" w:firstColumn="0" w:lastColumn="0" w:oddVBand="0" w:evenVBand="0" w:oddHBand="0" w:evenHBand="0" w:firstRowFirstColumn="0" w:firstRowLastColumn="0" w:lastRowFirstColumn="0" w:lastRowLastColumn="0"/>
              <w:rPr>
                <w:noProof/>
                <w:color w:val="auto"/>
                <w:lang w:eastAsia="fr-BE"/>
              </w:rPr>
            </w:pPr>
            <w:r>
              <w:rPr>
                <w:noProof/>
                <w:color w:val="auto"/>
                <w:lang w:eastAsia="fr-BE"/>
              </w:rPr>
              <w:t>NUTS3, 2010</w:t>
            </w:r>
          </w:p>
        </w:tc>
      </w:tr>
    </w:tbl>
    <w:p w:rsidR="00AB50C5" w:rsidRDefault="00AB50C5">
      <w:pPr>
        <w:rPr>
          <w:noProof/>
        </w:rPr>
      </w:pPr>
    </w:p>
    <w:p w:rsidR="00AB50C5" w:rsidRDefault="00724275">
      <w:pPr>
        <w:pStyle w:val="Heading5"/>
        <w:rPr>
          <w:noProof/>
        </w:rPr>
      </w:pPr>
      <w:r>
        <w:rPr>
          <w:noProof/>
        </w:rPr>
        <w:t xml:space="preserve">R&amp;D Climate </w:t>
      </w:r>
    </w:p>
    <w:tbl>
      <w:tblPr>
        <w:tblStyle w:val="HelleSchattierung-Akzent51"/>
        <w:tblW w:w="8421" w:type="dxa"/>
        <w:tblBorders>
          <w:top w:val="single" w:sz="4" w:space="0" w:color="auto"/>
          <w:bottom w:val="single" w:sz="4" w:space="0" w:color="auto"/>
          <w:insideH w:val="single" w:sz="4" w:space="0" w:color="auto"/>
        </w:tblBorders>
        <w:tblCellMar>
          <w:left w:w="57" w:type="dxa"/>
          <w:right w:w="57" w:type="dxa"/>
        </w:tblCellMar>
        <w:tblLook w:val="04A0" w:firstRow="1" w:lastRow="0" w:firstColumn="1" w:lastColumn="0" w:noHBand="0" w:noVBand="1"/>
      </w:tblPr>
      <w:tblGrid>
        <w:gridCol w:w="2325"/>
        <w:gridCol w:w="6096"/>
      </w:tblGrid>
      <w:tr w:rsidR="00AB50C5" w:rsidTr="00AB50C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25" w:type="dxa"/>
            <w:tcBorders>
              <w:top w:val="none" w:sz="0" w:space="0" w:color="auto"/>
              <w:left w:val="none" w:sz="0" w:space="0" w:color="auto"/>
              <w:bottom w:val="single" w:sz="4" w:space="0" w:color="auto"/>
              <w:right w:val="none" w:sz="0" w:space="0" w:color="auto"/>
            </w:tcBorders>
            <w:shd w:val="clear" w:color="auto" w:fill="auto"/>
          </w:tcPr>
          <w:p w:rsidR="00AB50C5" w:rsidRDefault="00724275">
            <w:pPr>
              <w:pStyle w:val="Etabletext"/>
              <w:rPr>
                <w:noProof/>
                <w:color w:val="auto"/>
                <w:lang w:eastAsia="fr-BE"/>
              </w:rPr>
            </w:pPr>
            <w:r>
              <w:rPr>
                <w:noProof/>
                <w:color w:val="auto"/>
                <w:lang w:eastAsia="fr-BE"/>
              </w:rPr>
              <w:t>Definition of sensitivity</w:t>
            </w:r>
          </w:p>
        </w:tc>
        <w:tc>
          <w:tcPr>
            <w:tcW w:w="6096" w:type="dxa"/>
            <w:tcBorders>
              <w:top w:val="none" w:sz="0" w:space="0" w:color="auto"/>
              <w:left w:val="none" w:sz="0" w:space="0" w:color="auto"/>
              <w:bottom w:val="single" w:sz="4" w:space="0" w:color="auto"/>
              <w:right w:val="none" w:sz="0" w:space="0" w:color="auto"/>
            </w:tcBorders>
            <w:shd w:val="clear" w:color="auto" w:fill="auto"/>
          </w:tcPr>
          <w:p w:rsidR="00AB50C5" w:rsidRDefault="00724275">
            <w:pPr>
              <w:pStyle w:val="Etabletext"/>
              <w:jc w:val="both"/>
              <w:cnfStyle w:val="100000000000" w:firstRow="1" w:lastRow="0" w:firstColumn="0" w:lastColumn="0" w:oddVBand="0" w:evenVBand="0" w:oddHBand="0" w:evenHBand="0" w:firstRowFirstColumn="0" w:firstRowLastColumn="0" w:lastRowFirstColumn="0" w:lastRowLastColumn="0"/>
              <w:rPr>
                <w:b w:val="0"/>
                <w:bCs w:val="0"/>
                <w:noProof/>
                <w:color w:val="auto"/>
                <w:lang w:val="en-GB" w:eastAsia="fr-BE"/>
              </w:rPr>
            </w:pPr>
            <w:r>
              <w:rPr>
                <w:noProof/>
                <w:color w:val="auto"/>
                <w:lang w:val="en-GB"/>
              </w:rPr>
              <w:t>Regions with greater share of enterprises engaged in product and/or process innovation activities are considered to be more sensitive to directives influencing innovation.</w:t>
            </w:r>
          </w:p>
        </w:tc>
      </w:tr>
      <w:tr w:rsidR="00AB50C5" w:rsidTr="00AB50C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25" w:type="dxa"/>
            <w:tcBorders>
              <w:left w:val="none" w:sz="0" w:space="0" w:color="auto"/>
              <w:bottom w:val="dotted" w:sz="4" w:space="0" w:color="auto"/>
              <w:right w:val="none" w:sz="0" w:space="0" w:color="auto"/>
            </w:tcBorders>
            <w:shd w:val="clear" w:color="auto" w:fill="auto"/>
          </w:tcPr>
          <w:p w:rsidR="00AB50C5" w:rsidRDefault="00724275">
            <w:pPr>
              <w:pStyle w:val="Etabletext"/>
              <w:rPr>
                <w:noProof/>
                <w:color w:val="auto"/>
                <w:lang w:eastAsia="fr-BE"/>
              </w:rPr>
            </w:pPr>
            <w:r>
              <w:rPr>
                <w:noProof/>
                <w:color w:val="auto"/>
                <w:lang w:eastAsia="fr-BE"/>
              </w:rPr>
              <w:t>Description</w:t>
            </w:r>
          </w:p>
        </w:tc>
        <w:tc>
          <w:tcPr>
            <w:tcW w:w="6096" w:type="dxa"/>
            <w:tcBorders>
              <w:left w:val="none" w:sz="0" w:space="0" w:color="auto"/>
              <w:bottom w:val="dotted" w:sz="4" w:space="0" w:color="auto"/>
              <w:right w:val="none" w:sz="0" w:space="0" w:color="auto"/>
            </w:tcBorders>
            <w:shd w:val="clear" w:color="auto" w:fill="auto"/>
          </w:tcPr>
          <w:p w:rsidR="00AB50C5" w:rsidRDefault="00724275">
            <w:pPr>
              <w:pStyle w:val="Etabletext"/>
              <w:jc w:val="both"/>
              <w:cnfStyle w:val="000000100000" w:firstRow="0" w:lastRow="0" w:firstColumn="0" w:lastColumn="0" w:oddVBand="0" w:evenVBand="0" w:oddHBand="1" w:evenHBand="0" w:firstRowFirstColumn="0" w:firstRowLastColumn="0" w:lastRowFirstColumn="0" w:lastRowLastColumn="0"/>
              <w:rPr>
                <w:noProof/>
                <w:color w:val="auto"/>
                <w:lang w:val="en-GB" w:eastAsia="en-US"/>
              </w:rPr>
            </w:pPr>
            <w:r>
              <w:rPr>
                <w:noProof/>
                <w:color w:val="auto"/>
                <w:lang w:val="en-GB" w:eastAsia="en-US"/>
              </w:rPr>
              <w:t>Total intramural R&amp;D expenditure (GERD), all sectors as a percentage of the GDP</w:t>
            </w:r>
          </w:p>
        </w:tc>
      </w:tr>
      <w:tr w:rsidR="00AB50C5" w:rsidTr="00AB50C5">
        <w:trPr>
          <w:trHeight w:val="20"/>
        </w:trPr>
        <w:tc>
          <w:tcPr>
            <w:cnfStyle w:val="001000000000" w:firstRow="0" w:lastRow="0" w:firstColumn="1" w:lastColumn="0" w:oddVBand="0" w:evenVBand="0" w:oddHBand="0" w:evenHBand="0" w:firstRowFirstColumn="0" w:firstRowLastColumn="0" w:lastRowFirstColumn="0" w:lastRowLastColumn="0"/>
            <w:tcW w:w="2325" w:type="dxa"/>
            <w:tcBorders>
              <w:top w:val="dotted" w:sz="4" w:space="0" w:color="auto"/>
              <w:bottom w:val="dotted" w:sz="4" w:space="0" w:color="auto"/>
            </w:tcBorders>
            <w:shd w:val="clear" w:color="auto" w:fill="auto"/>
          </w:tcPr>
          <w:p w:rsidR="00AB50C5" w:rsidRDefault="00724275">
            <w:pPr>
              <w:pStyle w:val="Etabletext"/>
              <w:rPr>
                <w:noProof/>
                <w:color w:val="auto"/>
                <w:lang w:eastAsia="fr-BE"/>
              </w:rPr>
            </w:pPr>
            <w:r>
              <w:rPr>
                <w:noProof/>
                <w:color w:val="auto"/>
                <w:lang w:eastAsia="fr-BE"/>
              </w:rPr>
              <w:t>Source</w:t>
            </w:r>
          </w:p>
        </w:tc>
        <w:tc>
          <w:tcPr>
            <w:tcW w:w="6096" w:type="dxa"/>
            <w:tcBorders>
              <w:top w:val="dotted" w:sz="4" w:space="0" w:color="auto"/>
              <w:bottom w:val="dotted" w:sz="4" w:space="0" w:color="auto"/>
            </w:tcBorders>
            <w:shd w:val="clear" w:color="auto" w:fill="auto"/>
          </w:tcPr>
          <w:p w:rsidR="00AB50C5" w:rsidRDefault="00724275">
            <w:pPr>
              <w:pStyle w:val="Etabletext"/>
              <w:cnfStyle w:val="000000000000" w:firstRow="0" w:lastRow="0" w:firstColumn="0" w:lastColumn="0" w:oddVBand="0" w:evenVBand="0" w:oddHBand="0" w:evenHBand="0" w:firstRowFirstColumn="0" w:firstRowLastColumn="0" w:lastRowFirstColumn="0" w:lastRowLastColumn="0"/>
              <w:rPr>
                <w:noProof/>
                <w:color w:val="auto"/>
                <w:lang w:eastAsia="en-US"/>
              </w:rPr>
            </w:pPr>
            <w:r>
              <w:rPr>
                <w:noProof/>
                <w:color w:val="auto"/>
                <w:lang w:eastAsia="fr-BE"/>
              </w:rPr>
              <w:t>EUROSTAT</w:t>
            </w:r>
          </w:p>
        </w:tc>
      </w:tr>
      <w:tr w:rsidR="00AB50C5" w:rsidTr="00AB50C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25" w:type="dxa"/>
            <w:tcBorders>
              <w:top w:val="dotted" w:sz="4" w:space="0" w:color="auto"/>
              <w:left w:val="none" w:sz="0" w:space="0" w:color="auto"/>
              <w:bottom w:val="dotted" w:sz="4" w:space="0" w:color="auto"/>
              <w:right w:val="none" w:sz="0" w:space="0" w:color="auto"/>
            </w:tcBorders>
            <w:shd w:val="clear" w:color="auto" w:fill="auto"/>
          </w:tcPr>
          <w:p w:rsidR="00AB50C5" w:rsidRDefault="00724275">
            <w:pPr>
              <w:pStyle w:val="Etabletext"/>
              <w:rPr>
                <w:noProof/>
                <w:color w:val="auto"/>
                <w:lang w:eastAsia="fr-BE"/>
              </w:rPr>
            </w:pPr>
            <w:r>
              <w:rPr>
                <w:noProof/>
                <w:color w:val="auto"/>
                <w:lang w:eastAsia="fr-BE"/>
              </w:rPr>
              <w:t>Reference year</w:t>
            </w:r>
          </w:p>
        </w:tc>
        <w:tc>
          <w:tcPr>
            <w:tcW w:w="6096" w:type="dxa"/>
            <w:tcBorders>
              <w:top w:val="dotted" w:sz="4" w:space="0" w:color="auto"/>
              <w:left w:val="none" w:sz="0" w:space="0" w:color="auto"/>
              <w:bottom w:val="dotted" w:sz="4" w:space="0" w:color="auto"/>
              <w:right w:val="none" w:sz="0" w:space="0" w:color="auto"/>
            </w:tcBorders>
            <w:shd w:val="clear" w:color="auto" w:fill="auto"/>
          </w:tcPr>
          <w:p w:rsidR="00AB50C5" w:rsidRDefault="00724275">
            <w:pPr>
              <w:pStyle w:val="Etabletext"/>
              <w:cnfStyle w:val="000000100000" w:firstRow="0" w:lastRow="0" w:firstColumn="0" w:lastColumn="0" w:oddVBand="0" w:evenVBand="0" w:oddHBand="1" w:evenHBand="0" w:firstRowFirstColumn="0" w:firstRowLastColumn="0" w:lastRowFirstColumn="0" w:lastRowLastColumn="0"/>
              <w:rPr>
                <w:noProof/>
                <w:color w:val="auto"/>
                <w:lang w:eastAsia="en-US"/>
              </w:rPr>
            </w:pPr>
            <w:r>
              <w:rPr>
                <w:noProof/>
                <w:color w:val="auto"/>
                <w:lang w:eastAsia="en-US"/>
              </w:rPr>
              <w:t>2011</w:t>
            </w:r>
          </w:p>
        </w:tc>
      </w:tr>
      <w:tr w:rsidR="00AB50C5" w:rsidTr="00AB50C5">
        <w:trPr>
          <w:trHeight w:val="20"/>
        </w:trPr>
        <w:tc>
          <w:tcPr>
            <w:cnfStyle w:val="001000000000" w:firstRow="0" w:lastRow="0" w:firstColumn="1" w:lastColumn="0" w:oddVBand="0" w:evenVBand="0" w:oddHBand="0" w:evenHBand="0" w:firstRowFirstColumn="0" w:firstRowLastColumn="0" w:lastRowFirstColumn="0" w:lastRowLastColumn="0"/>
            <w:tcW w:w="2325" w:type="dxa"/>
            <w:tcBorders>
              <w:top w:val="dotted" w:sz="4" w:space="0" w:color="auto"/>
              <w:bottom w:val="single" w:sz="4" w:space="0" w:color="auto"/>
            </w:tcBorders>
            <w:shd w:val="clear" w:color="auto" w:fill="auto"/>
          </w:tcPr>
          <w:p w:rsidR="00AB50C5" w:rsidRDefault="00724275">
            <w:pPr>
              <w:pStyle w:val="Etabletext"/>
              <w:rPr>
                <w:noProof/>
                <w:color w:val="auto"/>
                <w:lang w:eastAsia="fr-BE"/>
              </w:rPr>
            </w:pPr>
            <w:r>
              <w:rPr>
                <w:noProof/>
                <w:color w:val="auto"/>
                <w:lang w:eastAsia="fr-BE"/>
              </w:rPr>
              <w:t xml:space="preserve">Original Indicator </w:t>
            </w:r>
            <w:r>
              <w:rPr>
                <w:noProof/>
                <w:color w:val="auto"/>
                <w:lang w:eastAsia="fr-BE"/>
              </w:rPr>
              <w:br/>
              <w:t>Spatial Reference</w:t>
            </w:r>
          </w:p>
        </w:tc>
        <w:tc>
          <w:tcPr>
            <w:tcW w:w="6096" w:type="dxa"/>
            <w:tcBorders>
              <w:top w:val="dotted" w:sz="4" w:space="0" w:color="auto"/>
              <w:bottom w:val="single" w:sz="4" w:space="0" w:color="auto"/>
            </w:tcBorders>
            <w:shd w:val="clear" w:color="auto" w:fill="auto"/>
          </w:tcPr>
          <w:p w:rsidR="00AB50C5" w:rsidRDefault="00724275">
            <w:pPr>
              <w:pStyle w:val="Etabletext"/>
              <w:cnfStyle w:val="000000000000" w:firstRow="0" w:lastRow="0" w:firstColumn="0" w:lastColumn="0" w:oddVBand="0" w:evenVBand="0" w:oddHBand="0" w:evenHBand="0" w:firstRowFirstColumn="0" w:firstRowLastColumn="0" w:lastRowFirstColumn="0" w:lastRowLastColumn="0"/>
              <w:rPr>
                <w:noProof/>
                <w:color w:val="auto"/>
                <w:lang w:eastAsia="en-US"/>
              </w:rPr>
            </w:pPr>
            <w:r>
              <w:rPr>
                <w:noProof/>
                <w:color w:val="auto"/>
                <w:lang w:eastAsia="fr-BE"/>
              </w:rPr>
              <w:t>NUTS3, 2010</w:t>
            </w:r>
          </w:p>
        </w:tc>
      </w:tr>
    </w:tbl>
    <w:p w:rsidR="00AB50C5" w:rsidRDefault="00AB50C5">
      <w:pPr>
        <w:rPr>
          <w:noProof/>
        </w:rPr>
      </w:pPr>
    </w:p>
    <w:p w:rsidR="00AB50C5" w:rsidRDefault="00724275">
      <w:pPr>
        <w:pStyle w:val="Heading5"/>
        <w:rPr>
          <w:noProof/>
        </w:rPr>
      </w:pPr>
      <w:r>
        <w:rPr>
          <w:noProof/>
        </w:rPr>
        <w:t>Employment in agriculture and forestry</w:t>
      </w:r>
    </w:p>
    <w:tbl>
      <w:tblPr>
        <w:tblStyle w:val="HelleSchattierung-Akzent51"/>
        <w:tblW w:w="8421" w:type="dxa"/>
        <w:tblBorders>
          <w:top w:val="single" w:sz="4" w:space="0" w:color="auto"/>
          <w:bottom w:val="single" w:sz="4" w:space="0" w:color="auto"/>
          <w:insideH w:val="single" w:sz="4" w:space="0" w:color="auto"/>
        </w:tblBorders>
        <w:tblCellMar>
          <w:left w:w="57" w:type="dxa"/>
          <w:right w:w="57" w:type="dxa"/>
        </w:tblCellMar>
        <w:tblLook w:val="04A0" w:firstRow="1" w:lastRow="0" w:firstColumn="1" w:lastColumn="0" w:noHBand="0" w:noVBand="1"/>
      </w:tblPr>
      <w:tblGrid>
        <w:gridCol w:w="2325"/>
        <w:gridCol w:w="6096"/>
      </w:tblGrid>
      <w:tr w:rsidR="00AB50C5" w:rsidTr="00AB50C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25" w:type="dxa"/>
            <w:tcBorders>
              <w:top w:val="none" w:sz="0" w:space="0" w:color="auto"/>
              <w:left w:val="none" w:sz="0" w:space="0" w:color="auto"/>
              <w:bottom w:val="single" w:sz="4" w:space="0" w:color="auto"/>
              <w:right w:val="none" w:sz="0" w:space="0" w:color="auto"/>
            </w:tcBorders>
            <w:shd w:val="clear" w:color="auto" w:fill="auto"/>
          </w:tcPr>
          <w:p w:rsidR="00AB50C5" w:rsidRDefault="00724275">
            <w:pPr>
              <w:pStyle w:val="Etabletext"/>
              <w:rPr>
                <w:noProof/>
                <w:color w:val="auto"/>
                <w:lang w:eastAsia="fr-BE"/>
              </w:rPr>
            </w:pPr>
            <w:r>
              <w:rPr>
                <w:noProof/>
                <w:color w:val="auto"/>
                <w:lang w:eastAsia="fr-BE"/>
              </w:rPr>
              <w:t>Definition of sensitivity</w:t>
            </w:r>
          </w:p>
        </w:tc>
        <w:tc>
          <w:tcPr>
            <w:tcW w:w="6096" w:type="dxa"/>
            <w:tcBorders>
              <w:top w:val="none" w:sz="0" w:space="0" w:color="auto"/>
              <w:left w:val="none" w:sz="0" w:space="0" w:color="auto"/>
              <w:bottom w:val="single" w:sz="4" w:space="0" w:color="auto"/>
              <w:right w:val="none" w:sz="0" w:space="0" w:color="auto"/>
            </w:tcBorders>
            <w:shd w:val="clear" w:color="auto" w:fill="auto"/>
          </w:tcPr>
          <w:p w:rsidR="00AB50C5" w:rsidRDefault="00724275">
            <w:pPr>
              <w:pStyle w:val="Etabletext"/>
              <w:jc w:val="both"/>
              <w:cnfStyle w:val="100000000000" w:firstRow="1" w:lastRow="0" w:firstColumn="0" w:lastColumn="0" w:oddVBand="0" w:evenVBand="0" w:oddHBand="0" w:evenHBand="0" w:firstRowFirstColumn="0" w:firstRowLastColumn="0" w:lastRowFirstColumn="0" w:lastRowLastColumn="0"/>
              <w:rPr>
                <w:b w:val="0"/>
                <w:bCs w:val="0"/>
                <w:noProof/>
                <w:color w:val="auto"/>
                <w:highlight w:val="yellow"/>
                <w:lang w:val="en-GB" w:eastAsia="fr-BE"/>
              </w:rPr>
            </w:pPr>
            <w:r>
              <w:rPr>
                <w:noProof/>
                <w:color w:val="auto"/>
                <w:lang w:val="en-GB" w:eastAsia="fr-BE"/>
              </w:rPr>
              <w:t xml:space="preserve">Regions with a greater share of employment in </w:t>
            </w:r>
            <w:r>
              <w:rPr>
                <w:noProof/>
                <w:color w:val="auto"/>
                <w:lang w:val="en-GB"/>
              </w:rPr>
              <w:t>agriculture and forestry</w:t>
            </w:r>
            <w:r>
              <w:rPr>
                <w:noProof/>
                <w:color w:val="auto"/>
                <w:lang w:val="en-GB" w:eastAsia="fr-BE"/>
              </w:rPr>
              <w:t xml:space="preserve"> are likely to be more affected from changes in the level of employment in this sector of employment resulting from a directive. </w:t>
            </w:r>
          </w:p>
        </w:tc>
      </w:tr>
      <w:tr w:rsidR="00AB50C5" w:rsidTr="00AB50C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25" w:type="dxa"/>
            <w:tcBorders>
              <w:left w:val="none" w:sz="0" w:space="0" w:color="auto"/>
              <w:bottom w:val="dotted" w:sz="4" w:space="0" w:color="auto"/>
              <w:right w:val="none" w:sz="0" w:space="0" w:color="auto"/>
            </w:tcBorders>
            <w:shd w:val="clear" w:color="auto" w:fill="auto"/>
          </w:tcPr>
          <w:p w:rsidR="00AB50C5" w:rsidRDefault="00724275">
            <w:pPr>
              <w:pStyle w:val="Etabletext"/>
              <w:rPr>
                <w:noProof/>
                <w:color w:val="auto"/>
                <w:lang w:eastAsia="fr-BE"/>
              </w:rPr>
            </w:pPr>
            <w:r>
              <w:rPr>
                <w:noProof/>
                <w:color w:val="auto"/>
                <w:lang w:eastAsia="fr-BE"/>
              </w:rPr>
              <w:t>Description</w:t>
            </w:r>
          </w:p>
        </w:tc>
        <w:tc>
          <w:tcPr>
            <w:tcW w:w="6096" w:type="dxa"/>
            <w:tcBorders>
              <w:left w:val="none" w:sz="0" w:space="0" w:color="auto"/>
              <w:bottom w:val="dotted" w:sz="4" w:space="0" w:color="auto"/>
              <w:right w:val="none" w:sz="0" w:space="0" w:color="auto"/>
            </w:tcBorders>
            <w:shd w:val="clear" w:color="auto" w:fill="auto"/>
          </w:tcPr>
          <w:p w:rsidR="00AB50C5" w:rsidRDefault="00724275">
            <w:pPr>
              <w:pStyle w:val="Etabletext"/>
              <w:cnfStyle w:val="000000100000" w:firstRow="0" w:lastRow="0" w:firstColumn="0" w:lastColumn="0" w:oddVBand="0" w:evenVBand="0" w:oddHBand="1" w:evenHBand="0" w:firstRowFirstColumn="0" w:firstRowLastColumn="0" w:lastRowFirstColumn="0" w:lastRowLastColumn="0"/>
              <w:rPr>
                <w:noProof/>
                <w:color w:val="auto"/>
                <w:highlight w:val="yellow"/>
                <w:lang w:val="en-GB" w:eastAsia="en-US"/>
              </w:rPr>
            </w:pPr>
            <w:r>
              <w:rPr>
                <w:noProof/>
                <w:color w:val="auto"/>
                <w:lang w:val="en-GB" w:eastAsia="fr-BE"/>
              </w:rPr>
              <w:t xml:space="preserve">share of employment in the sectors </w:t>
            </w:r>
            <w:r>
              <w:rPr>
                <w:noProof/>
                <w:color w:val="auto"/>
                <w:lang w:val="en-GB"/>
              </w:rPr>
              <w:t>agriculture and forestry</w:t>
            </w:r>
          </w:p>
        </w:tc>
      </w:tr>
      <w:tr w:rsidR="00AB50C5" w:rsidTr="00AB50C5">
        <w:trPr>
          <w:trHeight w:val="20"/>
        </w:trPr>
        <w:tc>
          <w:tcPr>
            <w:cnfStyle w:val="001000000000" w:firstRow="0" w:lastRow="0" w:firstColumn="1" w:lastColumn="0" w:oddVBand="0" w:evenVBand="0" w:oddHBand="0" w:evenHBand="0" w:firstRowFirstColumn="0" w:firstRowLastColumn="0" w:lastRowFirstColumn="0" w:lastRowLastColumn="0"/>
            <w:tcW w:w="2325" w:type="dxa"/>
            <w:tcBorders>
              <w:top w:val="dotted" w:sz="4" w:space="0" w:color="auto"/>
              <w:bottom w:val="dotted" w:sz="4" w:space="0" w:color="auto"/>
            </w:tcBorders>
            <w:shd w:val="clear" w:color="auto" w:fill="auto"/>
          </w:tcPr>
          <w:p w:rsidR="00AB50C5" w:rsidRDefault="00724275">
            <w:pPr>
              <w:pStyle w:val="Etabletext"/>
              <w:rPr>
                <w:noProof/>
                <w:color w:val="auto"/>
                <w:lang w:eastAsia="fr-BE"/>
              </w:rPr>
            </w:pPr>
            <w:r>
              <w:rPr>
                <w:noProof/>
                <w:color w:val="auto"/>
                <w:lang w:eastAsia="fr-BE"/>
              </w:rPr>
              <w:t>Source</w:t>
            </w:r>
          </w:p>
        </w:tc>
        <w:tc>
          <w:tcPr>
            <w:tcW w:w="6096" w:type="dxa"/>
            <w:tcBorders>
              <w:top w:val="dotted" w:sz="4" w:space="0" w:color="auto"/>
              <w:bottom w:val="dotted" w:sz="4" w:space="0" w:color="auto"/>
            </w:tcBorders>
            <w:shd w:val="clear" w:color="auto" w:fill="auto"/>
          </w:tcPr>
          <w:p w:rsidR="00AB50C5" w:rsidRDefault="00724275">
            <w:pPr>
              <w:pStyle w:val="Etabletext"/>
              <w:cnfStyle w:val="000000000000" w:firstRow="0" w:lastRow="0" w:firstColumn="0" w:lastColumn="0" w:oddVBand="0" w:evenVBand="0" w:oddHBand="0" w:evenHBand="0" w:firstRowFirstColumn="0" w:firstRowLastColumn="0" w:lastRowFirstColumn="0" w:lastRowLastColumn="0"/>
              <w:rPr>
                <w:noProof/>
                <w:color w:val="auto"/>
                <w:lang w:eastAsia="en-US"/>
              </w:rPr>
            </w:pPr>
            <w:r>
              <w:rPr>
                <w:noProof/>
                <w:color w:val="auto"/>
                <w:lang w:eastAsia="en-US"/>
              </w:rPr>
              <w:t>EUROSTAT, LFS, ÖIR calculation</w:t>
            </w:r>
          </w:p>
        </w:tc>
      </w:tr>
      <w:tr w:rsidR="00AB50C5" w:rsidTr="00AB50C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25" w:type="dxa"/>
            <w:tcBorders>
              <w:top w:val="dotted" w:sz="4" w:space="0" w:color="auto"/>
              <w:left w:val="none" w:sz="0" w:space="0" w:color="auto"/>
              <w:bottom w:val="dotted" w:sz="4" w:space="0" w:color="auto"/>
              <w:right w:val="none" w:sz="0" w:space="0" w:color="auto"/>
            </w:tcBorders>
            <w:shd w:val="clear" w:color="auto" w:fill="auto"/>
          </w:tcPr>
          <w:p w:rsidR="00AB50C5" w:rsidRDefault="00724275">
            <w:pPr>
              <w:pStyle w:val="Etabletext"/>
              <w:rPr>
                <w:noProof/>
                <w:color w:val="auto"/>
                <w:lang w:eastAsia="fr-BE"/>
              </w:rPr>
            </w:pPr>
            <w:r>
              <w:rPr>
                <w:noProof/>
                <w:color w:val="auto"/>
                <w:lang w:eastAsia="fr-BE"/>
              </w:rPr>
              <w:t>Reference year</w:t>
            </w:r>
          </w:p>
        </w:tc>
        <w:tc>
          <w:tcPr>
            <w:tcW w:w="6096" w:type="dxa"/>
            <w:tcBorders>
              <w:top w:val="dotted" w:sz="4" w:space="0" w:color="auto"/>
              <w:left w:val="none" w:sz="0" w:space="0" w:color="auto"/>
              <w:bottom w:val="dotted" w:sz="4" w:space="0" w:color="auto"/>
              <w:right w:val="none" w:sz="0" w:space="0" w:color="auto"/>
            </w:tcBorders>
            <w:shd w:val="clear" w:color="auto" w:fill="auto"/>
          </w:tcPr>
          <w:p w:rsidR="00AB50C5" w:rsidRDefault="00724275">
            <w:pPr>
              <w:pStyle w:val="Etabletext"/>
              <w:cnfStyle w:val="000000100000" w:firstRow="0" w:lastRow="0" w:firstColumn="0" w:lastColumn="0" w:oddVBand="0" w:evenVBand="0" w:oddHBand="1" w:evenHBand="0" w:firstRowFirstColumn="0" w:firstRowLastColumn="0" w:lastRowFirstColumn="0" w:lastRowLastColumn="0"/>
              <w:rPr>
                <w:noProof/>
                <w:color w:val="auto"/>
                <w:lang w:eastAsia="en-US"/>
              </w:rPr>
            </w:pPr>
            <w:r>
              <w:rPr>
                <w:noProof/>
                <w:color w:val="auto"/>
                <w:lang w:eastAsia="en-US"/>
              </w:rPr>
              <w:t>2014/15</w:t>
            </w:r>
          </w:p>
        </w:tc>
      </w:tr>
      <w:tr w:rsidR="00AB50C5" w:rsidTr="00AB50C5">
        <w:trPr>
          <w:trHeight w:val="20"/>
        </w:trPr>
        <w:tc>
          <w:tcPr>
            <w:cnfStyle w:val="001000000000" w:firstRow="0" w:lastRow="0" w:firstColumn="1" w:lastColumn="0" w:oddVBand="0" w:evenVBand="0" w:oddHBand="0" w:evenHBand="0" w:firstRowFirstColumn="0" w:firstRowLastColumn="0" w:lastRowFirstColumn="0" w:lastRowLastColumn="0"/>
            <w:tcW w:w="2325" w:type="dxa"/>
            <w:tcBorders>
              <w:top w:val="dotted" w:sz="4" w:space="0" w:color="auto"/>
              <w:bottom w:val="single" w:sz="4" w:space="0" w:color="auto"/>
            </w:tcBorders>
            <w:shd w:val="clear" w:color="auto" w:fill="auto"/>
          </w:tcPr>
          <w:p w:rsidR="00AB50C5" w:rsidRDefault="00724275">
            <w:pPr>
              <w:pStyle w:val="Etabletext"/>
              <w:rPr>
                <w:noProof/>
                <w:color w:val="auto"/>
                <w:lang w:eastAsia="fr-BE"/>
              </w:rPr>
            </w:pPr>
            <w:r>
              <w:rPr>
                <w:noProof/>
                <w:color w:val="auto"/>
                <w:lang w:eastAsia="fr-BE"/>
              </w:rPr>
              <w:t xml:space="preserve">Original Indicator </w:t>
            </w:r>
            <w:r>
              <w:rPr>
                <w:noProof/>
                <w:color w:val="auto"/>
                <w:lang w:eastAsia="fr-BE"/>
              </w:rPr>
              <w:br/>
              <w:t>Spatial Reference</w:t>
            </w:r>
          </w:p>
        </w:tc>
        <w:tc>
          <w:tcPr>
            <w:tcW w:w="6096" w:type="dxa"/>
            <w:tcBorders>
              <w:top w:val="dotted" w:sz="4" w:space="0" w:color="auto"/>
              <w:bottom w:val="single" w:sz="4" w:space="0" w:color="auto"/>
            </w:tcBorders>
            <w:shd w:val="clear" w:color="auto" w:fill="auto"/>
          </w:tcPr>
          <w:p w:rsidR="00AB50C5" w:rsidRDefault="00724275">
            <w:pPr>
              <w:pStyle w:val="Etabletext"/>
              <w:cnfStyle w:val="000000000000" w:firstRow="0" w:lastRow="0" w:firstColumn="0" w:lastColumn="0" w:oddVBand="0" w:evenVBand="0" w:oddHBand="0" w:evenHBand="0" w:firstRowFirstColumn="0" w:firstRowLastColumn="0" w:lastRowFirstColumn="0" w:lastRowLastColumn="0"/>
              <w:rPr>
                <w:noProof/>
                <w:color w:val="auto"/>
                <w:lang w:eastAsia="en-US"/>
              </w:rPr>
            </w:pPr>
            <w:r>
              <w:rPr>
                <w:noProof/>
                <w:color w:val="auto"/>
                <w:lang w:eastAsia="en-US"/>
              </w:rPr>
              <w:t>NUTS2, 2006</w:t>
            </w:r>
          </w:p>
        </w:tc>
      </w:tr>
    </w:tbl>
    <w:p w:rsidR="00AB50C5" w:rsidRDefault="00AB50C5">
      <w:pPr>
        <w:rPr>
          <w:noProof/>
        </w:rPr>
      </w:pPr>
    </w:p>
    <w:p w:rsidR="00AB50C5" w:rsidRDefault="00724275">
      <w:pPr>
        <w:pStyle w:val="Heading5"/>
        <w:rPr>
          <w:noProof/>
          <w:lang w:eastAsia="de-AT"/>
        </w:rPr>
      </w:pPr>
      <w:r>
        <w:rPr>
          <w:noProof/>
          <w:lang w:eastAsia="de-AT"/>
        </w:rPr>
        <w:t>Healthy life expectancy at birth</w:t>
      </w:r>
    </w:p>
    <w:tbl>
      <w:tblPr>
        <w:tblStyle w:val="HelleSchattierung-Akzent51"/>
        <w:tblW w:w="8421" w:type="dxa"/>
        <w:tblBorders>
          <w:top w:val="single" w:sz="4" w:space="0" w:color="auto"/>
          <w:bottom w:val="single" w:sz="4" w:space="0" w:color="auto"/>
          <w:insideH w:val="single" w:sz="4" w:space="0" w:color="auto"/>
        </w:tblBorders>
        <w:tblCellMar>
          <w:left w:w="57" w:type="dxa"/>
          <w:right w:w="57" w:type="dxa"/>
        </w:tblCellMar>
        <w:tblLook w:val="04A0" w:firstRow="1" w:lastRow="0" w:firstColumn="1" w:lastColumn="0" w:noHBand="0" w:noVBand="1"/>
      </w:tblPr>
      <w:tblGrid>
        <w:gridCol w:w="2325"/>
        <w:gridCol w:w="6096"/>
      </w:tblGrid>
      <w:tr w:rsidR="00AB50C5" w:rsidTr="00AB50C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25" w:type="dxa"/>
            <w:tcBorders>
              <w:top w:val="none" w:sz="0" w:space="0" w:color="auto"/>
              <w:left w:val="none" w:sz="0" w:space="0" w:color="auto"/>
              <w:bottom w:val="single" w:sz="4" w:space="0" w:color="auto"/>
              <w:right w:val="none" w:sz="0" w:space="0" w:color="auto"/>
            </w:tcBorders>
            <w:shd w:val="clear" w:color="auto" w:fill="auto"/>
          </w:tcPr>
          <w:p w:rsidR="00AB50C5" w:rsidRDefault="00724275">
            <w:pPr>
              <w:pStyle w:val="Etabletext"/>
              <w:keepNext/>
              <w:rPr>
                <w:noProof/>
                <w:color w:val="auto"/>
                <w:lang w:eastAsia="fr-BE"/>
              </w:rPr>
            </w:pPr>
            <w:r>
              <w:rPr>
                <w:noProof/>
                <w:color w:val="auto"/>
                <w:lang w:eastAsia="fr-BE"/>
              </w:rPr>
              <w:t>Definition of sensitivity</w:t>
            </w:r>
          </w:p>
        </w:tc>
        <w:tc>
          <w:tcPr>
            <w:tcW w:w="6096" w:type="dxa"/>
            <w:tcBorders>
              <w:top w:val="none" w:sz="0" w:space="0" w:color="auto"/>
              <w:left w:val="none" w:sz="0" w:space="0" w:color="auto"/>
              <w:bottom w:val="single" w:sz="4" w:space="0" w:color="auto"/>
              <w:right w:val="none" w:sz="0" w:space="0" w:color="auto"/>
            </w:tcBorders>
            <w:shd w:val="clear" w:color="auto" w:fill="auto"/>
          </w:tcPr>
          <w:p w:rsidR="00AB50C5" w:rsidRDefault="00724275">
            <w:pPr>
              <w:pStyle w:val="Etabletext"/>
              <w:keepNext/>
              <w:jc w:val="both"/>
              <w:cnfStyle w:val="100000000000" w:firstRow="1" w:lastRow="0" w:firstColumn="0" w:lastColumn="0" w:oddVBand="0" w:evenVBand="0" w:oddHBand="0" w:evenHBand="0" w:firstRowFirstColumn="0" w:firstRowLastColumn="0" w:lastRowFirstColumn="0" w:lastRowLastColumn="0"/>
              <w:rPr>
                <w:b w:val="0"/>
                <w:bCs w:val="0"/>
                <w:noProof/>
                <w:color w:val="auto"/>
                <w:lang w:val="en-GB" w:eastAsia="fr-BE"/>
              </w:rPr>
            </w:pPr>
            <w:r>
              <w:rPr>
                <w:noProof/>
                <w:color w:val="auto"/>
                <w:lang w:val="en-GB" w:eastAsia="fr-BE"/>
              </w:rPr>
              <w:t xml:space="preserve">Regions in which the life expectancy is lower are </w:t>
            </w:r>
            <w:r>
              <w:rPr>
                <w:noProof/>
                <w:color w:val="auto"/>
                <w:lang w:val="en-GB" w:eastAsia="fr-BE"/>
              </w:rPr>
              <w:t>expected to benefit more from policy measures effecting its increase and more negatively influenced by those which decrease it.</w:t>
            </w:r>
          </w:p>
        </w:tc>
      </w:tr>
      <w:tr w:rsidR="00AB50C5" w:rsidTr="00AB50C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25" w:type="dxa"/>
            <w:tcBorders>
              <w:left w:val="none" w:sz="0" w:space="0" w:color="auto"/>
              <w:bottom w:val="dotted" w:sz="4" w:space="0" w:color="auto"/>
              <w:right w:val="none" w:sz="0" w:space="0" w:color="auto"/>
            </w:tcBorders>
            <w:shd w:val="clear" w:color="auto" w:fill="auto"/>
          </w:tcPr>
          <w:p w:rsidR="00AB50C5" w:rsidRDefault="00724275">
            <w:pPr>
              <w:pStyle w:val="Etabletext"/>
              <w:keepNext/>
              <w:rPr>
                <w:noProof/>
                <w:color w:val="auto"/>
                <w:lang w:eastAsia="fr-BE"/>
              </w:rPr>
            </w:pPr>
            <w:r>
              <w:rPr>
                <w:noProof/>
                <w:color w:val="auto"/>
                <w:lang w:eastAsia="fr-BE"/>
              </w:rPr>
              <w:t>Description</w:t>
            </w:r>
          </w:p>
        </w:tc>
        <w:tc>
          <w:tcPr>
            <w:tcW w:w="6096" w:type="dxa"/>
            <w:tcBorders>
              <w:left w:val="none" w:sz="0" w:space="0" w:color="auto"/>
              <w:bottom w:val="dotted" w:sz="4" w:space="0" w:color="auto"/>
              <w:right w:val="none" w:sz="0" w:space="0" w:color="auto"/>
            </w:tcBorders>
            <w:shd w:val="clear" w:color="auto" w:fill="auto"/>
          </w:tcPr>
          <w:p w:rsidR="00AB50C5" w:rsidRDefault="00724275">
            <w:pPr>
              <w:pStyle w:val="Etabletext"/>
              <w:keepNext/>
              <w:cnfStyle w:val="000000100000" w:firstRow="0" w:lastRow="0" w:firstColumn="0" w:lastColumn="0" w:oddVBand="0" w:evenVBand="0" w:oddHBand="1" w:evenHBand="0" w:firstRowFirstColumn="0" w:firstRowLastColumn="0" w:lastRowFirstColumn="0" w:lastRowLastColumn="0"/>
              <w:rPr>
                <w:noProof/>
                <w:color w:val="auto"/>
                <w:lang w:val="en-GB" w:eastAsia="en-US"/>
              </w:rPr>
            </w:pPr>
            <w:r>
              <w:rPr>
                <w:noProof/>
                <w:color w:val="auto"/>
                <w:lang w:val="en-GB" w:eastAsia="en-US"/>
              </w:rPr>
              <w:t>Life expectancy at a given age (less than one year)</w:t>
            </w:r>
          </w:p>
        </w:tc>
      </w:tr>
      <w:tr w:rsidR="00AB50C5" w:rsidTr="00AB50C5">
        <w:trPr>
          <w:trHeight w:val="20"/>
        </w:trPr>
        <w:tc>
          <w:tcPr>
            <w:cnfStyle w:val="001000000000" w:firstRow="0" w:lastRow="0" w:firstColumn="1" w:lastColumn="0" w:oddVBand="0" w:evenVBand="0" w:oddHBand="0" w:evenHBand="0" w:firstRowFirstColumn="0" w:firstRowLastColumn="0" w:lastRowFirstColumn="0" w:lastRowLastColumn="0"/>
            <w:tcW w:w="2325" w:type="dxa"/>
            <w:tcBorders>
              <w:top w:val="dotted" w:sz="4" w:space="0" w:color="auto"/>
              <w:bottom w:val="dotted" w:sz="4" w:space="0" w:color="auto"/>
            </w:tcBorders>
            <w:shd w:val="clear" w:color="auto" w:fill="auto"/>
          </w:tcPr>
          <w:p w:rsidR="00AB50C5" w:rsidRDefault="00724275">
            <w:pPr>
              <w:pStyle w:val="Etabletext"/>
              <w:keepNext/>
              <w:rPr>
                <w:noProof/>
                <w:color w:val="auto"/>
                <w:lang w:eastAsia="fr-BE"/>
              </w:rPr>
            </w:pPr>
            <w:r>
              <w:rPr>
                <w:noProof/>
                <w:color w:val="auto"/>
                <w:lang w:eastAsia="fr-BE"/>
              </w:rPr>
              <w:t>Source</w:t>
            </w:r>
          </w:p>
        </w:tc>
        <w:tc>
          <w:tcPr>
            <w:tcW w:w="6096" w:type="dxa"/>
            <w:tcBorders>
              <w:top w:val="dotted" w:sz="4" w:space="0" w:color="auto"/>
              <w:bottom w:val="dotted" w:sz="4" w:space="0" w:color="auto"/>
            </w:tcBorders>
            <w:shd w:val="clear" w:color="auto" w:fill="auto"/>
          </w:tcPr>
          <w:p w:rsidR="00AB50C5" w:rsidRDefault="00724275">
            <w:pPr>
              <w:pStyle w:val="Etabletext"/>
              <w:keepNext/>
              <w:cnfStyle w:val="000000000000" w:firstRow="0" w:lastRow="0" w:firstColumn="0" w:lastColumn="0" w:oddVBand="0" w:evenVBand="0" w:oddHBand="0" w:evenHBand="0" w:firstRowFirstColumn="0" w:firstRowLastColumn="0" w:lastRowFirstColumn="0" w:lastRowLastColumn="0"/>
              <w:rPr>
                <w:noProof/>
                <w:color w:val="auto"/>
                <w:lang w:eastAsia="en-US"/>
              </w:rPr>
            </w:pPr>
            <w:r>
              <w:rPr>
                <w:noProof/>
                <w:color w:val="auto"/>
                <w:lang w:eastAsia="en-US"/>
              </w:rPr>
              <w:t>EUROSTAT</w:t>
            </w:r>
          </w:p>
        </w:tc>
      </w:tr>
      <w:tr w:rsidR="00AB50C5" w:rsidTr="00AB50C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25" w:type="dxa"/>
            <w:tcBorders>
              <w:top w:val="dotted" w:sz="4" w:space="0" w:color="auto"/>
              <w:left w:val="none" w:sz="0" w:space="0" w:color="auto"/>
              <w:bottom w:val="dotted" w:sz="4" w:space="0" w:color="auto"/>
              <w:right w:val="none" w:sz="0" w:space="0" w:color="auto"/>
            </w:tcBorders>
            <w:shd w:val="clear" w:color="auto" w:fill="auto"/>
          </w:tcPr>
          <w:p w:rsidR="00AB50C5" w:rsidRDefault="00724275">
            <w:pPr>
              <w:pStyle w:val="Etabletext"/>
              <w:keepNext/>
              <w:rPr>
                <w:noProof/>
                <w:color w:val="auto"/>
                <w:lang w:eastAsia="fr-BE"/>
              </w:rPr>
            </w:pPr>
            <w:r>
              <w:rPr>
                <w:noProof/>
                <w:color w:val="auto"/>
                <w:lang w:eastAsia="fr-BE"/>
              </w:rPr>
              <w:t>Reference year</w:t>
            </w:r>
          </w:p>
        </w:tc>
        <w:tc>
          <w:tcPr>
            <w:tcW w:w="6096" w:type="dxa"/>
            <w:tcBorders>
              <w:top w:val="dotted" w:sz="4" w:space="0" w:color="auto"/>
              <w:left w:val="none" w:sz="0" w:space="0" w:color="auto"/>
              <w:bottom w:val="dotted" w:sz="4" w:space="0" w:color="auto"/>
              <w:right w:val="none" w:sz="0" w:space="0" w:color="auto"/>
            </w:tcBorders>
            <w:shd w:val="clear" w:color="auto" w:fill="auto"/>
          </w:tcPr>
          <w:p w:rsidR="00AB50C5" w:rsidRDefault="00724275">
            <w:pPr>
              <w:pStyle w:val="Etabletext"/>
              <w:keepNext/>
              <w:cnfStyle w:val="000000100000" w:firstRow="0" w:lastRow="0" w:firstColumn="0" w:lastColumn="0" w:oddVBand="0" w:evenVBand="0" w:oddHBand="1" w:evenHBand="0" w:firstRowFirstColumn="0" w:firstRowLastColumn="0" w:lastRowFirstColumn="0" w:lastRowLastColumn="0"/>
              <w:rPr>
                <w:noProof/>
                <w:color w:val="auto"/>
                <w:lang w:eastAsia="en-US"/>
              </w:rPr>
            </w:pPr>
            <w:r>
              <w:rPr>
                <w:noProof/>
                <w:color w:val="auto"/>
                <w:lang w:eastAsia="en-US"/>
              </w:rPr>
              <w:t>2012</w:t>
            </w:r>
          </w:p>
        </w:tc>
      </w:tr>
      <w:tr w:rsidR="00AB50C5" w:rsidTr="00AB50C5">
        <w:trPr>
          <w:trHeight w:val="20"/>
        </w:trPr>
        <w:tc>
          <w:tcPr>
            <w:cnfStyle w:val="001000000000" w:firstRow="0" w:lastRow="0" w:firstColumn="1" w:lastColumn="0" w:oddVBand="0" w:evenVBand="0" w:oddHBand="0" w:evenHBand="0" w:firstRowFirstColumn="0" w:firstRowLastColumn="0" w:lastRowFirstColumn="0" w:lastRowLastColumn="0"/>
            <w:tcW w:w="2325" w:type="dxa"/>
            <w:tcBorders>
              <w:top w:val="dotted" w:sz="4" w:space="0" w:color="auto"/>
              <w:bottom w:val="single" w:sz="4" w:space="0" w:color="auto"/>
            </w:tcBorders>
            <w:shd w:val="clear" w:color="auto" w:fill="auto"/>
          </w:tcPr>
          <w:p w:rsidR="00AB50C5" w:rsidRDefault="00724275">
            <w:pPr>
              <w:pStyle w:val="Etabletext"/>
              <w:keepNext/>
              <w:rPr>
                <w:noProof/>
                <w:color w:val="auto"/>
                <w:lang w:eastAsia="fr-BE"/>
              </w:rPr>
            </w:pPr>
            <w:r>
              <w:rPr>
                <w:noProof/>
                <w:color w:val="auto"/>
                <w:lang w:eastAsia="fr-BE"/>
              </w:rPr>
              <w:t xml:space="preserve">Original Indicator </w:t>
            </w:r>
            <w:r>
              <w:rPr>
                <w:noProof/>
                <w:color w:val="auto"/>
                <w:lang w:eastAsia="fr-BE"/>
              </w:rPr>
              <w:br/>
            </w:r>
            <w:r>
              <w:rPr>
                <w:noProof/>
                <w:color w:val="auto"/>
                <w:lang w:eastAsia="fr-BE"/>
              </w:rPr>
              <w:t>Spatial Reference</w:t>
            </w:r>
          </w:p>
        </w:tc>
        <w:tc>
          <w:tcPr>
            <w:tcW w:w="6096" w:type="dxa"/>
            <w:tcBorders>
              <w:top w:val="dotted" w:sz="4" w:space="0" w:color="auto"/>
              <w:bottom w:val="single" w:sz="4" w:space="0" w:color="auto"/>
            </w:tcBorders>
            <w:shd w:val="clear" w:color="auto" w:fill="auto"/>
          </w:tcPr>
          <w:p w:rsidR="00AB50C5" w:rsidRDefault="00724275">
            <w:pPr>
              <w:pStyle w:val="Etabletext"/>
              <w:keepNext/>
              <w:cnfStyle w:val="000000000000" w:firstRow="0" w:lastRow="0" w:firstColumn="0" w:lastColumn="0" w:oddVBand="0" w:evenVBand="0" w:oddHBand="0" w:evenHBand="0" w:firstRowFirstColumn="0" w:firstRowLastColumn="0" w:lastRowFirstColumn="0" w:lastRowLastColumn="0"/>
              <w:rPr>
                <w:noProof/>
                <w:color w:val="auto"/>
                <w:lang w:eastAsia="en-US"/>
              </w:rPr>
            </w:pPr>
            <w:r>
              <w:rPr>
                <w:noProof/>
                <w:color w:val="auto"/>
                <w:lang w:eastAsia="en-US"/>
              </w:rPr>
              <w:t>NUTS3, 2010</w:t>
            </w:r>
          </w:p>
        </w:tc>
      </w:tr>
    </w:tbl>
    <w:p w:rsidR="00AB50C5" w:rsidRDefault="00AB50C5">
      <w:pPr>
        <w:rPr>
          <w:noProof/>
          <w:lang w:eastAsia="de-AT"/>
        </w:rPr>
      </w:pPr>
    </w:p>
    <w:p w:rsidR="00AB50C5" w:rsidRDefault="00724275">
      <w:pPr>
        <w:pStyle w:val="Heading5"/>
        <w:rPr>
          <w:noProof/>
        </w:rPr>
      </w:pPr>
      <w:r>
        <w:rPr>
          <w:noProof/>
        </w:rPr>
        <w:t>Out-migration/brain drain/“shrinking” of regions</w:t>
      </w:r>
    </w:p>
    <w:tbl>
      <w:tblPr>
        <w:tblStyle w:val="HelleSchattierung-Akzent51"/>
        <w:tblW w:w="8421" w:type="dxa"/>
        <w:tblBorders>
          <w:top w:val="single" w:sz="4" w:space="0" w:color="auto"/>
          <w:bottom w:val="single" w:sz="4" w:space="0" w:color="auto"/>
          <w:insideH w:val="single" w:sz="4" w:space="0" w:color="auto"/>
        </w:tblBorders>
        <w:tblCellMar>
          <w:left w:w="57" w:type="dxa"/>
          <w:right w:w="57" w:type="dxa"/>
        </w:tblCellMar>
        <w:tblLook w:val="04A0" w:firstRow="1" w:lastRow="0" w:firstColumn="1" w:lastColumn="0" w:noHBand="0" w:noVBand="1"/>
      </w:tblPr>
      <w:tblGrid>
        <w:gridCol w:w="2325"/>
        <w:gridCol w:w="6096"/>
      </w:tblGrid>
      <w:tr w:rsidR="00AB50C5" w:rsidTr="00AB50C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25" w:type="dxa"/>
            <w:tcBorders>
              <w:top w:val="none" w:sz="0" w:space="0" w:color="auto"/>
              <w:left w:val="none" w:sz="0" w:space="0" w:color="auto"/>
              <w:bottom w:val="single" w:sz="4" w:space="0" w:color="auto"/>
              <w:right w:val="none" w:sz="0" w:space="0" w:color="auto"/>
            </w:tcBorders>
            <w:shd w:val="clear" w:color="auto" w:fill="auto"/>
          </w:tcPr>
          <w:p w:rsidR="00AB50C5" w:rsidRDefault="00724275">
            <w:pPr>
              <w:pStyle w:val="Etabletext"/>
              <w:rPr>
                <w:noProof/>
                <w:color w:val="auto"/>
                <w:lang w:eastAsia="fr-BE"/>
              </w:rPr>
            </w:pPr>
            <w:r>
              <w:rPr>
                <w:noProof/>
                <w:color w:val="auto"/>
                <w:lang w:eastAsia="fr-BE"/>
              </w:rPr>
              <w:t>Definition of sensitivity</w:t>
            </w:r>
          </w:p>
        </w:tc>
        <w:tc>
          <w:tcPr>
            <w:tcW w:w="6096" w:type="dxa"/>
            <w:tcBorders>
              <w:top w:val="none" w:sz="0" w:space="0" w:color="auto"/>
              <w:left w:val="none" w:sz="0" w:space="0" w:color="auto"/>
              <w:bottom w:val="single" w:sz="4" w:space="0" w:color="auto"/>
              <w:right w:val="none" w:sz="0" w:space="0" w:color="auto"/>
            </w:tcBorders>
            <w:shd w:val="clear" w:color="auto" w:fill="auto"/>
          </w:tcPr>
          <w:p w:rsidR="00AB50C5" w:rsidRDefault="00724275">
            <w:pPr>
              <w:pStyle w:val="Etabletext"/>
              <w:jc w:val="both"/>
              <w:cnfStyle w:val="100000000000" w:firstRow="1" w:lastRow="0" w:firstColumn="0" w:lastColumn="0" w:oddVBand="0" w:evenVBand="0" w:oddHBand="0" w:evenHBand="0" w:firstRowFirstColumn="0" w:firstRowLastColumn="0" w:lastRowFirstColumn="0" w:lastRowLastColumn="0"/>
              <w:rPr>
                <w:b w:val="0"/>
                <w:bCs w:val="0"/>
                <w:noProof/>
                <w:color w:val="auto"/>
                <w:lang w:val="en-GB" w:eastAsia="fr-BE"/>
              </w:rPr>
            </w:pPr>
            <w:r>
              <w:rPr>
                <w:noProof/>
                <w:color w:val="auto"/>
                <w:lang w:val="en-GB" w:eastAsia="fr-BE"/>
              </w:rPr>
              <w:t xml:space="preserve">Regions experiencing Out-migration/brain drain/“shrinking” of regions will benefit more from actions aimed at their reduction or suffer most from their exacerbation. </w:t>
            </w:r>
          </w:p>
        </w:tc>
      </w:tr>
      <w:tr w:rsidR="00AB50C5" w:rsidTr="00AB50C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25" w:type="dxa"/>
            <w:tcBorders>
              <w:left w:val="none" w:sz="0" w:space="0" w:color="auto"/>
              <w:bottom w:val="dotted" w:sz="4" w:space="0" w:color="auto"/>
              <w:right w:val="none" w:sz="0" w:space="0" w:color="auto"/>
            </w:tcBorders>
            <w:shd w:val="clear" w:color="auto" w:fill="auto"/>
          </w:tcPr>
          <w:p w:rsidR="00AB50C5" w:rsidRDefault="00724275">
            <w:pPr>
              <w:pStyle w:val="Etabletext"/>
              <w:rPr>
                <w:noProof/>
                <w:color w:val="auto"/>
                <w:lang w:eastAsia="fr-BE"/>
              </w:rPr>
            </w:pPr>
            <w:r>
              <w:rPr>
                <w:noProof/>
                <w:color w:val="auto"/>
                <w:lang w:eastAsia="fr-BE"/>
              </w:rPr>
              <w:t>Description</w:t>
            </w:r>
          </w:p>
        </w:tc>
        <w:tc>
          <w:tcPr>
            <w:tcW w:w="6096" w:type="dxa"/>
            <w:tcBorders>
              <w:left w:val="none" w:sz="0" w:space="0" w:color="auto"/>
              <w:bottom w:val="dotted" w:sz="4" w:space="0" w:color="auto"/>
              <w:right w:val="none" w:sz="0" w:space="0" w:color="auto"/>
            </w:tcBorders>
            <w:shd w:val="clear" w:color="auto" w:fill="auto"/>
          </w:tcPr>
          <w:p w:rsidR="00AB50C5" w:rsidRDefault="00724275">
            <w:pPr>
              <w:pStyle w:val="Etabletext"/>
              <w:jc w:val="both"/>
              <w:cnfStyle w:val="000000100000" w:firstRow="0" w:lastRow="0" w:firstColumn="0" w:lastColumn="0" w:oddVBand="0" w:evenVBand="0" w:oddHBand="1" w:evenHBand="0" w:firstRowFirstColumn="0" w:firstRowLastColumn="0" w:lastRowFirstColumn="0" w:lastRowLastColumn="0"/>
              <w:rPr>
                <w:noProof/>
                <w:color w:val="auto"/>
                <w:lang w:eastAsia="en-US"/>
              </w:rPr>
            </w:pPr>
            <w:r>
              <w:rPr>
                <w:noProof/>
                <w:color w:val="auto"/>
                <w:lang w:eastAsia="en-US"/>
              </w:rPr>
              <w:t xml:space="preserve">net migration balance (i.e. immigration minus out-migration on total </w:t>
            </w:r>
            <w:r>
              <w:rPr>
                <w:noProof/>
                <w:color w:val="auto"/>
                <w:lang w:eastAsia="en-US"/>
              </w:rPr>
              <w:t>population).</w:t>
            </w:r>
          </w:p>
        </w:tc>
      </w:tr>
      <w:tr w:rsidR="00AB50C5" w:rsidTr="00AB50C5">
        <w:trPr>
          <w:trHeight w:val="20"/>
        </w:trPr>
        <w:tc>
          <w:tcPr>
            <w:cnfStyle w:val="001000000000" w:firstRow="0" w:lastRow="0" w:firstColumn="1" w:lastColumn="0" w:oddVBand="0" w:evenVBand="0" w:oddHBand="0" w:evenHBand="0" w:firstRowFirstColumn="0" w:firstRowLastColumn="0" w:lastRowFirstColumn="0" w:lastRowLastColumn="0"/>
            <w:tcW w:w="2325" w:type="dxa"/>
            <w:tcBorders>
              <w:top w:val="dotted" w:sz="4" w:space="0" w:color="auto"/>
              <w:bottom w:val="dotted" w:sz="4" w:space="0" w:color="auto"/>
            </w:tcBorders>
            <w:shd w:val="clear" w:color="auto" w:fill="auto"/>
          </w:tcPr>
          <w:p w:rsidR="00AB50C5" w:rsidRDefault="00724275">
            <w:pPr>
              <w:pStyle w:val="Etabletext"/>
              <w:rPr>
                <w:noProof/>
                <w:color w:val="auto"/>
                <w:lang w:eastAsia="fr-BE"/>
              </w:rPr>
            </w:pPr>
            <w:r>
              <w:rPr>
                <w:noProof/>
                <w:color w:val="auto"/>
                <w:lang w:eastAsia="fr-BE"/>
              </w:rPr>
              <w:t>Source</w:t>
            </w:r>
          </w:p>
        </w:tc>
        <w:tc>
          <w:tcPr>
            <w:tcW w:w="6096" w:type="dxa"/>
            <w:tcBorders>
              <w:top w:val="dotted" w:sz="4" w:space="0" w:color="auto"/>
              <w:bottom w:val="dotted" w:sz="4" w:space="0" w:color="auto"/>
            </w:tcBorders>
            <w:shd w:val="clear" w:color="auto" w:fill="auto"/>
          </w:tcPr>
          <w:p w:rsidR="00AB50C5" w:rsidRDefault="00724275">
            <w:pPr>
              <w:pStyle w:val="Etabletext"/>
              <w:cnfStyle w:val="000000000000" w:firstRow="0" w:lastRow="0" w:firstColumn="0" w:lastColumn="0" w:oddVBand="0" w:evenVBand="0" w:oddHBand="0" w:evenHBand="0" w:firstRowFirstColumn="0" w:firstRowLastColumn="0" w:lastRowFirstColumn="0" w:lastRowLastColumn="0"/>
              <w:rPr>
                <w:noProof/>
                <w:color w:val="auto"/>
                <w:lang w:eastAsia="en-US"/>
              </w:rPr>
            </w:pPr>
            <w:r>
              <w:rPr>
                <w:noProof/>
                <w:color w:val="auto"/>
                <w:lang w:eastAsia="en-US"/>
              </w:rPr>
              <w:t>EUROSTAT</w:t>
            </w:r>
          </w:p>
        </w:tc>
      </w:tr>
      <w:tr w:rsidR="00AB50C5" w:rsidTr="00AB50C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25" w:type="dxa"/>
            <w:tcBorders>
              <w:top w:val="dotted" w:sz="4" w:space="0" w:color="auto"/>
              <w:left w:val="none" w:sz="0" w:space="0" w:color="auto"/>
              <w:bottom w:val="dotted" w:sz="4" w:space="0" w:color="auto"/>
              <w:right w:val="none" w:sz="0" w:space="0" w:color="auto"/>
            </w:tcBorders>
            <w:shd w:val="clear" w:color="auto" w:fill="auto"/>
          </w:tcPr>
          <w:p w:rsidR="00AB50C5" w:rsidRDefault="00724275">
            <w:pPr>
              <w:pStyle w:val="Etabletext"/>
              <w:rPr>
                <w:noProof/>
                <w:color w:val="auto"/>
                <w:lang w:eastAsia="fr-BE"/>
              </w:rPr>
            </w:pPr>
            <w:r>
              <w:rPr>
                <w:noProof/>
                <w:color w:val="auto"/>
                <w:lang w:eastAsia="fr-BE"/>
              </w:rPr>
              <w:t>Reference year</w:t>
            </w:r>
          </w:p>
        </w:tc>
        <w:tc>
          <w:tcPr>
            <w:tcW w:w="6096" w:type="dxa"/>
            <w:tcBorders>
              <w:top w:val="dotted" w:sz="4" w:space="0" w:color="auto"/>
              <w:left w:val="none" w:sz="0" w:space="0" w:color="auto"/>
              <w:bottom w:val="dotted" w:sz="4" w:space="0" w:color="auto"/>
              <w:right w:val="none" w:sz="0" w:space="0" w:color="auto"/>
            </w:tcBorders>
            <w:shd w:val="clear" w:color="auto" w:fill="auto"/>
          </w:tcPr>
          <w:p w:rsidR="00AB50C5" w:rsidRDefault="00724275">
            <w:pPr>
              <w:pStyle w:val="Etabletext"/>
              <w:cnfStyle w:val="000000100000" w:firstRow="0" w:lastRow="0" w:firstColumn="0" w:lastColumn="0" w:oddVBand="0" w:evenVBand="0" w:oddHBand="1" w:evenHBand="0" w:firstRowFirstColumn="0" w:firstRowLastColumn="0" w:lastRowFirstColumn="0" w:lastRowLastColumn="0"/>
              <w:rPr>
                <w:noProof/>
                <w:color w:val="auto"/>
                <w:lang w:eastAsia="en-US"/>
              </w:rPr>
            </w:pPr>
            <w:r>
              <w:rPr>
                <w:noProof/>
                <w:color w:val="auto"/>
                <w:lang w:eastAsia="en-US"/>
              </w:rPr>
              <w:t>2012</w:t>
            </w:r>
          </w:p>
        </w:tc>
      </w:tr>
      <w:tr w:rsidR="00AB50C5" w:rsidTr="00AB50C5">
        <w:trPr>
          <w:trHeight w:val="20"/>
        </w:trPr>
        <w:tc>
          <w:tcPr>
            <w:cnfStyle w:val="001000000000" w:firstRow="0" w:lastRow="0" w:firstColumn="1" w:lastColumn="0" w:oddVBand="0" w:evenVBand="0" w:oddHBand="0" w:evenHBand="0" w:firstRowFirstColumn="0" w:firstRowLastColumn="0" w:lastRowFirstColumn="0" w:lastRowLastColumn="0"/>
            <w:tcW w:w="2325" w:type="dxa"/>
            <w:tcBorders>
              <w:top w:val="dotted" w:sz="4" w:space="0" w:color="auto"/>
              <w:bottom w:val="single" w:sz="4" w:space="0" w:color="auto"/>
            </w:tcBorders>
            <w:shd w:val="clear" w:color="auto" w:fill="auto"/>
          </w:tcPr>
          <w:p w:rsidR="00AB50C5" w:rsidRDefault="00724275">
            <w:pPr>
              <w:pStyle w:val="Etabletext"/>
              <w:rPr>
                <w:noProof/>
                <w:color w:val="auto"/>
                <w:lang w:eastAsia="fr-BE"/>
              </w:rPr>
            </w:pPr>
            <w:r>
              <w:rPr>
                <w:noProof/>
                <w:color w:val="auto"/>
                <w:lang w:eastAsia="fr-BE"/>
              </w:rPr>
              <w:t xml:space="preserve">Original Indicator </w:t>
            </w:r>
            <w:r>
              <w:rPr>
                <w:noProof/>
                <w:color w:val="auto"/>
                <w:lang w:eastAsia="fr-BE"/>
              </w:rPr>
              <w:br/>
              <w:t>Spatial Reference</w:t>
            </w:r>
          </w:p>
        </w:tc>
        <w:tc>
          <w:tcPr>
            <w:tcW w:w="6096" w:type="dxa"/>
            <w:tcBorders>
              <w:top w:val="dotted" w:sz="4" w:space="0" w:color="auto"/>
              <w:bottom w:val="single" w:sz="4" w:space="0" w:color="auto"/>
            </w:tcBorders>
            <w:shd w:val="clear" w:color="auto" w:fill="auto"/>
          </w:tcPr>
          <w:p w:rsidR="00AB50C5" w:rsidRDefault="00724275">
            <w:pPr>
              <w:pStyle w:val="Etabletext"/>
              <w:cnfStyle w:val="000000000000" w:firstRow="0" w:lastRow="0" w:firstColumn="0" w:lastColumn="0" w:oddVBand="0" w:evenVBand="0" w:oddHBand="0" w:evenHBand="0" w:firstRowFirstColumn="0" w:firstRowLastColumn="0" w:lastRowFirstColumn="0" w:lastRowLastColumn="0"/>
              <w:rPr>
                <w:noProof/>
                <w:color w:val="auto"/>
                <w:lang w:eastAsia="en-US"/>
              </w:rPr>
            </w:pPr>
            <w:r>
              <w:rPr>
                <w:noProof/>
                <w:color w:val="auto"/>
                <w:lang w:eastAsia="en-US"/>
              </w:rPr>
              <w:t>NUTS3, 2010</w:t>
            </w:r>
          </w:p>
        </w:tc>
      </w:tr>
    </w:tbl>
    <w:p w:rsidR="00AB50C5" w:rsidRDefault="00AB50C5">
      <w:pPr>
        <w:rPr>
          <w:noProof/>
        </w:rPr>
      </w:pPr>
    </w:p>
    <w:p w:rsidR="00AB50C5" w:rsidRDefault="00724275">
      <w:pPr>
        <w:pStyle w:val="Heading5"/>
        <w:rPr>
          <w:noProof/>
        </w:rPr>
      </w:pPr>
      <w:r>
        <w:rPr>
          <w:noProof/>
        </w:rPr>
        <w:t>Government effectiveness</w:t>
      </w:r>
    </w:p>
    <w:tbl>
      <w:tblPr>
        <w:tblStyle w:val="HelleSchattierung-Akzent51"/>
        <w:tblW w:w="8421" w:type="dxa"/>
        <w:tblBorders>
          <w:top w:val="single" w:sz="4" w:space="0" w:color="auto"/>
          <w:bottom w:val="single" w:sz="4" w:space="0" w:color="auto"/>
          <w:insideH w:val="single" w:sz="4" w:space="0" w:color="auto"/>
        </w:tblBorders>
        <w:tblCellMar>
          <w:left w:w="57" w:type="dxa"/>
          <w:right w:w="57" w:type="dxa"/>
        </w:tblCellMar>
        <w:tblLook w:val="04A0" w:firstRow="1" w:lastRow="0" w:firstColumn="1" w:lastColumn="0" w:noHBand="0" w:noVBand="1"/>
      </w:tblPr>
      <w:tblGrid>
        <w:gridCol w:w="2325"/>
        <w:gridCol w:w="6096"/>
      </w:tblGrid>
      <w:tr w:rsidR="00AB50C5" w:rsidTr="00AB50C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25" w:type="dxa"/>
            <w:tcBorders>
              <w:top w:val="none" w:sz="0" w:space="0" w:color="auto"/>
              <w:left w:val="none" w:sz="0" w:space="0" w:color="auto"/>
              <w:bottom w:val="single" w:sz="4" w:space="0" w:color="auto"/>
              <w:right w:val="none" w:sz="0" w:space="0" w:color="auto"/>
            </w:tcBorders>
            <w:shd w:val="clear" w:color="auto" w:fill="auto"/>
          </w:tcPr>
          <w:p w:rsidR="00AB50C5" w:rsidRDefault="00724275">
            <w:pPr>
              <w:pStyle w:val="Etabletext"/>
              <w:rPr>
                <w:noProof/>
                <w:color w:val="auto"/>
                <w:lang w:eastAsia="fr-BE"/>
              </w:rPr>
            </w:pPr>
            <w:r>
              <w:rPr>
                <w:noProof/>
                <w:color w:val="auto"/>
                <w:lang w:eastAsia="fr-BE"/>
              </w:rPr>
              <w:t>Definition of sensitivity</w:t>
            </w:r>
          </w:p>
        </w:tc>
        <w:tc>
          <w:tcPr>
            <w:tcW w:w="6096" w:type="dxa"/>
            <w:tcBorders>
              <w:top w:val="none" w:sz="0" w:space="0" w:color="auto"/>
              <w:left w:val="none" w:sz="0" w:space="0" w:color="auto"/>
              <w:bottom w:val="single" w:sz="4" w:space="0" w:color="auto"/>
              <w:right w:val="none" w:sz="0" w:space="0" w:color="auto"/>
            </w:tcBorders>
            <w:shd w:val="clear" w:color="auto" w:fill="auto"/>
          </w:tcPr>
          <w:p w:rsidR="00AB50C5" w:rsidRDefault="00724275">
            <w:pPr>
              <w:pStyle w:val="Etabletext"/>
              <w:jc w:val="both"/>
              <w:cnfStyle w:val="100000000000" w:firstRow="1" w:lastRow="0" w:firstColumn="0" w:lastColumn="0" w:oddVBand="0" w:evenVBand="0" w:oddHBand="0" w:evenHBand="0" w:firstRowFirstColumn="0" w:firstRowLastColumn="0" w:lastRowFirstColumn="0" w:lastRowLastColumn="0"/>
              <w:rPr>
                <w:b w:val="0"/>
                <w:bCs w:val="0"/>
                <w:noProof/>
                <w:color w:val="auto"/>
                <w:lang w:val="en-GB" w:eastAsia="fr-BE"/>
              </w:rPr>
            </w:pPr>
            <w:r>
              <w:rPr>
                <w:noProof/>
                <w:color w:val="auto"/>
                <w:lang w:val="en-GB" w:eastAsia="fr-BE"/>
              </w:rPr>
              <w:t xml:space="preserve">Regions with low government effectiveness as measured by the </w:t>
            </w:r>
            <w:r>
              <w:rPr>
                <w:noProof/>
                <w:color w:val="auto"/>
                <w:lang w:val="en-GB" w:eastAsia="en-US"/>
              </w:rPr>
              <w:t xml:space="preserve">Regional Competiveness Index will benefit more from the implementation of new standards of administration than regions that already have high standards of their administration. </w:t>
            </w:r>
          </w:p>
        </w:tc>
      </w:tr>
      <w:tr w:rsidR="00AB50C5" w:rsidTr="00AB50C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25" w:type="dxa"/>
            <w:tcBorders>
              <w:left w:val="none" w:sz="0" w:space="0" w:color="auto"/>
              <w:bottom w:val="dotted" w:sz="4" w:space="0" w:color="auto"/>
              <w:right w:val="none" w:sz="0" w:space="0" w:color="auto"/>
            </w:tcBorders>
            <w:shd w:val="clear" w:color="auto" w:fill="auto"/>
          </w:tcPr>
          <w:p w:rsidR="00AB50C5" w:rsidRDefault="00724275">
            <w:pPr>
              <w:pStyle w:val="Etabletext"/>
              <w:rPr>
                <w:noProof/>
                <w:color w:val="auto"/>
                <w:lang w:eastAsia="fr-BE"/>
              </w:rPr>
            </w:pPr>
            <w:r>
              <w:rPr>
                <w:noProof/>
                <w:color w:val="auto"/>
                <w:lang w:eastAsia="fr-BE"/>
              </w:rPr>
              <w:t>Description</w:t>
            </w:r>
          </w:p>
        </w:tc>
        <w:tc>
          <w:tcPr>
            <w:tcW w:w="6096" w:type="dxa"/>
            <w:tcBorders>
              <w:left w:val="none" w:sz="0" w:space="0" w:color="auto"/>
              <w:bottom w:val="dotted" w:sz="4" w:space="0" w:color="auto"/>
              <w:right w:val="none" w:sz="0" w:space="0" w:color="auto"/>
            </w:tcBorders>
            <w:shd w:val="clear" w:color="auto" w:fill="auto"/>
          </w:tcPr>
          <w:p w:rsidR="00AB50C5" w:rsidRDefault="00724275">
            <w:pPr>
              <w:pStyle w:val="Etabletext"/>
              <w:cnfStyle w:val="000000100000" w:firstRow="0" w:lastRow="0" w:firstColumn="0" w:lastColumn="0" w:oddVBand="0" w:evenVBand="0" w:oddHBand="1" w:evenHBand="0" w:firstRowFirstColumn="0" w:firstRowLastColumn="0" w:lastRowFirstColumn="0" w:lastRowLastColumn="0"/>
              <w:rPr>
                <w:noProof/>
                <w:color w:val="auto"/>
                <w:lang w:eastAsia="en-US"/>
              </w:rPr>
            </w:pPr>
            <w:r>
              <w:rPr>
                <w:noProof/>
                <w:color w:val="auto"/>
                <w:lang w:eastAsia="en-US"/>
              </w:rPr>
              <w:t>EU Regional Competiveness Index 2013</w:t>
            </w:r>
          </w:p>
        </w:tc>
      </w:tr>
      <w:tr w:rsidR="00AB50C5" w:rsidTr="00AB50C5">
        <w:trPr>
          <w:trHeight w:val="20"/>
        </w:trPr>
        <w:tc>
          <w:tcPr>
            <w:cnfStyle w:val="001000000000" w:firstRow="0" w:lastRow="0" w:firstColumn="1" w:lastColumn="0" w:oddVBand="0" w:evenVBand="0" w:oddHBand="0" w:evenHBand="0" w:firstRowFirstColumn="0" w:firstRowLastColumn="0" w:lastRowFirstColumn="0" w:lastRowLastColumn="0"/>
            <w:tcW w:w="2325" w:type="dxa"/>
            <w:tcBorders>
              <w:top w:val="dotted" w:sz="4" w:space="0" w:color="auto"/>
              <w:bottom w:val="dotted" w:sz="4" w:space="0" w:color="auto"/>
            </w:tcBorders>
            <w:shd w:val="clear" w:color="auto" w:fill="auto"/>
          </w:tcPr>
          <w:p w:rsidR="00AB50C5" w:rsidRDefault="00724275">
            <w:pPr>
              <w:pStyle w:val="Etabletext"/>
              <w:rPr>
                <w:noProof/>
                <w:color w:val="auto"/>
                <w:lang w:eastAsia="fr-BE"/>
              </w:rPr>
            </w:pPr>
            <w:r>
              <w:rPr>
                <w:noProof/>
                <w:color w:val="auto"/>
                <w:lang w:eastAsia="fr-BE"/>
              </w:rPr>
              <w:t>Source</w:t>
            </w:r>
          </w:p>
        </w:tc>
        <w:tc>
          <w:tcPr>
            <w:tcW w:w="6096" w:type="dxa"/>
            <w:tcBorders>
              <w:top w:val="dotted" w:sz="4" w:space="0" w:color="auto"/>
              <w:bottom w:val="dotted" w:sz="4" w:space="0" w:color="auto"/>
            </w:tcBorders>
            <w:shd w:val="clear" w:color="auto" w:fill="auto"/>
          </w:tcPr>
          <w:p w:rsidR="00AB50C5" w:rsidRDefault="00724275">
            <w:pPr>
              <w:pStyle w:val="Etabletext"/>
              <w:cnfStyle w:val="000000000000" w:firstRow="0" w:lastRow="0" w:firstColumn="0" w:lastColumn="0" w:oddVBand="0" w:evenVBand="0" w:oddHBand="0" w:evenHBand="0" w:firstRowFirstColumn="0" w:firstRowLastColumn="0" w:lastRowFirstColumn="0" w:lastRowLastColumn="0"/>
              <w:rPr>
                <w:noProof/>
                <w:color w:val="auto"/>
                <w:lang w:val="en-GB" w:eastAsia="en-US"/>
              </w:rPr>
            </w:pPr>
            <w:r>
              <w:rPr>
                <w:noProof/>
                <w:color w:val="auto"/>
                <w:lang w:val="en-GB" w:eastAsia="en-US"/>
              </w:rPr>
              <w:t xml:space="preserve">DG Regio project on </w:t>
            </w:r>
            <w:r>
              <w:rPr>
                <w:noProof/>
                <w:color w:val="auto"/>
                <w:lang w:val="en-GB" w:eastAsia="en-US"/>
              </w:rPr>
              <w:t>QoG</w:t>
            </w:r>
          </w:p>
        </w:tc>
      </w:tr>
      <w:tr w:rsidR="00AB50C5" w:rsidTr="00AB50C5">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25" w:type="dxa"/>
            <w:tcBorders>
              <w:top w:val="dotted" w:sz="4" w:space="0" w:color="auto"/>
              <w:left w:val="none" w:sz="0" w:space="0" w:color="auto"/>
              <w:bottom w:val="dotted" w:sz="4" w:space="0" w:color="auto"/>
              <w:right w:val="none" w:sz="0" w:space="0" w:color="auto"/>
            </w:tcBorders>
            <w:shd w:val="clear" w:color="auto" w:fill="auto"/>
          </w:tcPr>
          <w:p w:rsidR="00AB50C5" w:rsidRDefault="00724275">
            <w:pPr>
              <w:pStyle w:val="Etabletext"/>
              <w:rPr>
                <w:noProof/>
                <w:color w:val="auto"/>
                <w:lang w:eastAsia="fr-BE"/>
              </w:rPr>
            </w:pPr>
            <w:r>
              <w:rPr>
                <w:noProof/>
                <w:color w:val="auto"/>
                <w:lang w:eastAsia="fr-BE"/>
              </w:rPr>
              <w:t>Reference year</w:t>
            </w:r>
          </w:p>
        </w:tc>
        <w:tc>
          <w:tcPr>
            <w:tcW w:w="6096" w:type="dxa"/>
            <w:tcBorders>
              <w:top w:val="dotted" w:sz="4" w:space="0" w:color="auto"/>
              <w:left w:val="none" w:sz="0" w:space="0" w:color="auto"/>
              <w:bottom w:val="dotted" w:sz="4" w:space="0" w:color="auto"/>
              <w:right w:val="none" w:sz="0" w:space="0" w:color="auto"/>
            </w:tcBorders>
            <w:shd w:val="clear" w:color="auto" w:fill="auto"/>
          </w:tcPr>
          <w:p w:rsidR="00AB50C5" w:rsidRDefault="00724275">
            <w:pPr>
              <w:pStyle w:val="Etabletext"/>
              <w:cnfStyle w:val="000000100000" w:firstRow="0" w:lastRow="0" w:firstColumn="0" w:lastColumn="0" w:oddVBand="0" w:evenVBand="0" w:oddHBand="1" w:evenHBand="0" w:firstRowFirstColumn="0" w:firstRowLastColumn="0" w:lastRowFirstColumn="0" w:lastRowLastColumn="0"/>
              <w:rPr>
                <w:noProof/>
                <w:color w:val="auto"/>
                <w:lang w:eastAsia="en-US"/>
              </w:rPr>
            </w:pPr>
            <w:r>
              <w:rPr>
                <w:noProof/>
                <w:color w:val="auto"/>
                <w:lang w:eastAsia="en-US"/>
              </w:rPr>
              <w:t>2009</w:t>
            </w:r>
          </w:p>
        </w:tc>
      </w:tr>
      <w:tr w:rsidR="00AB50C5" w:rsidTr="00AB50C5">
        <w:trPr>
          <w:trHeight w:val="20"/>
        </w:trPr>
        <w:tc>
          <w:tcPr>
            <w:cnfStyle w:val="001000000000" w:firstRow="0" w:lastRow="0" w:firstColumn="1" w:lastColumn="0" w:oddVBand="0" w:evenVBand="0" w:oddHBand="0" w:evenHBand="0" w:firstRowFirstColumn="0" w:firstRowLastColumn="0" w:lastRowFirstColumn="0" w:lastRowLastColumn="0"/>
            <w:tcW w:w="2325" w:type="dxa"/>
            <w:tcBorders>
              <w:top w:val="dotted" w:sz="4" w:space="0" w:color="auto"/>
              <w:bottom w:val="single" w:sz="4" w:space="0" w:color="auto"/>
            </w:tcBorders>
            <w:shd w:val="clear" w:color="auto" w:fill="auto"/>
          </w:tcPr>
          <w:p w:rsidR="00AB50C5" w:rsidRDefault="00724275">
            <w:pPr>
              <w:pStyle w:val="Etabletext"/>
              <w:rPr>
                <w:noProof/>
                <w:color w:val="auto"/>
                <w:lang w:eastAsia="fr-BE"/>
              </w:rPr>
            </w:pPr>
            <w:r>
              <w:rPr>
                <w:noProof/>
                <w:color w:val="auto"/>
                <w:lang w:eastAsia="fr-BE"/>
              </w:rPr>
              <w:t xml:space="preserve">Original Indicator </w:t>
            </w:r>
            <w:r>
              <w:rPr>
                <w:noProof/>
                <w:color w:val="auto"/>
                <w:lang w:eastAsia="fr-BE"/>
              </w:rPr>
              <w:br/>
              <w:t>Spatial Reference</w:t>
            </w:r>
          </w:p>
        </w:tc>
        <w:tc>
          <w:tcPr>
            <w:tcW w:w="6096" w:type="dxa"/>
            <w:tcBorders>
              <w:top w:val="dotted" w:sz="4" w:space="0" w:color="auto"/>
              <w:bottom w:val="single" w:sz="4" w:space="0" w:color="auto"/>
            </w:tcBorders>
            <w:shd w:val="clear" w:color="auto" w:fill="auto"/>
          </w:tcPr>
          <w:p w:rsidR="00AB50C5" w:rsidRDefault="00724275">
            <w:pPr>
              <w:pStyle w:val="Etabletext"/>
              <w:cnfStyle w:val="000000000000" w:firstRow="0" w:lastRow="0" w:firstColumn="0" w:lastColumn="0" w:oddVBand="0" w:evenVBand="0" w:oddHBand="0" w:evenHBand="0" w:firstRowFirstColumn="0" w:firstRowLastColumn="0" w:lastRowFirstColumn="0" w:lastRowLastColumn="0"/>
              <w:rPr>
                <w:noProof/>
                <w:color w:val="auto"/>
                <w:lang w:eastAsia="en-US"/>
              </w:rPr>
            </w:pPr>
            <w:r>
              <w:rPr>
                <w:noProof/>
                <w:color w:val="auto"/>
                <w:lang w:eastAsia="en-US"/>
              </w:rPr>
              <w:t>NUTS3, 2010</w:t>
            </w:r>
          </w:p>
        </w:tc>
      </w:tr>
    </w:tbl>
    <w:p w:rsidR="00AB50C5" w:rsidRDefault="00AB50C5">
      <w:pPr>
        <w:pStyle w:val="EText"/>
        <w:rPr>
          <w:noProof/>
        </w:rPr>
      </w:pPr>
    </w:p>
    <w:p w:rsidR="00AB50C5" w:rsidRDefault="00724275">
      <w:pPr>
        <w:pStyle w:val="Heading5"/>
        <w:spacing w:before="240"/>
        <w:rPr>
          <w:noProof/>
        </w:rPr>
      </w:pPr>
      <w:r>
        <w:rPr>
          <w:noProof/>
        </w:rPr>
        <w:t>Definition of additional indicators</w:t>
      </w:r>
    </w:p>
    <w:p w:rsidR="00AB50C5" w:rsidRDefault="00724275">
      <w:pPr>
        <w:pStyle w:val="EText"/>
        <w:rPr>
          <w:noProof/>
          <w:lang w:eastAsia="en-US"/>
        </w:rPr>
      </w:pPr>
      <w:r>
        <w:rPr>
          <w:noProof/>
          <w:lang w:eastAsia="en-US"/>
        </w:rPr>
        <w:t xml:space="preserve">During the TIA quick check it is possible to identify additional fields of exposure, which are affected by the policy proposal and which are </w:t>
      </w:r>
      <w:r>
        <w:rPr>
          <w:noProof/>
          <w:lang w:eastAsia="en-US"/>
        </w:rPr>
        <w:t>not provided by the tool as standard. Whereas the exposure caused by the policy proposal could be judged by the experts during the workshop, a valid indicator for describing the sensitivity of regions needs to be defined in advance. The TIA quick check off</w:t>
      </w:r>
      <w:r>
        <w:rPr>
          <w:noProof/>
          <w:lang w:eastAsia="en-US"/>
        </w:rPr>
        <w:t>ers the possibility to upload new indicators. It provides a template, where for each NUTS 3 regions the values of the indicator can be to be filled in.</w:t>
      </w:r>
    </w:p>
    <w:p w:rsidR="00AB50C5" w:rsidRDefault="00724275">
      <w:pPr>
        <w:pStyle w:val="EText"/>
        <w:rPr>
          <w:noProof/>
          <w:lang w:eastAsia="en-US"/>
        </w:rPr>
      </w:pPr>
      <w:r>
        <w:rPr>
          <w:noProof/>
          <w:lang w:eastAsia="en-US"/>
        </w:rPr>
        <w:t>For the new indicator it has to be defined, whether the exposure field needs to be evaluated as being ei</w:t>
      </w:r>
      <w:r>
        <w:rPr>
          <w:noProof/>
          <w:lang w:eastAsia="en-US"/>
        </w:rPr>
        <w:t>ther harmful (“cost”) or favourable (“benefit”) for the regions welfare. Then the tool will automatically transform the experts rating into numbers for further calculation (= normalisation).</w:t>
      </w:r>
    </w:p>
    <w:p w:rsidR="00AB50C5" w:rsidRDefault="00724275">
      <w:pPr>
        <w:pStyle w:val="Heading5"/>
        <w:rPr>
          <w:noProof/>
        </w:rPr>
      </w:pPr>
      <w:r>
        <w:rPr>
          <w:noProof/>
        </w:rPr>
        <w:t>Normalisation of indicators</w:t>
      </w:r>
    </w:p>
    <w:p w:rsidR="00AB50C5" w:rsidRDefault="00724275">
      <w:pPr>
        <w:pStyle w:val="EText"/>
        <w:rPr>
          <w:noProof/>
          <w:lang w:eastAsia="en-US"/>
        </w:rPr>
      </w:pPr>
      <w:r>
        <w:rPr>
          <w:noProof/>
          <w:lang w:eastAsia="en-US"/>
        </w:rPr>
        <w:t>The normalisation follows a linear pr</w:t>
      </w:r>
      <w:r>
        <w:rPr>
          <w:noProof/>
          <w:lang w:eastAsia="en-US"/>
        </w:rPr>
        <w:t xml:space="preserve">ocedure. Normalised values range from 0.75 up to 1.25. Basically, normalized sensitivity indicators represent coefficients that can increase (if greater than 1) or decrease (if lower than 1) each policy proposal’s impact on a specific field. </w:t>
      </w:r>
    </w:p>
    <w:p w:rsidR="00AB50C5" w:rsidRDefault="00724275">
      <w:pPr>
        <w:pStyle w:val="Caption"/>
        <w:rPr>
          <w:noProof/>
        </w:rPr>
      </w:pPr>
      <w:r>
        <w:rPr>
          <w:noProof/>
        </w:rPr>
        <w:t>Methodology f</w:t>
      </w:r>
      <w:r>
        <w:rPr>
          <w:noProof/>
        </w:rPr>
        <w:t>or normalisation of regional sensitivity values</w:t>
      </w:r>
    </w:p>
    <w:p w:rsidR="00AB50C5" w:rsidRDefault="00724275">
      <w:pPr>
        <w:pStyle w:val="Abbildung"/>
        <w:rPr>
          <w:lang w:eastAsia="en-US"/>
        </w:rPr>
      </w:pPr>
      <w:r>
        <w:rPr>
          <w:bdr w:val="single" w:sz="4" w:space="0" w:color="002060"/>
          <w:lang w:eastAsia="en-GB"/>
        </w:rPr>
        <w:drawing>
          <wp:inline distT="0" distB="0" distL="0" distR="0" wp14:anchorId="0B942522" wp14:editId="4D613D94">
            <wp:extent cx="4201369" cy="1559213"/>
            <wp:effectExtent l="19050" t="0" r="8681" b="0"/>
            <wp:docPr id="3594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cstate="email">
                      <a:extLst>
                        <a:ext uri="{28A0092B-C50C-407E-A947-70E740481C1C}">
                          <a14:useLocalDpi xmlns:a14="http://schemas.microsoft.com/office/drawing/2010/main"/>
                        </a:ext>
                      </a:extLst>
                    </a:blip>
                    <a:srcRect/>
                    <a:stretch>
                      <a:fillRect/>
                    </a:stretch>
                  </pic:blipFill>
                  <pic:spPr>
                    <a:xfrm>
                      <a:off x="0" y="0"/>
                      <a:ext cx="4201369" cy="1559213"/>
                    </a:xfrm>
                    <a:prstGeom prst="rect">
                      <a:avLst/>
                    </a:prstGeom>
                  </pic:spPr>
                </pic:pic>
              </a:graphicData>
            </a:graphic>
          </wp:inline>
        </w:drawing>
      </w:r>
    </w:p>
    <w:p w:rsidR="00AB50C5" w:rsidRDefault="00724275">
      <w:pPr>
        <w:pStyle w:val="Quelle"/>
        <w:rPr>
          <w:noProof/>
          <w:lang w:eastAsia="en-US"/>
        </w:rPr>
      </w:pPr>
      <w:r>
        <w:rPr>
          <w:noProof/>
          <w:lang w:eastAsia="en-US"/>
        </w:rPr>
        <w:t>Source: ESPON TIA Quick Check Moderator’s Guide and Methodological Background</w:t>
      </w:r>
    </w:p>
    <w:bookmarkEnd w:id="151"/>
    <w:bookmarkEnd w:id="152"/>
    <w:bookmarkEnd w:id="153"/>
    <w:bookmarkEnd w:id="154"/>
    <w:bookmarkEnd w:id="155"/>
    <w:bookmarkEnd w:id="156"/>
    <w:p w:rsidR="00AB50C5" w:rsidRDefault="00AB50C5">
      <w:pPr>
        <w:rPr>
          <w:noProof/>
        </w:rPr>
      </w:pPr>
    </w:p>
    <w:p w:rsidR="00AB50C5" w:rsidRDefault="00724275">
      <w:pPr>
        <w:spacing w:after="0" w:line="240" w:lineRule="auto"/>
        <w:rPr>
          <w:noProof/>
        </w:rPr>
      </w:pPr>
      <w:r>
        <w:rPr>
          <w:noProof/>
        </w:rPr>
        <w:br w:type="page"/>
      </w:r>
    </w:p>
    <w:p w:rsidR="00AB50C5" w:rsidRDefault="00724275">
      <w:pPr>
        <w:pStyle w:val="TEMPLATEHeadingforAnnexesandAfterword"/>
        <w:spacing w:after="0"/>
        <w:rPr>
          <w:rFonts w:cs="Arial"/>
          <w:noProof/>
          <w:kern w:val="32"/>
          <w:szCs w:val="28"/>
        </w:rPr>
      </w:pPr>
      <w:bookmarkStart w:id="276" w:name="_Toc484768740"/>
      <w:bookmarkStart w:id="277" w:name="_Toc516234827"/>
      <w:r>
        <w:rPr>
          <w:rFonts w:cs="Arial"/>
          <w:noProof/>
          <w:kern w:val="32"/>
          <w:szCs w:val="28"/>
        </w:rPr>
        <w:t>Annex 3:</w:t>
      </w:r>
      <w:r>
        <w:rPr>
          <w:rFonts w:eastAsiaTheme="minorEastAsia" w:cs="Arial"/>
          <w:noProof/>
          <w:szCs w:val="28"/>
          <w:lang w:eastAsia="en-US"/>
        </w:rPr>
        <w:t xml:space="preserve"> The situation on the ground. Collection of replies of experts to questionnaire on waste water practices</w:t>
      </w:r>
      <w:bookmarkEnd w:id="276"/>
      <w:bookmarkEnd w:id="277"/>
    </w:p>
    <w:p w:rsidR="00AB50C5" w:rsidRDefault="00AB50C5">
      <w:pPr>
        <w:pStyle w:val="EText"/>
        <w:rPr>
          <w:noProof/>
          <w:lang w:eastAsia="en-US"/>
        </w:rPr>
      </w:pPr>
    </w:p>
    <w:p w:rsidR="00AB50C5" w:rsidRDefault="00724275">
      <w:pPr>
        <w:pStyle w:val="ETextNoSpacing"/>
        <w:spacing w:line="240" w:lineRule="auto"/>
        <w:rPr>
          <w:rFonts w:ascii="Times New Roman" w:hAnsi="Times New Roman"/>
          <w:noProof/>
          <w:sz w:val="24"/>
          <w:szCs w:val="24"/>
          <w:lang w:eastAsia="en-US"/>
        </w:rPr>
      </w:pPr>
      <w:r>
        <w:rPr>
          <w:rFonts w:ascii="Times New Roman" w:hAnsi="Times New Roman"/>
          <w:noProof/>
          <w:sz w:val="24"/>
          <w:szCs w:val="24"/>
          <w:lang w:eastAsia="en-US"/>
        </w:rPr>
        <w:t xml:space="preserve">Following </w:t>
      </w:r>
      <w:r>
        <w:rPr>
          <w:rFonts w:ascii="Times New Roman" w:hAnsi="Times New Roman"/>
          <w:noProof/>
          <w:sz w:val="24"/>
          <w:szCs w:val="24"/>
          <w:lang w:eastAsia="en-US"/>
        </w:rPr>
        <w:t>the interactive discussion among experts during the workshop a series of questions were addressed in written afterwards to the participants in an effort to get a better idea regarding the situation on the ground around Europe regarding the:</w:t>
      </w:r>
    </w:p>
    <w:p w:rsidR="00AB50C5" w:rsidRDefault="00724275">
      <w:pPr>
        <w:pStyle w:val="EBP1"/>
        <w:spacing w:line="240" w:lineRule="auto"/>
        <w:ind w:left="567"/>
        <w:rPr>
          <w:rFonts w:ascii="Times New Roman" w:hAnsi="Times New Roman"/>
          <w:noProof/>
          <w:sz w:val="24"/>
          <w:szCs w:val="24"/>
        </w:rPr>
      </w:pPr>
      <w:r>
        <w:rPr>
          <w:rFonts w:ascii="Times New Roman" w:hAnsi="Times New Roman"/>
          <w:noProof/>
          <w:sz w:val="24"/>
          <w:szCs w:val="24"/>
        </w:rPr>
        <w:t>experience with</w:t>
      </w:r>
      <w:r>
        <w:rPr>
          <w:rFonts w:ascii="Times New Roman" w:hAnsi="Times New Roman"/>
          <w:noProof/>
          <w:sz w:val="24"/>
          <w:szCs w:val="24"/>
        </w:rPr>
        <w:t xml:space="preserve"> water scarcity and water reuse </w:t>
      </w:r>
    </w:p>
    <w:p w:rsidR="00AB50C5" w:rsidRDefault="00724275">
      <w:pPr>
        <w:pStyle w:val="EBP1"/>
        <w:spacing w:line="240" w:lineRule="auto"/>
        <w:ind w:left="567"/>
        <w:rPr>
          <w:rFonts w:ascii="Times New Roman" w:hAnsi="Times New Roman"/>
          <w:noProof/>
          <w:sz w:val="24"/>
          <w:szCs w:val="24"/>
        </w:rPr>
      </w:pPr>
      <w:r>
        <w:rPr>
          <w:rFonts w:ascii="Times New Roman" w:hAnsi="Times New Roman"/>
          <w:noProof/>
          <w:sz w:val="24"/>
          <w:szCs w:val="24"/>
          <w:lang w:val="en-US"/>
        </w:rPr>
        <w:t xml:space="preserve">potential for further uptake of water reuse and identified barriers </w:t>
      </w:r>
    </w:p>
    <w:p w:rsidR="00AB50C5" w:rsidRDefault="00724275">
      <w:pPr>
        <w:pStyle w:val="EText"/>
        <w:spacing w:line="240" w:lineRule="auto"/>
        <w:rPr>
          <w:rFonts w:ascii="Times New Roman" w:hAnsi="Times New Roman"/>
          <w:noProof/>
          <w:sz w:val="24"/>
          <w:szCs w:val="24"/>
          <w:lang w:val="en-US"/>
        </w:rPr>
      </w:pPr>
      <w:r>
        <w:rPr>
          <w:rFonts w:ascii="Times New Roman" w:hAnsi="Times New Roman"/>
          <w:noProof/>
          <w:sz w:val="24"/>
          <w:szCs w:val="24"/>
          <w:lang w:val="en-US"/>
        </w:rPr>
        <w:t>The following replies were received in written and are input from only a few of the experts that participated in the TIA workshop and represent their expe</w:t>
      </w:r>
      <w:r>
        <w:rPr>
          <w:rFonts w:ascii="Times New Roman" w:hAnsi="Times New Roman"/>
          <w:noProof/>
          <w:sz w:val="24"/>
          <w:szCs w:val="24"/>
          <w:lang w:val="en-US"/>
        </w:rPr>
        <w:t xml:space="preserve">rt opinion and provide us a better idea of the situation on the ground. We observe that there is consistency </w:t>
      </w:r>
      <w:r>
        <w:rPr>
          <w:rFonts w:ascii="Times New Roman" w:hAnsi="Times New Roman"/>
          <w:noProof/>
          <w:sz w:val="24"/>
          <w:szCs w:val="24"/>
        </w:rPr>
        <w:t>between the input we got from the experts as reply to the detailed questionnaire and the conclusions of the TIA.</w:t>
      </w:r>
    </w:p>
    <w:p w:rsidR="00AB50C5" w:rsidRDefault="00AB50C5">
      <w:pPr>
        <w:pStyle w:val="EText"/>
        <w:spacing w:line="240" w:lineRule="auto"/>
        <w:rPr>
          <w:rFonts w:ascii="Times New Roman" w:hAnsi="Times New Roman"/>
          <w:noProof/>
          <w:sz w:val="24"/>
          <w:szCs w:val="24"/>
          <w:lang w:val="en-US"/>
        </w:rPr>
      </w:pPr>
    </w:p>
    <w:p w:rsidR="00AB50C5" w:rsidRDefault="00724275">
      <w:pPr>
        <w:pStyle w:val="Default"/>
        <w:pBdr>
          <w:top w:val="single" w:sz="4" w:space="1" w:color="auto"/>
          <w:left w:val="single" w:sz="4" w:space="4" w:color="auto"/>
          <w:bottom w:val="single" w:sz="4" w:space="1" w:color="auto"/>
          <w:right w:val="single" w:sz="4" w:space="4" w:color="auto"/>
        </w:pBdr>
        <w:jc w:val="both"/>
        <w:rPr>
          <w:noProof/>
          <w:color w:val="auto"/>
          <w:lang w:val="en-US"/>
        </w:rPr>
      </w:pPr>
      <w:r>
        <w:rPr>
          <w:bCs/>
          <w:noProof/>
          <w:color w:val="auto"/>
          <w:lang w:val="en-US"/>
        </w:rPr>
        <w:t>Experience with water scarcity an</w:t>
      </w:r>
      <w:r>
        <w:rPr>
          <w:bCs/>
          <w:noProof/>
          <w:color w:val="auto"/>
          <w:lang w:val="en-US"/>
        </w:rPr>
        <w:t xml:space="preserve">d water reuse </w:t>
      </w:r>
    </w:p>
    <w:p w:rsidR="00AB50C5" w:rsidRDefault="00AB50C5">
      <w:pPr>
        <w:pStyle w:val="EText"/>
        <w:spacing w:line="240" w:lineRule="auto"/>
        <w:rPr>
          <w:rFonts w:ascii="Times New Roman" w:hAnsi="Times New Roman"/>
          <w:noProof/>
          <w:sz w:val="24"/>
          <w:szCs w:val="24"/>
          <w:lang w:val="en-US"/>
        </w:rPr>
      </w:pPr>
    </w:p>
    <w:p w:rsidR="00AB50C5" w:rsidRDefault="00724275">
      <w:pPr>
        <w:pStyle w:val="EBP1"/>
        <w:spacing w:line="240" w:lineRule="auto"/>
        <w:ind w:left="567"/>
        <w:rPr>
          <w:rFonts w:ascii="Times New Roman" w:hAnsi="Times New Roman"/>
          <w:b/>
          <w:bCs/>
          <w:noProof/>
          <w:sz w:val="24"/>
          <w:szCs w:val="24"/>
          <w:lang w:val="en-US"/>
        </w:rPr>
      </w:pPr>
      <w:r>
        <w:rPr>
          <w:rFonts w:ascii="Times New Roman" w:hAnsi="Times New Roman"/>
          <w:b/>
          <w:bCs/>
          <w:noProof/>
          <w:sz w:val="24"/>
          <w:szCs w:val="24"/>
          <w:lang w:val="en-US"/>
        </w:rPr>
        <w:t>Does your country/region/city face drought and water scarcity issues? What are the impacts, which are the impacted water uses and associated costs on water uses?</w:t>
      </w:r>
    </w:p>
    <w:p w:rsidR="00AB50C5" w:rsidRDefault="00724275">
      <w:pPr>
        <w:pStyle w:val="EText"/>
        <w:spacing w:line="240" w:lineRule="auto"/>
        <w:rPr>
          <w:rFonts w:ascii="Times New Roman" w:hAnsi="Times New Roman"/>
          <w:noProof/>
          <w:sz w:val="24"/>
          <w:szCs w:val="24"/>
          <w:lang w:val="en-US"/>
        </w:rPr>
      </w:pPr>
      <w:r>
        <w:rPr>
          <w:rFonts w:ascii="Times New Roman" w:hAnsi="Times New Roman"/>
          <w:noProof/>
          <w:sz w:val="24"/>
          <w:szCs w:val="24"/>
        </w:rPr>
        <w:t>In Greece</w:t>
      </w:r>
      <w:r>
        <w:rPr>
          <w:rFonts w:ascii="Times New Roman" w:hAnsi="Times New Roman"/>
          <w:noProof/>
          <w:sz w:val="24"/>
          <w:szCs w:val="24"/>
          <w:lang w:val="en-US"/>
        </w:rPr>
        <w:t xml:space="preserve"> approximately every 4-5 years there is a strong water stress on regional level in agricultural areas of Thessaly and Macedonia. The impacts are expressed in terms of yield decrease, and underground water losses due to considerable lowering of the water le</w:t>
      </w:r>
      <w:r>
        <w:rPr>
          <w:rFonts w:ascii="Times New Roman" w:hAnsi="Times New Roman"/>
          <w:noProof/>
          <w:sz w:val="24"/>
          <w:szCs w:val="24"/>
          <w:lang w:val="en-US"/>
        </w:rPr>
        <w:t xml:space="preserve">vel, with the serious losses of the farmers income. </w:t>
      </w:r>
    </w:p>
    <w:p w:rsidR="00AB50C5" w:rsidRDefault="00724275">
      <w:pPr>
        <w:pStyle w:val="EText"/>
        <w:spacing w:line="240" w:lineRule="auto"/>
        <w:rPr>
          <w:rFonts w:ascii="Times New Roman" w:hAnsi="Times New Roman"/>
          <w:noProof/>
          <w:sz w:val="24"/>
          <w:szCs w:val="24"/>
        </w:rPr>
      </w:pPr>
      <w:r>
        <w:rPr>
          <w:rFonts w:ascii="Times New Roman" w:hAnsi="Times New Roman"/>
          <w:noProof/>
          <w:sz w:val="24"/>
          <w:szCs w:val="24"/>
          <w:u w:val="single"/>
          <w:lang w:val="en-US"/>
        </w:rPr>
        <w:t xml:space="preserve">In Spain and especially in Murcia the climate characteristics with </w:t>
      </w:r>
      <w:r>
        <w:rPr>
          <w:rFonts w:ascii="Times New Roman" w:hAnsi="Times New Roman"/>
          <w:noProof/>
          <w:sz w:val="24"/>
          <w:szCs w:val="24"/>
        </w:rPr>
        <w:t>high temperatures all year round and the decrease of rainfall which is less than 4 hundred millimetres per year will intensify water sca</w:t>
      </w:r>
      <w:r>
        <w:rPr>
          <w:rFonts w:ascii="Times New Roman" w:hAnsi="Times New Roman"/>
          <w:noProof/>
          <w:sz w:val="24"/>
          <w:szCs w:val="24"/>
        </w:rPr>
        <w:t>rcity. Murcia Region is in permanent drought. Annual rainfall is 300-350 mm, which is very low. The impact is very high, because agriculture is one of the most important sectors in the region.</w:t>
      </w:r>
    </w:p>
    <w:p w:rsidR="00AB50C5" w:rsidRDefault="00724275">
      <w:pPr>
        <w:pStyle w:val="EText"/>
        <w:spacing w:line="240" w:lineRule="auto"/>
        <w:rPr>
          <w:rFonts w:ascii="Times New Roman" w:hAnsi="Times New Roman"/>
          <w:noProof/>
          <w:sz w:val="24"/>
          <w:szCs w:val="24"/>
        </w:rPr>
      </w:pPr>
      <w:r>
        <w:rPr>
          <w:rFonts w:ascii="Times New Roman" w:hAnsi="Times New Roman"/>
          <w:noProof/>
          <w:sz w:val="24"/>
          <w:szCs w:val="24"/>
        </w:rPr>
        <w:t>Murcia has a complicated orography, because most of the territo</w:t>
      </w:r>
      <w:r>
        <w:rPr>
          <w:rFonts w:ascii="Times New Roman" w:hAnsi="Times New Roman"/>
          <w:noProof/>
          <w:sz w:val="24"/>
          <w:szCs w:val="24"/>
        </w:rPr>
        <w:t>ry is in a flat valley, and there are more than 180 pumping stations consuming energy to gather or collect sewage water and there are 15 Waste Water Treatment Plants and a long network of sewage pipes (1500 km). These are the reasons why water in Murcia is</w:t>
      </w:r>
      <w:r>
        <w:rPr>
          <w:rFonts w:ascii="Times New Roman" w:hAnsi="Times New Roman"/>
          <w:noProof/>
          <w:sz w:val="24"/>
          <w:szCs w:val="24"/>
        </w:rPr>
        <w:t xml:space="preserve"> more expensive than in the rest of Spain, with prices being at a similar level as in the Canary Islands.</w:t>
      </w:r>
    </w:p>
    <w:p w:rsidR="00AB50C5" w:rsidRDefault="00724275">
      <w:pPr>
        <w:pStyle w:val="EText"/>
        <w:spacing w:line="240" w:lineRule="auto"/>
        <w:rPr>
          <w:rFonts w:ascii="Times New Roman" w:hAnsi="Times New Roman"/>
          <w:noProof/>
          <w:sz w:val="24"/>
          <w:szCs w:val="24"/>
        </w:rPr>
      </w:pPr>
      <w:r>
        <w:rPr>
          <w:rFonts w:ascii="Times New Roman" w:hAnsi="Times New Roman"/>
          <w:noProof/>
          <w:sz w:val="24"/>
          <w:szCs w:val="24"/>
        </w:rPr>
        <w:t>The Algarve region in Portugal occasionally faces scarcity situations owing the precipitation regime. According the Water Exploitation Index (WEI+), t</w:t>
      </w:r>
      <w:r>
        <w:rPr>
          <w:rFonts w:ascii="Times New Roman" w:hAnsi="Times New Roman"/>
          <w:noProof/>
          <w:sz w:val="24"/>
          <w:szCs w:val="24"/>
        </w:rPr>
        <w:t xml:space="preserve">he region presents a moderate scarcity (27%). The storage capacity, namely in dams, allows the region to face droughts without significant impacts on socioeconomic activities except in specific situations of extreme droughts. The last extreme event was in </w:t>
      </w:r>
      <w:r>
        <w:rPr>
          <w:rFonts w:ascii="Times New Roman" w:hAnsi="Times New Roman"/>
          <w:noProof/>
          <w:sz w:val="24"/>
          <w:szCs w:val="24"/>
        </w:rPr>
        <w:t>2005 and at that time it was necessary to restrict the water abstraction for agriculture irrigation. Other measures are also to reduce the water consumption in public supply and tourism activities. The impacts were not higher since the year 2006, which was</w:t>
      </w:r>
      <w:r>
        <w:rPr>
          <w:rFonts w:ascii="Times New Roman" w:hAnsi="Times New Roman"/>
          <w:noProof/>
          <w:sz w:val="24"/>
          <w:szCs w:val="24"/>
        </w:rPr>
        <w:t xml:space="preserve"> a rainy one which allowed the natural aquifer recharge and the augmentation of surface storage.</w:t>
      </w:r>
    </w:p>
    <w:p w:rsidR="00AB50C5" w:rsidRDefault="00724275">
      <w:pPr>
        <w:pStyle w:val="EText"/>
        <w:spacing w:line="240" w:lineRule="auto"/>
        <w:rPr>
          <w:rFonts w:ascii="Times New Roman" w:hAnsi="Times New Roman"/>
          <w:noProof/>
          <w:sz w:val="24"/>
          <w:szCs w:val="24"/>
        </w:rPr>
      </w:pPr>
      <w:r>
        <w:rPr>
          <w:rFonts w:ascii="Times New Roman" w:hAnsi="Times New Roman"/>
          <w:noProof/>
          <w:sz w:val="24"/>
          <w:szCs w:val="24"/>
        </w:rPr>
        <w:t xml:space="preserve">The cost impact in 2005 for Algarve was significant due to the construction of infrastructures that ensured the use of several water sources for public supply </w:t>
      </w:r>
      <w:r>
        <w:rPr>
          <w:rFonts w:ascii="Times New Roman" w:hAnsi="Times New Roman"/>
          <w:noProof/>
          <w:sz w:val="24"/>
          <w:szCs w:val="24"/>
        </w:rPr>
        <w:t>and the increase of the treatment costs since some lower quality water sources had to be used. Other impacts were the reduction of some crop production due to irrigation constraints.</w:t>
      </w:r>
    </w:p>
    <w:p w:rsidR="00AB50C5" w:rsidRDefault="00724275">
      <w:pPr>
        <w:pStyle w:val="EText"/>
        <w:spacing w:line="240" w:lineRule="auto"/>
        <w:rPr>
          <w:rFonts w:ascii="Times New Roman" w:hAnsi="Times New Roman"/>
          <w:noProof/>
          <w:color w:val="1F497D" w:themeColor="text2"/>
          <w:sz w:val="24"/>
          <w:szCs w:val="24"/>
          <w:lang w:val="en-US"/>
        </w:rPr>
      </w:pPr>
      <w:r>
        <w:rPr>
          <w:rFonts w:ascii="Times New Roman" w:hAnsi="Times New Roman"/>
          <w:noProof/>
          <w:sz w:val="24"/>
          <w:szCs w:val="24"/>
        </w:rPr>
        <w:t>The general weather pattern in Romania is 2 dry years in a period of 10 y</w:t>
      </w:r>
      <w:r>
        <w:rPr>
          <w:rFonts w:ascii="Times New Roman" w:hAnsi="Times New Roman"/>
          <w:noProof/>
          <w:sz w:val="24"/>
          <w:szCs w:val="24"/>
        </w:rPr>
        <w:t>ears, but this pattern is changing due to the global climate change. So Romania is facing drought and water scarcity issues more often. Even in the normal weather years, there are areas confronted with local drought and water scarcity. Impacts are low wate</w:t>
      </w:r>
      <w:r>
        <w:rPr>
          <w:rFonts w:ascii="Times New Roman" w:hAnsi="Times New Roman"/>
          <w:noProof/>
          <w:sz w:val="24"/>
          <w:szCs w:val="24"/>
        </w:rPr>
        <w:t>r on the big rivers, including Danube, sometimes no water at all in the small rivers and lowering of the water table in the shallow aquifers. The impacted water uses are agriculture, drinking water supply, industrial water supply and ecosystems. The associ</w:t>
      </w:r>
      <w:r>
        <w:rPr>
          <w:rFonts w:ascii="Times New Roman" w:hAnsi="Times New Roman"/>
          <w:noProof/>
          <w:sz w:val="24"/>
          <w:szCs w:val="24"/>
        </w:rPr>
        <w:t xml:space="preserve">ated costs on the agricultural sector are calculated by the assurance companies and can be quite high, but the other water uses are not yet calculated. </w:t>
      </w:r>
    </w:p>
    <w:p w:rsidR="00AB50C5" w:rsidRDefault="00724275">
      <w:pPr>
        <w:pStyle w:val="EText"/>
        <w:spacing w:line="240" w:lineRule="auto"/>
        <w:rPr>
          <w:rFonts w:ascii="Times New Roman" w:hAnsi="Times New Roman"/>
          <w:noProof/>
          <w:sz w:val="24"/>
          <w:szCs w:val="24"/>
          <w:lang w:val="en-US"/>
        </w:rPr>
      </w:pPr>
      <w:r>
        <w:rPr>
          <w:rFonts w:ascii="Times New Roman" w:hAnsi="Times New Roman"/>
          <w:noProof/>
          <w:sz w:val="24"/>
          <w:szCs w:val="24"/>
          <w:lang w:val="en-US"/>
        </w:rPr>
        <w:t>The problem of draughts and water scarcity is of less importance in Germany that uses just 13% of its a</w:t>
      </w:r>
      <w:r>
        <w:rPr>
          <w:rFonts w:ascii="Times New Roman" w:hAnsi="Times New Roman"/>
          <w:noProof/>
          <w:sz w:val="24"/>
          <w:szCs w:val="24"/>
          <w:lang w:val="en-US"/>
        </w:rPr>
        <w:t xml:space="preserve">vailable water resources on average and is thus overall not facing water scarcity. Due to sufficient precipitation in the major part of the country there is also little need for irrigation – only around 1.5% of the overall water abstractions has been used </w:t>
      </w:r>
      <w:r>
        <w:rPr>
          <w:rFonts w:ascii="Times New Roman" w:hAnsi="Times New Roman"/>
          <w:noProof/>
          <w:sz w:val="24"/>
          <w:szCs w:val="24"/>
          <w:lang w:val="en-US"/>
        </w:rPr>
        <w:t>for irrigation in 2012. In some regions, especially in the North-East of Lower Saxony, water scarcity is a crucial issue for agriculture. Experience with water reuse is available in the area of Braunschweig and Wolfsburg in the Lower Saxony. Agriculture is</w:t>
      </w:r>
      <w:r>
        <w:rPr>
          <w:rFonts w:ascii="Times New Roman" w:hAnsi="Times New Roman"/>
          <w:noProof/>
          <w:sz w:val="24"/>
          <w:szCs w:val="24"/>
          <w:lang w:val="en-US"/>
        </w:rPr>
        <w:t xml:space="preserve"> interested in realizing further projects of water reuse. </w:t>
      </w:r>
    </w:p>
    <w:p w:rsidR="00AB50C5" w:rsidRDefault="00724275">
      <w:pPr>
        <w:pStyle w:val="EText"/>
        <w:spacing w:line="240" w:lineRule="auto"/>
        <w:rPr>
          <w:rFonts w:ascii="Times New Roman" w:hAnsi="Times New Roman"/>
          <w:strike/>
          <w:noProof/>
          <w:sz w:val="24"/>
          <w:szCs w:val="24"/>
          <w:lang w:val="en-US"/>
        </w:rPr>
      </w:pPr>
      <w:r>
        <w:rPr>
          <w:rFonts w:ascii="Times New Roman" w:hAnsi="Times New Roman"/>
          <w:noProof/>
          <w:sz w:val="24"/>
          <w:szCs w:val="24"/>
          <w:lang w:val="en-US"/>
        </w:rPr>
        <w:t xml:space="preserve">Despite this, potential additional water needs for irrigation on a local level are addressed by efficiency measures (e.g. technical measures or adaptations in cultivation practices) or by adaption </w:t>
      </w:r>
      <w:r>
        <w:rPr>
          <w:rFonts w:ascii="Times New Roman" w:hAnsi="Times New Roman"/>
          <w:noProof/>
          <w:sz w:val="24"/>
          <w:szCs w:val="24"/>
          <w:lang w:val="en-US"/>
        </w:rPr>
        <w:t xml:space="preserve">of irrigation schemes. Periods of water scarcity causing impacts to human uses are rare in Germany. No costs and impacts are known on a national scale. </w:t>
      </w:r>
    </w:p>
    <w:p w:rsidR="00AB50C5" w:rsidRDefault="00724275">
      <w:pPr>
        <w:pStyle w:val="EBP1"/>
        <w:spacing w:line="240" w:lineRule="auto"/>
        <w:ind w:left="567"/>
        <w:rPr>
          <w:rFonts w:ascii="Times New Roman" w:hAnsi="Times New Roman"/>
          <w:b/>
          <w:bCs/>
          <w:noProof/>
          <w:sz w:val="24"/>
          <w:szCs w:val="24"/>
          <w:lang w:val="en-US"/>
        </w:rPr>
      </w:pPr>
      <w:r>
        <w:rPr>
          <w:rFonts w:ascii="Times New Roman" w:hAnsi="Times New Roman"/>
          <w:b/>
          <w:bCs/>
          <w:noProof/>
          <w:sz w:val="24"/>
          <w:szCs w:val="24"/>
          <w:lang w:val="en-US"/>
        </w:rPr>
        <w:t xml:space="preserve">How do you foresee this situation will evolve in the medium term? </w:t>
      </w:r>
    </w:p>
    <w:p w:rsidR="00AB50C5" w:rsidRDefault="00724275">
      <w:pPr>
        <w:pStyle w:val="EText"/>
        <w:spacing w:line="240" w:lineRule="auto"/>
        <w:rPr>
          <w:rFonts w:ascii="Times New Roman" w:hAnsi="Times New Roman"/>
          <w:noProof/>
          <w:sz w:val="24"/>
          <w:szCs w:val="24"/>
          <w:lang w:val="en-US"/>
        </w:rPr>
      </w:pPr>
      <w:r>
        <w:rPr>
          <w:rFonts w:ascii="Times New Roman" w:hAnsi="Times New Roman"/>
          <w:noProof/>
          <w:sz w:val="24"/>
          <w:szCs w:val="24"/>
          <w:lang w:val="en-US"/>
        </w:rPr>
        <w:t>Taking into account the climate chan</w:t>
      </w:r>
      <w:r>
        <w:rPr>
          <w:rFonts w:ascii="Times New Roman" w:hAnsi="Times New Roman"/>
          <w:noProof/>
          <w:sz w:val="24"/>
          <w:szCs w:val="24"/>
          <w:lang w:val="en-US"/>
        </w:rPr>
        <w:t xml:space="preserve">ges and the increase of irrigated agriculture, the problem is expected to become more acute in Greece and Spain. </w:t>
      </w:r>
    </w:p>
    <w:p w:rsidR="00AB50C5" w:rsidRDefault="00724275">
      <w:pPr>
        <w:pStyle w:val="EText"/>
        <w:spacing w:line="240" w:lineRule="auto"/>
        <w:rPr>
          <w:rFonts w:ascii="Times New Roman" w:hAnsi="Times New Roman"/>
          <w:noProof/>
          <w:sz w:val="24"/>
          <w:szCs w:val="24"/>
          <w:lang w:val="en-US" w:eastAsia="en-US"/>
        </w:rPr>
      </w:pPr>
      <w:r>
        <w:rPr>
          <w:rFonts w:ascii="Times New Roman" w:hAnsi="Times New Roman"/>
          <w:noProof/>
          <w:sz w:val="24"/>
          <w:szCs w:val="24"/>
          <w:lang w:val="en-US" w:eastAsia="en-US"/>
        </w:rPr>
        <w:t xml:space="preserve">In Algarve/Portugal in a medium term significant impacts from water scarcity are not expected as a result of the construction of a new dam in </w:t>
      </w:r>
      <w:r>
        <w:rPr>
          <w:rFonts w:ascii="Times New Roman" w:hAnsi="Times New Roman"/>
          <w:noProof/>
          <w:sz w:val="24"/>
          <w:szCs w:val="24"/>
          <w:lang w:val="en-US" w:eastAsia="en-US"/>
        </w:rPr>
        <w:t>2012 that improved water availability in the region with an augmentation of 157 hm3 in storage volume. With this volume increase and the current management practices the regional authorities do not anticipate significant impacts from water scarcity, Howeve</w:t>
      </w:r>
      <w:r>
        <w:rPr>
          <w:rFonts w:ascii="Times New Roman" w:hAnsi="Times New Roman"/>
          <w:noProof/>
          <w:sz w:val="24"/>
          <w:szCs w:val="24"/>
          <w:lang w:val="en-US" w:eastAsia="en-US"/>
        </w:rPr>
        <w:t>r, all agree that some uncertainties are related to this situation such as the climate change scenarios with prevalence to extreme events and abnormal increasing of water consumption due to a change in the dynamic of economic activities (e.g. increase in t</w:t>
      </w:r>
      <w:r>
        <w:rPr>
          <w:rFonts w:ascii="Times New Roman" w:hAnsi="Times New Roman"/>
          <w:noProof/>
          <w:sz w:val="24"/>
          <w:szCs w:val="24"/>
          <w:lang w:val="en-US" w:eastAsia="en-US"/>
        </w:rPr>
        <w:t>ourism rates and agriculture production).</w:t>
      </w:r>
    </w:p>
    <w:p w:rsidR="00AB50C5" w:rsidRDefault="00724275">
      <w:pPr>
        <w:pStyle w:val="EText"/>
        <w:spacing w:line="240" w:lineRule="auto"/>
        <w:rPr>
          <w:rFonts w:ascii="Times New Roman" w:hAnsi="Times New Roman"/>
          <w:noProof/>
          <w:sz w:val="24"/>
          <w:szCs w:val="24"/>
          <w:lang w:val="en-US"/>
        </w:rPr>
      </w:pPr>
      <w:r>
        <w:rPr>
          <w:rFonts w:ascii="Times New Roman" w:hAnsi="Times New Roman"/>
          <w:noProof/>
          <w:sz w:val="24"/>
          <w:szCs w:val="24"/>
          <w:lang w:val="en-US"/>
        </w:rPr>
        <w:t xml:space="preserve">In Romania there are some climate change scenarios developed by the National Institute for Hydrology and Water Management which show that in 30, 50 and 100 years period the extremes will accentuate (floods and </w:t>
      </w:r>
      <w:r>
        <w:rPr>
          <w:rFonts w:ascii="Times New Roman" w:hAnsi="Times New Roman"/>
          <w:noProof/>
          <w:sz w:val="24"/>
          <w:szCs w:val="24"/>
          <w:lang w:val="en-US"/>
        </w:rPr>
        <w:t>droughts more severe).</w:t>
      </w:r>
    </w:p>
    <w:p w:rsidR="00AB50C5" w:rsidRDefault="00724275">
      <w:pPr>
        <w:pStyle w:val="EText"/>
        <w:spacing w:line="240" w:lineRule="auto"/>
        <w:rPr>
          <w:rFonts w:ascii="Times New Roman" w:hAnsi="Times New Roman"/>
          <w:noProof/>
          <w:sz w:val="24"/>
          <w:szCs w:val="24"/>
          <w:lang w:val="en-US"/>
        </w:rPr>
      </w:pPr>
      <w:r>
        <w:rPr>
          <w:rFonts w:ascii="Times New Roman" w:hAnsi="Times New Roman"/>
          <w:noProof/>
          <w:sz w:val="24"/>
          <w:szCs w:val="24"/>
          <w:lang w:val="en-US"/>
        </w:rPr>
        <w:t>Germany’s water supply is considered secured in the long run. Nevertheless due to climatic changes the duration and frequencies of draughts can regionally increase in the future. This may lead to higher irrigation needs or challenges</w:t>
      </w:r>
      <w:r>
        <w:rPr>
          <w:rFonts w:ascii="Times New Roman" w:hAnsi="Times New Roman"/>
          <w:noProof/>
          <w:sz w:val="24"/>
          <w:szCs w:val="24"/>
          <w:lang w:val="en-US"/>
        </w:rPr>
        <w:t xml:space="preserve"> for cooling water supply in the energy sector. Overall water usage in Germany has been continually declining in the last years, with the exception of irrigation. In some regions, irrigation of agricultural products will increase.</w:t>
      </w:r>
    </w:p>
    <w:p w:rsidR="00AB50C5" w:rsidRDefault="00724275">
      <w:pPr>
        <w:pStyle w:val="EBP1"/>
        <w:spacing w:line="240" w:lineRule="auto"/>
        <w:ind w:left="567"/>
        <w:rPr>
          <w:rFonts w:ascii="Times New Roman" w:hAnsi="Times New Roman"/>
          <w:b/>
          <w:bCs/>
          <w:noProof/>
          <w:sz w:val="24"/>
          <w:szCs w:val="24"/>
          <w:lang w:val="en-US"/>
        </w:rPr>
      </w:pPr>
      <w:r>
        <w:rPr>
          <w:rFonts w:ascii="Times New Roman" w:hAnsi="Times New Roman"/>
          <w:b/>
          <w:bCs/>
          <w:noProof/>
          <w:sz w:val="24"/>
          <w:szCs w:val="24"/>
          <w:lang w:val="en-US"/>
        </w:rPr>
        <w:t>Which are the measures pr</w:t>
      </w:r>
      <w:r>
        <w:rPr>
          <w:rFonts w:ascii="Times New Roman" w:hAnsi="Times New Roman"/>
          <w:b/>
          <w:bCs/>
          <w:noProof/>
          <w:sz w:val="24"/>
          <w:szCs w:val="24"/>
          <w:lang w:val="en-US"/>
        </w:rPr>
        <w:t xml:space="preserve">esently implemented or planned for the close future in your country/region/city? Do these measures include development of additional water supply infrastructures and which are these? Are these measures included in a water scarcity plan? </w:t>
      </w:r>
    </w:p>
    <w:p w:rsidR="00AB50C5" w:rsidRDefault="00724275">
      <w:pPr>
        <w:pStyle w:val="EText"/>
        <w:spacing w:line="240" w:lineRule="auto"/>
        <w:rPr>
          <w:rFonts w:ascii="Times New Roman" w:hAnsi="Times New Roman"/>
          <w:noProof/>
          <w:sz w:val="24"/>
          <w:szCs w:val="24"/>
          <w:lang w:val="en-US"/>
        </w:rPr>
      </w:pPr>
      <w:r>
        <w:rPr>
          <w:rFonts w:ascii="Times New Roman" w:hAnsi="Times New Roman"/>
          <w:noProof/>
          <w:sz w:val="24"/>
          <w:szCs w:val="24"/>
          <w:lang w:val="en-US"/>
        </w:rPr>
        <w:t xml:space="preserve">One basic measure </w:t>
      </w:r>
      <w:r>
        <w:rPr>
          <w:rFonts w:ascii="Times New Roman" w:hAnsi="Times New Roman"/>
          <w:noProof/>
          <w:sz w:val="24"/>
          <w:szCs w:val="24"/>
          <w:lang w:val="en-US"/>
        </w:rPr>
        <w:t>in Greece is the gradual abandonment of the old traditional methods of irrigation and their replacement by drip irrigation of crops. The construction of small dams and small basins in drought afflicted areas such as in the islands for water collection, the</w:t>
      </w:r>
      <w:r>
        <w:rPr>
          <w:rFonts w:ascii="Times New Roman" w:hAnsi="Times New Roman"/>
          <w:noProof/>
          <w:sz w:val="24"/>
          <w:szCs w:val="24"/>
          <w:lang w:val="en-US"/>
        </w:rPr>
        <w:t xml:space="preserve"> use of resistant varieties to water stress. And all these measures are included in the water scarcity plan.</w:t>
      </w:r>
    </w:p>
    <w:p w:rsidR="00AB50C5" w:rsidRDefault="00724275">
      <w:pPr>
        <w:pStyle w:val="EText"/>
        <w:spacing w:line="240" w:lineRule="auto"/>
        <w:rPr>
          <w:rFonts w:ascii="Times New Roman" w:hAnsi="Times New Roman"/>
          <w:noProof/>
          <w:sz w:val="24"/>
          <w:szCs w:val="24"/>
          <w:lang w:val="en-US"/>
        </w:rPr>
      </w:pPr>
      <w:r>
        <w:rPr>
          <w:rFonts w:ascii="Times New Roman" w:hAnsi="Times New Roman"/>
          <w:noProof/>
          <w:sz w:val="24"/>
          <w:szCs w:val="24"/>
          <w:lang w:val="en-US"/>
        </w:rPr>
        <w:t>In Spain Portugal and Germany more attention is paid to m</w:t>
      </w:r>
      <w:r>
        <w:rPr>
          <w:rFonts w:ascii="Times New Roman" w:hAnsi="Times New Roman"/>
          <w:noProof/>
          <w:sz w:val="24"/>
          <w:szCs w:val="24"/>
        </w:rPr>
        <w:t>anaging the water demand and take measures to increase savings, water efficiency and promo</w:t>
      </w:r>
      <w:r>
        <w:rPr>
          <w:rFonts w:ascii="Times New Roman" w:hAnsi="Times New Roman"/>
          <w:noProof/>
          <w:sz w:val="24"/>
          <w:szCs w:val="24"/>
        </w:rPr>
        <w:t>te good practices.</w:t>
      </w:r>
      <w:r>
        <w:rPr>
          <w:rFonts w:ascii="Times New Roman" w:hAnsi="Times New Roman"/>
          <w:noProof/>
          <w:sz w:val="24"/>
          <w:szCs w:val="24"/>
          <w:lang w:val="en-US"/>
        </w:rPr>
        <w:t xml:space="preserve"> </w:t>
      </w:r>
    </w:p>
    <w:p w:rsidR="00AB50C5" w:rsidRDefault="00724275">
      <w:pPr>
        <w:pStyle w:val="ETextNoSpacing"/>
        <w:spacing w:line="240" w:lineRule="auto"/>
        <w:rPr>
          <w:rFonts w:ascii="Times New Roman" w:hAnsi="Times New Roman"/>
          <w:noProof/>
          <w:sz w:val="24"/>
          <w:szCs w:val="24"/>
          <w:lang w:val="en-US"/>
        </w:rPr>
      </w:pPr>
      <w:r>
        <w:rPr>
          <w:rFonts w:ascii="Times New Roman" w:hAnsi="Times New Roman"/>
          <w:noProof/>
          <w:sz w:val="24"/>
          <w:szCs w:val="24"/>
          <w:lang w:val="en-US"/>
        </w:rPr>
        <w:t>According to the experts from the city of Murcia they pay more attention to m</w:t>
      </w:r>
      <w:r>
        <w:rPr>
          <w:rFonts w:ascii="Times New Roman" w:hAnsi="Times New Roman"/>
          <w:noProof/>
          <w:sz w:val="24"/>
          <w:szCs w:val="24"/>
        </w:rPr>
        <w:t>anaging the water demand and take measures to increase savings, water efficiency and promote good practices as a way to anticipate droughts. Before applying wa</w:t>
      </w:r>
      <w:r>
        <w:rPr>
          <w:rFonts w:ascii="Times New Roman" w:hAnsi="Times New Roman"/>
          <w:noProof/>
          <w:sz w:val="24"/>
          <w:szCs w:val="24"/>
        </w:rPr>
        <w:t>ter supply solutions to deal with water scarcity, all opportunities for managing and reducing demand must be exhausted. The city of Murcia contributes by making more efficient use of water. In order to avoid the risk that a more efficient use will result i</w:t>
      </w:r>
      <w:r>
        <w:rPr>
          <w:rFonts w:ascii="Times New Roman" w:hAnsi="Times New Roman"/>
          <w:noProof/>
          <w:sz w:val="24"/>
          <w:szCs w:val="24"/>
        </w:rPr>
        <w:t>n a greater demand for the resource, it is imperative that measures to increase efficiency are accompanied by measures that ensure the sustainability of water use by ensuring that the water saved remains in the natural systems .</w:t>
      </w:r>
      <w:r>
        <w:rPr>
          <w:rFonts w:ascii="Times New Roman" w:hAnsi="Times New Roman"/>
          <w:noProof/>
          <w:sz w:val="24"/>
          <w:szCs w:val="24"/>
          <w:lang w:val="en-US"/>
        </w:rPr>
        <w:t xml:space="preserve"> </w:t>
      </w:r>
    </w:p>
    <w:p w:rsidR="00AB50C5" w:rsidRDefault="00724275">
      <w:pPr>
        <w:pStyle w:val="EBP1"/>
        <w:spacing w:line="240" w:lineRule="auto"/>
        <w:ind w:left="567"/>
        <w:rPr>
          <w:rFonts w:ascii="Times New Roman" w:hAnsi="Times New Roman"/>
          <w:noProof/>
          <w:sz w:val="24"/>
          <w:szCs w:val="24"/>
          <w:lang w:val="en-US"/>
        </w:rPr>
      </w:pPr>
      <w:r>
        <w:rPr>
          <w:rFonts w:ascii="Times New Roman" w:hAnsi="Times New Roman"/>
          <w:noProof/>
          <w:sz w:val="24"/>
          <w:szCs w:val="24"/>
          <w:lang w:val="en-US"/>
        </w:rPr>
        <w:t xml:space="preserve">Improvements in the water </w:t>
      </w:r>
      <w:r>
        <w:rPr>
          <w:rFonts w:ascii="Times New Roman" w:hAnsi="Times New Roman"/>
          <w:noProof/>
          <w:sz w:val="24"/>
          <w:szCs w:val="24"/>
          <w:lang w:val="en-US"/>
        </w:rPr>
        <w:t>distribution network. Having a hydraulic yield of 86%.</w:t>
      </w:r>
    </w:p>
    <w:p w:rsidR="00AB50C5" w:rsidRDefault="00724275">
      <w:pPr>
        <w:pStyle w:val="EBP1"/>
        <w:spacing w:line="240" w:lineRule="auto"/>
        <w:ind w:left="567"/>
        <w:rPr>
          <w:rFonts w:ascii="Times New Roman" w:hAnsi="Times New Roman"/>
          <w:noProof/>
          <w:sz w:val="24"/>
          <w:szCs w:val="24"/>
          <w:lang w:val="en-US"/>
        </w:rPr>
      </w:pPr>
      <w:r>
        <w:rPr>
          <w:rFonts w:ascii="Times New Roman" w:hAnsi="Times New Roman"/>
          <w:noProof/>
          <w:sz w:val="24"/>
          <w:szCs w:val="24"/>
          <w:lang w:val="en-US"/>
        </w:rPr>
        <w:t>Promotion of the reuse of waste water, reducing pressure on watersheds. Reused waters should not be considered new resources but alternative resources.</w:t>
      </w:r>
    </w:p>
    <w:p w:rsidR="00AB50C5" w:rsidRDefault="00724275">
      <w:pPr>
        <w:pStyle w:val="EBP1"/>
        <w:spacing w:line="240" w:lineRule="auto"/>
        <w:ind w:left="567"/>
        <w:rPr>
          <w:rFonts w:ascii="Times New Roman" w:hAnsi="Times New Roman"/>
          <w:noProof/>
          <w:sz w:val="24"/>
          <w:szCs w:val="24"/>
          <w:lang w:val="en-US"/>
        </w:rPr>
      </w:pPr>
      <w:r>
        <w:rPr>
          <w:rFonts w:ascii="Times New Roman" w:hAnsi="Times New Roman"/>
          <w:noProof/>
          <w:sz w:val="24"/>
          <w:szCs w:val="24"/>
          <w:lang w:val="en-US"/>
        </w:rPr>
        <w:t>Establish an urban irrigation network with regene</w:t>
      </w:r>
      <w:r>
        <w:rPr>
          <w:rFonts w:ascii="Times New Roman" w:hAnsi="Times New Roman"/>
          <w:noProof/>
          <w:sz w:val="24"/>
          <w:szCs w:val="24"/>
          <w:lang w:val="en-US"/>
        </w:rPr>
        <w:t>rated water from the WWTP, thus avoiding the depletion of the surface aquifer of Vega Media del Segura.</w:t>
      </w:r>
    </w:p>
    <w:p w:rsidR="00AB50C5" w:rsidRDefault="00724275">
      <w:pPr>
        <w:pStyle w:val="ETextNoSpacing"/>
        <w:spacing w:line="240" w:lineRule="auto"/>
        <w:rPr>
          <w:rFonts w:ascii="Times New Roman" w:hAnsi="Times New Roman"/>
          <w:noProof/>
          <w:sz w:val="24"/>
          <w:szCs w:val="24"/>
          <w:lang w:val="en-US"/>
        </w:rPr>
      </w:pPr>
      <w:r>
        <w:rPr>
          <w:rFonts w:ascii="Times New Roman" w:hAnsi="Times New Roman"/>
          <w:noProof/>
          <w:sz w:val="24"/>
          <w:szCs w:val="24"/>
          <w:lang w:val="en-US"/>
        </w:rPr>
        <w:t>The city of Murcia has an emergency plan in case of drought situations and for the future they aim at</w:t>
      </w:r>
    </w:p>
    <w:p w:rsidR="00AB50C5" w:rsidRDefault="00724275">
      <w:pPr>
        <w:pStyle w:val="EBP1"/>
        <w:spacing w:line="240" w:lineRule="auto"/>
        <w:ind w:left="567"/>
        <w:rPr>
          <w:rFonts w:ascii="Times New Roman" w:hAnsi="Times New Roman"/>
          <w:noProof/>
          <w:sz w:val="24"/>
          <w:szCs w:val="24"/>
        </w:rPr>
      </w:pPr>
      <w:r>
        <w:rPr>
          <w:rFonts w:ascii="Times New Roman" w:hAnsi="Times New Roman"/>
          <w:noProof/>
          <w:sz w:val="24"/>
          <w:szCs w:val="24"/>
        </w:rPr>
        <w:t>A reuse of waste water for the irrigation of parks</w:t>
      </w:r>
      <w:r>
        <w:rPr>
          <w:rFonts w:ascii="Times New Roman" w:hAnsi="Times New Roman"/>
          <w:noProof/>
          <w:sz w:val="24"/>
          <w:szCs w:val="24"/>
        </w:rPr>
        <w:t xml:space="preserve"> and gardens of the City of Murcia. Achieving a recovery in the surface aquifer of the Vega Media of Murcia, avoiding desalted water consumption with greater environmental impact and high energy use.</w:t>
      </w:r>
    </w:p>
    <w:p w:rsidR="00AB50C5" w:rsidRDefault="00724275">
      <w:pPr>
        <w:pStyle w:val="EBP1"/>
        <w:spacing w:line="240" w:lineRule="auto"/>
        <w:ind w:left="567"/>
        <w:rPr>
          <w:rFonts w:ascii="Times New Roman" w:hAnsi="Times New Roman"/>
          <w:noProof/>
          <w:sz w:val="24"/>
          <w:szCs w:val="24"/>
        </w:rPr>
      </w:pPr>
      <w:r>
        <w:rPr>
          <w:rFonts w:ascii="Times New Roman" w:hAnsi="Times New Roman"/>
          <w:noProof/>
          <w:sz w:val="24"/>
          <w:szCs w:val="24"/>
        </w:rPr>
        <w:t>Plan more green areas in the city as sustainable urban d</w:t>
      </w:r>
      <w:r>
        <w:rPr>
          <w:rFonts w:ascii="Times New Roman" w:hAnsi="Times New Roman"/>
          <w:noProof/>
          <w:sz w:val="24"/>
          <w:szCs w:val="24"/>
        </w:rPr>
        <w:t>evelopment.</w:t>
      </w:r>
    </w:p>
    <w:p w:rsidR="00AB50C5" w:rsidRDefault="00724275">
      <w:pPr>
        <w:pStyle w:val="EBP1"/>
        <w:spacing w:line="240" w:lineRule="auto"/>
        <w:ind w:left="567"/>
        <w:rPr>
          <w:rFonts w:ascii="Times New Roman" w:hAnsi="Times New Roman"/>
          <w:noProof/>
          <w:sz w:val="24"/>
          <w:szCs w:val="24"/>
        </w:rPr>
      </w:pPr>
      <w:r>
        <w:rPr>
          <w:rFonts w:ascii="Times New Roman" w:hAnsi="Times New Roman"/>
          <w:noProof/>
          <w:sz w:val="24"/>
          <w:szCs w:val="24"/>
        </w:rPr>
        <w:t>Continue to work on leaks, to achieve the highest possible yield in the distribution network.</w:t>
      </w:r>
    </w:p>
    <w:p w:rsidR="00AB50C5" w:rsidRDefault="00724275">
      <w:pPr>
        <w:pStyle w:val="EBP1"/>
        <w:spacing w:line="240" w:lineRule="auto"/>
        <w:ind w:left="567"/>
        <w:rPr>
          <w:rFonts w:ascii="Times New Roman" w:hAnsi="Times New Roman"/>
          <w:noProof/>
          <w:sz w:val="24"/>
          <w:szCs w:val="24"/>
        </w:rPr>
      </w:pPr>
      <w:r>
        <w:rPr>
          <w:rFonts w:ascii="Times New Roman" w:hAnsi="Times New Roman"/>
          <w:noProof/>
          <w:sz w:val="24"/>
          <w:szCs w:val="24"/>
        </w:rPr>
        <w:t>Reuse of waste water in agriculture, promote this measure, so that irrigators see the benefit and stop using desalinated water for irrigation, which i</w:t>
      </w:r>
      <w:r>
        <w:rPr>
          <w:rFonts w:ascii="Times New Roman" w:hAnsi="Times New Roman"/>
          <w:noProof/>
          <w:sz w:val="24"/>
          <w:szCs w:val="24"/>
        </w:rPr>
        <w:t>s inefficient and costly.</w:t>
      </w:r>
    </w:p>
    <w:p w:rsidR="00AB50C5" w:rsidRDefault="00724275">
      <w:pPr>
        <w:pStyle w:val="EText"/>
        <w:spacing w:line="240" w:lineRule="auto"/>
        <w:rPr>
          <w:rFonts w:ascii="Times New Roman" w:hAnsi="Times New Roman"/>
          <w:noProof/>
          <w:sz w:val="24"/>
          <w:szCs w:val="24"/>
        </w:rPr>
      </w:pPr>
      <w:r>
        <w:rPr>
          <w:rFonts w:ascii="Times New Roman" w:hAnsi="Times New Roman"/>
          <w:noProof/>
          <w:sz w:val="24"/>
          <w:szCs w:val="24"/>
        </w:rPr>
        <w:t>Murcia region uses all the water sources that are available (Surface water, groundwater, water from other basins, reclaimed water, desalinated water). Most of the Waste Water Treatment Plants (WWTPs) in the region have tertiary tr</w:t>
      </w:r>
      <w:r>
        <w:rPr>
          <w:rFonts w:ascii="Times New Roman" w:hAnsi="Times New Roman"/>
          <w:noProof/>
          <w:sz w:val="24"/>
          <w:szCs w:val="24"/>
        </w:rPr>
        <w:t>eatment and there is also a big desalination plant. The region will need to build tertiary treatments for all WWTP and build more desalination plants.</w:t>
      </w:r>
    </w:p>
    <w:p w:rsidR="00AB50C5" w:rsidRDefault="00724275">
      <w:pPr>
        <w:pStyle w:val="EText"/>
        <w:spacing w:line="240" w:lineRule="auto"/>
        <w:rPr>
          <w:rFonts w:ascii="Times New Roman" w:hAnsi="Times New Roman"/>
          <w:noProof/>
          <w:sz w:val="24"/>
          <w:szCs w:val="24"/>
        </w:rPr>
      </w:pPr>
      <w:r>
        <w:rPr>
          <w:rFonts w:ascii="Times New Roman" w:hAnsi="Times New Roman"/>
          <w:noProof/>
          <w:sz w:val="24"/>
          <w:szCs w:val="24"/>
        </w:rPr>
        <w:t>In Algarve/Portugal the core existent and previewed measures are related with the water demand management</w:t>
      </w:r>
      <w:r>
        <w:rPr>
          <w:rFonts w:ascii="Times New Roman" w:hAnsi="Times New Roman"/>
          <w:noProof/>
          <w:sz w:val="24"/>
          <w:szCs w:val="24"/>
        </w:rPr>
        <w:t>, through the promotion of an efficient water use, reduction of losses and public campaigns to improve the consumption. The construction of new infrastructure (dams) is not foreseen. However, some investments are to optimize the existent ones and to integr</w:t>
      </w:r>
      <w:r>
        <w:rPr>
          <w:rFonts w:ascii="Times New Roman" w:hAnsi="Times New Roman"/>
          <w:noProof/>
          <w:sz w:val="24"/>
          <w:szCs w:val="24"/>
        </w:rPr>
        <w:t>ate the existent uses of ground and surface water sources. These measures are described in several plans at national level (such as the National Program for the Water Efficient Use PNUEA and the Strategic Plan PENSAAR 2020) and at regional level (such as t</w:t>
      </w:r>
      <w:r>
        <w:rPr>
          <w:rFonts w:ascii="Times New Roman" w:hAnsi="Times New Roman"/>
          <w:noProof/>
          <w:sz w:val="24"/>
          <w:szCs w:val="24"/>
        </w:rPr>
        <w:t>he River Basin Management Plans and contingency plans from the water supply management company). In addition the use of other sources, such as water reuse, is increasing with potential to improve its uptake and is included in the River Basin Management Pla</w:t>
      </w:r>
      <w:r>
        <w:rPr>
          <w:rFonts w:ascii="Times New Roman" w:hAnsi="Times New Roman"/>
          <w:noProof/>
          <w:sz w:val="24"/>
          <w:szCs w:val="24"/>
        </w:rPr>
        <w:t>ns.</w:t>
      </w:r>
    </w:p>
    <w:p w:rsidR="00AB50C5" w:rsidRDefault="00724275">
      <w:pPr>
        <w:pStyle w:val="EText"/>
        <w:spacing w:line="240" w:lineRule="auto"/>
        <w:rPr>
          <w:rFonts w:ascii="Times New Roman" w:hAnsi="Times New Roman"/>
          <w:noProof/>
          <w:sz w:val="24"/>
          <w:szCs w:val="24"/>
        </w:rPr>
      </w:pPr>
      <w:r>
        <w:rPr>
          <w:rFonts w:ascii="Times New Roman" w:hAnsi="Times New Roman"/>
          <w:noProof/>
          <w:sz w:val="24"/>
          <w:szCs w:val="24"/>
        </w:rPr>
        <w:t>In Romania emphasis is put in water saving campaigns developed by municipalities; and implementing new water supply infrastructures, mainly in rural areas. In addition water supply restrictions plan is activated during water deficit periods, approved b</w:t>
      </w:r>
      <w:r>
        <w:rPr>
          <w:rFonts w:ascii="Times New Roman" w:hAnsi="Times New Roman"/>
          <w:noProof/>
          <w:sz w:val="24"/>
          <w:szCs w:val="24"/>
        </w:rPr>
        <w:t xml:space="preserve">y ministerial order. </w:t>
      </w:r>
    </w:p>
    <w:p w:rsidR="00AB50C5" w:rsidRDefault="00724275">
      <w:pPr>
        <w:pStyle w:val="EText"/>
        <w:spacing w:line="240" w:lineRule="auto"/>
        <w:rPr>
          <w:rFonts w:ascii="Times New Roman" w:hAnsi="Times New Roman"/>
          <w:noProof/>
          <w:sz w:val="24"/>
          <w:szCs w:val="24"/>
        </w:rPr>
      </w:pPr>
      <w:r>
        <w:rPr>
          <w:rFonts w:ascii="Times New Roman" w:hAnsi="Times New Roman"/>
          <w:noProof/>
          <w:sz w:val="24"/>
          <w:szCs w:val="24"/>
        </w:rPr>
        <w:t>In Germany water abstraction requires legal permit. Register of water rights and monitoring schemes for water level control are in place. Increasing water demand is mostly met by demand management, especially measures to increase effi</w:t>
      </w:r>
      <w:r>
        <w:rPr>
          <w:rFonts w:ascii="Times New Roman" w:hAnsi="Times New Roman"/>
          <w:noProof/>
          <w:sz w:val="24"/>
          <w:szCs w:val="24"/>
        </w:rPr>
        <w:t xml:space="preserve">ciency. </w:t>
      </w:r>
    </w:p>
    <w:p w:rsidR="00AB50C5" w:rsidRDefault="00724275">
      <w:pPr>
        <w:pStyle w:val="ETextNoSpacing"/>
        <w:spacing w:line="240" w:lineRule="auto"/>
        <w:rPr>
          <w:rFonts w:ascii="Times New Roman" w:hAnsi="Times New Roman"/>
          <w:noProof/>
          <w:sz w:val="24"/>
          <w:szCs w:val="24"/>
        </w:rPr>
      </w:pPr>
      <w:r>
        <w:rPr>
          <w:rFonts w:ascii="Times New Roman" w:hAnsi="Times New Roman"/>
          <w:noProof/>
          <w:sz w:val="24"/>
          <w:szCs w:val="24"/>
        </w:rPr>
        <w:t>According to the German climate adaptation strategy the following measures can be considered following a thorough assessment</w:t>
      </w:r>
    </w:p>
    <w:p w:rsidR="00AB50C5" w:rsidRDefault="00724275">
      <w:pPr>
        <w:pStyle w:val="EBP1"/>
        <w:spacing w:line="240" w:lineRule="auto"/>
        <w:ind w:left="567"/>
        <w:rPr>
          <w:rFonts w:ascii="Times New Roman" w:hAnsi="Times New Roman"/>
          <w:noProof/>
          <w:sz w:val="24"/>
          <w:szCs w:val="24"/>
          <w:lang w:val="en-US"/>
        </w:rPr>
      </w:pPr>
      <w:r>
        <w:rPr>
          <w:rFonts w:ascii="Times New Roman" w:hAnsi="Times New Roman"/>
          <w:noProof/>
          <w:sz w:val="24"/>
          <w:szCs w:val="24"/>
          <w:lang w:val="en-US"/>
        </w:rPr>
        <w:t>usage of grey water, rain water or process water for technical and industrial purposes not requiring drinking water qualit</w:t>
      </w:r>
      <w:r>
        <w:rPr>
          <w:rFonts w:ascii="Times New Roman" w:hAnsi="Times New Roman"/>
          <w:noProof/>
          <w:sz w:val="24"/>
          <w:szCs w:val="24"/>
          <w:lang w:val="en-US"/>
        </w:rPr>
        <w:t>y</w:t>
      </w:r>
    </w:p>
    <w:p w:rsidR="00AB50C5" w:rsidRDefault="00724275">
      <w:pPr>
        <w:pStyle w:val="EBP1"/>
        <w:spacing w:line="240" w:lineRule="auto"/>
        <w:ind w:left="567"/>
        <w:rPr>
          <w:rFonts w:ascii="Times New Roman" w:hAnsi="Times New Roman"/>
          <w:noProof/>
          <w:sz w:val="24"/>
          <w:szCs w:val="24"/>
          <w:lang w:val="en-US"/>
        </w:rPr>
      </w:pPr>
      <w:r>
        <w:rPr>
          <w:rFonts w:ascii="Times New Roman" w:hAnsi="Times New Roman"/>
          <w:noProof/>
          <w:sz w:val="24"/>
          <w:szCs w:val="24"/>
          <w:lang w:val="en-US"/>
        </w:rPr>
        <w:t>further development of water saving methods especially in commercial and industrial production processes</w:t>
      </w:r>
    </w:p>
    <w:p w:rsidR="00AB50C5" w:rsidRDefault="00724275">
      <w:pPr>
        <w:pStyle w:val="EBP1"/>
        <w:spacing w:line="240" w:lineRule="auto"/>
        <w:ind w:left="567"/>
        <w:rPr>
          <w:rFonts w:ascii="Times New Roman" w:hAnsi="Times New Roman"/>
          <w:noProof/>
          <w:sz w:val="24"/>
          <w:szCs w:val="24"/>
          <w:lang w:val="en-US"/>
        </w:rPr>
      </w:pPr>
      <w:r>
        <w:rPr>
          <w:rFonts w:ascii="Times New Roman" w:hAnsi="Times New Roman"/>
          <w:noProof/>
          <w:sz w:val="24"/>
          <w:szCs w:val="24"/>
          <w:lang w:val="en-US"/>
        </w:rPr>
        <w:t xml:space="preserve">prevention of water losses in the distribution network </w:t>
      </w:r>
    </w:p>
    <w:p w:rsidR="00AB50C5" w:rsidRDefault="00724275">
      <w:pPr>
        <w:pStyle w:val="EBP1"/>
        <w:spacing w:line="240" w:lineRule="auto"/>
        <w:ind w:left="567"/>
        <w:rPr>
          <w:rFonts w:ascii="Times New Roman" w:hAnsi="Times New Roman"/>
          <w:noProof/>
          <w:sz w:val="24"/>
          <w:szCs w:val="24"/>
          <w:lang w:val="en-US"/>
        </w:rPr>
      </w:pPr>
      <w:r>
        <w:rPr>
          <w:rFonts w:ascii="Times New Roman" w:hAnsi="Times New Roman"/>
          <w:noProof/>
          <w:sz w:val="24"/>
          <w:szCs w:val="24"/>
          <w:lang w:val="en-US"/>
        </w:rPr>
        <w:t>more efficient cooling in power station</w:t>
      </w:r>
    </w:p>
    <w:p w:rsidR="00AB50C5" w:rsidRDefault="00724275">
      <w:pPr>
        <w:pStyle w:val="EBP1"/>
        <w:spacing w:line="240" w:lineRule="auto"/>
        <w:ind w:left="567"/>
        <w:rPr>
          <w:rFonts w:ascii="Times New Roman" w:hAnsi="Times New Roman"/>
          <w:noProof/>
          <w:sz w:val="24"/>
          <w:szCs w:val="24"/>
          <w:lang w:val="en-US"/>
        </w:rPr>
      </w:pPr>
      <w:r>
        <w:rPr>
          <w:rFonts w:ascii="Times New Roman" w:hAnsi="Times New Roman"/>
          <w:noProof/>
          <w:sz w:val="24"/>
          <w:szCs w:val="24"/>
          <w:lang w:val="en-US"/>
        </w:rPr>
        <w:t>reduction of water losses in agricultural irrigation</w:t>
      </w:r>
    </w:p>
    <w:p w:rsidR="00AB50C5" w:rsidRDefault="00724275">
      <w:pPr>
        <w:pStyle w:val="EBP1"/>
        <w:spacing w:line="240" w:lineRule="auto"/>
        <w:ind w:left="567"/>
        <w:rPr>
          <w:rFonts w:ascii="Times New Roman" w:hAnsi="Times New Roman"/>
          <w:noProof/>
          <w:sz w:val="24"/>
          <w:szCs w:val="24"/>
          <w:lang w:val="en-US"/>
        </w:rPr>
      </w:pPr>
      <w:r>
        <w:rPr>
          <w:rFonts w:ascii="Times New Roman" w:hAnsi="Times New Roman"/>
          <w:noProof/>
          <w:sz w:val="24"/>
          <w:szCs w:val="24"/>
          <w:lang w:val="en-US"/>
        </w:rPr>
        <w:t xml:space="preserve">use of highly treated waste water that is safe for health and environment for irrigation </w:t>
      </w:r>
    </w:p>
    <w:p w:rsidR="00AB50C5" w:rsidRDefault="00724275">
      <w:pPr>
        <w:pStyle w:val="EText"/>
        <w:spacing w:line="240" w:lineRule="auto"/>
        <w:rPr>
          <w:rFonts w:ascii="Times New Roman" w:hAnsi="Times New Roman"/>
          <w:noProof/>
          <w:sz w:val="24"/>
          <w:szCs w:val="24"/>
          <w:lang w:val="en-US"/>
        </w:rPr>
      </w:pPr>
      <w:r>
        <w:rPr>
          <w:rFonts w:ascii="Times New Roman" w:hAnsi="Times New Roman"/>
          <w:noProof/>
          <w:sz w:val="24"/>
          <w:szCs w:val="24"/>
          <w:lang w:val="en-US"/>
        </w:rPr>
        <w:t xml:space="preserve">The focus of administration bodies of Germany is on demand management measures. Private activities may include additional infrastructures such as advanced irrigation </w:t>
      </w:r>
      <w:r>
        <w:rPr>
          <w:rFonts w:ascii="Times New Roman" w:hAnsi="Times New Roman"/>
          <w:noProof/>
          <w:sz w:val="24"/>
          <w:szCs w:val="24"/>
          <w:lang w:val="en-US"/>
        </w:rPr>
        <w:t>techniques or rainwater storage. For public water supply alternative strategies are considered for potential water shortages (e.g. contingency interconnections of separate water supply networks, redundant distribution of water abstraction sites, use of gro</w:t>
      </w:r>
      <w:r>
        <w:rPr>
          <w:rFonts w:ascii="Times New Roman" w:hAnsi="Times New Roman"/>
          <w:noProof/>
          <w:sz w:val="24"/>
          <w:szCs w:val="24"/>
          <w:lang w:val="en-US"/>
        </w:rPr>
        <w:t xml:space="preserve">undwater close to surface). </w:t>
      </w:r>
    </w:p>
    <w:p w:rsidR="00AB50C5" w:rsidRDefault="00724275">
      <w:pPr>
        <w:pStyle w:val="EText"/>
        <w:spacing w:line="240" w:lineRule="auto"/>
        <w:rPr>
          <w:rFonts w:ascii="Times New Roman" w:hAnsi="Times New Roman"/>
          <w:noProof/>
          <w:sz w:val="24"/>
          <w:szCs w:val="24"/>
          <w:lang w:val="en-US"/>
        </w:rPr>
      </w:pPr>
      <w:r>
        <w:rPr>
          <w:rFonts w:ascii="Times New Roman" w:hAnsi="Times New Roman"/>
          <w:noProof/>
          <w:sz w:val="24"/>
          <w:szCs w:val="24"/>
          <w:lang w:val="en-US"/>
        </w:rPr>
        <w:t xml:space="preserve">There is no national water scarcity plan in Germany. Local low water management plans are in place in some regions and they are based on a prioritisation of water uses. Measures depend on local circumstances. </w:t>
      </w:r>
    </w:p>
    <w:p w:rsidR="00AB50C5" w:rsidRDefault="00724275">
      <w:pPr>
        <w:pStyle w:val="EBP1"/>
        <w:spacing w:line="240" w:lineRule="auto"/>
        <w:ind w:left="567"/>
        <w:rPr>
          <w:rFonts w:ascii="Times New Roman" w:hAnsi="Times New Roman"/>
          <w:b/>
          <w:bCs/>
          <w:noProof/>
          <w:sz w:val="24"/>
          <w:szCs w:val="24"/>
          <w:lang w:val="en-US"/>
        </w:rPr>
      </w:pPr>
      <w:r>
        <w:rPr>
          <w:rFonts w:ascii="Times New Roman" w:hAnsi="Times New Roman"/>
          <w:b/>
          <w:bCs/>
          <w:noProof/>
          <w:sz w:val="24"/>
          <w:szCs w:val="24"/>
          <w:lang w:val="en-US"/>
        </w:rPr>
        <w:t xml:space="preserve">How equipped with waste water treatment facilities is your country/region/city? To which extent and for which uses? </w:t>
      </w:r>
    </w:p>
    <w:p w:rsidR="00AB50C5" w:rsidRDefault="00724275">
      <w:pPr>
        <w:pStyle w:val="EText"/>
        <w:spacing w:line="240" w:lineRule="auto"/>
        <w:rPr>
          <w:rFonts w:ascii="Times New Roman" w:hAnsi="Times New Roman"/>
          <w:noProof/>
          <w:sz w:val="24"/>
          <w:szCs w:val="24"/>
          <w:lang w:val="en-US"/>
        </w:rPr>
      </w:pPr>
      <w:r>
        <w:rPr>
          <w:rFonts w:ascii="Times New Roman" w:hAnsi="Times New Roman"/>
          <w:noProof/>
          <w:sz w:val="24"/>
          <w:szCs w:val="24"/>
          <w:lang w:val="en-US"/>
        </w:rPr>
        <w:t>There seems to be fairly good infrastructure for waste water treatment in the EU. For example in Greece currently about 320 Waste Water Tre</w:t>
      </w:r>
      <w:r>
        <w:rPr>
          <w:rFonts w:ascii="Times New Roman" w:hAnsi="Times New Roman"/>
          <w:noProof/>
          <w:sz w:val="24"/>
          <w:szCs w:val="24"/>
          <w:lang w:val="en-US"/>
        </w:rPr>
        <w:t xml:space="preserve">atment Plants operate at a national level where the wastewater is being treated at the second degree. </w:t>
      </w:r>
    </w:p>
    <w:p w:rsidR="00AB50C5" w:rsidRDefault="00724275">
      <w:pPr>
        <w:pStyle w:val="EText"/>
        <w:spacing w:line="240" w:lineRule="auto"/>
        <w:rPr>
          <w:rFonts w:ascii="Times New Roman" w:hAnsi="Times New Roman"/>
          <w:noProof/>
          <w:sz w:val="24"/>
          <w:szCs w:val="24"/>
        </w:rPr>
      </w:pPr>
      <w:r>
        <w:rPr>
          <w:rFonts w:ascii="Times New Roman" w:hAnsi="Times New Roman"/>
          <w:noProof/>
          <w:sz w:val="24"/>
          <w:szCs w:val="24"/>
          <w:lang w:val="en-US"/>
        </w:rPr>
        <w:t>In the region of Murcia in Spain WWTR cover 99,3% of the population and in the City of Murcia in Spain there are 54 small population centers that are int</w:t>
      </w:r>
      <w:r>
        <w:rPr>
          <w:rFonts w:ascii="Times New Roman" w:hAnsi="Times New Roman"/>
          <w:noProof/>
          <w:sz w:val="24"/>
          <w:szCs w:val="24"/>
          <w:lang w:val="en-US"/>
        </w:rPr>
        <w:t>erconnected by a sewage network of 1,800 km and 15 waste water treatment plants.</w:t>
      </w:r>
      <w:r>
        <w:rPr>
          <w:rFonts w:ascii="Times New Roman" w:hAnsi="Times New Roman"/>
          <w:noProof/>
          <w:sz w:val="24"/>
          <w:szCs w:val="24"/>
        </w:rPr>
        <w:t xml:space="preserve"> The municipal sewage treatment plants of Murcia have biological treatments, MBR treatments and as tertiary disinfection is used in some of them, achieving limits suitable for </w:t>
      </w:r>
      <w:r>
        <w:rPr>
          <w:rFonts w:ascii="Times New Roman" w:hAnsi="Times New Roman"/>
          <w:noProof/>
          <w:sz w:val="24"/>
          <w:szCs w:val="24"/>
        </w:rPr>
        <w:t>the uses named in the REAL DECREE 1620/2007, of December 7, establishing the legal regime for the reuse of purified water.</w:t>
      </w:r>
      <w:r>
        <w:rPr>
          <w:rFonts w:ascii="Times New Roman" w:hAnsi="Times New Roman"/>
          <w:noProof/>
          <w:sz w:val="24"/>
          <w:szCs w:val="24"/>
        </w:rPr>
        <w:br/>
        <w:t>Current uses are agricultural, recreational, environmental use and public stream.</w:t>
      </w:r>
    </w:p>
    <w:p w:rsidR="00AB50C5" w:rsidRDefault="00724275">
      <w:pPr>
        <w:pStyle w:val="EText"/>
        <w:spacing w:line="240" w:lineRule="auto"/>
        <w:rPr>
          <w:rFonts w:ascii="Times New Roman" w:hAnsi="Times New Roman"/>
          <w:noProof/>
          <w:sz w:val="24"/>
          <w:szCs w:val="24"/>
          <w:lang w:val="en-US"/>
        </w:rPr>
      </w:pPr>
      <w:r>
        <w:rPr>
          <w:rFonts w:ascii="Times New Roman" w:hAnsi="Times New Roman"/>
          <w:noProof/>
          <w:sz w:val="24"/>
          <w:szCs w:val="24"/>
          <w:lang w:val="en-US"/>
        </w:rPr>
        <w:t>Portugal has a high level of urban waste water treatment facilities which cover 90,3% of the population. Algarve region has one the highest rate of urban treatment facilities, about 95% of the population is covered by drainage and treatment facilities. The</w:t>
      </w:r>
      <w:r>
        <w:rPr>
          <w:rFonts w:ascii="Times New Roman" w:hAnsi="Times New Roman"/>
          <w:noProof/>
          <w:sz w:val="24"/>
          <w:szCs w:val="24"/>
          <w:lang w:val="en-US"/>
        </w:rPr>
        <w:t xml:space="preserve"> industrial wastewater production in Algarve is not significant and the majority of these are related with services and commercial activities connected to urban systems. </w:t>
      </w:r>
    </w:p>
    <w:p w:rsidR="00AB50C5" w:rsidRDefault="00724275">
      <w:pPr>
        <w:pStyle w:val="EText"/>
        <w:spacing w:line="240" w:lineRule="auto"/>
        <w:rPr>
          <w:rFonts w:ascii="Times New Roman" w:hAnsi="Times New Roman"/>
          <w:noProof/>
          <w:sz w:val="24"/>
          <w:szCs w:val="24"/>
        </w:rPr>
      </w:pPr>
      <w:r>
        <w:rPr>
          <w:rFonts w:ascii="Times New Roman" w:hAnsi="Times New Roman"/>
          <w:noProof/>
          <w:sz w:val="24"/>
          <w:szCs w:val="24"/>
        </w:rPr>
        <w:t>In Romania they are working to implement Water Treatment Directive for all the locali</w:t>
      </w:r>
      <w:r>
        <w:rPr>
          <w:rFonts w:ascii="Times New Roman" w:hAnsi="Times New Roman"/>
          <w:noProof/>
          <w:sz w:val="24"/>
          <w:szCs w:val="24"/>
        </w:rPr>
        <w:t>ties over 2000 equivalent inhabitants, but still we have a tremendous work to do in order to provide secondary and tertiary treatment facilities for urban waste water treatment, particularly in rural areas where the level of endowment with waste water faci</w:t>
      </w:r>
      <w:r>
        <w:rPr>
          <w:rFonts w:ascii="Times New Roman" w:hAnsi="Times New Roman"/>
          <w:noProof/>
          <w:sz w:val="24"/>
          <w:szCs w:val="24"/>
        </w:rPr>
        <w:t>lities is quite low. On the other hand, food and other industries are obliged by law to treat their waste water in order to retain pollutants, so they are well equipped.</w:t>
      </w:r>
    </w:p>
    <w:p w:rsidR="00AB50C5" w:rsidRDefault="00724275">
      <w:pPr>
        <w:pStyle w:val="EText"/>
        <w:spacing w:line="240" w:lineRule="auto"/>
        <w:rPr>
          <w:rFonts w:ascii="Times New Roman" w:hAnsi="Times New Roman"/>
          <w:noProof/>
          <w:sz w:val="24"/>
          <w:szCs w:val="24"/>
          <w:lang w:val="en-US"/>
        </w:rPr>
      </w:pPr>
      <w:r>
        <w:rPr>
          <w:rFonts w:ascii="Times New Roman" w:hAnsi="Times New Roman"/>
          <w:noProof/>
          <w:sz w:val="24"/>
          <w:szCs w:val="24"/>
          <w:lang w:val="en-US"/>
        </w:rPr>
        <w:t>Germany has a very high level of waste water treatment. More than 91% of the installed</w:t>
      </w:r>
      <w:r>
        <w:rPr>
          <w:rFonts w:ascii="Times New Roman" w:hAnsi="Times New Roman"/>
          <w:noProof/>
          <w:sz w:val="24"/>
          <w:szCs w:val="24"/>
          <w:lang w:val="en-US"/>
        </w:rPr>
        <w:t xml:space="preserve"> treatment capacities can be attributed to large treatment plants serving more than 10000 population equivalents. Compliance with UWTTD 100% (Art 3 and 5), 99.9% for Art 4. Phosphorous and nitrogen removal of German WWTP exceed the requirements of the UWWT</w:t>
      </w:r>
      <w:r>
        <w:rPr>
          <w:rFonts w:ascii="Times New Roman" w:hAnsi="Times New Roman"/>
          <w:noProof/>
          <w:sz w:val="24"/>
          <w:szCs w:val="24"/>
          <w:lang w:val="en-US"/>
        </w:rPr>
        <w:t xml:space="preserve">D. Wastewater treatment is almost exclusively through biological waste water treatment (&gt; 95% activated sludge process and removal of nitrogen and phosphorous). </w:t>
      </w:r>
    </w:p>
    <w:p w:rsidR="00AB50C5" w:rsidRDefault="00724275">
      <w:pPr>
        <w:pStyle w:val="EText"/>
        <w:spacing w:line="240" w:lineRule="auto"/>
        <w:rPr>
          <w:rFonts w:ascii="Times New Roman" w:hAnsi="Times New Roman"/>
          <w:noProof/>
          <w:sz w:val="24"/>
          <w:szCs w:val="24"/>
          <w:lang w:val="en-US"/>
        </w:rPr>
      </w:pPr>
      <w:r>
        <w:rPr>
          <w:rFonts w:ascii="Times New Roman" w:hAnsi="Times New Roman"/>
          <w:noProof/>
          <w:sz w:val="24"/>
          <w:szCs w:val="24"/>
          <w:lang w:val="en-US"/>
        </w:rPr>
        <w:t>Some Länder have added a so-called fourth treatment level in the UWWTP to eliminate micro poll</w:t>
      </w:r>
      <w:r>
        <w:rPr>
          <w:rFonts w:ascii="Times New Roman" w:hAnsi="Times New Roman"/>
          <w:noProof/>
          <w:sz w:val="24"/>
          <w:szCs w:val="24"/>
          <w:lang w:val="en-US"/>
        </w:rPr>
        <w:t xml:space="preserve">utants, e.g. in sensitive areas. On a national level a micro pollutant strategy is in progress which will likely encourage further extension of treatment plants with additional treatment. </w:t>
      </w:r>
    </w:p>
    <w:p w:rsidR="00AB50C5" w:rsidRDefault="00724275">
      <w:pPr>
        <w:pStyle w:val="EBP1"/>
        <w:spacing w:line="240" w:lineRule="auto"/>
        <w:ind w:left="567"/>
        <w:rPr>
          <w:rFonts w:ascii="Times New Roman" w:hAnsi="Times New Roman"/>
          <w:b/>
          <w:bCs/>
          <w:noProof/>
          <w:sz w:val="24"/>
          <w:szCs w:val="24"/>
          <w:lang w:val="en-US"/>
        </w:rPr>
      </w:pPr>
      <w:r>
        <w:rPr>
          <w:rFonts w:ascii="Times New Roman" w:hAnsi="Times New Roman"/>
          <w:b/>
          <w:bCs/>
          <w:noProof/>
          <w:sz w:val="24"/>
          <w:szCs w:val="24"/>
          <w:lang w:val="en-US"/>
        </w:rPr>
        <w:t>Do you already engage in regional cooperation for this issue? Would</w:t>
      </w:r>
      <w:r>
        <w:rPr>
          <w:rFonts w:ascii="Times New Roman" w:hAnsi="Times New Roman"/>
          <w:b/>
          <w:bCs/>
          <w:noProof/>
          <w:sz w:val="24"/>
          <w:szCs w:val="24"/>
          <w:lang w:val="en-US"/>
        </w:rPr>
        <w:t xml:space="preserve"> smaller municipalities consider entering into an agreement with larger municipalities within the same region for the collection and handling of waste water? </w:t>
      </w:r>
    </w:p>
    <w:p w:rsidR="00AB50C5" w:rsidRDefault="00724275">
      <w:pPr>
        <w:pStyle w:val="EText"/>
        <w:spacing w:line="240" w:lineRule="auto"/>
        <w:rPr>
          <w:rFonts w:ascii="Times New Roman" w:hAnsi="Times New Roman"/>
          <w:noProof/>
          <w:sz w:val="24"/>
          <w:szCs w:val="24"/>
          <w:lang w:val="en-US"/>
        </w:rPr>
      </w:pPr>
      <w:r>
        <w:rPr>
          <w:rFonts w:ascii="Times New Roman" w:hAnsi="Times New Roman"/>
          <w:noProof/>
          <w:sz w:val="24"/>
          <w:szCs w:val="24"/>
          <w:lang w:val="en-US"/>
        </w:rPr>
        <w:t>Some smaller communities in Greece may cooperate with larger municipalities for the processing of</w:t>
      </w:r>
      <w:r>
        <w:rPr>
          <w:rFonts w:ascii="Times New Roman" w:hAnsi="Times New Roman"/>
          <w:noProof/>
          <w:sz w:val="24"/>
          <w:szCs w:val="24"/>
          <w:lang w:val="en-US"/>
        </w:rPr>
        <w:t xml:space="preserve"> the wastewaters. </w:t>
      </w:r>
    </w:p>
    <w:p w:rsidR="00AB50C5" w:rsidRDefault="00724275">
      <w:pPr>
        <w:pStyle w:val="EText"/>
        <w:spacing w:line="240" w:lineRule="auto"/>
        <w:rPr>
          <w:rFonts w:ascii="Times New Roman" w:hAnsi="Times New Roman"/>
          <w:noProof/>
          <w:sz w:val="24"/>
          <w:szCs w:val="24"/>
        </w:rPr>
      </w:pPr>
      <w:r>
        <w:rPr>
          <w:rFonts w:ascii="Times New Roman" w:hAnsi="Times New Roman"/>
          <w:noProof/>
          <w:sz w:val="24"/>
          <w:szCs w:val="24"/>
          <w:lang w:val="en-US"/>
        </w:rPr>
        <w:t>The regional government in Murcia/Spain created ESAMUR, the public body of regional government which mainly guarantee the right operation of the waste water treatment plants in the whole region of Murcia.</w:t>
      </w:r>
      <w:r>
        <w:rPr>
          <w:rFonts w:ascii="Times New Roman" w:hAnsi="Times New Roman"/>
          <w:noProof/>
          <w:sz w:val="24"/>
          <w:szCs w:val="24"/>
        </w:rPr>
        <w:t xml:space="preserve"> There is a high regional coopera</w:t>
      </w:r>
      <w:r>
        <w:rPr>
          <w:rFonts w:ascii="Times New Roman" w:hAnsi="Times New Roman"/>
          <w:noProof/>
          <w:sz w:val="24"/>
          <w:szCs w:val="24"/>
        </w:rPr>
        <w:t>tion. Primary network drinkable water in all the region is managed by a public Company, and the same for WWTP.</w:t>
      </w:r>
    </w:p>
    <w:p w:rsidR="00AB50C5" w:rsidRDefault="00724275">
      <w:pPr>
        <w:pStyle w:val="EText"/>
        <w:spacing w:line="240" w:lineRule="auto"/>
        <w:rPr>
          <w:rFonts w:ascii="Times New Roman" w:hAnsi="Times New Roman"/>
          <w:noProof/>
          <w:sz w:val="24"/>
          <w:szCs w:val="24"/>
          <w:lang w:val="en-US"/>
        </w:rPr>
      </w:pPr>
      <w:r>
        <w:rPr>
          <w:rFonts w:ascii="Times New Roman" w:hAnsi="Times New Roman"/>
          <w:noProof/>
          <w:sz w:val="24"/>
          <w:szCs w:val="24"/>
          <w:lang w:val="en-US"/>
        </w:rPr>
        <w:t>This was already done in Algarve region in Portugal (Study “Algarve Saneamento Básico anos 2000”), where, near the coastline, the smaller urban s</w:t>
      </w:r>
      <w:r>
        <w:rPr>
          <w:rFonts w:ascii="Times New Roman" w:hAnsi="Times New Roman"/>
          <w:noProof/>
          <w:sz w:val="24"/>
          <w:szCs w:val="24"/>
          <w:lang w:val="en-US"/>
        </w:rPr>
        <w:t>ystems were included in larger sewage treatment plants. However, in the inland municipalities with a low population rate, due to the distance and n.º of inhabitants the system integration is not feasible. On the other hand, some of these small wastewater t</w:t>
      </w:r>
      <w:r>
        <w:rPr>
          <w:rFonts w:ascii="Times New Roman" w:hAnsi="Times New Roman"/>
          <w:noProof/>
          <w:sz w:val="24"/>
          <w:szCs w:val="24"/>
          <w:lang w:val="en-US"/>
        </w:rPr>
        <w:t xml:space="preserve">reatment plants are located near agricultural areas and local solutions for the treated wastewater reuse may present best options. </w:t>
      </w:r>
    </w:p>
    <w:p w:rsidR="00AB50C5" w:rsidRDefault="00724275">
      <w:pPr>
        <w:pStyle w:val="EText"/>
        <w:spacing w:line="240" w:lineRule="auto"/>
        <w:rPr>
          <w:rFonts w:ascii="Times New Roman" w:eastAsiaTheme="minorHAnsi" w:hAnsi="Times New Roman"/>
          <w:noProof/>
          <w:sz w:val="24"/>
          <w:szCs w:val="24"/>
          <w:lang w:val="en-US"/>
        </w:rPr>
      </w:pPr>
      <w:r>
        <w:rPr>
          <w:rFonts w:ascii="Times New Roman" w:eastAsiaTheme="minorHAnsi" w:hAnsi="Times New Roman"/>
          <w:noProof/>
          <w:sz w:val="24"/>
          <w:szCs w:val="24"/>
          <w:lang w:val="en-US" w:eastAsia="en-US"/>
        </w:rPr>
        <w:t>In Romania r</w:t>
      </w:r>
      <w:r>
        <w:rPr>
          <w:rFonts w:ascii="Times New Roman" w:eastAsiaTheme="minorHAnsi" w:hAnsi="Times New Roman"/>
          <w:noProof/>
          <w:sz w:val="24"/>
          <w:szCs w:val="24"/>
          <w:lang w:val="en-US"/>
        </w:rPr>
        <w:t>egional operators for drinking water supply and urban waste water treatment are established and working.</w:t>
      </w:r>
    </w:p>
    <w:p w:rsidR="00AB50C5" w:rsidRDefault="00724275">
      <w:pPr>
        <w:pStyle w:val="EText"/>
        <w:spacing w:line="240" w:lineRule="auto"/>
        <w:rPr>
          <w:rFonts w:ascii="Times New Roman" w:hAnsi="Times New Roman"/>
          <w:noProof/>
          <w:sz w:val="24"/>
          <w:szCs w:val="24"/>
          <w:lang w:val="en-US"/>
        </w:rPr>
      </w:pPr>
      <w:r>
        <w:rPr>
          <w:rFonts w:ascii="Times New Roman" w:hAnsi="Times New Roman"/>
          <w:noProof/>
          <w:sz w:val="24"/>
          <w:szCs w:val="24"/>
          <w:lang w:val="en-US"/>
        </w:rPr>
        <w:t>In Germ</w:t>
      </w:r>
      <w:r>
        <w:rPr>
          <w:rFonts w:ascii="Times New Roman" w:hAnsi="Times New Roman"/>
          <w:noProof/>
          <w:sz w:val="24"/>
          <w:szCs w:val="24"/>
          <w:lang w:val="en-US"/>
        </w:rPr>
        <w:t>any facilitation of co-operation and - in some occasions - of fusion of WWTPs is part of the counseling and funding activities of some regional governments.</w:t>
      </w:r>
    </w:p>
    <w:p w:rsidR="00AB50C5" w:rsidRDefault="00724275">
      <w:pPr>
        <w:pStyle w:val="EBP1"/>
        <w:spacing w:line="240" w:lineRule="auto"/>
        <w:ind w:left="567"/>
        <w:rPr>
          <w:rFonts w:ascii="Times New Roman" w:hAnsi="Times New Roman"/>
          <w:b/>
          <w:bCs/>
          <w:noProof/>
          <w:sz w:val="24"/>
          <w:szCs w:val="24"/>
          <w:lang w:val="en-US"/>
        </w:rPr>
      </w:pPr>
      <w:r>
        <w:rPr>
          <w:rFonts w:ascii="Times New Roman" w:hAnsi="Times New Roman"/>
          <w:b/>
          <w:bCs/>
          <w:noProof/>
          <w:sz w:val="24"/>
          <w:szCs w:val="24"/>
          <w:lang w:val="en-US"/>
        </w:rPr>
        <w:t>How informed are citizens in your region regarding the reuse of waste water? What is their percepti</w:t>
      </w:r>
      <w:r>
        <w:rPr>
          <w:rFonts w:ascii="Times New Roman" w:hAnsi="Times New Roman"/>
          <w:b/>
          <w:bCs/>
          <w:noProof/>
          <w:sz w:val="24"/>
          <w:szCs w:val="24"/>
          <w:lang w:val="en-US"/>
        </w:rPr>
        <w:t>on about this practice?</w:t>
      </w:r>
    </w:p>
    <w:p w:rsidR="00AB50C5" w:rsidRDefault="00724275">
      <w:pPr>
        <w:pStyle w:val="EText"/>
        <w:spacing w:line="240" w:lineRule="auto"/>
        <w:rPr>
          <w:rFonts w:ascii="Times New Roman" w:hAnsi="Times New Roman"/>
          <w:noProof/>
          <w:sz w:val="24"/>
          <w:szCs w:val="24"/>
          <w:lang w:val="en-US"/>
        </w:rPr>
      </w:pPr>
      <w:r>
        <w:rPr>
          <w:rFonts w:ascii="Times New Roman" w:hAnsi="Times New Roman"/>
          <w:noProof/>
          <w:sz w:val="24"/>
          <w:szCs w:val="24"/>
          <w:lang w:val="en-US"/>
        </w:rPr>
        <w:t>The wastewater reuse in Greece is in the process of experimentation. For the time being Greece has sufficient water to cover the various uses for crop irrigation, industrial use, domestic use etc. However the periodic water stress a</w:t>
      </w:r>
      <w:r>
        <w:rPr>
          <w:rFonts w:ascii="Times New Roman" w:hAnsi="Times New Roman"/>
          <w:noProof/>
          <w:sz w:val="24"/>
          <w:szCs w:val="24"/>
          <w:lang w:val="en-US"/>
        </w:rPr>
        <w:t>ppearing rings the bell for the near future increased water demand, and therefore, the research that is currently in progress aims at establishing the basis for the safe waste water and environmentally oriented research on wastewater reuse.</w:t>
      </w:r>
    </w:p>
    <w:p w:rsidR="00AB50C5" w:rsidRDefault="00724275">
      <w:pPr>
        <w:pStyle w:val="EText"/>
        <w:spacing w:line="240" w:lineRule="auto"/>
        <w:rPr>
          <w:rFonts w:ascii="Times New Roman" w:hAnsi="Times New Roman"/>
          <w:noProof/>
          <w:sz w:val="24"/>
          <w:szCs w:val="24"/>
          <w:lang w:val="en-US"/>
        </w:rPr>
      </w:pPr>
      <w:r>
        <w:rPr>
          <w:rFonts w:ascii="Times New Roman" w:hAnsi="Times New Roman"/>
          <w:noProof/>
          <w:sz w:val="24"/>
          <w:szCs w:val="24"/>
          <w:lang w:val="en-US"/>
        </w:rPr>
        <w:t>The Greek citiz</w:t>
      </w:r>
      <w:r>
        <w:rPr>
          <w:rFonts w:ascii="Times New Roman" w:hAnsi="Times New Roman"/>
          <w:noProof/>
          <w:sz w:val="24"/>
          <w:szCs w:val="24"/>
          <w:lang w:val="en-US"/>
        </w:rPr>
        <w:t xml:space="preserve">ens have not so far systematically been informed regarding reuse. No serious effort so far has been put towards this direction, since the reuse of the wastewater in Greece is not included in the irrigation practices. However, it must be mentioned that the </w:t>
      </w:r>
      <w:r>
        <w:rPr>
          <w:rFonts w:ascii="Times New Roman" w:hAnsi="Times New Roman"/>
          <w:noProof/>
          <w:sz w:val="24"/>
          <w:szCs w:val="24"/>
          <w:lang w:val="en-US"/>
        </w:rPr>
        <w:t xml:space="preserve">treated wastewater has occasionally been reused for irrigation of non-food crops, such as for cotton at the periods of water stress in the plain of Thessaloniki, which corresponds to a very small percentage in relation to the total amount of natural water </w:t>
      </w:r>
      <w:r>
        <w:rPr>
          <w:rFonts w:ascii="Times New Roman" w:hAnsi="Times New Roman"/>
          <w:noProof/>
          <w:sz w:val="24"/>
          <w:szCs w:val="24"/>
          <w:lang w:val="en-US"/>
        </w:rPr>
        <w:t>used for irrigation. This practice necessitates only the users.</w:t>
      </w:r>
    </w:p>
    <w:p w:rsidR="00AB50C5" w:rsidRDefault="00724275">
      <w:pPr>
        <w:pStyle w:val="EText"/>
        <w:spacing w:line="240" w:lineRule="auto"/>
        <w:rPr>
          <w:rFonts w:ascii="Times New Roman" w:hAnsi="Times New Roman"/>
          <w:noProof/>
          <w:sz w:val="24"/>
          <w:szCs w:val="24"/>
        </w:rPr>
      </w:pPr>
      <w:r>
        <w:rPr>
          <w:rFonts w:ascii="Times New Roman" w:hAnsi="Times New Roman"/>
          <w:noProof/>
          <w:sz w:val="24"/>
          <w:szCs w:val="24"/>
        </w:rPr>
        <w:t>The citizens of Murcia are very aware of any issue related to water, these are informed by both the City Council and the Autonomous Community of anything that has to do with scarcity and reuse</w:t>
      </w:r>
      <w:r>
        <w:rPr>
          <w:rFonts w:ascii="Times New Roman" w:hAnsi="Times New Roman"/>
          <w:noProof/>
          <w:sz w:val="24"/>
          <w:szCs w:val="24"/>
        </w:rPr>
        <w:t xml:space="preserve"> of water. Farmers are most knowledgeable regarding the reuse of waste water issues. The farmers in Murcia ask for their concessions of reuse water to the administration. Currently of the 15 WWTP managed by Aguas de Murcia, 9 of them have a reuse concessio</w:t>
      </w:r>
      <w:r>
        <w:rPr>
          <w:rFonts w:ascii="Times New Roman" w:hAnsi="Times New Roman"/>
          <w:noProof/>
          <w:sz w:val="24"/>
          <w:szCs w:val="24"/>
        </w:rPr>
        <w:t>n,</w:t>
      </w:r>
      <w:r>
        <w:rPr>
          <w:rFonts w:ascii="Times New Roman" w:eastAsiaTheme="minorEastAsia" w:hAnsi="Times New Roman"/>
          <w:noProof/>
          <w:sz w:val="24"/>
          <w:szCs w:val="24"/>
          <w:lang w:eastAsia="es-ES"/>
        </w:rPr>
        <w:t xml:space="preserve"> </w:t>
      </w:r>
      <w:r>
        <w:rPr>
          <w:rFonts w:ascii="Times New Roman" w:hAnsi="Times New Roman"/>
          <w:noProof/>
          <w:sz w:val="24"/>
          <w:szCs w:val="24"/>
        </w:rPr>
        <w:t>although the volume is low because the treatment plants that have adequate treatment are very small.</w:t>
      </w:r>
    </w:p>
    <w:p w:rsidR="00AB50C5" w:rsidRDefault="00724275">
      <w:pPr>
        <w:pStyle w:val="EText"/>
        <w:spacing w:line="240" w:lineRule="auto"/>
        <w:rPr>
          <w:rFonts w:ascii="Times New Roman" w:hAnsi="Times New Roman"/>
          <w:noProof/>
          <w:sz w:val="24"/>
          <w:szCs w:val="24"/>
          <w:lang w:val="en-US"/>
        </w:rPr>
      </w:pPr>
      <w:r>
        <w:rPr>
          <w:rFonts w:ascii="Times New Roman" w:hAnsi="Times New Roman"/>
          <w:noProof/>
          <w:sz w:val="24"/>
          <w:szCs w:val="24"/>
          <w:lang w:val="en-US"/>
        </w:rPr>
        <w:t xml:space="preserve">The level of information in Algarve/Portugal may not be high but according the characteristics of the region, from a general point of view, the reuse </w:t>
      </w:r>
      <w:r>
        <w:rPr>
          <w:rFonts w:ascii="Times New Roman" w:hAnsi="Times New Roman"/>
          <w:noProof/>
          <w:sz w:val="24"/>
          <w:szCs w:val="24"/>
          <w:lang w:val="en-US"/>
        </w:rPr>
        <w:t>practice is well accepted. However, at local circumstances, namely in some touristic activities in the coastline, the perception could be negative when other water sources are available (e.g. groundwater with a low price compared with the treated wastewate</w:t>
      </w:r>
      <w:r>
        <w:rPr>
          <w:rFonts w:ascii="Times New Roman" w:hAnsi="Times New Roman"/>
          <w:noProof/>
          <w:sz w:val="24"/>
          <w:szCs w:val="24"/>
          <w:lang w:val="en-US"/>
        </w:rPr>
        <w:t>rs, which has transport and monitoring costs for end-users).</w:t>
      </w:r>
    </w:p>
    <w:p w:rsidR="00AB50C5" w:rsidRDefault="00724275">
      <w:pPr>
        <w:pStyle w:val="EText"/>
        <w:spacing w:line="240" w:lineRule="auto"/>
        <w:rPr>
          <w:rFonts w:ascii="Times New Roman" w:hAnsi="Times New Roman"/>
          <w:noProof/>
          <w:sz w:val="24"/>
          <w:szCs w:val="24"/>
          <w:lang w:val="en-US"/>
        </w:rPr>
      </w:pPr>
      <w:r>
        <w:rPr>
          <w:rFonts w:ascii="Times New Roman" w:hAnsi="Times New Roman"/>
          <w:noProof/>
          <w:sz w:val="24"/>
          <w:szCs w:val="24"/>
        </w:rPr>
        <w:t>The level of information to citizens regarding reuse of waste water in Romania is low. It is mentioned however during the water saving campaigns. The perception is not favourable particularly due</w:t>
      </w:r>
      <w:r>
        <w:rPr>
          <w:rFonts w:ascii="Times New Roman" w:hAnsi="Times New Roman"/>
          <w:noProof/>
          <w:sz w:val="24"/>
          <w:szCs w:val="24"/>
        </w:rPr>
        <w:t xml:space="preserve"> to the health safety concerns.</w:t>
      </w:r>
      <w:r>
        <w:rPr>
          <w:rFonts w:ascii="Times New Roman" w:hAnsi="Times New Roman"/>
          <w:noProof/>
          <w:sz w:val="24"/>
          <w:szCs w:val="24"/>
          <w:lang w:val="en-US"/>
        </w:rPr>
        <w:t xml:space="preserve"> </w:t>
      </w:r>
    </w:p>
    <w:p w:rsidR="00AB50C5" w:rsidRDefault="00724275">
      <w:pPr>
        <w:pStyle w:val="EText"/>
        <w:spacing w:line="240" w:lineRule="auto"/>
        <w:rPr>
          <w:rFonts w:ascii="Times New Roman" w:hAnsi="Times New Roman"/>
          <w:noProof/>
          <w:sz w:val="24"/>
          <w:szCs w:val="24"/>
          <w:lang w:val="en-US"/>
        </w:rPr>
      </w:pPr>
      <w:r>
        <w:rPr>
          <w:rFonts w:ascii="Times New Roman" w:hAnsi="Times New Roman"/>
          <w:noProof/>
          <w:sz w:val="24"/>
          <w:szCs w:val="24"/>
          <w:lang w:val="en-US"/>
        </w:rPr>
        <w:t>Due to the fact that in Germany - apart from two sites reuse of water - reuse of water is not practiced it is difficult to assess the perception of citizens. As there is no need for alternative water sources on a large scal</w:t>
      </w:r>
      <w:r>
        <w:rPr>
          <w:rFonts w:ascii="Times New Roman" w:hAnsi="Times New Roman"/>
          <w:noProof/>
          <w:sz w:val="24"/>
          <w:szCs w:val="24"/>
          <w:lang w:val="en-US"/>
        </w:rPr>
        <w:t xml:space="preserve">e, it can be expected that acceptance by citizens is limited (this was also evident in pilot studies e.g. KLIMZUG NORD). </w:t>
      </w:r>
    </w:p>
    <w:p w:rsidR="00AB50C5" w:rsidRDefault="00AB50C5">
      <w:pPr>
        <w:pStyle w:val="EText"/>
        <w:spacing w:line="240" w:lineRule="auto"/>
        <w:rPr>
          <w:rFonts w:ascii="Times New Roman" w:hAnsi="Times New Roman"/>
          <w:noProof/>
          <w:sz w:val="24"/>
          <w:szCs w:val="24"/>
          <w:lang w:val="en-US"/>
        </w:rPr>
      </w:pPr>
    </w:p>
    <w:p w:rsidR="00AB50C5" w:rsidRDefault="00724275">
      <w:pPr>
        <w:pStyle w:val="Default"/>
        <w:pBdr>
          <w:top w:val="single" w:sz="4" w:space="1" w:color="auto"/>
          <w:left w:val="single" w:sz="4" w:space="4" w:color="auto"/>
          <w:bottom w:val="single" w:sz="4" w:space="1" w:color="auto"/>
          <w:right w:val="single" w:sz="4" w:space="4" w:color="auto"/>
        </w:pBdr>
        <w:jc w:val="both"/>
        <w:rPr>
          <w:i/>
          <w:noProof/>
          <w:color w:val="auto"/>
          <w:lang w:val="en-US"/>
        </w:rPr>
      </w:pPr>
      <w:r>
        <w:rPr>
          <w:b/>
          <w:bCs/>
          <w:noProof/>
          <w:color w:val="auto"/>
          <w:lang w:val="en-US"/>
        </w:rPr>
        <w:t>Potential for further uptake of water reuse and identified barriers</w:t>
      </w:r>
      <w:r>
        <w:rPr>
          <w:b/>
          <w:bCs/>
          <w:i/>
          <w:noProof/>
          <w:color w:val="auto"/>
          <w:lang w:val="en-US"/>
        </w:rPr>
        <w:t xml:space="preserve"> </w:t>
      </w:r>
      <w:r>
        <w:rPr>
          <w:noProof/>
          <w:color w:val="auto"/>
          <w:lang w:val="en-US"/>
        </w:rPr>
        <w:t>(to be addressed separately for agriculture irrigation and aquife</w:t>
      </w:r>
      <w:r>
        <w:rPr>
          <w:noProof/>
          <w:color w:val="auto"/>
          <w:lang w:val="en-US"/>
        </w:rPr>
        <w:t>r recharge</w:t>
      </w:r>
      <w:r>
        <w:rPr>
          <w:i/>
          <w:noProof/>
          <w:color w:val="auto"/>
          <w:lang w:val="en-US"/>
        </w:rPr>
        <w:t xml:space="preserve">) </w:t>
      </w:r>
    </w:p>
    <w:p w:rsidR="00AB50C5" w:rsidRDefault="00AB50C5">
      <w:pPr>
        <w:pStyle w:val="EText"/>
        <w:spacing w:line="240" w:lineRule="auto"/>
        <w:rPr>
          <w:rFonts w:ascii="Times New Roman" w:hAnsi="Times New Roman"/>
          <w:noProof/>
          <w:sz w:val="24"/>
          <w:szCs w:val="24"/>
          <w:lang w:val="en-US"/>
        </w:rPr>
      </w:pPr>
    </w:p>
    <w:p w:rsidR="00AB50C5" w:rsidRDefault="00724275">
      <w:pPr>
        <w:pStyle w:val="EBP1"/>
        <w:spacing w:line="240" w:lineRule="auto"/>
        <w:ind w:left="567"/>
        <w:rPr>
          <w:rFonts w:ascii="Times New Roman" w:hAnsi="Times New Roman"/>
          <w:b/>
          <w:bCs/>
          <w:noProof/>
          <w:sz w:val="24"/>
          <w:szCs w:val="24"/>
          <w:lang w:val="en-US"/>
        </w:rPr>
      </w:pPr>
      <w:r>
        <w:rPr>
          <w:rFonts w:ascii="Times New Roman" w:hAnsi="Times New Roman"/>
          <w:b/>
          <w:bCs/>
          <w:noProof/>
          <w:sz w:val="24"/>
          <w:szCs w:val="24"/>
          <w:lang w:val="en-US"/>
        </w:rPr>
        <w:t>Do you see a potential for further uptake of water reuse in your country/region/city for agriculture irrigation/aquifer recharge? For other uses? Who would be the beneficiaries? Can you provide an estimate for this potential and the related b</w:t>
      </w:r>
      <w:r>
        <w:rPr>
          <w:rFonts w:ascii="Times New Roman" w:hAnsi="Times New Roman"/>
          <w:b/>
          <w:bCs/>
          <w:noProof/>
          <w:sz w:val="24"/>
          <w:szCs w:val="24"/>
          <w:lang w:val="en-US"/>
        </w:rPr>
        <w:t xml:space="preserve">enefits? </w:t>
      </w:r>
    </w:p>
    <w:p w:rsidR="00AB50C5" w:rsidRDefault="00724275">
      <w:pPr>
        <w:pStyle w:val="EText"/>
        <w:spacing w:line="240" w:lineRule="auto"/>
        <w:rPr>
          <w:rFonts w:ascii="Times New Roman" w:hAnsi="Times New Roman"/>
          <w:noProof/>
          <w:sz w:val="24"/>
          <w:szCs w:val="24"/>
          <w:lang w:val="en-US"/>
        </w:rPr>
      </w:pPr>
      <w:r>
        <w:rPr>
          <w:rFonts w:ascii="Times New Roman" w:hAnsi="Times New Roman"/>
          <w:noProof/>
          <w:sz w:val="24"/>
          <w:szCs w:val="24"/>
          <w:lang w:val="en-US"/>
        </w:rPr>
        <w:t>There seems to be a future increased potential in Greece for uptake of wastewater reuse in agricultural areas, since reused water is a good source of plant nutrients and therefore it can replace the fertilizers. The increase of demand for irrigat</w:t>
      </w:r>
      <w:r>
        <w:rPr>
          <w:rFonts w:ascii="Times New Roman" w:hAnsi="Times New Roman"/>
          <w:noProof/>
          <w:sz w:val="24"/>
          <w:szCs w:val="24"/>
          <w:lang w:val="en-US"/>
        </w:rPr>
        <w:t>ion water and expected extension of the irrigated agriculture results from the ever increasing demand for agricultural products and especially biological products. In addition the reuse of aquifer recharges can be useful during the water stress periods whe</w:t>
      </w:r>
      <w:r>
        <w:rPr>
          <w:rFonts w:ascii="Times New Roman" w:hAnsi="Times New Roman"/>
          <w:noProof/>
          <w:sz w:val="24"/>
          <w:szCs w:val="24"/>
          <w:lang w:val="en-US"/>
        </w:rPr>
        <w:t>n the level of the underground water is being lowered in Greece.</w:t>
      </w:r>
    </w:p>
    <w:p w:rsidR="00AB50C5" w:rsidRDefault="00724275">
      <w:pPr>
        <w:pStyle w:val="EText"/>
        <w:spacing w:line="240" w:lineRule="auto"/>
        <w:rPr>
          <w:rFonts w:ascii="Times New Roman" w:hAnsi="Times New Roman"/>
          <w:noProof/>
          <w:sz w:val="24"/>
          <w:szCs w:val="24"/>
          <w:lang w:val="en-US"/>
        </w:rPr>
      </w:pPr>
      <w:r>
        <w:rPr>
          <w:rFonts w:ascii="Times New Roman" w:hAnsi="Times New Roman"/>
          <w:noProof/>
          <w:sz w:val="24"/>
          <w:szCs w:val="24"/>
          <w:lang w:val="en-US"/>
        </w:rPr>
        <w:t>It is anticipated that in Greece the beneficiaries will be the farmers, the consumers and of course the environment. For the time being, an estimate could be misleading due to the lack of act</w:t>
      </w:r>
      <w:r>
        <w:rPr>
          <w:rFonts w:ascii="Times New Roman" w:hAnsi="Times New Roman"/>
          <w:noProof/>
          <w:sz w:val="24"/>
          <w:szCs w:val="24"/>
          <w:lang w:val="en-US"/>
        </w:rPr>
        <w:t>ual data.</w:t>
      </w:r>
    </w:p>
    <w:p w:rsidR="00AB50C5" w:rsidRDefault="00724275">
      <w:pPr>
        <w:pStyle w:val="EText"/>
        <w:spacing w:line="240" w:lineRule="auto"/>
        <w:rPr>
          <w:rFonts w:ascii="Times New Roman" w:hAnsi="Times New Roman"/>
          <w:noProof/>
          <w:sz w:val="24"/>
          <w:szCs w:val="24"/>
        </w:rPr>
      </w:pPr>
      <w:r>
        <w:rPr>
          <w:rFonts w:ascii="Times New Roman" w:hAnsi="Times New Roman"/>
          <w:noProof/>
          <w:sz w:val="24"/>
          <w:szCs w:val="24"/>
        </w:rPr>
        <w:t xml:space="preserve">The reuse of water in Spain/Murcia is one of the axes of the development of the circular economy. Freshwater resources are increasingly low, with a disturbing mismatch between demand and availability of water resources at both a temporal and </w:t>
      </w:r>
      <w:r>
        <w:rPr>
          <w:rFonts w:ascii="Times New Roman" w:hAnsi="Times New Roman"/>
          <w:noProof/>
          <w:sz w:val="24"/>
          <w:szCs w:val="24"/>
        </w:rPr>
        <w:t>geographical level. In this context, the ability to respond to increasing risks of water scarcity and drying could be enhanced through greater reuse of treated wastewater. Adopting a series of measures to promote the reuse of treated wastewater, such as ag</w:t>
      </w:r>
      <w:r>
        <w:rPr>
          <w:rFonts w:ascii="Times New Roman" w:hAnsi="Times New Roman"/>
          <w:noProof/>
          <w:sz w:val="24"/>
          <w:szCs w:val="24"/>
        </w:rPr>
        <w:t>riculture irrigation and also for garden areas, golf courses, urban uses and groundwater recharge, as well as investing in tertiary treatments to obtain water quality according to the EU minimum requirements are important.</w:t>
      </w:r>
    </w:p>
    <w:p w:rsidR="00AB50C5" w:rsidRDefault="00724275">
      <w:pPr>
        <w:pStyle w:val="EText"/>
        <w:spacing w:line="240" w:lineRule="auto"/>
        <w:rPr>
          <w:rFonts w:ascii="Times New Roman" w:hAnsi="Times New Roman"/>
          <w:noProof/>
          <w:sz w:val="24"/>
          <w:szCs w:val="24"/>
          <w:lang w:val="en-US"/>
        </w:rPr>
      </w:pPr>
      <w:r>
        <w:rPr>
          <w:rFonts w:ascii="Times New Roman" w:hAnsi="Times New Roman"/>
          <w:noProof/>
          <w:sz w:val="24"/>
          <w:szCs w:val="24"/>
          <w:lang w:val="en-US"/>
        </w:rPr>
        <w:t>The total water consumption in th</w:t>
      </w:r>
      <w:r>
        <w:rPr>
          <w:rFonts w:ascii="Times New Roman" w:hAnsi="Times New Roman"/>
          <w:noProof/>
          <w:sz w:val="24"/>
          <w:szCs w:val="24"/>
          <w:lang w:val="en-US"/>
        </w:rPr>
        <w:t>e Algarve region is about 200 hm</w:t>
      </w:r>
      <w:r>
        <w:rPr>
          <w:rFonts w:ascii="Times New Roman" w:hAnsi="Times New Roman"/>
          <w:noProof/>
          <w:sz w:val="24"/>
          <w:szCs w:val="24"/>
          <w:vertAlign w:val="superscript"/>
          <w:lang w:val="en-US"/>
        </w:rPr>
        <w:t>3</w:t>
      </w:r>
      <w:r>
        <w:rPr>
          <w:rFonts w:ascii="Times New Roman" w:hAnsi="Times New Roman"/>
          <w:noProof/>
          <w:sz w:val="24"/>
          <w:szCs w:val="24"/>
          <w:lang w:val="en-US"/>
        </w:rPr>
        <w:t xml:space="preserve"> per year and the annual urban wastewater production as average around 40 hm</w:t>
      </w:r>
      <w:r>
        <w:rPr>
          <w:rFonts w:ascii="Times New Roman" w:hAnsi="Times New Roman"/>
          <w:noProof/>
          <w:sz w:val="24"/>
          <w:szCs w:val="24"/>
          <w:vertAlign w:val="superscript"/>
          <w:lang w:val="en-US"/>
        </w:rPr>
        <w:t>3</w:t>
      </w:r>
      <w:r>
        <w:rPr>
          <w:rFonts w:ascii="Times New Roman" w:hAnsi="Times New Roman"/>
          <w:noProof/>
          <w:sz w:val="24"/>
          <w:szCs w:val="24"/>
          <w:lang w:val="en-US"/>
        </w:rPr>
        <w:t>, with the major production volumes in dry season, when the water demand is higher. However, the potential increase for water reuse should be more</w:t>
      </w:r>
      <w:r>
        <w:rPr>
          <w:rFonts w:ascii="Times New Roman" w:hAnsi="Times New Roman"/>
          <w:noProof/>
          <w:sz w:val="24"/>
          <w:szCs w:val="24"/>
          <w:lang w:val="en-US"/>
        </w:rPr>
        <w:t xml:space="preserve"> related with urban and recreational uses according the population distribution and the touristic character of the region. The aquifer recharge in Portugal is not foreseen since is not allowed according the Portuguese law. At national level, there is a pot</w:t>
      </w:r>
      <w:r>
        <w:rPr>
          <w:rFonts w:ascii="Times New Roman" w:hAnsi="Times New Roman"/>
          <w:noProof/>
          <w:sz w:val="24"/>
          <w:szCs w:val="24"/>
          <w:lang w:val="en-US"/>
        </w:rPr>
        <w:t>ential for further uptake of water reuse for agriculture irrigation but in other regions rather than Algarve.</w:t>
      </w:r>
    </w:p>
    <w:p w:rsidR="00AB50C5" w:rsidRDefault="00724275">
      <w:pPr>
        <w:pStyle w:val="EText"/>
        <w:spacing w:line="240" w:lineRule="auto"/>
        <w:rPr>
          <w:rFonts w:ascii="Times New Roman" w:eastAsiaTheme="minorHAnsi" w:hAnsi="Times New Roman"/>
          <w:noProof/>
          <w:sz w:val="24"/>
          <w:szCs w:val="24"/>
          <w:lang w:val="en-US" w:eastAsia="en-US"/>
        </w:rPr>
      </w:pPr>
      <w:r>
        <w:rPr>
          <w:rFonts w:ascii="Times New Roman" w:hAnsi="Times New Roman"/>
          <w:noProof/>
          <w:sz w:val="24"/>
          <w:szCs w:val="24"/>
          <w:lang w:val="en-US"/>
        </w:rPr>
        <w:t xml:space="preserve">In Romania </w:t>
      </w:r>
      <w:r>
        <w:rPr>
          <w:rFonts w:ascii="Times New Roman" w:eastAsiaTheme="minorHAnsi" w:hAnsi="Times New Roman"/>
          <w:noProof/>
          <w:sz w:val="24"/>
          <w:szCs w:val="24"/>
          <w:lang w:val="en-US" w:eastAsia="en-US"/>
        </w:rPr>
        <w:t xml:space="preserve">they foresee good potential for water reuse for agriculture irrigation of not eatable crops (textile and biofuel crops) and for cities </w:t>
      </w:r>
      <w:r>
        <w:rPr>
          <w:rFonts w:ascii="Times New Roman" w:eastAsiaTheme="minorHAnsi" w:hAnsi="Times New Roman"/>
          <w:noProof/>
          <w:sz w:val="24"/>
          <w:szCs w:val="24"/>
          <w:lang w:val="en-US" w:eastAsia="en-US"/>
        </w:rPr>
        <w:t>green areas irrigation within dry periods. Romania has good quality groundwater bodies (in large aquifers), in good quantity status, used as drinking water sources, and they are very careful to preserve their status.</w:t>
      </w:r>
    </w:p>
    <w:p w:rsidR="00AB50C5" w:rsidRDefault="00724275">
      <w:pPr>
        <w:pStyle w:val="EText"/>
        <w:spacing w:line="240" w:lineRule="auto"/>
        <w:rPr>
          <w:rFonts w:ascii="Times New Roman" w:hAnsi="Times New Roman"/>
          <w:noProof/>
          <w:sz w:val="24"/>
          <w:szCs w:val="24"/>
          <w:lang w:val="en-US"/>
        </w:rPr>
      </w:pPr>
      <w:r>
        <w:rPr>
          <w:rFonts w:ascii="Times New Roman" w:eastAsiaTheme="minorHAnsi" w:hAnsi="Times New Roman"/>
          <w:noProof/>
          <w:sz w:val="24"/>
          <w:szCs w:val="24"/>
          <w:lang w:val="en-US" w:eastAsia="en-US"/>
        </w:rPr>
        <w:t>Beneficiaries in Romania will be not on</w:t>
      </w:r>
      <w:r>
        <w:rPr>
          <w:rFonts w:ascii="Times New Roman" w:eastAsiaTheme="minorHAnsi" w:hAnsi="Times New Roman"/>
          <w:noProof/>
          <w:sz w:val="24"/>
          <w:szCs w:val="24"/>
          <w:lang w:val="en-US" w:eastAsia="en-US"/>
        </w:rPr>
        <w:t>ly farmers, but all citizens, because the reused water quantities will reduce restrictions during droughts.</w:t>
      </w:r>
    </w:p>
    <w:p w:rsidR="00AB50C5" w:rsidRDefault="00724275">
      <w:pPr>
        <w:pStyle w:val="EText"/>
        <w:spacing w:line="240" w:lineRule="auto"/>
        <w:rPr>
          <w:rFonts w:ascii="Times New Roman" w:hAnsi="Times New Roman"/>
          <w:noProof/>
          <w:sz w:val="24"/>
          <w:szCs w:val="24"/>
          <w:lang w:val="en-US"/>
        </w:rPr>
      </w:pPr>
      <w:r>
        <w:rPr>
          <w:rFonts w:ascii="Times New Roman" w:hAnsi="Times New Roman"/>
          <w:noProof/>
          <w:sz w:val="24"/>
          <w:szCs w:val="24"/>
          <w:lang w:val="en-US"/>
        </w:rPr>
        <w:t xml:space="preserve">In Germany there is no </w:t>
      </w:r>
      <w:r>
        <w:rPr>
          <w:rFonts w:ascii="Times New Roman" w:hAnsi="Times New Roman"/>
          <w:i/>
          <w:noProof/>
          <w:sz w:val="24"/>
          <w:szCs w:val="24"/>
          <w:lang w:val="en-US"/>
        </w:rPr>
        <w:t>general</w:t>
      </w:r>
      <w:r>
        <w:rPr>
          <w:rFonts w:ascii="Times New Roman" w:hAnsi="Times New Roman"/>
          <w:noProof/>
          <w:sz w:val="24"/>
          <w:szCs w:val="24"/>
          <w:lang w:val="en-US"/>
        </w:rPr>
        <w:t xml:space="preserve"> need for alternative water resources in irrigation and aquifer recharge. An analysis showed that in most German regio</w:t>
      </w:r>
      <w:r>
        <w:rPr>
          <w:rFonts w:ascii="Times New Roman" w:hAnsi="Times New Roman"/>
          <w:noProof/>
          <w:sz w:val="24"/>
          <w:szCs w:val="24"/>
          <w:lang w:val="en-US"/>
        </w:rPr>
        <w:t>ns the agricultural irrigation demand can be covered by available water resources without compromising the quantitative groundwater status. There are only a few districts in the Luneburg Heath and Upper Rhine lowlands that could benefit from additional irr</w:t>
      </w:r>
      <w:r>
        <w:rPr>
          <w:rFonts w:ascii="Times New Roman" w:hAnsi="Times New Roman"/>
          <w:noProof/>
          <w:sz w:val="24"/>
          <w:szCs w:val="24"/>
          <w:lang w:val="en-US"/>
        </w:rPr>
        <w:t>igation with treated wastewater to stabilize their quantitative groundwater status (Seis et al, 2016).</w:t>
      </w:r>
    </w:p>
    <w:p w:rsidR="00AB50C5" w:rsidRDefault="00724275">
      <w:pPr>
        <w:pStyle w:val="EText"/>
        <w:spacing w:line="240" w:lineRule="auto"/>
        <w:rPr>
          <w:rFonts w:ascii="Times New Roman" w:hAnsi="Times New Roman"/>
          <w:noProof/>
          <w:sz w:val="24"/>
          <w:szCs w:val="24"/>
          <w:lang w:val="en-US"/>
        </w:rPr>
      </w:pPr>
      <w:r>
        <w:rPr>
          <w:rFonts w:ascii="Times New Roman" w:hAnsi="Times New Roman"/>
          <w:noProof/>
          <w:sz w:val="24"/>
          <w:szCs w:val="24"/>
          <w:lang w:val="en-US"/>
        </w:rPr>
        <w:t>Considering the potential risks of waste water reuse, the focus is on increased efficiency in case of temporary and regional shortages.</w:t>
      </w:r>
    </w:p>
    <w:p w:rsidR="00AB50C5" w:rsidRDefault="00724275">
      <w:pPr>
        <w:pStyle w:val="EText"/>
        <w:spacing w:line="240" w:lineRule="auto"/>
        <w:rPr>
          <w:rFonts w:ascii="Times New Roman" w:hAnsi="Times New Roman"/>
          <w:noProof/>
          <w:sz w:val="24"/>
          <w:szCs w:val="24"/>
          <w:lang w:val="en-US"/>
        </w:rPr>
      </w:pPr>
      <w:r>
        <w:rPr>
          <w:rFonts w:ascii="Times New Roman" w:hAnsi="Times New Roman"/>
          <w:noProof/>
          <w:sz w:val="24"/>
          <w:szCs w:val="24"/>
          <w:lang w:val="en-US"/>
        </w:rPr>
        <w:t xml:space="preserve">Since irrigation </w:t>
      </w:r>
      <w:r>
        <w:rPr>
          <w:rFonts w:ascii="Times New Roman" w:hAnsi="Times New Roman"/>
          <w:noProof/>
          <w:sz w:val="24"/>
          <w:szCs w:val="24"/>
          <w:lang w:val="en-US"/>
        </w:rPr>
        <w:t>water is partly taken from surface waterbodies it already contains some of the treated waste water released into these river courses. Germany is focusing on a good waste water quality, so that the waste water can be discharged in surface water again. Relea</w:t>
      </w:r>
      <w:r>
        <w:rPr>
          <w:rFonts w:ascii="Times New Roman" w:hAnsi="Times New Roman"/>
          <w:noProof/>
          <w:sz w:val="24"/>
          <w:szCs w:val="24"/>
          <w:lang w:val="en-US"/>
        </w:rPr>
        <w:t xml:space="preserve">sing treated wastewater into rivers and streams provides for ecological minimum flows even in periods with low water levels. </w:t>
      </w:r>
    </w:p>
    <w:p w:rsidR="00AB50C5" w:rsidRDefault="00724275">
      <w:pPr>
        <w:pStyle w:val="EText"/>
        <w:spacing w:line="240" w:lineRule="auto"/>
        <w:rPr>
          <w:rFonts w:ascii="Times New Roman" w:hAnsi="Times New Roman"/>
          <w:noProof/>
          <w:sz w:val="24"/>
          <w:szCs w:val="24"/>
          <w:lang w:val="en-US"/>
        </w:rPr>
      </w:pPr>
      <w:r>
        <w:rPr>
          <w:rFonts w:ascii="Times New Roman" w:hAnsi="Times New Roman"/>
          <w:noProof/>
          <w:sz w:val="24"/>
          <w:szCs w:val="24"/>
          <w:lang w:val="en-US"/>
        </w:rPr>
        <w:t>The shift from combined sewer to separate wastewater/rainwater sewers introduced by federal law in 2010 leads to new opportunities</w:t>
      </w:r>
      <w:r>
        <w:rPr>
          <w:rFonts w:ascii="Times New Roman" w:hAnsi="Times New Roman"/>
          <w:noProof/>
          <w:sz w:val="24"/>
          <w:szCs w:val="24"/>
          <w:lang w:val="en-US"/>
        </w:rPr>
        <w:t xml:space="preserve"> to deal with collected rainwater in a way that also supports the local water cycle. </w:t>
      </w:r>
    </w:p>
    <w:p w:rsidR="00AB50C5" w:rsidRDefault="00724275">
      <w:pPr>
        <w:pStyle w:val="EBP1"/>
        <w:spacing w:line="240" w:lineRule="auto"/>
        <w:ind w:left="567"/>
        <w:rPr>
          <w:rFonts w:ascii="Times New Roman" w:hAnsi="Times New Roman"/>
          <w:b/>
          <w:bCs/>
          <w:noProof/>
          <w:sz w:val="24"/>
          <w:szCs w:val="24"/>
          <w:lang w:val="en-US"/>
        </w:rPr>
      </w:pPr>
      <w:r>
        <w:rPr>
          <w:rFonts w:ascii="Times New Roman" w:hAnsi="Times New Roman"/>
          <w:b/>
          <w:bCs/>
          <w:noProof/>
          <w:sz w:val="24"/>
          <w:szCs w:val="24"/>
          <w:lang w:val="en-US"/>
        </w:rPr>
        <w:t>Which barriers to a wider uptake of water reuse solutions for agriculture irrigation/aquifer recharge do you identify in your country/region/city? Can you rank them accor</w:t>
      </w:r>
      <w:r>
        <w:rPr>
          <w:rFonts w:ascii="Times New Roman" w:hAnsi="Times New Roman"/>
          <w:b/>
          <w:bCs/>
          <w:noProof/>
          <w:sz w:val="24"/>
          <w:szCs w:val="24"/>
          <w:lang w:val="en-US"/>
        </w:rPr>
        <w:t xml:space="preserve">ding to their importance? </w:t>
      </w:r>
    </w:p>
    <w:p w:rsidR="00AB50C5" w:rsidRDefault="00724275">
      <w:pPr>
        <w:pStyle w:val="EText"/>
        <w:spacing w:line="240" w:lineRule="auto"/>
        <w:rPr>
          <w:rFonts w:ascii="Times New Roman" w:hAnsi="Times New Roman"/>
          <w:noProof/>
          <w:sz w:val="24"/>
          <w:szCs w:val="24"/>
        </w:rPr>
      </w:pPr>
      <w:r>
        <w:rPr>
          <w:rFonts w:ascii="Times New Roman" w:hAnsi="Times New Roman"/>
          <w:noProof/>
          <w:sz w:val="24"/>
          <w:szCs w:val="24"/>
          <w:lang w:val="en-US"/>
        </w:rPr>
        <w:t>The reluctance of the Greek public opinion towards the reuse due to perceived health risk effect and the fact that there is currently a relative sufficiency of irrigation water available in the country due to other techniques (ri</w:t>
      </w:r>
      <w:r>
        <w:rPr>
          <w:rFonts w:ascii="Times New Roman" w:hAnsi="Times New Roman"/>
          <w:noProof/>
          <w:sz w:val="24"/>
          <w:szCs w:val="24"/>
          <w:lang w:val="en-US"/>
        </w:rPr>
        <w:t xml:space="preserve">ver dams, artificial lakes for the collection of rain water etc). According to the experts from Murcia if the new </w:t>
      </w:r>
      <w:r>
        <w:rPr>
          <w:rFonts w:ascii="Times New Roman" w:hAnsi="Times New Roman"/>
          <w:noProof/>
          <w:sz w:val="24"/>
          <w:szCs w:val="24"/>
        </w:rPr>
        <w:t xml:space="preserve">minimum requirements would be more restrictive than the previous ones this will result that in some regions of the EU there will be a need to </w:t>
      </w:r>
      <w:r>
        <w:rPr>
          <w:rFonts w:ascii="Times New Roman" w:hAnsi="Times New Roman"/>
          <w:noProof/>
          <w:sz w:val="24"/>
          <w:szCs w:val="24"/>
        </w:rPr>
        <w:t>invest in existing and new waste water reuse treatments to reach the new requirements, which will lead to adoption of extraordinary charges for the local communities.</w:t>
      </w:r>
    </w:p>
    <w:p w:rsidR="00AB50C5" w:rsidRDefault="00724275">
      <w:pPr>
        <w:pStyle w:val="EText"/>
        <w:spacing w:line="240" w:lineRule="auto"/>
        <w:rPr>
          <w:rFonts w:ascii="Times New Roman" w:hAnsi="Times New Roman"/>
          <w:noProof/>
          <w:sz w:val="24"/>
          <w:szCs w:val="24"/>
        </w:rPr>
      </w:pPr>
      <w:r>
        <w:rPr>
          <w:rFonts w:ascii="Times New Roman" w:hAnsi="Times New Roman"/>
          <w:noProof/>
          <w:sz w:val="24"/>
          <w:szCs w:val="24"/>
        </w:rPr>
        <w:t>In Murcia region they perceive as the main barrier for agricultural irrigation the percep</w:t>
      </w:r>
      <w:r>
        <w:rPr>
          <w:rFonts w:ascii="Times New Roman" w:hAnsi="Times New Roman"/>
          <w:noProof/>
          <w:sz w:val="24"/>
          <w:szCs w:val="24"/>
        </w:rPr>
        <w:t>tion of other EU countries consumers, that don´t have confidence in the reclaimed water quality because of lack of knowledge about it .</w:t>
      </w:r>
    </w:p>
    <w:p w:rsidR="00AB50C5" w:rsidRDefault="00724275">
      <w:pPr>
        <w:pStyle w:val="EText"/>
        <w:spacing w:line="240" w:lineRule="auto"/>
        <w:rPr>
          <w:rFonts w:ascii="Times New Roman" w:hAnsi="Times New Roman"/>
          <w:noProof/>
          <w:sz w:val="24"/>
          <w:szCs w:val="24"/>
        </w:rPr>
      </w:pPr>
      <w:r>
        <w:rPr>
          <w:rFonts w:ascii="Times New Roman" w:hAnsi="Times New Roman"/>
          <w:noProof/>
          <w:sz w:val="24"/>
          <w:szCs w:val="24"/>
        </w:rPr>
        <w:t>In Murcia City they perceive as barrier the new investment that they anticipate as needed to comply with the new minimum</w:t>
      </w:r>
      <w:r>
        <w:rPr>
          <w:rFonts w:ascii="Times New Roman" w:hAnsi="Times New Roman"/>
          <w:noProof/>
          <w:sz w:val="24"/>
          <w:szCs w:val="24"/>
        </w:rPr>
        <w:t xml:space="preserve"> quality requirements for reused water</w:t>
      </w:r>
      <w:r>
        <w:rPr>
          <w:rFonts w:ascii="Times New Roman" w:hAnsi="Times New Roman"/>
          <w:noProof/>
          <w:sz w:val="24"/>
          <w:szCs w:val="24"/>
        </w:rPr>
        <w:br/>
        <w:t xml:space="preserve">in agricultural irrigation and aquifer recharge that according to their estimates would amount to 870,000 € per 1 Hm3/year. At this cost they add the infrastructures needed to bring the reused water from the plant to </w:t>
      </w:r>
      <w:r>
        <w:rPr>
          <w:rFonts w:ascii="Times New Roman" w:hAnsi="Times New Roman"/>
          <w:noProof/>
          <w:sz w:val="24"/>
          <w:szCs w:val="24"/>
        </w:rPr>
        <w:t xml:space="preserve">the gardens (building a new irrigation network for water urban gardens: 5.950.000€.) </w:t>
      </w:r>
    </w:p>
    <w:p w:rsidR="00AB50C5" w:rsidRDefault="00724275">
      <w:pPr>
        <w:pStyle w:val="ETextNoSpacing"/>
        <w:spacing w:line="240" w:lineRule="auto"/>
        <w:rPr>
          <w:rFonts w:ascii="Times New Roman" w:hAnsi="Times New Roman"/>
          <w:noProof/>
          <w:sz w:val="24"/>
          <w:szCs w:val="24"/>
        </w:rPr>
      </w:pPr>
      <w:r>
        <w:rPr>
          <w:rFonts w:ascii="Times New Roman" w:hAnsi="Times New Roman"/>
          <w:noProof/>
          <w:sz w:val="24"/>
          <w:szCs w:val="24"/>
        </w:rPr>
        <w:t>In Algarve/Portugal the following barriers have been identified:</w:t>
      </w:r>
    </w:p>
    <w:p w:rsidR="00AB50C5" w:rsidRDefault="00724275">
      <w:pPr>
        <w:pStyle w:val="EBP1"/>
        <w:spacing w:line="240" w:lineRule="auto"/>
        <w:ind w:left="567"/>
        <w:rPr>
          <w:rFonts w:ascii="Times New Roman" w:hAnsi="Times New Roman"/>
          <w:noProof/>
          <w:sz w:val="24"/>
          <w:szCs w:val="24"/>
          <w:lang w:val="en-US"/>
        </w:rPr>
      </w:pPr>
      <w:r>
        <w:rPr>
          <w:rFonts w:ascii="Times New Roman" w:hAnsi="Times New Roman"/>
          <w:noProof/>
          <w:sz w:val="24"/>
          <w:szCs w:val="24"/>
          <w:lang w:val="en-US"/>
        </w:rPr>
        <w:t>Distances between the point of production and point of end-use;</w:t>
      </w:r>
    </w:p>
    <w:p w:rsidR="00AB50C5" w:rsidRDefault="00724275">
      <w:pPr>
        <w:pStyle w:val="EBP1"/>
        <w:spacing w:line="240" w:lineRule="auto"/>
        <w:ind w:left="567"/>
        <w:rPr>
          <w:rFonts w:ascii="Times New Roman" w:hAnsi="Times New Roman"/>
          <w:noProof/>
          <w:sz w:val="24"/>
          <w:szCs w:val="24"/>
          <w:lang w:val="en-US"/>
        </w:rPr>
      </w:pPr>
      <w:r>
        <w:rPr>
          <w:rFonts w:ascii="Times New Roman" w:hAnsi="Times New Roman"/>
          <w:noProof/>
          <w:sz w:val="24"/>
          <w:szCs w:val="24"/>
          <w:lang w:val="en-US"/>
        </w:rPr>
        <w:t>Public authorities acceptance (e.g. healt</w:t>
      </w:r>
      <w:r>
        <w:rPr>
          <w:rFonts w:ascii="Times New Roman" w:hAnsi="Times New Roman"/>
          <w:noProof/>
          <w:sz w:val="24"/>
          <w:szCs w:val="24"/>
          <w:lang w:val="en-US"/>
        </w:rPr>
        <w:t>h, agriculture and municipal authorities);</w:t>
      </w:r>
    </w:p>
    <w:p w:rsidR="00AB50C5" w:rsidRDefault="00724275">
      <w:pPr>
        <w:pStyle w:val="EBP1"/>
        <w:spacing w:line="240" w:lineRule="auto"/>
        <w:ind w:left="567"/>
        <w:rPr>
          <w:rFonts w:ascii="Times New Roman" w:hAnsi="Times New Roman"/>
          <w:noProof/>
          <w:sz w:val="24"/>
          <w:szCs w:val="24"/>
          <w:lang w:val="en-US"/>
        </w:rPr>
      </w:pPr>
      <w:r>
        <w:rPr>
          <w:rFonts w:ascii="Times New Roman" w:hAnsi="Times New Roman"/>
          <w:noProof/>
          <w:sz w:val="24"/>
          <w:szCs w:val="24"/>
          <w:lang w:val="en-US"/>
        </w:rPr>
        <w:t>Costs associated with some need to increase the treatment level and monitoring;</w:t>
      </w:r>
    </w:p>
    <w:p w:rsidR="00AB50C5" w:rsidRDefault="00724275">
      <w:pPr>
        <w:pStyle w:val="EBP1"/>
        <w:spacing w:line="240" w:lineRule="auto"/>
        <w:ind w:left="567"/>
        <w:rPr>
          <w:rFonts w:ascii="Times New Roman" w:hAnsi="Times New Roman"/>
          <w:noProof/>
          <w:sz w:val="24"/>
          <w:szCs w:val="24"/>
          <w:lang w:val="en-US"/>
        </w:rPr>
      </w:pPr>
      <w:r>
        <w:rPr>
          <w:rFonts w:ascii="Times New Roman" w:hAnsi="Times New Roman"/>
          <w:noProof/>
          <w:sz w:val="24"/>
          <w:szCs w:val="24"/>
          <w:lang w:val="en-US"/>
        </w:rPr>
        <w:t xml:space="preserve">Public acceptance (namely, when other water sources are available at a lower price, such as groundwater). </w:t>
      </w:r>
    </w:p>
    <w:p w:rsidR="00AB50C5" w:rsidRDefault="00724275">
      <w:pPr>
        <w:pStyle w:val="EText"/>
        <w:spacing w:line="240" w:lineRule="auto"/>
        <w:rPr>
          <w:rFonts w:ascii="Times New Roman" w:eastAsiaTheme="minorHAnsi" w:hAnsi="Times New Roman"/>
          <w:noProof/>
          <w:sz w:val="24"/>
          <w:szCs w:val="24"/>
          <w:lang w:val="en-US" w:eastAsia="en-US"/>
        </w:rPr>
      </w:pPr>
      <w:r>
        <w:rPr>
          <w:rFonts w:ascii="Times New Roman" w:hAnsi="Times New Roman"/>
          <w:noProof/>
          <w:sz w:val="24"/>
          <w:szCs w:val="24"/>
          <w:lang w:val="en-US"/>
        </w:rPr>
        <w:t xml:space="preserve">From a Romanian point of </w:t>
      </w:r>
      <w:r>
        <w:rPr>
          <w:rFonts w:ascii="Times New Roman" w:hAnsi="Times New Roman"/>
          <w:noProof/>
          <w:sz w:val="24"/>
          <w:szCs w:val="24"/>
          <w:lang w:val="en-US"/>
        </w:rPr>
        <w:t>view a l</w:t>
      </w:r>
      <w:r>
        <w:rPr>
          <w:rFonts w:ascii="Times New Roman" w:eastAsiaTheme="minorHAnsi" w:hAnsi="Times New Roman"/>
          <w:noProof/>
          <w:sz w:val="24"/>
          <w:szCs w:val="24"/>
          <w:lang w:val="en-US"/>
        </w:rPr>
        <w:t>egislative barrier may arise since the prevention principle is basic for both environmental and health legislation (minimum quality requirements for water reuse should reflect this concern and guarantee the safety of reuse). On the other hand WFD d</w:t>
      </w:r>
      <w:r>
        <w:rPr>
          <w:rFonts w:ascii="Times New Roman" w:eastAsiaTheme="minorHAnsi" w:hAnsi="Times New Roman"/>
          <w:noProof/>
          <w:sz w:val="24"/>
          <w:szCs w:val="24"/>
          <w:lang w:val="en-US"/>
        </w:rPr>
        <w:t xml:space="preserve">o not allow the injection of waste water into the aquifers. In addition they consider </w:t>
      </w:r>
      <w:r>
        <w:rPr>
          <w:rFonts w:ascii="Times New Roman" w:eastAsiaTheme="minorHAnsi" w:hAnsi="Times New Roman"/>
          <w:noProof/>
          <w:sz w:val="24"/>
          <w:szCs w:val="24"/>
          <w:lang w:val="en-US" w:eastAsia="en-US"/>
        </w:rPr>
        <w:t>the price</w:t>
      </w:r>
      <w:r>
        <w:rPr>
          <w:rFonts w:ascii="Times New Roman" w:eastAsiaTheme="minorHAnsi" w:hAnsi="Times New Roman"/>
          <w:noProof/>
          <w:sz w:val="24"/>
          <w:szCs w:val="24"/>
          <w:lang w:val="en-US"/>
        </w:rPr>
        <w:t xml:space="preserve"> as potential e</w:t>
      </w:r>
      <w:r>
        <w:rPr>
          <w:rFonts w:ascii="Times New Roman" w:eastAsiaTheme="minorHAnsi" w:hAnsi="Times New Roman"/>
          <w:noProof/>
          <w:sz w:val="24"/>
          <w:szCs w:val="24"/>
          <w:lang w:val="en-US" w:eastAsia="en-US"/>
        </w:rPr>
        <w:t xml:space="preserve">conomic barrier. Good quality water should be available at a low price. Water monitoring costs will increase. Last but now least according to the </w:t>
      </w:r>
      <w:r>
        <w:rPr>
          <w:rFonts w:ascii="Times New Roman" w:eastAsiaTheme="minorHAnsi" w:hAnsi="Times New Roman"/>
          <w:noProof/>
          <w:sz w:val="24"/>
          <w:szCs w:val="24"/>
          <w:lang w:val="en-US" w:eastAsia="en-US"/>
        </w:rPr>
        <w:t xml:space="preserve">Romanian expert citizen’s acceptance (as consumer of goods irrigated with reused water and drinking water from the aquifers) is very low. </w:t>
      </w:r>
    </w:p>
    <w:p w:rsidR="00AB50C5" w:rsidRDefault="00724275">
      <w:pPr>
        <w:pStyle w:val="EText"/>
        <w:spacing w:line="240" w:lineRule="auto"/>
        <w:rPr>
          <w:rFonts w:ascii="Times New Roman" w:hAnsi="Times New Roman"/>
          <w:noProof/>
          <w:sz w:val="24"/>
          <w:szCs w:val="24"/>
          <w:lang w:val="en-US"/>
        </w:rPr>
      </w:pPr>
      <w:r>
        <w:rPr>
          <w:rFonts w:ascii="Times New Roman" w:hAnsi="Times New Roman"/>
          <w:noProof/>
          <w:sz w:val="24"/>
          <w:szCs w:val="24"/>
          <w:lang w:val="en-US"/>
        </w:rPr>
        <w:t>As there is no general need for water reuse in Germany, one cannot speak about “barriers” to its uptake. There is a l</w:t>
      </w:r>
      <w:r>
        <w:rPr>
          <w:rFonts w:ascii="Times New Roman" w:hAnsi="Times New Roman"/>
          <w:noProof/>
          <w:sz w:val="24"/>
          <w:szCs w:val="24"/>
          <w:lang w:val="en-US"/>
        </w:rPr>
        <w:t>ack of assessment criteria for unregulated substances that might be present in wastewater such as pollutants or microbiological contaminants that can impose a threat to groundwater quality when used for recharge or might adversely affect the soil. No quali</w:t>
      </w:r>
      <w:r>
        <w:rPr>
          <w:rFonts w:ascii="Times New Roman" w:hAnsi="Times New Roman"/>
          <w:noProof/>
          <w:sz w:val="24"/>
          <w:szCs w:val="24"/>
          <w:lang w:val="en-US"/>
        </w:rPr>
        <w:t xml:space="preserve">ty standards for agricultural products irrigated with reclaimed water are in place. </w:t>
      </w:r>
    </w:p>
    <w:p w:rsidR="00AB50C5" w:rsidRDefault="00724275">
      <w:pPr>
        <w:pStyle w:val="EBP1"/>
        <w:spacing w:line="240" w:lineRule="auto"/>
        <w:ind w:left="567"/>
        <w:rPr>
          <w:rFonts w:ascii="Times New Roman" w:hAnsi="Times New Roman"/>
          <w:b/>
          <w:bCs/>
          <w:noProof/>
          <w:sz w:val="24"/>
          <w:szCs w:val="24"/>
          <w:lang w:val="en-US"/>
        </w:rPr>
      </w:pPr>
      <w:r>
        <w:rPr>
          <w:rFonts w:ascii="Times New Roman" w:hAnsi="Times New Roman"/>
          <w:b/>
          <w:bCs/>
          <w:noProof/>
          <w:sz w:val="24"/>
          <w:szCs w:val="24"/>
          <w:lang w:val="en-US"/>
        </w:rPr>
        <w:t>Are there minimum quality requirements for water reuse that apply to agricultural irrigation/aquifer recharge in your country/region/city? Do you consider them appropriate</w:t>
      </w:r>
      <w:r>
        <w:rPr>
          <w:rFonts w:ascii="Times New Roman" w:hAnsi="Times New Roman"/>
          <w:b/>
          <w:bCs/>
          <w:noProof/>
          <w:sz w:val="24"/>
          <w:szCs w:val="24"/>
          <w:lang w:val="en-US"/>
        </w:rPr>
        <w:t xml:space="preserve"> as regards health and environment safety? Do you consider them a barrier to a wider uptake of water reuse and why? </w:t>
      </w:r>
    </w:p>
    <w:p w:rsidR="00AB50C5" w:rsidRDefault="00724275">
      <w:pPr>
        <w:pStyle w:val="EText"/>
        <w:spacing w:line="240" w:lineRule="auto"/>
        <w:rPr>
          <w:rFonts w:ascii="Times New Roman" w:hAnsi="Times New Roman"/>
          <w:noProof/>
          <w:sz w:val="24"/>
          <w:szCs w:val="24"/>
        </w:rPr>
      </w:pPr>
      <w:r>
        <w:rPr>
          <w:rFonts w:ascii="Times New Roman" w:hAnsi="Times New Roman"/>
          <w:noProof/>
          <w:sz w:val="24"/>
          <w:szCs w:val="24"/>
          <w:lang w:val="en-US"/>
        </w:rPr>
        <w:t>In Greece there are no official minimum quality requirements for reused water. The ones that exist are far from being minimum. The existing</w:t>
      </w:r>
      <w:r>
        <w:rPr>
          <w:rFonts w:ascii="Times New Roman" w:hAnsi="Times New Roman"/>
          <w:noProof/>
          <w:sz w:val="24"/>
          <w:szCs w:val="24"/>
          <w:lang w:val="en-US"/>
        </w:rPr>
        <w:t xml:space="preserve"> guidelines cannot help the farmer to accomplish the so called “safe reuse” as the health risk so far, has not been possible to be faced successfully. For the time being the wastewaters are not used for aquifer recharge in Greece. The minimum requirements,</w:t>
      </w:r>
      <w:r>
        <w:rPr>
          <w:rFonts w:ascii="Times New Roman" w:hAnsi="Times New Roman"/>
          <w:noProof/>
          <w:sz w:val="24"/>
          <w:szCs w:val="24"/>
          <w:lang w:val="en-US"/>
        </w:rPr>
        <w:t xml:space="preserve"> especially with regard to the wastewater heavy metal concentration are not considered appropriate as regards health and environmental protection</w:t>
      </w:r>
      <w:r>
        <w:rPr>
          <w:rFonts w:ascii="Times New Roman" w:hAnsi="Times New Roman"/>
          <w:b/>
          <w:noProof/>
          <w:sz w:val="24"/>
          <w:szCs w:val="24"/>
          <w:lang w:val="en-US"/>
        </w:rPr>
        <w:t>.</w:t>
      </w:r>
      <w:r>
        <w:rPr>
          <w:rFonts w:ascii="Times New Roman" w:hAnsi="Times New Roman"/>
          <w:noProof/>
          <w:sz w:val="24"/>
          <w:szCs w:val="24"/>
        </w:rPr>
        <w:t xml:space="preserve"> </w:t>
      </w:r>
    </w:p>
    <w:p w:rsidR="00AB50C5" w:rsidRDefault="00724275">
      <w:pPr>
        <w:pStyle w:val="EText"/>
        <w:spacing w:line="240" w:lineRule="auto"/>
        <w:rPr>
          <w:rFonts w:ascii="Times New Roman" w:hAnsi="Times New Roman"/>
          <w:noProof/>
          <w:sz w:val="24"/>
          <w:szCs w:val="24"/>
        </w:rPr>
      </w:pPr>
      <w:r>
        <w:rPr>
          <w:rFonts w:ascii="Times New Roman" w:hAnsi="Times New Roman"/>
          <w:noProof/>
          <w:sz w:val="24"/>
          <w:szCs w:val="24"/>
        </w:rPr>
        <w:t>Spain already has a regulation to regulate the requirements of the purified water for its reuse according to</w:t>
      </w:r>
      <w:r>
        <w:rPr>
          <w:rFonts w:ascii="Times New Roman" w:hAnsi="Times New Roman"/>
          <w:noProof/>
          <w:sz w:val="24"/>
          <w:szCs w:val="24"/>
        </w:rPr>
        <w:t xml:space="preserve"> the different uses, called Royal Decree that establishes the legal regime of the reutilization of reclaimed waters. According to the Murcia Region expert the requirements they have are considered adequate to assure health and environment safety, because t</w:t>
      </w:r>
      <w:r>
        <w:rPr>
          <w:rFonts w:ascii="Times New Roman" w:hAnsi="Times New Roman"/>
          <w:noProof/>
          <w:sz w:val="24"/>
          <w:szCs w:val="24"/>
        </w:rPr>
        <w:t>o their knowledge there were no epidemiological problems in all these years anywhere. They believe that stricter conditions - if they are affordable - can improve the consumers' confidence. The min. quality requirements may become a barrier if they are str</w:t>
      </w:r>
      <w:r>
        <w:rPr>
          <w:rFonts w:ascii="Times New Roman" w:hAnsi="Times New Roman"/>
          <w:noProof/>
          <w:sz w:val="24"/>
          <w:szCs w:val="24"/>
        </w:rPr>
        <w:t>icter that the ones already in place in Spain since the treatment price will become a barrier, but food health is also important according to the Murcia Region expert.</w:t>
      </w:r>
    </w:p>
    <w:p w:rsidR="00AB50C5" w:rsidRDefault="00724275">
      <w:pPr>
        <w:pStyle w:val="EText"/>
        <w:spacing w:line="240" w:lineRule="auto"/>
        <w:rPr>
          <w:rFonts w:ascii="Times New Roman" w:hAnsi="Times New Roman"/>
          <w:noProof/>
          <w:sz w:val="24"/>
          <w:szCs w:val="24"/>
        </w:rPr>
      </w:pPr>
      <w:r>
        <w:rPr>
          <w:rFonts w:ascii="Times New Roman" w:hAnsi="Times New Roman"/>
          <w:noProof/>
          <w:sz w:val="24"/>
          <w:szCs w:val="24"/>
        </w:rPr>
        <w:t>In Portugal there are national standards for waste water but they are not binding. Howev</w:t>
      </w:r>
      <w:r>
        <w:rPr>
          <w:rFonts w:ascii="Times New Roman" w:hAnsi="Times New Roman"/>
          <w:noProof/>
          <w:sz w:val="24"/>
          <w:szCs w:val="24"/>
        </w:rPr>
        <w:t>er, a permit is needed for water reuse and in that procedure binding quality standards are applied in a case-by-case approach according the use, the barriers in presence, the vulnerability/sensitivity of the surrounding environment (soils and water bodies)</w:t>
      </w:r>
      <w:r>
        <w:rPr>
          <w:rFonts w:ascii="Times New Roman" w:hAnsi="Times New Roman"/>
          <w:noProof/>
          <w:sz w:val="24"/>
          <w:szCs w:val="24"/>
        </w:rPr>
        <w:t xml:space="preserve"> and the risks to public health and environment (and crops in agriculture irrigation). In resume, binding values are defined in permits through a fit-for-purpose approach. </w:t>
      </w:r>
    </w:p>
    <w:p w:rsidR="00AB50C5" w:rsidRDefault="00724275">
      <w:pPr>
        <w:pStyle w:val="EText"/>
        <w:spacing w:line="240" w:lineRule="auto"/>
        <w:rPr>
          <w:rFonts w:ascii="Times New Roman" w:hAnsi="Times New Roman"/>
          <w:noProof/>
          <w:sz w:val="24"/>
          <w:szCs w:val="24"/>
        </w:rPr>
      </w:pPr>
      <w:r>
        <w:rPr>
          <w:rFonts w:ascii="Times New Roman" w:hAnsi="Times New Roman"/>
          <w:noProof/>
          <w:sz w:val="24"/>
          <w:szCs w:val="24"/>
        </w:rPr>
        <w:t>There no minimum quality requirements for water reuse that apply to agricultural ir</w:t>
      </w:r>
      <w:r>
        <w:rPr>
          <w:rFonts w:ascii="Times New Roman" w:hAnsi="Times New Roman"/>
          <w:noProof/>
          <w:sz w:val="24"/>
          <w:szCs w:val="24"/>
        </w:rPr>
        <w:t>rigation/aquifer recharge in Romania. For the time being there is no treated waste water reuse in agriculture irrigation and aquifer recharge in Romania and there are no minimum quality requirements in place. At this stage (JRC study) Romania considers set</w:t>
      </w:r>
      <w:r>
        <w:rPr>
          <w:rFonts w:ascii="Times New Roman" w:hAnsi="Times New Roman"/>
          <w:noProof/>
          <w:sz w:val="24"/>
          <w:szCs w:val="24"/>
        </w:rPr>
        <w:t xml:space="preserve">ting quality requirements for reuse of waste of water as problematic/not appropriate as regards health and environment safety, especially concerning aquifer recharge. </w:t>
      </w:r>
    </w:p>
    <w:p w:rsidR="00AB50C5" w:rsidRDefault="00724275">
      <w:pPr>
        <w:pStyle w:val="EText"/>
        <w:spacing w:line="240" w:lineRule="auto"/>
        <w:rPr>
          <w:rFonts w:ascii="Times New Roman" w:hAnsi="Times New Roman"/>
          <w:noProof/>
          <w:sz w:val="24"/>
          <w:szCs w:val="24"/>
        </w:rPr>
      </w:pPr>
      <w:r>
        <w:rPr>
          <w:rFonts w:ascii="Times New Roman" w:hAnsi="Times New Roman"/>
          <w:noProof/>
          <w:sz w:val="24"/>
          <w:szCs w:val="24"/>
        </w:rPr>
        <w:t>In Germany precautionary principle and prohibition of deterioration (WFD, GWD) are guidi</w:t>
      </w:r>
      <w:r>
        <w:rPr>
          <w:rFonts w:ascii="Times New Roman" w:hAnsi="Times New Roman"/>
          <w:noProof/>
          <w:sz w:val="24"/>
          <w:szCs w:val="24"/>
        </w:rPr>
        <w:t>ng principles for water resource management. There are no explicit quality requirements for water reuse as there is no overall need for this practice. There are norms for hygienic aspects of any irrigation water (DIN 19650) not specifically addressing recl</w:t>
      </w:r>
      <w:r>
        <w:rPr>
          <w:rFonts w:ascii="Times New Roman" w:hAnsi="Times New Roman"/>
          <w:noProof/>
          <w:sz w:val="24"/>
          <w:szCs w:val="24"/>
        </w:rPr>
        <w:t>aimed water.</w:t>
      </w:r>
    </w:p>
    <w:p w:rsidR="00AB50C5" w:rsidRDefault="00724275">
      <w:pPr>
        <w:pStyle w:val="EText"/>
        <w:spacing w:line="240" w:lineRule="auto"/>
        <w:rPr>
          <w:rFonts w:ascii="Times New Roman" w:hAnsi="Times New Roman"/>
          <w:noProof/>
          <w:sz w:val="24"/>
          <w:szCs w:val="24"/>
        </w:rPr>
      </w:pPr>
      <w:r>
        <w:rPr>
          <w:rFonts w:ascii="Times New Roman" w:hAnsi="Times New Roman"/>
          <w:noProof/>
          <w:sz w:val="24"/>
          <w:szCs w:val="24"/>
        </w:rPr>
        <w:t xml:space="preserve">For groundwater recharge quality thresholds of the Groundwater Ordinance (GrwV) would be the yardstick. Groundwater recharge would need a permit complying with national and federal water rights. In due course of issuing a permit, § 48 WHG and </w:t>
      </w:r>
      <w:r>
        <w:rPr>
          <w:rFonts w:ascii="Times New Roman" w:hAnsi="Times New Roman"/>
          <w:noProof/>
          <w:sz w:val="24"/>
          <w:szCs w:val="24"/>
        </w:rPr>
        <w:t xml:space="preserve">local circumstances will require an in-depth assessment and will lead to individual preconditions for the recharge activity. </w:t>
      </w:r>
    </w:p>
    <w:p w:rsidR="00AB50C5" w:rsidRDefault="00724275">
      <w:pPr>
        <w:pStyle w:val="EText"/>
        <w:spacing w:line="240" w:lineRule="auto"/>
        <w:rPr>
          <w:rFonts w:ascii="Times New Roman" w:hAnsi="Times New Roman"/>
          <w:noProof/>
          <w:sz w:val="24"/>
          <w:szCs w:val="24"/>
        </w:rPr>
      </w:pPr>
      <w:r>
        <w:rPr>
          <w:rFonts w:ascii="Times New Roman" w:hAnsi="Times New Roman"/>
          <w:noProof/>
          <w:sz w:val="24"/>
          <w:szCs w:val="24"/>
        </w:rPr>
        <w:t>The Federal Soil Protection Act and the Federal Soil Protection and Contaminated Sites Ordinance have the purpose to sustainably s</w:t>
      </w:r>
      <w:r>
        <w:rPr>
          <w:rFonts w:ascii="Times New Roman" w:hAnsi="Times New Roman"/>
          <w:noProof/>
          <w:sz w:val="24"/>
          <w:szCs w:val="24"/>
        </w:rPr>
        <w:t xml:space="preserve">ecure or restore soil functions. Negative effects on soil must be avoided, and such negative effects on soils must be rehabilitated. </w:t>
      </w:r>
    </w:p>
    <w:p w:rsidR="00AB50C5" w:rsidRDefault="00724275">
      <w:pPr>
        <w:pStyle w:val="EBP1"/>
        <w:spacing w:line="240" w:lineRule="auto"/>
        <w:ind w:left="567"/>
        <w:rPr>
          <w:rFonts w:ascii="Times New Roman" w:hAnsi="Times New Roman"/>
          <w:b/>
          <w:bCs/>
          <w:noProof/>
          <w:sz w:val="24"/>
          <w:szCs w:val="24"/>
          <w:lang w:val="en-US"/>
        </w:rPr>
      </w:pPr>
      <w:r>
        <w:rPr>
          <w:rFonts w:ascii="Times New Roman" w:hAnsi="Times New Roman"/>
          <w:b/>
          <w:bCs/>
          <w:noProof/>
          <w:sz w:val="24"/>
          <w:szCs w:val="24"/>
          <w:lang w:val="en-US"/>
        </w:rPr>
        <w:t xml:space="preserve">Does size and geographic location of the municipalities/regions provide barriers to effective enforcement of the minimum requirements? How is your region/city handling the requirement of certifying the quality of the waste water and monitoring the respect </w:t>
      </w:r>
      <w:r>
        <w:rPr>
          <w:rFonts w:ascii="Times New Roman" w:hAnsi="Times New Roman"/>
          <w:b/>
          <w:bCs/>
          <w:noProof/>
          <w:sz w:val="24"/>
          <w:szCs w:val="24"/>
          <w:lang w:val="en-US"/>
        </w:rPr>
        <w:t xml:space="preserve">of the minimum requirements, if any? </w:t>
      </w:r>
    </w:p>
    <w:p w:rsidR="00AB50C5" w:rsidRDefault="00724275">
      <w:pPr>
        <w:pStyle w:val="EText"/>
        <w:spacing w:line="240" w:lineRule="auto"/>
        <w:rPr>
          <w:rFonts w:ascii="Times New Roman" w:hAnsi="Times New Roman"/>
          <w:noProof/>
          <w:sz w:val="24"/>
          <w:szCs w:val="24"/>
          <w:lang w:val="en-US"/>
        </w:rPr>
      </w:pPr>
      <w:r>
        <w:rPr>
          <w:rFonts w:ascii="Times New Roman" w:hAnsi="Times New Roman"/>
          <w:noProof/>
          <w:sz w:val="24"/>
          <w:szCs w:val="24"/>
          <w:lang w:val="en-US"/>
        </w:rPr>
        <w:t xml:space="preserve">According to the Greek expert the size of the Municipality could provide barriers for effective enforcement of the minimum requirement. If is something that the expert from Murcia Region shares as an opinion since for </w:t>
      </w:r>
      <w:r>
        <w:rPr>
          <w:rFonts w:ascii="Times New Roman" w:hAnsi="Times New Roman"/>
          <w:noProof/>
          <w:sz w:val="24"/>
          <w:szCs w:val="24"/>
          <w:lang w:val="en-US"/>
        </w:rPr>
        <w:t xml:space="preserve">a </w:t>
      </w:r>
      <w:r>
        <w:rPr>
          <w:rFonts w:ascii="Times New Roman" w:hAnsi="Times New Roman"/>
          <w:noProof/>
          <w:sz w:val="24"/>
          <w:szCs w:val="24"/>
        </w:rPr>
        <w:t xml:space="preserve">small WWTPs is difficult to guarantee too strict requirements. A differentiated approach for small size WWTPs should be taken into account. In addition according to the Greek expert </w:t>
      </w:r>
      <w:r>
        <w:rPr>
          <w:rFonts w:ascii="Times New Roman" w:hAnsi="Times New Roman"/>
          <w:noProof/>
          <w:sz w:val="24"/>
          <w:szCs w:val="24"/>
          <w:lang w:val="en-US"/>
        </w:rPr>
        <w:t>the geographic location may impose barriers if the waste water treatment</w:t>
      </w:r>
      <w:r>
        <w:rPr>
          <w:rFonts w:ascii="Times New Roman" w:hAnsi="Times New Roman"/>
          <w:noProof/>
          <w:sz w:val="24"/>
          <w:szCs w:val="24"/>
          <w:lang w:val="en-US"/>
        </w:rPr>
        <w:t xml:space="preserve"> plant is far away from the site of wastewater application as it may increase the cost of transportation.</w:t>
      </w:r>
    </w:p>
    <w:p w:rsidR="00AB50C5" w:rsidRDefault="00724275">
      <w:pPr>
        <w:pStyle w:val="EText"/>
        <w:spacing w:line="240" w:lineRule="auto"/>
        <w:rPr>
          <w:rFonts w:ascii="Times New Roman" w:hAnsi="Times New Roman"/>
          <w:noProof/>
          <w:sz w:val="24"/>
          <w:szCs w:val="24"/>
        </w:rPr>
      </w:pPr>
      <w:r>
        <w:rPr>
          <w:rFonts w:ascii="Times New Roman" w:hAnsi="Times New Roman"/>
          <w:noProof/>
          <w:sz w:val="24"/>
          <w:szCs w:val="24"/>
        </w:rPr>
        <w:t xml:space="preserve">In Spain the minimum requirements are controlled by the Health Authority and also Regional Sanitation Authority controls the correct operation of the </w:t>
      </w:r>
      <w:r>
        <w:rPr>
          <w:rFonts w:ascii="Times New Roman" w:hAnsi="Times New Roman"/>
          <w:noProof/>
          <w:sz w:val="24"/>
          <w:szCs w:val="24"/>
        </w:rPr>
        <w:t>facilities.</w:t>
      </w:r>
    </w:p>
    <w:p w:rsidR="00AB50C5" w:rsidRDefault="00724275">
      <w:pPr>
        <w:pStyle w:val="EText"/>
        <w:spacing w:line="240" w:lineRule="auto"/>
        <w:rPr>
          <w:rFonts w:ascii="Times New Roman" w:eastAsiaTheme="minorHAnsi" w:hAnsi="Times New Roman"/>
          <w:noProof/>
          <w:sz w:val="24"/>
          <w:szCs w:val="24"/>
          <w:lang w:val="en-US" w:eastAsia="en-US"/>
        </w:rPr>
      </w:pPr>
      <w:r>
        <w:rPr>
          <w:rFonts w:ascii="Times New Roman" w:eastAsiaTheme="minorHAnsi" w:hAnsi="Times New Roman"/>
          <w:noProof/>
          <w:sz w:val="24"/>
          <w:szCs w:val="24"/>
          <w:lang w:val="en-US" w:eastAsia="en-US"/>
        </w:rPr>
        <w:t>Size of municipalities and geographic location of waste water treatment plants in Romania were not studied related to water reuse.</w:t>
      </w:r>
    </w:p>
    <w:p w:rsidR="00AB50C5" w:rsidRDefault="00724275">
      <w:pPr>
        <w:pStyle w:val="EBP1"/>
        <w:spacing w:line="240" w:lineRule="auto"/>
        <w:ind w:left="567"/>
        <w:rPr>
          <w:rFonts w:ascii="Times New Roman" w:hAnsi="Times New Roman"/>
          <w:b/>
          <w:bCs/>
          <w:noProof/>
          <w:sz w:val="24"/>
          <w:szCs w:val="24"/>
          <w:lang w:val="en-US"/>
        </w:rPr>
      </w:pPr>
      <w:r>
        <w:rPr>
          <w:rFonts w:ascii="Times New Roman" w:hAnsi="Times New Roman"/>
          <w:b/>
          <w:bCs/>
          <w:noProof/>
          <w:sz w:val="24"/>
          <w:szCs w:val="24"/>
          <w:lang w:val="en-US"/>
        </w:rPr>
        <w:t>Do you think the difference in minimum quality requirements across the EU is a barrier to a wider uptake of water</w:t>
      </w:r>
      <w:r>
        <w:rPr>
          <w:rFonts w:ascii="Times New Roman" w:hAnsi="Times New Roman"/>
          <w:b/>
          <w:bCs/>
          <w:noProof/>
          <w:sz w:val="24"/>
          <w:szCs w:val="24"/>
          <w:lang w:val="en-US"/>
        </w:rPr>
        <w:t xml:space="preserve"> reuse? If so, why do you consider differences in minimum quality requirements between Member States as a barrier?</w:t>
      </w:r>
    </w:p>
    <w:p w:rsidR="00AB50C5" w:rsidRDefault="00724275">
      <w:pPr>
        <w:pStyle w:val="EText"/>
        <w:spacing w:line="240" w:lineRule="auto"/>
        <w:rPr>
          <w:rFonts w:ascii="Times New Roman" w:hAnsi="Times New Roman"/>
          <w:noProof/>
          <w:sz w:val="24"/>
          <w:szCs w:val="24"/>
        </w:rPr>
      </w:pPr>
      <w:r>
        <w:rPr>
          <w:rFonts w:ascii="Times New Roman" w:hAnsi="Times New Roman"/>
          <w:noProof/>
          <w:sz w:val="24"/>
          <w:szCs w:val="24"/>
          <w:lang w:val="en-US"/>
        </w:rPr>
        <w:t xml:space="preserve">The Murcia city and region experts in Spain consider </w:t>
      </w:r>
      <w:r>
        <w:rPr>
          <w:rFonts w:ascii="Times New Roman" w:hAnsi="Times New Roman"/>
          <w:noProof/>
          <w:sz w:val="24"/>
          <w:szCs w:val="24"/>
        </w:rPr>
        <w:t>that differences in the requirements for reuse of reclaimed water can be an important ba</w:t>
      </w:r>
      <w:r>
        <w:rPr>
          <w:rFonts w:ascii="Times New Roman" w:hAnsi="Times New Roman"/>
          <w:noProof/>
          <w:sz w:val="24"/>
          <w:szCs w:val="24"/>
        </w:rPr>
        <w:t>rrier to the export of agricultural products and therefore agree with the proposal of DG ENV to set EU min. quality requirements. The same applies for Romania.</w:t>
      </w:r>
    </w:p>
    <w:p w:rsidR="00AB50C5" w:rsidRDefault="00724275">
      <w:pPr>
        <w:pStyle w:val="EText"/>
        <w:spacing w:line="240" w:lineRule="auto"/>
        <w:rPr>
          <w:rFonts w:ascii="Times New Roman" w:hAnsi="Times New Roman"/>
          <w:noProof/>
          <w:sz w:val="24"/>
          <w:szCs w:val="24"/>
        </w:rPr>
      </w:pPr>
      <w:r>
        <w:rPr>
          <w:rFonts w:ascii="Times New Roman" w:hAnsi="Times New Roman"/>
          <w:noProof/>
          <w:sz w:val="24"/>
          <w:szCs w:val="24"/>
        </w:rPr>
        <w:t xml:space="preserve">Algarve/Portugal consider that the </w:t>
      </w:r>
      <w:r>
        <w:rPr>
          <w:rFonts w:ascii="Times New Roman" w:hAnsi="Times New Roman"/>
          <w:noProof/>
          <w:sz w:val="24"/>
          <w:szCs w:val="24"/>
          <w:lang w:val="en-US"/>
        </w:rPr>
        <w:t>difference in minimum quality requirements across the EU coul</w:t>
      </w:r>
      <w:r>
        <w:rPr>
          <w:rFonts w:ascii="Times New Roman" w:hAnsi="Times New Roman"/>
          <w:noProof/>
          <w:sz w:val="24"/>
          <w:szCs w:val="24"/>
          <w:lang w:val="en-US"/>
        </w:rPr>
        <w:t xml:space="preserve">d only be a barrier to some public perception, since, for someone this aspect could present a suspicion about lower quality practices. This aspect also is a concern in Romania. </w:t>
      </w:r>
    </w:p>
    <w:p w:rsidR="00AB50C5" w:rsidRDefault="00724275">
      <w:pPr>
        <w:pStyle w:val="EText"/>
        <w:spacing w:line="240" w:lineRule="auto"/>
        <w:rPr>
          <w:rFonts w:ascii="Times New Roman" w:hAnsi="Times New Roman"/>
          <w:noProof/>
          <w:sz w:val="24"/>
          <w:szCs w:val="24"/>
          <w:lang w:val="en-US"/>
        </w:rPr>
      </w:pPr>
      <w:r>
        <w:rPr>
          <w:rFonts w:ascii="Times New Roman" w:hAnsi="Times New Roman"/>
          <w:noProof/>
          <w:sz w:val="24"/>
          <w:szCs w:val="24"/>
          <w:lang w:val="en-US"/>
        </w:rPr>
        <w:t xml:space="preserve">In Germany there is no wider uptake of reuse due to the low necessity. </w:t>
      </w:r>
    </w:p>
    <w:p w:rsidR="00AB50C5" w:rsidRDefault="00724275">
      <w:pPr>
        <w:pStyle w:val="EBP1"/>
        <w:spacing w:line="240" w:lineRule="auto"/>
        <w:ind w:left="567"/>
        <w:rPr>
          <w:rFonts w:ascii="Times New Roman" w:hAnsi="Times New Roman"/>
          <w:b/>
          <w:bCs/>
          <w:noProof/>
          <w:sz w:val="24"/>
          <w:szCs w:val="24"/>
          <w:lang w:val="en-US"/>
        </w:rPr>
      </w:pPr>
      <w:r>
        <w:rPr>
          <w:rFonts w:ascii="Times New Roman" w:hAnsi="Times New Roman"/>
          <w:b/>
          <w:bCs/>
          <w:noProof/>
          <w:sz w:val="24"/>
          <w:szCs w:val="24"/>
          <w:lang w:val="en-US"/>
        </w:rPr>
        <w:t>Do you</w:t>
      </w:r>
      <w:r>
        <w:rPr>
          <w:rFonts w:ascii="Times New Roman" w:hAnsi="Times New Roman"/>
          <w:b/>
          <w:bCs/>
          <w:noProof/>
          <w:sz w:val="24"/>
          <w:szCs w:val="24"/>
          <w:lang w:val="en-US"/>
        </w:rPr>
        <w:t xml:space="preserve"> see a need for complementary measures, like information campaigns to inform citizens to reach better acceptance of water reuse? </w:t>
      </w:r>
    </w:p>
    <w:p w:rsidR="00AB50C5" w:rsidRDefault="00724275">
      <w:pPr>
        <w:pStyle w:val="EText"/>
        <w:spacing w:line="240" w:lineRule="auto"/>
        <w:rPr>
          <w:rFonts w:ascii="Times New Roman" w:hAnsi="Times New Roman"/>
          <w:noProof/>
          <w:sz w:val="24"/>
          <w:szCs w:val="24"/>
        </w:rPr>
      </w:pPr>
      <w:r>
        <w:rPr>
          <w:rFonts w:ascii="Times New Roman" w:hAnsi="Times New Roman"/>
          <w:noProof/>
          <w:sz w:val="24"/>
          <w:szCs w:val="24"/>
          <w:lang w:val="en-US"/>
        </w:rPr>
        <w:t>Greek, Spanish and Portuguese and Romanian experts consider necessary to inform the society about the reuse of wastewater by o</w:t>
      </w:r>
      <w:r>
        <w:rPr>
          <w:rFonts w:ascii="Times New Roman" w:hAnsi="Times New Roman"/>
          <w:noProof/>
          <w:sz w:val="24"/>
          <w:szCs w:val="24"/>
          <w:lang w:val="en-US"/>
        </w:rPr>
        <w:t>rganizing systematic campaigns. C</w:t>
      </w:r>
      <w:r>
        <w:rPr>
          <w:rFonts w:ascii="Times New Roman" w:hAnsi="Times New Roman"/>
          <w:noProof/>
          <w:sz w:val="24"/>
          <w:szCs w:val="24"/>
        </w:rPr>
        <w:t xml:space="preserve">itizens are able to understand everything if they are well explained. </w:t>
      </w:r>
      <w:r>
        <w:rPr>
          <w:rFonts w:ascii="Times New Roman" w:hAnsi="Times New Roman"/>
          <w:noProof/>
          <w:sz w:val="24"/>
          <w:szCs w:val="24"/>
          <w:lang w:val="en-US"/>
        </w:rPr>
        <w:t>Information campaigns for general public and dedicated campaigns/technical workshops for specific public (such as end-users, public authorities, NGO) cou</w:t>
      </w:r>
      <w:r>
        <w:rPr>
          <w:rFonts w:ascii="Times New Roman" w:hAnsi="Times New Roman"/>
          <w:noProof/>
          <w:sz w:val="24"/>
          <w:szCs w:val="24"/>
          <w:lang w:val="en-US"/>
        </w:rPr>
        <w:t>ld be delivered to improve knowledge and subsequently a better understanding of the practice and its acceptance.</w:t>
      </w:r>
      <w:r>
        <w:rPr>
          <w:rFonts w:ascii="Times New Roman" w:hAnsi="Times New Roman"/>
          <w:noProof/>
          <w:sz w:val="24"/>
          <w:szCs w:val="24"/>
        </w:rPr>
        <w:t xml:space="preserve"> Citizens visits to wastewater treatment plants where they can see the work and the quality of the reclaimed water can change their perception o</w:t>
      </w:r>
      <w:r>
        <w:rPr>
          <w:rFonts w:ascii="Times New Roman" w:hAnsi="Times New Roman"/>
          <w:noProof/>
          <w:sz w:val="24"/>
          <w:szCs w:val="24"/>
        </w:rPr>
        <w:t>f it.</w:t>
      </w:r>
    </w:p>
    <w:p w:rsidR="00AB50C5" w:rsidRDefault="00724275">
      <w:pPr>
        <w:pStyle w:val="ETextNoSpacing"/>
        <w:spacing w:line="240" w:lineRule="auto"/>
        <w:rPr>
          <w:rFonts w:ascii="Times New Roman" w:hAnsi="Times New Roman"/>
          <w:noProof/>
          <w:sz w:val="24"/>
          <w:szCs w:val="24"/>
          <w:lang w:val="en-US"/>
        </w:rPr>
      </w:pPr>
      <w:r>
        <w:rPr>
          <w:rFonts w:ascii="Times New Roman" w:hAnsi="Times New Roman"/>
          <w:noProof/>
          <w:sz w:val="24"/>
          <w:szCs w:val="24"/>
        </w:rPr>
        <w:t>According to the Murcia experts the inclusion of the word minimum in the title of the new initiative should be reconsidered mainly for two reasons:</w:t>
      </w:r>
    </w:p>
    <w:p w:rsidR="00AB50C5" w:rsidRDefault="00724275">
      <w:pPr>
        <w:pStyle w:val="EBP1"/>
        <w:spacing w:line="240" w:lineRule="auto"/>
        <w:ind w:left="567"/>
        <w:rPr>
          <w:rFonts w:ascii="Times New Roman" w:hAnsi="Times New Roman"/>
          <w:noProof/>
          <w:sz w:val="24"/>
          <w:szCs w:val="24"/>
          <w:lang w:val="en-US"/>
        </w:rPr>
      </w:pPr>
      <w:r>
        <w:rPr>
          <w:rFonts w:ascii="Times New Roman" w:hAnsi="Times New Roman"/>
          <w:noProof/>
          <w:sz w:val="24"/>
          <w:szCs w:val="24"/>
        </w:rPr>
        <w:t>The new draft is more restrictive than the majority of state legislations for the reuse of reclaimed w</w:t>
      </w:r>
      <w:r>
        <w:rPr>
          <w:rFonts w:ascii="Times New Roman" w:hAnsi="Times New Roman"/>
          <w:noProof/>
          <w:sz w:val="24"/>
          <w:szCs w:val="24"/>
        </w:rPr>
        <w:t>aters, so they would not be minimum requirements.</w:t>
      </w:r>
    </w:p>
    <w:p w:rsidR="00AB50C5" w:rsidRDefault="00724275">
      <w:pPr>
        <w:pStyle w:val="EBP1"/>
        <w:spacing w:line="240" w:lineRule="auto"/>
        <w:ind w:left="567"/>
        <w:rPr>
          <w:rFonts w:ascii="Times New Roman" w:hAnsi="Times New Roman"/>
          <w:noProof/>
          <w:sz w:val="24"/>
          <w:szCs w:val="24"/>
          <w:lang w:val="en-US"/>
        </w:rPr>
      </w:pPr>
      <w:r>
        <w:rPr>
          <w:rFonts w:ascii="Times New Roman" w:hAnsi="Times New Roman"/>
          <w:noProof/>
          <w:sz w:val="24"/>
          <w:szCs w:val="24"/>
        </w:rPr>
        <w:t>The citizen's perception of the word minimum does not generate enough confidence, and would be detrimental to the necessary awareness and support of citizens to reuse water.</w:t>
      </w:r>
    </w:p>
    <w:p w:rsidR="00AB50C5" w:rsidRDefault="00724275">
      <w:pPr>
        <w:pStyle w:val="EText"/>
        <w:spacing w:line="240" w:lineRule="auto"/>
        <w:rPr>
          <w:rFonts w:ascii="Times New Roman" w:hAnsi="Times New Roman"/>
          <w:noProof/>
          <w:sz w:val="24"/>
          <w:szCs w:val="24"/>
          <w:lang w:val="en-US"/>
        </w:rPr>
      </w:pPr>
      <w:r>
        <w:rPr>
          <w:rFonts w:ascii="Times New Roman" w:hAnsi="Times New Roman"/>
          <w:noProof/>
          <w:sz w:val="24"/>
          <w:szCs w:val="24"/>
          <w:lang w:val="en-US"/>
        </w:rPr>
        <w:t xml:space="preserve">In Germany they do not consider </w:t>
      </w:r>
      <w:r>
        <w:rPr>
          <w:rFonts w:ascii="Times New Roman" w:hAnsi="Times New Roman"/>
          <w:noProof/>
          <w:sz w:val="24"/>
          <w:szCs w:val="24"/>
          <w:lang w:val="en-US"/>
        </w:rPr>
        <w:t>any need for any complimentary measures due to lack of need to use reused water.</w:t>
      </w:r>
    </w:p>
    <w:p w:rsidR="00AB50C5" w:rsidRDefault="00AB50C5">
      <w:pPr>
        <w:pStyle w:val="EText"/>
        <w:spacing w:line="240" w:lineRule="auto"/>
        <w:rPr>
          <w:rFonts w:ascii="Times New Roman" w:hAnsi="Times New Roman"/>
          <w:noProof/>
          <w:sz w:val="24"/>
          <w:szCs w:val="24"/>
          <w:lang w:val="en-US"/>
        </w:rPr>
      </w:pPr>
    </w:p>
    <w:p w:rsidR="00AB50C5" w:rsidRDefault="00724275">
      <w:pPr>
        <w:pStyle w:val="Default"/>
        <w:pBdr>
          <w:top w:val="single" w:sz="4" w:space="1" w:color="auto"/>
          <w:left w:val="single" w:sz="4" w:space="4" w:color="auto"/>
          <w:bottom w:val="single" w:sz="4" w:space="1" w:color="auto"/>
          <w:right w:val="single" w:sz="4" w:space="4" w:color="auto"/>
        </w:pBdr>
        <w:jc w:val="both"/>
        <w:rPr>
          <w:b/>
          <w:noProof/>
          <w:color w:val="auto"/>
          <w:lang w:val="en-US"/>
        </w:rPr>
      </w:pPr>
      <w:r>
        <w:rPr>
          <w:b/>
          <w:bCs/>
          <w:noProof/>
          <w:color w:val="auto"/>
          <w:lang w:val="en-US"/>
        </w:rPr>
        <w:t xml:space="preserve">Impact of an EU initiative to promote water reuse </w:t>
      </w:r>
      <w:r>
        <w:rPr>
          <w:b/>
          <w:noProof/>
          <w:color w:val="auto"/>
          <w:lang w:val="en-US"/>
        </w:rPr>
        <w:t xml:space="preserve">(to be addressed separately for agriculture irrigation and aquifer recharge) </w:t>
      </w:r>
    </w:p>
    <w:p w:rsidR="00AB50C5" w:rsidRDefault="00AB50C5">
      <w:pPr>
        <w:pStyle w:val="EText"/>
        <w:spacing w:line="240" w:lineRule="auto"/>
        <w:rPr>
          <w:rFonts w:ascii="Times New Roman" w:hAnsi="Times New Roman"/>
          <w:noProof/>
          <w:sz w:val="24"/>
          <w:szCs w:val="24"/>
          <w:lang w:val="en-US"/>
        </w:rPr>
      </w:pPr>
    </w:p>
    <w:p w:rsidR="00AB50C5" w:rsidRDefault="00724275">
      <w:pPr>
        <w:pStyle w:val="EBP1"/>
        <w:spacing w:line="240" w:lineRule="auto"/>
        <w:ind w:left="567"/>
        <w:rPr>
          <w:rFonts w:ascii="Times New Roman" w:hAnsi="Times New Roman"/>
          <w:b/>
          <w:bCs/>
          <w:noProof/>
          <w:sz w:val="24"/>
          <w:szCs w:val="24"/>
          <w:lang w:val="en-US"/>
        </w:rPr>
      </w:pPr>
      <w:r>
        <w:rPr>
          <w:rFonts w:ascii="Times New Roman" w:hAnsi="Times New Roman"/>
          <w:b/>
          <w:bCs/>
          <w:noProof/>
          <w:sz w:val="24"/>
          <w:szCs w:val="24"/>
          <w:lang w:val="en-US"/>
        </w:rPr>
        <w:t>What do you think would be the best appropria</w:t>
      </w:r>
      <w:r>
        <w:rPr>
          <w:rFonts w:ascii="Times New Roman" w:hAnsi="Times New Roman"/>
          <w:b/>
          <w:bCs/>
          <w:noProof/>
          <w:sz w:val="24"/>
          <w:szCs w:val="24"/>
          <w:lang w:val="en-US"/>
        </w:rPr>
        <w:t xml:space="preserve">te approach(es) of the European Union to promote water reuse in the EU ( please rank them): </w:t>
      </w:r>
      <w:r>
        <w:rPr>
          <w:rFonts w:ascii="Times New Roman" w:hAnsi="Times New Roman"/>
          <w:b/>
          <w:bCs/>
          <w:noProof/>
          <w:sz w:val="24"/>
          <w:szCs w:val="24"/>
          <w:lang w:val="en-US"/>
        </w:rPr>
        <w:tab/>
      </w:r>
      <w:r>
        <w:rPr>
          <w:rFonts w:ascii="Times New Roman" w:hAnsi="Times New Roman"/>
          <w:b/>
          <w:bCs/>
          <w:noProof/>
          <w:sz w:val="24"/>
          <w:szCs w:val="24"/>
          <w:lang w:val="en-US"/>
        </w:rPr>
        <w:br/>
        <w:t xml:space="preserve">_ Impose water reuse to Member States, e.g. by setting targets to be achieved </w:t>
      </w:r>
      <w:r>
        <w:rPr>
          <w:rFonts w:ascii="Times New Roman" w:hAnsi="Times New Roman"/>
          <w:b/>
          <w:bCs/>
          <w:noProof/>
          <w:sz w:val="24"/>
          <w:szCs w:val="24"/>
          <w:lang w:val="en-US"/>
        </w:rPr>
        <w:br/>
        <w:t>_ Establishing a common approach to water reuse across the EU by setting common min</w:t>
      </w:r>
      <w:r>
        <w:rPr>
          <w:rFonts w:ascii="Times New Roman" w:hAnsi="Times New Roman"/>
          <w:b/>
          <w:bCs/>
          <w:noProof/>
          <w:sz w:val="24"/>
          <w:szCs w:val="24"/>
          <w:lang w:val="en-US"/>
        </w:rPr>
        <w:t xml:space="preserve">imum quality requirements </w:t>
      </w:r>
      <w:r>
        <w:rPr>
          <w:rFonts w:ascii="Times New Roman" w:hAnsi="Times New Roman"/>
          <w:b/>
          <w:bCs/>
          <w:noProof/>
          <w:sz w:val="24"/>
          <w:szCs w:val="24"/>
          <w:lang w:val="en-US"/>
        </w:rPr>
        <w:tab/>
      </w:r>
      <w:r>
        <w:rPr>
          <w:rFonts w:ascii="Times New Roman" w:hAnsi="Times New Roman"/>
          <w:b/>
          <w:bCs/>
          <w:noProof/>
          <w:sz w:val="24"/>
          <w:szCs w:val="24"/>
          <w:lang w:val="en-US"/>
        </w:rPr>
        <w:br/>
        <w:t xml:space="preserve">_ Provide recommendations and guidance but leave Member States the entire responsibility to decide on the development of water reuse and minimum quality requirements </w:t>
      </w:r>
    </w:p>
    <w:p w:rsidR="00AB50C5" w:rsidRDefault="00724275">
      <w:pPr>
        <w:pStyle w:val="EText"/>
        <w:spacing w:line="240" w:lineRule="auto"/>
        <w:rPr>
          <w:rFonts w:ascii="Times New Roman" w:hAnsi="Times New Roman"/>
          <w:noProof/>
          <w:sz w:val="24"/>
          <w:szCs w:val="24"/>
          <w:lang w:val="en-US"/>
        </w:rPr>
      </w:pPr>
      <w:r>
        <w:rPr>
          <w:rFonts w:ascii="Times New Roman" w:hAnsi="Times New Roman"/>
          <w:noProof/>
          <w:sz w:val="24"/>
          <w:szCs w:val="24"/>
          <w:lang w:val="en-US"/>
        </w:rPr>
        <w:t xml:space="preserve">According to the Greek, the Algarve and Romanian experts the </w:t>
      </w:r>
      <w:r>
        <w:rPr>
          <w:rFonts w:ascii="Times New Roman" w:hAnsi="Times New Roman"/>
          <w:noProof/>
          <w:sz w:val="24"/>
          <w:szCs w:val="24"/>
          <w:lang w:val="en-US"/>
        </w:rPr>
        <w:t>best appropriate approach for the EU would be to provide recommendations and guidance but leave Member States the entire responsibility to decide on the development of water reuse and minimum quality requirements according to their needs, tradition and soc</w:t>
      </w:r>
      <w:r>
        <w:rPr>
          <w:rFonts w:ascii="Times New Roman" w:hAnsi="Times New Roman"/>
          <w:noProof/>
          <w:sz w:val="24"/>
          <w:szCs w:val="24"/>
          <w:lang w:val="en-US"/>
        </w:rPr>
        <w:t xml:space="preserve">ial habits, Specific parameters and monitoring requirements need to be determined according the location and the purpose. Therefore, the opportunity to deliver specific conditions at a River Basin level or at a case-by-case are required. </w:t>
      </w:r>
    </w:p>
    <w:p w:rsidR="00AB50C5" w:rsidRDefault="00724275">
      <w:pPr>
        <w:pStyle w:val="EText"/>
        <w:spacing w:line="240" w:lineRule="auto"/>
        <w:rPr>
          <w:rFonts w:ascii="Times New Roman" w:hAnsi="Times New Roman"/>
          <w:noProof/>
          <w:sz w:val="24"/>
          <w:szCs w:val="24"/>
          <w:lang w:val="en-US"/>
        </w:rPr>
      </w:pPr>
      <w:r>
        <w:rPr>
          <w:rFonts w:ascii="Times New Roman" w:hAnsi="Times New Roman"/>
          <w:noProof/>
          <w:sz w:val="24"/>
          <w:szCs w:val="24"/>
          <w:lang w:val="en-US"/>
        </w:rPr>
        <w:t>The German expert</w:t>
      </w:r>
      <w:r>
        <w:rPr>
          <w:rFonts w:ascii="Times New Roman" w:hAnsi="Times New Roman"/>
          <w:noProof/>
          <w:sz w:val="24"/>
          <w:szCs w:val="24"/>
          <w:lang w:val="en-US"/>
        </w:rPr>
        <w:t xml:space="preserve"> also considers option 3 as the most appropriate. As there is no acceptance for </w:t>
      </w:r>
      <w:r>
        <w:rPr>
          <w:rFonts w:ascii="Times New Roman" w:hAnsi="Times New Roman"/>
          <w:i/>
          <w:noProof/>
          <w:sz w:val="24"/>
          <w:szCs w:val="24"/>
          <w:lang w:val="en-US"/>
        </w:rPr>
        <w:t>imposing</w:t>
      </w:r>
      <w:r>
        <w:rPr>
          <w:rFonts w:ascii="Times New Roman" w:hAnsi="Times New Roman"/>
          <w:noProof/>
          <w:sz w:val="24"/>
          <w:szCs w:val="24"/>
          <w:lang w:val="en-US"/>
        </w:rPr>
        <w:t xml:space="preserve"> water reuse – the necessity for it, its risks and conditions differ highly within the EU, thus implementing reuse should be decided within member states on the basis of necessity and site-specific conditions. Recommendations and guidance might help in reg</w:t>
      </w:r>
      <w:r>
        <w:rPr>
          <w:rFonts w:ascii="Times New Roman" w:hAnsi="Times New Roman"/>
          <w:noProof/>
          <w:sz w:val="24"/>
          <w:szCs w:val="24"/>
          <w:lang w:val="en-US"/>
        </w:rPr>
        <w:t>ions with more frequent water scarcity issues. A guidance document that outlines a common approach to set appropriate minimum quality requirements that takes into account site-specific risks is more appropriate from a German point of view. However consider</w:t>
      </w:r>
      <w:r>
        <w:rPr>
          <w:rFonts w:ascii="Times New Roman" w:hAnsi="Times New Roman"/>
          <w:noProof/>
          <w:sz w:val="24"/>
          <w:szCs w:val="24"/>
          <w:lang w:val="en-US"/>
        </w:rPr>
        <w:t>ing inter-European trade of agricultural products minimum requirements would have to meet a high standard to preserve food safety.</w:t>
      </w:r>
    </w:p>
    <w:p w:rsidR="00AB50C5" w:rsidRDefault="00724275">
      <w:pPr>
        <w:pStyle w:val="EText"/>
        <w:spacing w:line="240" w:lineRule="auto"/>
        <w:rPr>
          <w:rFonts w:ascii="Times New Roman" w:hAnsi="Times New Roman"/>
          <w:noProof/>
          <w:sz w:val="24"/>
          <w:szCs w:val="24"/>
          <w:lang w:val="en-US"/>
        </w:rPr>
      </w:pPr>
      <w:r>
        <w:rPr>
          <w:rFonts w:ascii="Times New Roman" w:hAnsi="Times New Roman"/>
          <w:noProof/>
          <w:sz w:val="24"/>
          <w:szCs w:val="24"/>
        </w:rPr>
        <w:t xml:space="preserve">For the Murcia Region expert the best would be to </w:t>
      </w:r>
      <w:r>
        <w:rPr>
          <w:rFonts w:ascii="Times New Roman" w:hAnsi="Times New Roman"/>
          <w:noProof/>
          <w:sz w:val="24"/>
          <w:szCs w:val="24"/>
          <w:lang w:val="en-US"/>
        </w:rPr>
        <w:t>establishing a common approach to water reuse across the EU by setting comm</w:t>
      </w:r>
      <w:r>
        <w:rPr>
          <w:rFonts w:ascii="Times New Roman" w:hAnsi="Times New Roman"/>
          <w:noProof/>
          <w:sz w:val="24"/>
          <w:szCs w:val="24"/>
          <w:lang w:val="en-US"/>
        </w:rPr>
        <w:t>on minimum quality requirements. If this is not possible their second preferred option would be as in the case of Greek and Portuguese expert the option where the EU provides recommendations and guidance but leaves to Member States the entire responsibilit</w:t>
      </w:r>
      <w:r>
        <w:rPr>
          <w:rFonts w:ascii="Times New Roman" w:hAnsi="Times New Roman"/>
          <w:noProof/>
          <w:sz w:val="24"/>
          <w:szCs w:val="24"/>
          <w:lang w:val="en-US"/>
        </w:rPr>
        <w:t xml:space="preserve">y to decide on the development of water reuse and minimum quality requirements. </w:t>
      </w:r>
    </w:p>
    <w:p w:rsidR="00AB50C5" w:rsidRDefault="00724275">
      <w:pPr>
        <w:pStyle w:val="EText"/>
        <w:spacing w:line="240" w:lineRule="auto"/>
        <w:rPr>
          <w:rFonts w:ascii="Times New Roman" w:hAnsi="Times New Roman"/>
          <w:noProof/>
          <w:sz w:val="24"/>
          <w:szCs w:val="24"/>
          <w:lang w:val="en-US"/>
        </w:rPr>
      </w:pPr>
      <w:r>
        <w:rPr>
          <w:rFonts w:ascii="Times New Roman" w:hAnsi="Times New Roman"/>
          <w:noProof/>
          <w:sz w:val="24"/>
          <w:szCs w:val="24"/>
          <w:lang w:val="en-US"/>
        </w:rPr>
        <w:t>In the case of option 2 the German expert underlined the need for very ambitious standards which should exceed existing legislation to ensure that reuse is safe for health and</w:t>
      </w:r>
      <w:r>
        <w:rPr>
          <w:rFonts w:ascii="Times New Roman" w:hAnsi="Times New Roman"/>
          <w:noProof/>
          <w:sz w:val="24"/>
          <w:szCs w:val="24"/>
          <w:lang w:val="en-US"/>
        </w:rPr>
        <w:t xml:space="preserve"> environment within the whole EU (including emission limit values!). Attention needs to be given to the highly differing quality of urban waste water (e.g. due to the share of industrial waste water being released into UWWTP and due to the level of treatme</w:t>
      </w:r>
      <w:r>
        <w:rPr>
          <w:rFonts w:ascii="Times New Roman" w:hAnsi="Times New Roman"/>
          <w:noProof/>
          <w:sz w:val="24"/>
          <w:szCs w:val="24"/>
          <w:lang w:val="en-US"/>
        </w:rPr>
        <w:t xml:space="preserve">nt). </w:t>
      </w:r>
    </w:p>
    <w:p w:rsidR="00AB50C5" w:rsidRDefault="00724275">
      <w:pPr>
        <w:pStyle w:val="EBP1"/>
        <w:spacing w:line="240" w:lineRule="auto"/>
        <w:ind w:left="567"/>
        <w:rPr>
          <w:rFonts w:ascii="Times New Roman" w:hAnsi="Times New Roman"/>
          <w:b/>
          <w:bCs/>
          <w:noProof/>
          <w:sz w:val="24"/>
          <w:szCs w:val="24"/>
          <w:lang w:val="en-US"/>
        </w:rPr>
      </w:pPr>
      <w:r>
        <w:rPr>
          <w:rFonts w:ascii="Times New Roman" w:hAnsi="Times New Roman"/>
          <w:b/>
          <w:bCs/>
          <w:noProof/>
          <w:sz w:val="24"/>
          <w:szCs w:val="24"/>
          <w:lang w:val="en-US"/>
        </w:rPr>
        <w:t>To which extent do you think EU Minimum Quality Requirements for Water Reuse in Agricultural Irrigation/Aquifer Recharge would help increase the uptake of water reuse in your country/region/city?</w:t>
      </w:r>
    </w:p>
    <w:p w:rsidR="00AB50C5" w:rsidRDefault="00724275">
      <w:pPr>
        <w:pStyle w:val="EText"/>
        <w:spacing w:line="240" w:lineRule="auto"/>
        <w:rPr>
          <w:rFonts w:ascii="Times New Roman" w:hAnsi="Times New Roman"/>
          <w:noProof/>
          <w:sz w:val="24"/>
          <w:szCs w:val="24"/>
          <w:lang w:val="en-US"/>
        </w:rPr>
      </w:pPr>
      <w:r>
        <w:rPr>
          <w:rFonts w:ascii="Times New Roman" w:hAnsi="Times New Roman"/>
          <w:noProof/>
          <w:sz w:val="24"/>
          <w:szCs w:val="24"/>
          <w:lang w:val="en-US"/>
        </w:rPr>
        <w:t xml:space="preserve">According to the Greek expert to a relative extent since the requirements to his opinion will not help essentially to minimize the health risk effect, especially if the allowed levels for example of heavy metals remain high </w:t>
      </w:r>
    </w:p>
    <w:p w:rsidR="00AB50C5" w:rsidRDefault="00724275">
      <w:pPr>
        <w:pStyle w:val="EText"/>
        <w:spacing w:line="240" w:lineRule="auto"/>
        <w:rPr>
          <w:rFonts w:ascii="Times New Roman" w:hAnsi="Times New Roman"/>
          <w:noProof/>
          <w:sz w:val="24"/>
          <w:szCs w:val="24"/>
          <w:lang w:val="en-US"/>
        </w:rPr>
      </w:pPr>
      <w:r>
        <w:rPr>
          <w:rFonts w:ascii="Times New Roman" w:hAnsi="Times New Roman"/>
          <w:noProof/>
          <w:sz w:val="24"/>
          <w:szCs w:val="24"/>
          <w:lang w:val="en-US"/>
        </w:rPr>
        <w:t>According to the Algarve/PT exp</w:t>
      </w:r>
      <w:r>
        <w:rPr>
          <w:rFonts w:ascii="Times New Roman" w:hAnsi="Times New Roman"/>
          <w:noProof/>
          <w:sz w:val="24"/>
          <w:szCs w:val="24"/>
          <w:lang w:val="en-US"/>
        </w:rPr>
        <w:t>ert the definitions of wide requirements instead of very strict values with guidelines and helpful campaigns would increase the confidence on the practice and promote its appliance.</w:t>
      </w:r>
    </w:p>
    <w:p w:rsidR="00AB50C5" w:rsidRDefault="00724275">
      <w:pPr>
        <w:pStyle w:val="EText"/>
        <w:spacing w:line="240" w:lineRule="auto"/>
        <w:rPr>
          <w:rFonts w:ascii="Times New Roman" w:hAnsi="Times New Roman"/>
          <w:noProof/>
          <w:sz w:val="24"/>
          <w:szCs w:val="24"/>
          <w:lang w:val="en-US"/>
        </w:rPr>
      </w:pPr>
      <w:r>
        <w:rPr>
          <w:rFonts w:ascii="Times New Roman" w:hAnsi="Times New Roman"/>
          <w:noProof/>
          <w:sz w:val="24"/>
          <w:szCs w:val="24"/>
        </w:rPr>
        <w:t>The uptake will increase in Romania , but its extent is difficult to be fo</w:t>
      </w:r>
      <w:r>
        <w:rPr>
          <w:rFonts w:ascii="Times New Roman" w:hAnsi="Times New Roman"/>
          <w:noProof/>
          <w:sz w:val="24"/>
          <w:szCs w:val="24"/>
        </w:rPr>
        <w:t xml:space="preserve">reseen. </w:t>
      </w:r>
      <w:r>
        <w:rPr>
          <w:rFonts w:ascii="Times New Roman" w:hAnsi="Times New Roman"/>
          <w:noProof/>
          <w:sz w:val="24"/>
          <w:szCs w:val="24"/>
          <w:lang w:val="en-US"/>
        </w:rPr>
        <w:t>From a German point of view the uptake is related to the need and therefore since the need is low to zero EU minimum quality requirements will not have an impact on the need for water reuse.</w:t>
      </w:r>
    </w:p>
    <w:p w:rsidR="00AB50C5" w:rsidRDefault="00724275">
      <w:pPr>
        <w:pStyle w:val="EBP1"/>
        <w:spacing w:line="240" w:lineRule="auto"/>
        <w:ind w:left="567"/>
        <w:rPr>
          <w:rFonts w:ascii="Times New Roman" w:hAnsi="Times New Roman"/>
          <w:b/>
          <w:bCs/>
          <w:noProof/>
          <w:sz w:val="24"/>
          <w:szCs w:val="24"/>
          <w:lang w:val="en-US"/>
        </w:rPr>
      </w:pPr>
      <w:r>
        <w:rPr>
          <w:rFonts w:ascii="Times New Roman" w:hAnsi="Times New Roman"/>
          <w:b/>
          <w:bCs/>
          <w:noProof/>
          <w:sz w:val="24"/>
          <w:szCs w:val="24"/>
          <w:lang w:val="en-US"/>
        </w:rPr>
        <w:t>To which extent do you think the above options, in partic</w:t>
      </w:r>
      <w:r>
        <w:rPr>
          <w:rFonts w:ascii="Times New Roman" w:hAnsi="Times New Roman"/>
          <w:b/>
          <w:bCs/>
          <w:noProof/>
          <w:sz w:val="24"/>
          <w:szCs w:val="24"/>
          <w:lang w:val="en-US"/>
        </w:rPr>
        <w:t>ular the EU Minimum Quality Requirements for Water Reuse in Agricultural Irrigation/Aquifer Recharge would be a cost-effective means to increase the uptake of water reuse and therefore to tackle water scarcity in your country/region/city?</w:t>
      </w:r>
    </w:p>
    <w:p w:rsidR="00AB50C5" w:rsidRDefault="00724275">
      <w:pPr>
        <w:pStyle w:val="EText"/>
        <w:spacing w:line="240" w:lineRule="auto"/>
        <w:rPr>
          <w:rFonts w:ascii="Times New Roman" w:hAnsi="Times New Roman"/>
          <w:noProof/>
          <w:sz w:val="24"/>
          <w:szCs w:val="24"/>
          <w:lang w:val="en-US"/>
        </w:rPr>
      </w:pPr>
      <w:r>
        <w:rPr>
          <w:rFonts w:ascii="Times New Roman" w:hAnsi="Times New Roman"/>
          <w:noProof/>
          <w:sz w:val="24"/>
          <w:szCs w:val="24"/>
          <w:lang w:val="en-US"/>
        </w:rPr>
        <w:t>Algarve/PT same a</w:t>
      </w:r>
      <w:r>
        <w:rPr>
          <w:rFonts w:ascii="Times New Roman" w:hAnsi="Times New Roman"/>
          <w:noProof/>
          <w:sz w:val="24"/>
          <w:szCs w:val="24"/>
          <w:lang w:val="en-US"/>
        </w:rPr>
        <w:t>s above.</w:t>
      </w:r>
    </w:p>
    <w:p w:rsidR="00AB50C5" w:rsidRDefault="00724275">
      <w:pPr>
        <w:pStyle w:val="EText"/>
        <w:spacing w:line="240" w:lineRule="auto"/>
        <w:rPr>
          <w:rFonts w:ascii="Times New Roman" w:hAnsi="Times New Roman"/>
          <w:noProof/>
          <w:sz w:val="24"/>
          <w:szCs w:val="24"/>
          <w:lang w:val="en-US"/>
        </w:rPr>
      </w:pPr>
      <w:r>
        <w:rPr>
          <w:rFonts w:ascii="Times New Roman" w:hAnsi="Times New Roman"/>
          <w:noProof/>
          <w:sz w:val="24"/>
          <w:szCs w:val="24"/>
          <w:lang w:val="en-US"/>
        </w:rPr>
        <w:t xml:space="preserve">Murcia region expert considers that there is a close correlation between </w:t>
      </w:r>
      <w:r>
        <w:rPr>
          <w:rFonts w:ascii="Times New Roman" w:hAnsi="Times New Roman"/>
          <w:noProof/>
          <w:sz w:val="24"/>
          <w:szCs w:val="24"/>
        </w:rPr>
        <w:t xml:space="preserve">the price of the necessary treatments. The </w:t>
      </w:r>
      <w:r>
        <w:rPr>
          <w:rFonts w:ascii="Times New Roman" w:hAnsi="Times New Roman"/>
          <w:noProof/>
          <w:sz w:val="24"/>
          <w:szCs w:val="24"/>
          <w:lang w:val="en-US"/>
        </w:rPr>
        <w:t>Greek expert was not able to reply on this due to the lack of available data</w:t>
      </w:r>
      <w:r>
        <w:rPr>
          <w:rFonts w:ascii="Times New Roman" w:hAnsi="Times New Roman"/>
          <w:noProof/>
          <w:sz w:val="24"/>
          <w:szCs w:val="24"/>
        </w:rPr>
        <w:t>. In Romania the relationship of cost/efficiency is not</w:t>
      </w:r>
      <w:r>
        <w:rPr>
          <w:rFonts w:ascii="Times New Roman" w:hAnsi="Times New Roman"/>
          <w:noProof/>
          <w:sz w:val="24"/>
          <w:szCs w:val="24"/>
        </w:rPr>
        <w:t xml:space="preserve"> clearly defined concerning Minimum Quality Requirements for Water Reuse in Agricultural Irrigation/Aquifer Recharge.</w:t>
      </w:r>
    </w:p>
    <w:p w:rsidR="00AB50C5" w:rsidRDefault="00724275">
      <w:pPr>
        <w:pStyle w:val="EText"/>
        <w:spacing w:line="240" w:lineRule="auto"/>
        <w:rPr>
          <w:rFonts w:ascii="Times New Roman" w:hAnsi="Times New Roman"/>
          <w:noProof/>
          <w:sz w:val="24"/>
          <w:szCs w:val="24"/>
          <w:lang w:val="en-US"/>
        </w:rPr>
      </w:pPr>
      <w:r>
        <w:rPr>
          <w:rFonts w:ascii="Times New Roman" w:hAnsi="Times New Roman"/>
          <w:noProof/>
          <w:sz w:val="24"/>
          <w:szCs w:val="24"/>
          <w:lang w:val="en-US"/>
        </w:rPr>
        <w:t>No impact is expected according to the German expert. Cost-effectiveness of reuse will mostly occur, if at all, in the long run since dist</w:t>
      </w:r>
      <w:r>
        <w:rPr>
          <w:rFonts w:ascii="Times New Roman" w:hAnsi="Times New Roman"/>
          <w:noProof/>
          <w:sz w:val="24"/>
          <w:szCs w:val="24"/>
          <w:lang w:val="en-US"/>
        </w:rPr>
        <w:t>ribution networks would have to be built from the scrap. Due to the precautionary principle, aquifer recharge would require such a high quality of the reclaimed water that there is no overall cost- effectiveness expected at all.</w:t>
      </w:r>
    </w:p>
    <w:p w:rsidR="00AB50C5" w:rsidRDefault="00724275">
      <w:pPr>
        <w:pStyle w:val="EBP1"/>
        <w:spacing w:line="240" w:lineRule="auto"/>
        <w:ind w:left="567"/>
        <w:rPr>
          <w:rFonts w:ascii="Times New Roman" w:hAnsi="Times New Roman"/>
          <w:b/>
          <w:bCs/>
          <w:noProof/>
          <w:sz w:val="24"/>
          <w:szCs w:val="24"/>
          <w:lang w:val="en-US"/>
        </w:rPr>
      </w:pPr>
      <w:r>
        <w:rPr>
          <w:rFonts w:ascii="Times New Roman" w:hAnsi="Times New Roman"/>
          <w:b/>
          <w:bCs/>
          <w:noProof/>
          <w:sz w:val="24"/>
          <w:szCs w:val="24"/>
          <w:lang w:val="en-US"/>
        </w:rPr>
        <w:t>In what way would EU Minimu</w:t>
      </w:r>
      <w:r>
        <w:rPr>
          <w:rFonts w:ascii="Times New Roman" w:hAnsi="Times New Roman"/>
          <w:b/>
          <w:bCs/>
          <w:noProof/>
          <w:sz w:val="24"/>
          <w:szCs w:val="24"/>
          <w:lang w:val="en-US"/>
        </w:rPr>
        <w:t>m Quality Requirements for Water Reuse in Agricultural Irrigation/Aquifer Recharge affect your country/region/city?</w:t>
      </w:r>
    </w:p>
    <w:p w:rsidR="00AB50C5" w:rsidRDefault="00724275">
      <w:pPr>
        <w:pStyle w:val="EText"/>
        <w:spacing w:line="240" w:lineRule="auto"/>
        <w:rPr>
          <w:rFonts w:ascii="Times New Roman" w:hAnsi="Times New Roman"/>
          <w:noProof/>
          <w:sz w:val="24"/>
          <w:szCs w:val="24"/>
          <w:lang w:val="en-US"/>
        </w:rPr>
      </w:pPr>
      <w:r>
        <w:rPr>
          <w:rFonts w:ascii="Times New Roman" w:hAnsi="Times New Roman"/>
          <w:noProof/>
          <w:sz w:val="24"/>
          <w:szCs w:val="24"/>
          <w:lang w:val="en-US"/>
        </w:rPr>
        <w:t>According to the Algarve/PT expert if the EU Minimum Quality Requirements and the monitoring procedures are too strict and too long, respect</w:t>
      </w:r>
      <w:r>
        <w:rPr>
          <w:rFonts w:ascii="Times New Roman" w:hAnsi="Times New Roman"/>
          <w:noProof/>
          <w:sz w:val="24"/>
          <w:szCs w:val="24"/>
          <w:lang w:val="en-US"/>
        </w:rPr>
        <w:t xml:space="preserve">ively, the costs involved could be very high and difficult to support. Also the definition of long lists of parameters and strict values may cause some suspicion about the risk of the practice and jeopardize public acceptance. </w:t>
      </w:r>
    </w:p>
    <w:p w:rsidR="00AB50C5" w:rsidRDefault="00724275">
      <w:pPr>
        <w:pStyle w:val="EText"/>
        <w:spacing w:line="240" w:lineRule="auto"/>
        <w:rPr>
          <w:rFonts w:ascii="Times New Roman" w:hAnsi="Times New Roman"/>
          <w:noProof/>
          <w:sz w:val="24"/>
          <w:szCs w:val="24"/>
        </w:rPr>
      </w:pPr>
      <w:r>
        <w:rPr>
          <w:rFonts w:ascii="Times New Roman" w:hAnsi="Times New Roman"/>
          <w:noProof/>
          <w:sz w:val="24"/>
          <w:szCs w:val="24"/>
        </w:rPr>
        <w:t>Same concern was expressed b</w:t>
      </w:r>
      <w:r>
        <w:rPr>
          <w:rFonts w:ascii="Times New Roman" w:hAnsi="Times New Roman"/>
          <w:noProof/>
          <w:sz w:val="24"/>
          <w:szCs w:val="24"/>
        </w:rPr>
        <w:t xml:space="preserve">y the Murcia City and Region experts that underlined that if the requirements are not affordable and their tertiary treatments aren´t able to get these values, the uptake will be lower due to price. </w:t>
      </w:r>
    </w:p>
    <w:p w:rsidR="00AB50C5" w:rsidRDefault="00724275">
      <w:pPr>
        <w:pStyle w:val="EText"/>
        <w:spacing w:line="240" w:lineRule="auto"/>
        <w:rPr>
          <w:rFonts w:ascii="Times New Roman" w:eastAsiaTheme="minorHAnsi" w:hAnsi="Times New Roman"/>
          <w:noProof/>
          <w:sz w:val="24"/>
          <w:szCs w:val="24"/>
          <w:lang w:val="en-US" w:eastAsia="en-US"/>
        </w:rPr>
      </w:pPr>
      <w:r>
        <w:rPr>
          <w:rFonts w:ascii="Times New Roman" w:eastAsiaTheme="minorHAnsi" w:hAnsi="Times New Roman"/>
          <w:noProof/>
          <w:sz w:val="24"/>
          <w:szCs w:val="24"/>
          <w:lang w:val="en-US" w:eastAsia="en-US"/>
        </w:rPr>
        <w:t>From a Romania perspective if DG ENV proposes a directiv</w:t>
      </w:r>
      <w:r>
        <w:rPr>
          <w:rFonts w:ascii="Times New Roman" w:eastAsiaTheme="minorHAnsi" w:hAnsi="Times New Roman"/>
          <w:noProof/>
          <w:sz w:val="24"/>
          <w:szCs w:val="24"/>
          <w:lang w:val="en-US" w:eastAsia="en-US"/>
        </w:rPr>
        <w:t>e, it must be transposed and implemented by every MS, so national authorities could be forced to approve reuse in every case when minimum quality requirements are met, and this could jeopardize the objectives of other directives (Water Framework Directive,</w:t>
      </w:r>
      <w:r>
        <w:rPr>
          <w:rFonts w:ascii="Times New Roman" w:eastAsiaTheme="minorHAnsi" w:hAnsi="Times New Roman"/>
          <w:noProof/>
          <w:sz w:val="24"/>
          <w:szCs w:val="24"/>
          <w:lang w:val="en-US" w:eastAsia="en-US"/>
        </w:rPr>
        <w:t xml:space="preserve"> Groundwater Directive, Drinking Water Directive, Nitrates Directive).</w:t>
      </w:r>
    </w:p>
    <w:p w:rsidR="00AB50C5" w:rsidRDefault="00724275">
      <w:pPr>
        <w:pStyle w:val="EText"/>
        <w:spacing w:line="240" w:lineRule="auto"/>
        <w:rPr>
          <w:rFonts w:ascii="Times New Roman" w:hAnsi="Times New Roman"/>
          <w:noProof/>
          <w:sz w:val="24"/>
          <w:szCs w:val="24"/>
          <w:lang w:val="en-US"/>
        </w:rPr>
      </w:pPr>
      <w:r>
        <w:rPr>
          <w:rFonts w:ascii="Times New Roman" w:hAnsi="Times New Roman"/>
          <w:noProof/>
          <w:sz w:val="24"/>
          <w:szCs w:val="24"/>
        </w:rPr>
        <w:t xml:space="preserve">From a German point of view </w:t>
      </w:r>
      <w:r>
        <w:rPr>
          <w:rFonts w:ascii="Times New Roman" w:hAnsi="Times New Roman"/>
          <w:noProof/>
          <w:sz w:val="24"/>
          <w:szCs w:val="24"/>
          <w:lang w:val="en-US"/>
        </w:rPr>
        <w:t>this depends on the level of the requirements. Higher uptake of reuse could pose a threat of increased environmental pollution of soils and groundwater unles</w:t>
      </w:r>
      <w:r>
        <w:rPr>
          <w:rFonts w:ascii="Times New Roman" w:hAnsi="Times New Roman"/>
          <w:noProof/>
          <w:sz w:val="24"/>
          <w:szCs w:val="24"/>
          <w:lang w:val="en-US"/>
        </w:rPr>
        <w:t xml:space="preserve">s there are strict and ambitious standards for water reuse. Past experience with waste water earth catch areas (“Rieselfelder”) show high levels of contamination of soils and agricultural plants grown there. </w:t>
      </w:r>
    </w:p>
    <w:p w:rsidR="00AB50C5" w:rsidRDefault="00724275">
      <w:pPr>
        <w:pStyle w:val="EBP1"/>
        <w:spacing w:line="240" w:lineRule="auto"/>
        <w:ind w:left="567"/>
        <w:rPr>
          <w:rFonts w:ascii="Times New Roman" w:hAnsi="Times New Roman"/>
          <w:b/>
          <w:bCs/>
          <w:noProof/>
          <w:sz w:val="24"/>
          <w:szCs w:val="24"/>
          <w:lang w:val="en-US"/>
        </w:rPr>
      </w:pPr>
      <w:r>
        <w:rPr>
          <w:rFonts w:ascii="Times New Roman" w:hAnsi="Times New Roman"/>
          <w:b/>
          <w:bCs/>
          <w:noProof/>
          <w:sz w:val="24"/>
          <w:szCs w:val="24"/>
          <w:lang w:val="en-US"/>
        </w:rPr>
        <w:t xml:space="preserve">How would citizens react to EU Minimum Quality </w:t>
      </w:r>
      <w:r>
        <w:rPr>
          <w:rFonts w:ascii="Times New Roman" w:hAnsi="Times New Roman"/>
          <w:b/>
          <w:bCs/>
          <w:noProof/>
          <w:sz w:val="24"/>
          <w:szCs w:val="24"/>
          <w:lang w:val="en-US"/>
        </w:rPr>
        <w:t>Requirements in Agricultural Irrigation/Aquifer Recharge?</w:t>
      </w:r>
    </w:p>
    <w:p w:rsidR="00AB50C5" w:rsidRDefault="00724275">
      <w:pPr>
        <w:pStyle w:val="EText"/>
        <w:spacing w:line="240" w:lineRule="auto"/>
        <w:rPr>
          <w:rFonts w:ascii="Times New Roman" w:hAnsi="Times New Roman"/>
          <w:noProof/>
          <w:sz w:val="24"/>
          <w:szCs w:val="24"/>
          <w:lang w:val="en-US"/>
        </w:rPr>
      </w:pPr>
      <w:r>
        <w:rPr>
          <w:rFonts w:ascii="Times New Roman" w:hAnsi="Times New Roman"/>
          <w:noProof/>
          <w:sz w:val="24"/>
          <w:szCs w:val="24"/>
          <w:lang w:val="en-US"/>
        </w:rPr>
        <w:t>According to the Greek expert probably positively. But as far as Greece is concerned, since reuse waste water is not a routine this question cannot be accurately addressed.</w:t>
      </w:r>
    </w:p>
    <w:p w:rsidR="00AB50C5" w:rsidRDefault="00724275">
      <w:pPr>
        <w:pStyle w:val="EText"/>
        <w:spacing w:line="240" w:lineRule="auto"/>
        <w:rPr>
          <w:rFonts w:ascii="Times New Roman" w:hAnsi="Times New Roman"/>
          <w:noProof/>
          <w:sz w:val="24"/>
          <w:szCs w:val="24"/>
          <w:lang w:val="en-US"/>
        </w:rPr>
      </w:pPr>
      <w:r>
        <w:rPr>
          <w:rFonts w:ascii="Times New Roman" w:hAnsi="Times New Roman"/>
          <w:noProof/>
          <w:sz w:val="24"/>
          <w:szCs w:val="24"/>
          <w:lang w:val="en-US"/>
        </w:rPr>
        <w:t xml:space="preserve">According to the </w:t>
      </w:r>
      <w:r>
        <w:rPr>
          <w:rFonts w:ascii="Times New Roman" w:hAnsi="Times New Roman"/>
          <w:noProof/>
          <w:sz w:val="24"/>
          <w:szCs w:val="24"/>
          <w:lang w:val="en-US"/>
        </w:rPr>
        <w:t>Algarve/PT expert if there is a long lists of parameters and strict values are presented that may cause some suspicion about the risk of the practice and jeopardize public acceptance. But some wide requirements with guidelines and helpful campaigns would i</w:t>
      </w:r>
      <w:r>
        <w:rPr>
          <w:rFonts w:ascii="Times New Roman" w:hAnsi="Times New Roman"/>
          <w:noProof/>
          <w:sz w:val="24"/>
          <w:szCs w:val="24"/>
          <w:lang w:val="en-US"/>
        </w:rPr>
        <w:t>ncrease confidence in the practice.</w:t>
      </w:r>
    </w:p>
    <w:p w:rsidR="00AB50C5" w:rsidRDefault="00724275">
      <w:pPr>
        <w:pStyle w:val="EText"/>
        <w:spacing w:line="240" w:lineRule="auto"/>
        <w:rPr>
          <w:rFonts w:ascii="Times New Roman" w:hAnsi="Times New Roman"/>
          <w:noProof/>
          <w:sz w:val="24"/>
          <w:szCs w:val="24"/>
        </w:rPr>
      </w:pPr>
      <w:r>
        <w:rPr>
          <w:rFonts w:ascii="Times New Roman" w:hAnsi="Times New Roman"/>
          <w:noProof/>
          <w:sz w:val="24"/>
          <w:szCs w:val="24"/>
        </w:rPr>
        <w:t>The Murcia Region expert assumes that it will depend on the values of the requirements, with the necessary price for the treatments and the information campaigns to explain the changes about the actual situation</w:t>
      </w:r>
      <w:r>
        <w:rPr>
          <w:rFonts w:ascii="Times New Roman" w:hAnsi="Times New Roman"/>
          <w:i/>
          <w:noProof/>
          <w:sz w:val="24"/>
          <w:szCs w:val="24"/>
        </w:rPr>
        <w:t>.</w:t>
      </w:r>
      <w:r>
        <w:rPr>
          <w:rFonts w:ascii="Times New Roman" w:hAnsi="Times New Roman"/>
          <w:noProof/>
          <w:sz w:val="24"/>
          <w:szCs w:val="24"/>
        </w:rPr>
        <w:t xml:space="preserve"> </w:t>
      </w:r>
    </w:p>
    <w:p w:rsidR="00AB50C5" w:rsidRDefault="00724275">
      <w:pPr>
        <w:spacing w:line="240" w:lineRule="auto"/>
        <w:jc w:val="both"/>
        <w:rPr>
          <w:rFonts w:ascii="Times New Roman" w:eastAsia="Calibri" w:hAnsi="Times New Roman" w:cs="Times New Roman"/>
          <w:noProof/>
          <w:color w:val="000000"/>
          <w:sz w:val="24"/>
          <w:szCs w:val="24"/>
        </w:rPr>
      </w:pPr>
      <w:r>
        <w:rPr>
          <w:rFonts w:ascii="Times New Roman" w:hAnsi="Times New Roman" w:cs="Times New Roman"/>
          <w:noProof/>
          <w:sz w:val="24"/>
          <w:szCs w:val="24"/>
          <w:lang w:val="en-US"/>
        </w:rPr>
        <w:t>Negati</w:t>
      </w:r>
      <w:r>
        <w:rPr>
          <w:rFonts w:ascii="Times New Roman" w:hAnsi="Times New Roman" w:cs="Times New Roman"/>
          <w:noProof/>
          <w:sz w:val="24"/>
          <w:szCs w:val="24"/>
          <w:lang w:val="en-US"/>
        </w:rPr>
        <w:t>ve reactions are to be expected in Romania. In Germany reactions would depend on the level of standards, the kind of legal instrument and local conditions. In general little acceptance within the citizenship is expected.</w:t>
      </w:r>
    </w:p>
    <w:p w:rsidR="00AB50C5" w:rsidRDefault="00724275">
      <w:pPr>
        <w:jc w:val="center"/>
        <w:rPr>
          <w:rFonts w:ascii="Times New Roman" w:hAnsi="Times New Roman" w:cs="Times New Roman"/>
          <w:noProof/>
          <w:sz w:val="24"/>
          <w:szCs w:val="24"/>
        </w:rPr>
      </w:pPr>
      <w:r>
        <w:rPr>
          <w:rFonts w:ascii="Times New Roman" w:hAnsi="Times New Roman" w:cs="Times New Roman"/>
          <w:noProof/>
          <w:sz w:val="24"/>
          <w:szCs w:val="24"/>
        </w:rPr>
        <w:br w:type="page"/>
      </w:r>
    </w:p>
    <w:p w:rsidR="00AB50C5" w:rsidRDefault="00724275">
      <w:pPr>
        <w:keepNext/>
        <w:spacing w:before="120" w:after="120" w:line="240" w:lineRule="auto"/>
        <w:jc w:val="both"/>
        <w:outlineLvl w:val="1"/>
        <w:rPr>
          <w:rFonts w:ascii="Times New Roman" w:eastAsia="Times New Roman" w:hAnsi="Times New Roman" w:cs="Times New Roman"/>
          <w:b/>
          <w:bCs/>
          <w:iCs/>
          <w:noProof/>
          <w:sz w:val="24"/>
          <w:szCs w:val="28"/>
          <w:lang w:val="en" w:eastAsia="de-DE"/>
        </w:rPr>
      </w:pPr>
      <w:bookmarkStart w:id="278" w:name="_Toc507407449"/>
      <w:bookmarkStart w:id="279" w:name="_Toc516234828"/>
      <w:r>
        <w:rPr>
          <w:rFonts w:ascii="Times New Roman" w:eastAsia="Times New Roman" w:hAnsi="Times New Roman" w:cs="Times New Roman"/>
          <w:b/>
          <w:bCs/>
          <w:iCs/>
          <w:noProof/>
          <w:sz w:val="24"/>
          <w:szCs w:val="28"/>
          <w:lang w:val="en" w:eastAsia="de-DE"/>
        </w:rPr>
        <w:t>Annex 10 - International trade di</w:t>
      </w:r>
      <w:r>
        <w:rPr>
          <w:rFonts w:ascii="Times New Roman" w:eastAsia="Times New Roman" w:hAnsi="Times New Roman" w:cs="Times New Roman"/>
          <w:b/>
          <w:bCs/>
          <w:iCs/>
          <w:noProof/>
          <w:sz w:val="24"/>
          <w:szCs w:val="28"/>
          <w:lang w:val="en" w:eastAsia="de-DE"/>
        </w:rPr>
        <w:t>mension</w:t>
      </w:r>
      <w:bookmarkEnd w:id="278"/>
      <w:bookmarkEnd w:id="279"/>
    </w:p>
    <w:p w:rsidR="00AB50C5" w:rsidRDefault="00724275">
      <w:pPr>
        <w:suppressAutoHyphens/>
        <w:spacing w:before="120" w:after="160" w:line="240" w:lineRule="atLeast"/>
        <w:jc w:val="both"/>
        <w:rPr>
          <w:rFonts w:ascii="Times New Roman" w:eastAsia="Calibri" w:hAnsi="Times New Roman" w:cs="Times New Roman"/>
          <w:noProof/>
          <w:color w:val="000000"/>
          <w:sz w:val="24"/>
          <w:szCs w:val="24"/>
        </w:rPr>
      </w:pPr>
      <w:r>
        <w:rPr>
          <w:rFonts w:ascii="Times New Roman" w:eastAsia="Calibri" w:hAnsi="Times New Roman" w:cs="Times New Roman"/>
          <w:noProof/>
          <w:color w:val="000000"/>
          <w:sz w:val="24"/>
          <w:szCs w:val="24"/>
        </w:rPr>
        <w:t>Today, the planned used of treated wastewater is a common practice in countries of the Middle East and North Africa, Australia, the Mediterranean, as well as in Mexico, China and the USA (AQUASTAT, n.d.b.). However, there is no comprehensive invent</w:t>
      </w:r>
      <w:r>
        <w:rPr>
          <w:rFonts w:ascii="Times New Roman" w:eastAsia="Calibri" w:hAnsi="Times New Roman" w:cs="Times New Roman"/>
          <w:noProof/>
          <w:color w:val="000000"/>
          <w:sz w:val="24"/>
          <w:szCs w:val="24"/>
        </w:rPr>
        <w:t>ory of the extent of treated or untreated wastewater used in agriculture, apart from the incipient efforts by institutions like AQUASTAT (n.d.b.). Inadequate wastewater treatment and the resulting large-scale water pollution suggest that the area irrigated</w:t>
      </w:r>
      <w:r>
        <w:rPr>
          <w:rFonts w:ascii="Times New Roman" w:eastAsia="Calibri" w:hAnsi="Times New Roman" w:cs="Times New Roman"/>
          <w:noProof/>
          <w:color w:val="000000"/>
          <w:sz w:val="24"/>
          <w:szCs w:val="24"/>
        </w:rPr>
        <w:t xml:space="preserve"> with unsafe wastewater is probably ten times larger than the area using treated wastewater (Drechsel and Evans, 2010)</w:t>
      </w:r>
      <w:r>
        <w:rPr>
          <w:rStyle w:val="FootnoteReference"/>
          <w:rFonts w:ascii="Times New Roman" w:eastAsia="Calibri" w:hAnsi="Times New Roman" w:cs="Times New Roman"/>
          <w:noProof/>
          <w:color w:val="000000"/>
          <w:sz w:val="24"/>
          <w:szCs w:val="24"/>
        </w:rPr>
        <w:footnoteReference w:id="16"/>
      </w:r>
      <w:r>
        <w:rPr>
          <w:rFonts w:ascii="Times New Roman" w:eastAsia="Calibri" w:hAnsi="Times New Roman" w:cs="Times New Roman"/>
          <w:noProof/>
          <w:color w:val="000000"/>
          <w:sz w:val="24"/>
          <w:szCs w:val="24"/>
        </w:rPr>
        <w:t>.</w:t>
      </w:r>
    </w:p>
    <w:p w:rsidR="00AB50C5" w:rsidRDefault="00724275">
      <w:pPr>
        <w:suppressAutoHyphens/>
        <w:spacing w:before="120" w:after="160" w:line="240" w:lineRule="atLeast"/>
        <w:jc w:val="both"/>
        <w:rPr>
          <w:rFonts w:ascii="Times New Roman" w:eastAsia="Calibri" w:hAnsi="Times New Roman" w:cs="Times New Roman"/>
          <w:noProof/>
          <w:color w:val="000000"/>
          <w:sz w:val="24"/>
          <w:szCs w:val="24"/>
        </w:rPr>
      </w:pPr>
      <w:r>
        <w:rPr>
          <w:rFonts w:ascii="Times New Roman" w:eastAsia="Calibri" w:hAnsi="Times New Roman" w:cs="Times New Roman"/>
          <w:noProof/>
          <w:color w:val="000000"/>
          <w:sz w:val="24"/>
          <w:szCs w:val="24"/>
        </w:rPr>
        <w:t>Many different approaches are practiced to mitigate potential health risks resulting from treated wastewater used for irrigation. WHO Guidelines for the Safe Use of Wastewater, Ecreta and Greywater in Agriculture (WHO, 2006a) acknowledge the potential heal</w:t>
      </w:r>
      <w:r>
        <w:rPr>
          <w:rFonts w:ascii="Times New Roman" w:eastAsia="Calibri" w:hAnsi="Times New Roman" w:cs="Times New Roman"/>
          <w:noProof/>
          <w:color w:val="000000"/>
          <w:sz w:val="24"/>
          <w:szCs w:val="24"/>
        </w:rPr>
        <w:t xml:space="preserve">th risks of wastewater with no or inadequate treatment, and the necessity to reduce such risks. However, in developing countries, strict water quality standards for reuse are often perceived as unaffordable and therefore fail in practice.   </w:t>
      </w:r>
    </w:p>
    <w:p w:rsidR="00AB50C5" w:rsidRDefault="00724275">
      <w:pPr>
        <w:suppressAutoHyphens/>
        <w:spacing w:before="120" w:after="160" w:line="240" w:lineRule="atLeast"/>
        <w:jc w:val="both"/>
        <w:rPr>
          <w:rFonts w:ascii="Times New Roman" w:eastAsia="Calibri" w:hAnsi="Times New Roman" w:cs="Times New Roman"/>
          <w:noProof/>
          <w:color w:val="000000"/>
          <w:sz w:val="24"/>
          <w:szCs w:val="24"/>
        </w:rPr>
      </w:pPr>
      <w:r>
        <w:rPr>
          <w:rFonts w:ascii="Times New Roman" w:eastAsia="Calibri" w:hAnsi="Times New Roman" w:cs="Times New Roman"/>
          <w:noProof/>
          <w:color w:val="000000"/>
          <w:sz w:val="24"/>
          <w:szCs w:val="24"/>
        </w:rPr>
        <w:t>Setting minimu</w:t>
      </w:r>
      <w:r>
        <w:rPr>
          <w:rFonts w:ascii="Times New Roman" w:eastAsia="Calibri" w:hAnsi="Times New Roman" w:cs="Times New Roman"/>
          <w:noProof/>
          <w:color w:val="000000"/>
          <w:sz w:val="24"/>
          <w:szCs w:val="24"/>
        </w:rPr>
        <w:t>m quality requirements and a risk assessment approach for water reuse at the EU level is assumed to result in positive impacts on the international trade with third countries, as the European producers would rely on a safe and sustainable water supply opti</w:t>
      </w:r>
      <w:r>
        <w:rPr>
          <w:rFonts w:ascii="Times New Roman" w:eastAsia="Calibri" w:hAnsi="Times New Roman" w:cs="Times New Roman"/>
          <w:noProof/>
          <w:color w:val="000000"/>
          <w:sz w:val="24"/>
          <w:szCs w:val="24"/>
        </w:rPr>
        <w:t>on leading to a more sustainable agricultural production. In addition, European products could benefit from a comparatively good reputation as minimum quality requirements would ensure adequate safety of the products. A harmonised approach for all EU Membe</w:t>
      </w:r>
      <w:r>
        <w:rPr>
          <w:rFonts w:ascii="Times New Roman" w:eastAsia="Calibri" w:hAnsi="Times New Roman" w:cs="Times New Roman"/>
          <w:noProof/>
          <w:color w:val="000000"/>
          <w:sz w:val="24"/>
          <w:szCs w:val="24"/>
        </w:rPr>
        <w:t xml:space="preserve">r States would contribute towards a more informed and safer consumer choice, with positive impacts for both the Internal Market and internationally. The impacts on competition with imports from third countries are expected to be neutral, </w:t>
      </w:r>
      <w:r>
        <w:rPr>
          <w:rFonts w:ascii="Times New Roman" w:hAnsi="Times New Roman"/>
          <w:noProof/>
          <w:sz w:val="24"/>
          <w:szCs w:val="24"/>
        </w:rPr>
        <w:t xml:space="preserve">however, assuming </w:t>
      </w:r>
      <w:r>
        <w:rPr>
          <w:rFonts w:ascii="Times New Roman" w:hAnsi="Times New Roman"/>
          <w:noProof/>
          <w:sz w:val="24"/>
          <w:szCs w:val="24"/>
        </w:rPr>
        <w:t>absence of "subsidisation" for reused water, n</w:t>
      </w:r>
      <w:r>
        <w:rPr>
          <w:rFonts w:ascii="Times New Roman" w:eastAsia="Calibri" w:hAnsi="Times New Roman" w:cs="Times New Roman"/>
          <w:noProof/>
          <w:color w:val="000000"/>
          <w:sz w:val="24"/>
          <w:szCs w:val="24"/>
        </w:rPr>
        <w:t>egative impacts could be expected where the price of agricultural production increases as a result of water reuse.</w:t>
      </w:r>
    </w:p>
    <w:p w:rsidR="00AB50C5" w:rsidRDefault="00724275">
      <w:pPr>
        <w:suppressAutoHyphens/>
        <w:spacing w:before="120" w:after="160" w:line="240" w:lineRule="atLeast"/>
        <w:jc w:val="both"/>
        <w:rPr>
          <w:rFonts w:ascii="Times New Roman" w:eastAsia="Calibri" w:hAnsi="Times New Roman" w:cs="Times New Roman"/>
          <w:noProof/>
          <w:color w:val="000000"/>
          <w:sz w:val="24"/>
          <w:szCs w:val="24"/>
        </w:rPr>
      </w:pPr>
      <w:r>
        <w:rPr>
          <w:rFonts w:ascii="Times New Roman" w:eastAsia="Calibri" w:hAnsi="Times New Roman" w:cs="Times New Roman"/>
          <w:noProof/>
          <w:color w:val="000000"/>
          <w:sz w:val="24"/>
          <w:szCs w:val="24"/>
        </w:rPr>
        <w:t xml:space="preserve">There is a rapidly growing world water technology market, which is estimated to be as large as </w:t>
      </w:r>
      <w:r>
        <w:rPr>
          <w:rFonts w:ascii="Times New Roman" w:eastAsia="Calibri" w:hAnsi="Times New Roman" w:cs="Times New Roman"/>
          <w:noProof/>
          <w:color w:val="000000"/>
          <w:sz w:val="24"/>
          <w:szCs w:val="24"/>
        </w:rPr>
        <w:t>EUR 1 trillion by 2020. By seizing new and significant market opportunities, Europe can increasingly become a global market leader in water-related innovation and technology (EC, 2012). According to Global Water Intelligence the global market for water reu</w:t>
      </w:r>
      <w:r>
        <w:rPr>
          <w:rFonts w:ascii="Times New Roman" w:eastAsia="Calibri" w:hAnsi="Times New Roman" w:cs="Times New Roman"/>
          <w:noProof/>
          <w:color w:val="000000"/>
          <w:sz w:val="24"/>
          <w:szCs w:val="24"/>
        </w:rPr>
        <w:t xml:space="preserve">se is one of the top growing markets, and it is on the verge of major expansion and going forward is expected to outpace desalination. The EU water reuse sector is maturing both technologically and commercially, albeit at a slow rate. Given the importance </w:t>
      </w:r>
      <w:r>
        <w:rPr>
          <w:rFonts w:ascii="Times New Roman" w:eastAsia="Calibri" w:hAnsi="Times New Roman" w:cs="Times New Roman"/>
          <w:noProof/>
          <w:color w:val="000000"/>
          <w:sz w:val="24"/>
          <w:szCs w:val="24"/>
        </w:rPr>
        <w:t>of the water industry sector in the EU, the past and current spread of water reuse technologies in the EU and worldwide has been a driver for the competitiveness of this industry sector, and this situation is expected to continue over the next 10 years. Wa</w:t>
      </w:r>
      <w:r>
        <w:rPr>
          <w:rFonts w:ascii="Times New Roman" w:eastAsia="Calibri" w:hAnsi="Times New Roman" w:cs="Times New Roman"/>
          <w:noProof/>
          <w:color w:val="000000"/>
          <w:sz w:val="24"/>
          <w:szCs w:val="24"/>
        </w:rPr>
        <w:t>ter supply and management sectors already represent 32% of EU eco-industries’ value added and EU companies hold more than 25% of the world market share in water management (EU, 2011) (BIO, 2015). Without any policy measures to incentivise / support the upt</w:t>
      </w:r>
      <w:r>
        <w:rPr>
          <w:rFonts w:ascii="Times New Roman" w:eastAsia="Calibri" w:hAnsi="Times New Roman" w:cs="Times New Roman"/>
          <w:noProof/>
          <w:color w:val="000000"/>
          <w:sz w:val="24"/>
          <w:szCs w:val="24"/>
        </w:rPr>
        <w:t>ake of water reuse schemes, it is unlikely that the EU water reuse sector would be maturing at a faster rate. The absence of incentives for further water reuse would lead to no positive impact on competitiveness and innovation related to water reuse techno</w:t>
      </w:r>
      <w:r>
        <w:rPr>
          <w:rFonts w:ascii="Times New Roman" w:eastAsia="Calibri" w:hAnsi="Times New Roman" w:cs="Times New Roman"/>
          <w:noProof/>
          <w:color w:val="000000"/>
          <w:sz w:val="24"/>
          <w:szCs w:val="24"/>
        </w:rPr>
        <w:t>logies. Considering the potential worth of this industry, this could lead to a loss of opportunities for the European market to be a leader on this issue.</w:t>
      </w:r>
    </w:p>
    <w:p w:rsidR="00AB50C5" w:rsidRDefault="00AB50C5">
      <w:pPr>
        <w:spacing w:after="0"/>
        <w:jc w:val="both"/>
        <w:rPr>
          <w:rFonts w:ascii="Times New Roman" w:hAnsi="Times New Roman" w:cs="Times New Roman"/>
          <w:bCs/>
          <w:i/>
          <w:noProof/>
          <w:sz w:val="20"/>
          <w:szCs w:val="20"/>
        </w:rPr>
      </w:pPr>
    </w:p>
    <w:p w:rsidR="00AB50C5" w:rsidRDefault="00724275">
      <w:pPr>
        <w:spacing w:after="0"/>
        <w:jc w:val="both"/>
        <w:rPr>
          <w:rFonts w:ascii="Times New Roman" w:hAnsi="Times New Roman" w:cs="Times New Roman"/>
          <w:bCs/>
          <w:i/>
          <w:noProof/>
          <w:sz w:val="20"/>
          <w:szCs w:val="20"/>
        </w:rPr>
      </w:pPr>
      <w:r>
        <w:rPr>
          <w:rFonts w:ascii="Times New Roman" w:hAnsi="Times New Roman" w:cs="Times New Roman"/>
          <w:bCs/>
          <w:i/>
          <w:noProof/>
          <w:sz w:val="20"/>
          <w:szCs w:val="20"/>
        </w:rPr>
        <w:t>Figure 34: Evolution of 20 top EU Agri-food imports from Extra EU 28, 2012 – 2016</w:t>
      </w:r>
    </w:p>
    <w:p w:rsidR="00AB50C5" w:rsidRDefault="00724275">
      <w:pPr>
        <w:suppressAutoHyphens/>
        <w:spacing w:before="120" w:after="160" w:line="240" w:lineRule="atLeast"/>
        <w:jc w:val="both"/>
        <w:rPr>
          <w:rFonts w:ascii="Times New Roman" w:hAnsi="Times New Roman" w:cs="Times New Roman"/>
          <w:bCs/>
          <w:i/>
          <w:noProof/>
          <w:sz w:val="20"/>
          <w:szCs w:val="20"/>
        </w:rPr>
      </w:pPr>
      <w:r>
        <w:rPr>
          <w:rFonts w:ascii="Times New Roman" w:eastAsia="Times New Roman" w:hAnsi="Times New Roman" w:cs="Times New Roman"/>
          <w:b/>
          <w:bCs/>
          <w:iCs/>
          <w:noProof/>
          <w:sz w:val="24"/>
          <w:szCs w:val="28"/>
          <w:lang w:eastAsia="en-GB"/>
        </w:rPr>
        <w:drawing>
          <wp:inline distT="0" distB="0" distL="0" distR="0" wp14:anchorId="26842F3B" wp14:editId="3814AA59">
            <wp:extent cx="5761355" cy="3124982"/>
            <wp:effectExtent l="0" t="0" r="0" b="0"/>
            <wp:docPr id="35855" name="Picture 35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761355" cy="3124982"/>
                    </a:xfrm>
                    <a:prstGeom prst="rect">
                      <a:avLst/>
                    </a:prstGeom>
                    <a:noFill/>
                    <a:ln>
                      <a:noFill/>
                    </a:ln>
                  </pic:spPr>
                </pic:pic>
              </a:graphicData>
            </a:graphic>
          </wp:inline>
        </w:drawing>
      </w:r>
    </w:p>
    <w:p w:rsidR="00AB50C5" w:rsidRDefault="00AB50C5">
      <w:pPr>
        <w:suppressAutoHyphens/>
        <w:spacing w:before="120" w:after="160" w:line="240" w:lineRule="atLeast"/>
        <w:jc w:val="both"/>
        <w:rPr>
          <w:rFonts w:ascii="Times New Roman" w:hAnsi="Times New Roman" w:cs="Times New Roman"/>
          <w:bCs/>
          <w:i/>
          <w:noProof/>
          <w:sz w:val="20"/>
          <w:szCs w:val="20"/>
        </w:rPr>
      </w:pPr>
    </w:p>
    <w:p w:rsidR="00AB50C5" w:rsidRDefault="00AB50C5">
      <w:pPr>
        <w:suppressAutoHyphens/>
        <w:spacing w:before="120" w:after="160" w:line="240" w:lineRule="atLeast"/>
        <w:jc w:val="both"/>
        <w:rPr>
          <w:rFonts w:ascii="Times New Roman" w:hAnsi="Times New Roman" w:cs="Times New Roman"/>
          <w:bCs/>
          <w:i/>
          <w:noProof/>
          <w:sz w:val="20"/>
          <w:szCs w:val="20"/>
        </w:rPr>
      </w:pPr>
    </w:p>
    <w:p w:rsidR="00AB50C5" w:rsidRDefault="00AB50C5">
      <w:pPr>
        <w:suppressAutoHyphens/>
        <w:spacing w:before="120" w:after="160" w:line="240" w:lineRule="atLeast"/>
        <w:jc w:val="both"/>
        <w:rPr>
          <w:rFonts w:ascii="Times New Roman" w:hAnsi="Times New Roman" w:cs="Times New Roman"/>
          <w:bCs/>
          <w:i/>
          <w:noProof/>
          <w:sz w:val="20"/>
          <w:szCs w:val="20"/>
        </w:rPr>
      </w:pPr>
    </w:p>
    <w:p w:rsidR="00AB50C5" w:rsidRDefault="00724275">
      <w:pPr>
        <w:suppressAutoHyphens/>
        <w:spacing w:before="120" w:after="0" w:line="240" w:lineRule="auto"/>
        <w:jc w:val="both"/>
        <w:rPr>
          <w:rFonts w:ascii="Times New Roman" w:eastAsia="Calibri" w:hAnsi="Times New Roman" w:cs="Times New Roman"/>
          <w:i/>
          <w:noProof/>
          <w:color w:val="000000"/>
          <w:sz w:val="20"/>
          <w:szCs w:val="20"/>
        </w:rPr>
      </w:pPr>
      <w:r>
        <w:rPr>
          <w:rFonts w:ascii="Times New Roman" w:hAnsi="Times New Roman" w:cs="Times New Roman"/>
          <w:bCs/>
          <w:i/>
          <w:noProof/>
          <w:sz w:val="20"/>
          <w:szCs w:val="20"/>
        </w:rPr>
        <w:t>Figure 35: To</w:t>
      </w:r>
      <w:r>
        <w:rPr>
          <w:rFonts w:ascii="Times New Roman" w:hAnsi="Times New Roman" w:cs="Times New Roman"/>
          <w:bCs/>
          <w:i/>
          <w:noProof/>
          <w:sz w:val="20"/>
          <w:szCs w:val="20"/>
        </w:rPr>
        <w:t>p EU Agri-food imports from Extra EU 28 in 2016</w:t>
      </w:r>
    </w:p>
    <w:p w:rsidR="00AB50C5" w:rsidRDefault="00724275">
      <w:pPr>
        <w:jc w:val="both"/>
        <w:rPr>
          <w:rFonts w:ascii="Times New Roman" w:hAnsi="Times New Roman" w:cs="Times New Roman"/>
          <w:noProof/>
          <w:sz w:val="24"/>
          <w:szCs w:val="24"/>
        </w:rPr>
      </w:pPr>
      <w:r>
        <w:rPr>
          <w:rFonts w:ascii="Times New Roman" w:hAnsi="Times New Roman" w:cs="Times New Roman"/>
          <w:noProof/>
          <w:sz w:val="24"/>
          <w:szCs w:val="24"/>
          <w:lang w:eastAsia="en-GB"/>
        </w:rPr>
        <w:drawing>
          <wp:inline distT="0" distB="0" distL="0" distR="0" wp14:anchorId="0BD7EFDA" wp14:editId="761937AA">
            <wp:extent cx="5761355" cy="3437587"/>
            <wp:effectExtent l="0" t="0" r="0" b="0"/>
            <wp:docPr id="35853" name="Picture 35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61355" cy="3437587"/>
                    </a:xfrm>
                    <a:prstGeom prst="rect">
                      <a:avLst/>
                    </a:prstGeom>
                    <a:noFill/>
                    <a:ln>
                      <a:noFill/>
                    </a:ln>
                  </pic:spPr>
                </pic:pic>
              </a:graphicData>
            </a:graphic>
          </wp:inline>
        </w:drawing>
      </w:r>
    </w:p>
    <w:p w:rsidR="00AB50C5" w:rsidRDefault="00724275">
      <w:pPr>
        <w:rPr>
          <w:rFonts w:ascii="Times New Roman" w:eastAsia="Times New Roman" w:hAnsi="Times New Roman" w:cs="Times New Roman"/>
          <w:b/>
          <w:bCs/>
          <w:iCs/>
          <w:noProof/>
          <w:sz w:val="24"/>
          <w:szCs w:val="28"/>
          <w:lang w:val="en" w:eastAsia="de-DE"/>
        </w:rPr>
      </w:pPr>
      <w:r>
        <w:rPr>
          <w:rFonts w:ascii="Times New Roman" w:eastAsia="Times New Roman" w:hAnsi="Times New Roman" w:cs="Times New Roman"/>
          <w:b/>
          <w:bCs/>
          <w:iCs/>
          <w:noProof/>
          <w:sz w:val="24"/>
          <w:szCs w:val="28"/>
          <w:lang w:val="en" w:eastAsia="de-DE"/>
        </w:rPr>
        <w:br w:type="page"/>
      </w:r>
    </w:p>
    <w:p w:rsidR="00AB50C5" w:rsidRDefault="00724275">
      <w:pPr>
        <w:keepNext/>
        <w:spacing w:before="120" w:after="120" w:line="240" w:lineRule="auto"/>
        <w:jc w:val="both"/>
        <w:outlineLvl w:val="1"/>
        <w:rPr>
          <w:rFonts w:ascii="Times New Roman" w:eastAsia="Times New Roman" w:hAnsi="Times New Roman" w:cs="Times New Roman"/>
          <w:b/>
          <w:bCs/>
          <w:iCs/>
          <w:noProof/>
          <w:sz w:val="24"/>
          <w:szCs w:val="28"/>
          <w:lang w:eastAsia="de-DE"/>
        </w:rPr>
      </w:pPr>
      <w:bookmarkStart w:id="280" w:name="_Toc507407450"/>
      <w:bookmarkStart w:id="281" w:name="_Toc516234829"/>
      <w:r>
        <w:rPr>
          <w:rFonts w:ascii="Times New Roman" w:eastAsia="Times New Roman" w:hAnsi="Times New Roman" w:cs="Times New Roman"/>
          <w:b/>
          <w:bCs/>
          <w:iCs/>
          <w:noProof/>
          <w:sz w:val="24"/>
          <w:szCs w:val="28"/>
          <w:lang w:val="en" w:eastAsia="de-DE"/>
        </w:rPr>
        <w:t>Annex 11 – Subsidiarity assessment of potential EU-level regulation of water reuse for aquifer recharge</w:t>
      </w:r>
      <w:bookmarkStart w:id="282" w:name="_Toc494034276"/>
      <w:bookmarkStart w:id="283" w:name="_Toc494270292"/>
      <w:bookmarkEnd w:id="280"/>
      <w:bookmarkEnd w:id="281"/>
    </w:p>
    <w:p w:rsidR="00AB50C5" w:rsidRDefault="00724275">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xml:space="preserve">As for agricultural irrigation, the use of reclaimed water for aquifer recharge is subject to </w:t>
      </w:r>
      <w:r>
        <w:rPr>
          <w:rFonts w:ascii="Times New Roman" w:eastAsia="Times New Roman" w:hAnsi="Times New Roman" w:cs="Times New Roman"/>
          <w:noProof/>
          <w:sz w:val="24"/>
          <w:szCs w:val="24"/>
          <w:lang w:eastAsia="de-DE"/>
        </w:rPr>
        <w:t>existing requirements in EU legislation, in particular:</w:t>
      </w:r>
    </w:p>
    <w:p w:rsidR="00AB50C5" w:rsidRDefault="00724275">
      <w:pPr>
        <w:numPr>
          <w:ilvl w:val="0"/>
          <w:numId w:val="29"/>
        </w:numPr>
        <w:suppressAutoHyphens/>
        <w:spacing w:before="120" w:after="120" w:line="240" w:lineRule="auto"/>
        <w:ind w:left="426" w:hanging="426"/>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UWWTD, applied to the discharge of urban waste treatment plants to the environment (sensitive areas, catchments of sensitive areas, non-sensitive areas);</w:t>
      </w:r>
    </w:p>
    <w:p w:rsidR="00AB50C5" w:rsidRDefault="00724275">
      <w:pPr>
        <w:numPr>
          <w:ilvl w:val="0"/>
          <w:numId w:val="29"/>
        </w:numPr>
        <w:suppressAutoHyphens/>
        <w:spacing w:before="120" w:after="120" w:line="240" w:lineRule="auto"/>
        <w:ind w:left="426" w:hanging="426"/>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WFD, in particular Article 11(3)(f) wh</w:t>
      </w:r>
      <w:r>
        <w:rPr>
          <w:rFonts w:ascii="Times New Roman" w:eastAsia="Times New Roman" w:hAnsi="Times New Roman" w:cs="Times New Roman"/>
          <w:noProof/>
          <w:sz w:val="24"/>
          <w:szCs w:val="24"/>
          <w:lang w:eastAsia="en-GB"/>
        </w:rPr>
        <w:t>ich requires that artificial recharge or augmentation of groundwater bodies be subject to prior authorisation and that such actions do not compromise the achievement of objectives for the groundwater body; Article 11(3)(j) imposes the ‘prohibition of direc</w:t>
      </w:r>
      <w:r>
        <w:rPr>
          <w:rFonts w:ascii="Times New Roman" w:eastAsia="Times New Roman" w:hAnsi="Times New Roman" w:cs="Times New Roman"/>
          <w:noProof/>
          <w:sz w:val="24"/>
          <w:szCs w:val="24"/>
          <w:lang w:eastAsia="en-GB"/>
        </w:rPr>
        <w:t>t discharges of pollutants into groundwater’; Article 7 imposes specific protection of water bodies used for the abstraction of drinking water;</w:t>
      </w:r>
    </w:p>
    <w:p w:rsidR="00AB50C5" w:rsidRDefault="00724275">
      <w:pPr>
        <w:numPr>
          <w:ilvl w:val="0"/>
          <w:numId w:val="29"/>
        </w:numPr>
        <w:suppressAutoHyphens/>
        <w:spacing w:before="120" w:after="120" w:line="240" w:lineRule="auto"/>
        <w:ind w:left="426" w:hanging="426"/>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Groundwater Directive, in particular Article 6 which states that the inputs of pollutants that are result of</w:t>
      </w:r>
      <w:r>
        <w:rPr>
          <w:rFonts w:ascii="Times New Roman" w:eastAsia="Times New Roman" w:hAnsi="Times New Roman" w:cs="Times New Roman"/>
          <w:noProof/>
          <w:sz w:val="24"/>
          <w:szCs w:val="24"/>
          <w:lang w:eastAsia="en-GB"/>
        </w:rPr>
        <w:t xml:space="preserve"> artificial recharge or augmentation of bodies of groundwater authorised in accordance with Article 11(3)(f) of the WFD may be exempted from measures to prevent inputs into groundwater of any hazardous substances, provided efficient monitoring of the bodie</w:t>
      </w:r>
      <w:r>
        <w:rPr>
          <w:rFonts w:ascii="Times New Roman" w:eastAsia="Times New Roman" w:hAnsi="Times New Roman" w:cs="Times New Roman"/>
          <w:noProof/>
          <w:sz w:val="24"/>
          <w:szCs w:val="24"/>
          <w:lang w:eastAsia="en-GB"/>
        </w:rPr>
        <w:t>s of groundwater concerned is in place;</w:t>
      </w:r>
    </w:p>
    <w:p w:rsidR="00AB50C5" w:rsidRDefault="00724275">
      <w:pPr>
        <w:numPr>
          <w:ilvl w:val="0"/>
          <w:numId w:val="29"/>
        </w:numPr>
        <w:suppressAutoHyphens/>
        <w:spacing w:before="120" w:after="120" w:line="240" w:lineRule="auto"/>
        <w:ind w:left="426" w:hanging="426"/>
        <w:contextualSpacing/>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en-GB"/>
        </w:rPr>
        <w:t>the EIA Directive, when the capacity of the urban wastewater treatment plant exceeds 150 000 population equivalent, or if the annual volume of water recharged exceeds 10 million cubic meters, or if artificial groundw</w:t>
      </w:r>
      <w:r>
        <w:rPr>
          <w:rFonts w:ascii="Times New Roman" w:eastAsia="Times New Roman" w:hAnsi="Times New Roman" w:cs="Times New Roman"/>
          <w:noProof/>
          <w:sz w:val="24"/>
          <w:szCs w:val="24"/>
          <w:lang w:eastAsia="en-GB"/>
        </w:rPr>
        <w:t>ater recharge is subject to an Environmental Impact Assessment in application of article 4(2) of Directive 2011/92/EU in the Member State.</w:t>
      </w:r>
    </w:p>
    <w:p w:rsidR="00AB50C5" w:rsidRDefault="00AB50C5">
      <w:pPr>
        <w:suppressAutoHyphens/>
        <w:spacing w:before="120" w:after="120" w:line="240" w:lineRule="auto"/>
        <w:ind w:left="720"/>
        <w:contextualSpacing/>
        <w:jc w:val="both"/>
        <w:rPr>
          <w:rFonts w:ascii="Times New Roman" w:eastAsia="Times New Roman" w:hAnsi="Times New Roman" w:cs="Times New Roman"/>
          <w:noProof/>
          <w:sz w:val="24"/>
          <w:szCs w:val="24"/>
          <w:lang w:eastAsia="en-GB"/>
        </w:rPr>
      </w:pPr>
    </w:p>
    <w:p w:rsidR="00AB50C5" w:rsidRDefault="00724275">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xml:space="preserve">The crucial difference of aquifer recharge relative to agricultural irrigation is that it does not directly entail any issue linked with the Internal Market. </w:t>
      </w:r>
    </w:p>
    <w:p w:rsidR="00AB50C5" w:rsidRDefault="00724275">
      <w:pPr>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The associated risks are very much dependent of the nature of the project (characteristics of the</w:t>
      </w:r>
      <w:r>
        <w:rPr>
          <w:rFonts w:ascii="Times New Roman" w:eastAsia="Times New Roman" w:hAnsi="Times New Roman" w:cs="Times New Roman"/>
          <w:noProof/>
          <w:sz w:val="24"/>
          <w:szCs w:val="24"/>
          <w:lang w:eastAsia="de-DE"/>
        </w:rPr>
        <w:t xml:space="preserve"> urban waste water to be reclaimed, technique for aquifer recharge) and the characteristics of the local environment (in particular of the aquifer in terms of its capacity to further improve reclaimed water quality). Therefore it has been found impossible </w:t>
      </w:r>
      <w:r>
        <w:rPr>
          <w:rFonts w:ascii="Times New Roman" w:eastAsia="Times New Roman" w:hAnsi="Times New Roman" w:cs="Times New Roman"/>
          <w:noProof/>
          <w:sz w:val="24"/>
          <w:szCs w:val="24"/>
          <w:lang w:eastAsia="de-DE"/>
        </w:rPr>
        <w:t>to derive science-based minimum quality requirements for water reuse for aquifer recharge in terms of quality criteria (parameters and limit values) that would need to apply to every project in the EU in addition to the requirements from the existing legis</w:t>
      </w:r>
      <w:r>
        <w:rPr>
          <w:rFonts w:ascii="Times New Roman" w:eastAsia="Times New Roman" w:hAnsi="Times New Roman" w:cs="Times New Roman"/>
          <w:noProof/>
          <w:sz w:val="24"/>
          <w:szCs w:val="24"/>
          <w:lang w:eastAsia="de-DE"/>
        </w:rPr>
        <w:t xml:space="preserve">lative framework (cf. Annex 7). However, similarly to agricultural irrigation, when it comes to ensuring health and environmental protection, a risk management framework is widely considered the appropriate regulatory approach for water reuse projects for </w:t>
      </w:r>
      <w:r>
        <w:rPr>
          <w:rFonts w:ascii="Times New Roman" w:eastAsia="Times New Roman" w:hAnsi="Times New Roman" w:cs="Times New Roman"/>
          <w:noProof/>
          <w:sz w:val="24"/>
          <w:szCs w:val="24"/>
          <w:lang w:eastAsia="de-DE"/>
        </w:rPr>
        <w:t>aquifer recharge, as it can ensure the desired level of protection against risks while leaving flexibility to adapt to specific conditions.</w:t>
      </w:r>
    </w:p>
    <w:p w:rsidR="00AB50C5" w:rsidRDefault="00724275">
      <w:pPr>
        <w:spacing w:after="0" w:line="240" w:lineRule="auto"/>
        <w:jc w:val="both"/>
        <w:rPr>
          <w:rFonts w:ascii="Times New Roman" w:eastAsia="Times New Roman" w:hAnsi="Times New Roman" w:cs="Times New Roman"/>
          <w:noProof/>
          <w:sz w:val="24"/>
          <w:szCs w:val="24"/>
          <w:lang w:eastAsia="en-GB"/>
        </w:rPr>
      </w:pPr>
      <w:r>
        <w:rPr>
          <w:rFonts w:ascii="Times New Roman" w:eastAsia="Times New Roman" w:hAnsi="Times New Roman" w:cs="Times New Roman"/>
          <w:noProof/>
          <w:sz w:val="24"/>
          <w:szCs w:val="24"/>
          <w:lang w:eastAsia="de-DE"/>
        </w:rPr>
        <w:t>Based on the above, the most appropriate EU level response is Guidance on the implementation of a risk management fr</w:t>
      </w:r>
      <w:r>
        <w:rPr>
          <w:rFonts w:ascii="Times New Roman" w:eastAsia="Times New Roman" w:hAnsi="Times New Roman" w:cs="Times New Roman"/>
          <w:noProof/>
          <w:sz w:val="24"/>
          <w:szCs w:val="24"/>
          <w:lang w:eastAsia="de-DE"/>
        </w:rPr>
        <w:t xml:space="preserve">amework for water reuse for aquifer recharge. Given the local nature of the aquifer recharge practices, </w:t>
      </w:r>
      <w:r>
        <w:rPr>
          <w:rFonts w:ascii="Times New Roman" w:eastAsia="Times New Roman" w:hAnsi="Times New Roman" w:cs="Times New Roman"/>
          <w:noProof/>
          <w:sz w:val="24"/>
          <w:szCs w:val="24"/>
          <w:lang w:eastAsia="en-GB"/>
        </w:rPr>
        <w:t>the regulation of water reuse for aquifer recharge should remain the competence of Member States, while ensuring full compliance with the relevant exist</w:t>
      </w:r>
      <w:r>
        <w:rPr>
          <w:rFonts w:ascii="Times New Roman" w:eastAsia="Times New Roman" w:hAnsi="Times New Roman" w:cs="Times New Roman"/>
          <w:noProof/>
          <w:sz w:val="24"/>
          <w:szCs w:val="24"/>
          <w:lang w:eastAsia="en-GB"/>
        </w:rPr>
        <w:t>ing legislation.</w:t>
      </w:r>
    </w:p>
    <w:p w:rsidR="00AB50C5" w:rsidRDefault="00AB50C5">
      <w:pPr>
        <w:suppressAutoHyphens/>
        <w:spacing w:before="120" w:after="120" w:line="240" w:lineRule="auto"/>
        <w:ind w:left="360"/>
        <w:contextualSpacing/>
        <w:jc w:val="both"/>
        <w:rPr>
          <w:rFonts w:ascii="Times New Roman" w:eastAsia="Times New Roman" w:hAnsi="Times New Roman" w:cs="Calibri"/>
          <w:noProof/>
          <w:sz w:val="24"/>
          <w:lang w:eastAsia="en-GB"/>
        </w:rPr>
      </w:pPr>
    </w:p>
    <w:bookmarkEnd w:id="282"/>
    <w:bookmarkEnd w:id="283"/>
    <w:p w:rsidR="00AB50C5" w:rsidRDefault="00AB50C5">
      <w:pPr>
        <w:spacing w:before="120" w:after="120" w:line="240" w:lineRule="auto"/>
        <w:jc w:val="both"/>
        <w:rPr>
          <w:rFonts w:ascii="Times New Roman" w:eastAsia="Times New Roman" w:hAnsi="Times New Roman" w:cs="Times New Roman"/>
          <w:b/>
          <w:i/>
          <w:noProof/>
          <w:sz w:val="24"/>
          <w:szCs w:val="24"/>
          <w:lang w:eastAsia="de-DE"/>
        </w:rPr>
      </w:pPr>
    </w:p>
    <w:p w:rsidR="00AB50C5" w:rsidRDefault="00724275">
      <w:pPr>
        <w:spacing w:after="0" w:line="240" w:lineRule="auto"/>
        <w:rPr>
          <w:rFonts w:ascii="Times New Roman" w:eastAsia="Times New Roman" w:hAnsi="Times New Roman" w:cs="Times New Roman"/>
          <w:b/>
          <w:noProof/>
          <w:sz w:val="24"/>
          <w:szCs w:val="24"/>
          <w:lang w:eastAsia="de-DE"/>
        </w:rPr>
        <w:sectPr w:rsidR="00AB50C5">
          <w:headerReference w:type="even" r:id="rId100"/>
          <w:headerReference w:type="default" r:id="rId101"/>
          <w:footerReference w:type="even" r:id="rId102"/>
          <w:footerReference w:type="default" r:id="rId103"/>
          <w:headerReference w:type="first" r:id="rId104"/>
          <w:footerReference w:type="first" r:id="rId105"/>
          <w:pgSz w:w="11907" w:h="16839"/>
          <w:pgMar w:top="1417" w:right="1417" w:bottom="1417" w:left="1417" w:header="708" w:footer="708" w:gutter="0"/>
          <w:cols w:space="708"/>
          <w:docGrid w:linePitch="360"/>
        </w:sectPr>
      </w:pPr>
      <w:r>
        <w:rPr>
          <w:rFonts w:ascii="Times New Roman" w:eastAsia="Times New Roman" w:hAnsi="Times New Roman" w:cs="Times New Roman"/>
          <w:b/>
          <w:noProof/>
          <w:sz w:val="24"/>
          <w:szCs w:val="24"/>
          <w:lang w:eastAsia="de-DE"/>
        </w:rPr>
        <w:br w:type="page"/>
      </w:r>
    </w:p>
    <w:p w:rsidR="00AB50C5" w:rsidRDefault="00724275">
      <w:pPr>
        <w:pStyle w:val="Heading2"/>
        <w:numPr>
          <w:ilvl w:val="0"/>
          <w:numId w:val="0"/>
        </w:numPr>
        <w:rPr>
          <w:rFonts w:eastAsia="Calibri" w:cs="Arial"/>
          <w:noProof/>
          <w:color w:val="000000"/>
          <w:szCs w:val="24"/>
          <w:lang w:eastAsia="ar-SA"/>
        </w:rPr>
      </w:pPr>
      <w:bookmarkStart w:id="284" w:name="_Toc507407451"/>
      <w:bookmarkStart w:id="285" w:name="_Toc516234830"/>
      <w:r>
        <w:rPr>
          <w:rFonts w:eastAsia="Calibri" w:cs="Arial"/>
          <w:noProof/>
          <w:color w:val="000000"/>
          <w:szCs w:val="24"/>
          <w:lang w:eastAsia="ar-SA"/>
        </w:rPr>
        <w:t>Annex 12 – Comparison of impacts per policy options and per different group of Member States</w:t>
      </w:r>
      <w:bookmarkEnd w:id="284"/>
      <w:bookmarkEnd w:id="285"/>
    </w:p>
    <w:p w:rsidR="00AB50C5" w:rsidRDefault="00AB50C5">
      <w:pPr>
        <w:spacing w:after="0" w:line="240" w:lineRule="auto"/>
        <w:rPr>
          <w:rFonts w:ascii="Times New Roman" w:eastAsia="Times New Roman" w:hAnsi="Times New Roman" w:cs="Times New Roman"/>
          <w:b/>
          <w:noProof/>
          <w:sz w:val="24"/>
          <w:szCs w:val="24"/>
          <w:lang w:eastAsia="de-DE"/>
        </w:rPr>
      </w:pPr>
    </w:p>
    <w:tbl>
      <w:tblPr>
        <w:tblStyle w:val="TableGrid"/>
        <w:tblW w:w="16160" w:type="dxa"/>
        <w:tblInd w:w="-601" w:type="dxa"/>
        <w:tblBorders>
          <w:top w:val="none" w:sz="0" w:space="0" w:color="auto"/>
        </w:tblBorders>
        <w:tblLook w:val="0480" w:firstRow="0" w:lastRow="0" w:firstColumn="1" w:lastColumn="0" w:noHBand="0" w:noVBand="1"/>
      </w:tblPr>
      <w:tblGrid>
        <w:gridCol w:w="2552"/>
        <w:gridCol w:w="3260"/>
        <w:gridCol w:w="4536"/>
        <w:gridCol w:w="3119"/>
        <w:gridCol w:w="2693"/>
      </w:tblGrid>
      <w:tr w:rsidR="00AB50C5">
        <w:trPr>
          <w:tblHeader/>
        </w:trPr>
        <w:tc>
          <w:tcPr>
            <w:tcW w:w="2552" w:type="dxa"/>
            <w:vMerge w:val="restart"/>
            <w:tcBorders>
              <w:top w:val="single" w:sz="4" w:space="0" w:color="auto"/>
            </w:tcBorders>
            <w:shd w:val="clear" w:color="auto" w:fill="D9D9D9" w:themeFill="background1" w:themeFillShade="D9"/>
          </w:tcPr>
          <w:p w:rsidR="00AB50C5" w:rsidRDefault="00724275">
            <w:pPr>
              <w:jc w:val="center"/>
              <w:rPr>
                <w:rFonts w:ascii="Arial" w:hAnsi="Arial" w:cs="Arial"/>
                <w:b/>
                <w:noProof/>
              </w:rPr>
            </w:pPr>
            <w:r>
              <w:rPr>
                <w:rFonts w:ascii="Arial" w:hAnsi="Arial" w:cs="Arial"/>
                <w:b/>
                <w:noProof/>
              </w:rPr>
              <w:t>Options for agricultural irrigation</w:t>
            </w:r>
          </w:p>
        </w:tc>
        <w:tc>
          <w:tcPr>
            <w:tcW w:w="7796" w:type="dxa"/>
            <w:gridSpan w:val="2"/>
            <w:tcBorders>
              <w:top w:val="single" w:sz="4" w:space="0" w:color="auto"/>
            </w:tcBorders>
            <w:shd w:val="clear" w:color="auto" w:fill="D9D9D9" w:themeFill="background1" w:themeFillShade="D9"/>
            <w:vAlign w:val="center"/>
          </w:tcPr>
          <w:p w:rsidR="00AB50C5" w:rsidRDefault="00724275">
            <w:pPr>
              <w:pStyle w:val="Table-ContentsCT"/>
              <w:spacing w:before="0" w:after="0"/>
              <w:jc w:val="center"/>
              <w:rPr>
                <w:rFonts w:cs="Arial"/>
                <w:b/>
                <w:noProof/>
                <w:sz w:val="18"/>
                <w:szCs w:val="18"/>
              </w:rPr>
            </w:pPr>
            <w:r>
              <w:rPr>
                <w:rFonts w:cs="Arial"/>
                <w:b/>
                <w:noProof/>
                <w:sz w:val="18"/>
                <w:szCs w:val="18"/>
              </w:rPr>
              <w:t xml:space="preserve">Member States </w:t>
            </w:r>
            <w:r>
              <w:rPr>
                <w:rFonts w:cs="Arial"/>
                <w:b/>
                <w:noProof/>
                <w:color w:val="FF0000"/>
                <w:sz w:val="18"/>
                <w:szCs w:val="18"/>
              </w:rPr>
              <w:t xml:space="preserve">with </w:t>
            </w:r>
            <w:r>
              <w:rPr>
                <w:rFonts w:cs="Arial"/>
                <w:b/>
                <w:noProof/>
                <w:sz w:val="18"/>
                <w:szCs w:val="18"/>
              </w:rPr>
              <w:t>national standards</w:t>
            </w:r>
          </w:p>
        </w:tc>
        <w:tc>
          <w:tcPr>
            <w:tcW w:w="5812" w:type="dxa"/>
            <w:gridSpan w:val="2"/>
            <w:tcBorders>
              <w:top w:val="single" w:sz="4" w:space="0" w:color="auto"/>
            </w:tcBorders>
            <w:shd w:val="clear" w:color="auto" w:fill="D9D9D9" w:themeFill="background1" w:themeFillShade="D9"/>
            <w:vAlign w:val="center"/>
          </w:tcPr>
          <w:p w:rsidR="00AB50C5" w:rsidRDefault="00724275">
            <w:pPr>
              <w:pStyle w:val="Table-ContentsCT"/>
              <w:spacing w:before="0" w:after="0"/>
              <w:jc w:val="center"/>
              <w:rPr>
                <w:rFonts w:cs="Arial"/>
                <w:b/>
                <w:noProof/>
                <w:sz w:val="18"/>
                <w:szCs w:val="18"/>
              </w:rPr>
            </w:pPr>
            <w:r>
              <w:rPr>
                <w:rFonts w:cs="Arial"/>
                <w:b/>
                <w:noProof/>
                <w:sz w:val="18"/>
                <w:szCs w:val="18"/>
              </w:rPr>
              <w:t xml:space="preserve">Member States </w:t>
            </w:r>
            <w:r>
              <w:rPr>
                <w:rFonts w:cs="Arial"/>
                <w:b/>
                <w:noProof/>
                <w:color w:val="FF0000"/>
                <w:sz w:val="18"/>
                <w:szCs w:val="18"/>
              </w:rPr>
              <w:t xml:space="preserve">without </w:t>
            </w:r>
            <w:r>
              <w:rPr>
                <w:rFonts w:cs="Arial"/>
                <w:b/>
                <w:noProof/>
                <w:sz w:val="18"/>
                <w:szCs w:val="18"/>
              </w:rPr>
              <w:t>national standards</w:t>
            </w:r>
          </w:p>
        </w:tc>
      </w:tr>
      <w:tr w:rsidR="00AB50C5">
        <w:trPr>
          <w:tblHeader/>
        </w:trPr>
        <w:tc>
          <w:tcPr>
            <w:tcW w:w="2552" w:type="dxa"/>
            <w:vMerge/>
            <w:shd w:val="clear" w:color="auto" w:fill="D9D9D9" w:themeFill="background1" w:themeFillShade="D9"/>
          </w:tcPr>
          <w:p w:rsidR="00AB50C5" w:rsidRDefault="00AB50C5">
            <w:pPr>
              <w:rPr>
                <w:rFonts w:ascii="Arial" w:hAnsi="Arial" w:cs="Arial"/>
                <w:b/>
                <w:noProof/>
              </w:rPr>
            </w:pPr>
          </w:p>
        </w:tc>
        <w:tc>
          <w:tcPr>
            <w:tcW w:w="3260" w:type="dxa"/>
            <w:shd w:val="clear" w:color="auto" w:fill="D9D9D9" w:themeFill="background1" w:themeFillShade="D9"/>
          </w:tcPr>
          <w:p w:rsidR="00AB50C5" w:rsidRDefault="00724275">
            <w:pPr>
              <w:pStyle w:val="Table-ContentsCT"/>
              <w:spacing w:before="0" w:after="0"/>
              <w:jc w:val="center"/>
              <w:rPr>
                <w:rFonts w:cs="Arial"/>
                <w:b/>
                <w:noProof/>
                <w:sz w:val="18"/>
                <w:szCs w:val="18"/>
              </w:rPr>
            </w:pPr>
            <w:r>
              <w:rPr>
                <w:rFonts w:cs="Arial"/>
                <w:b/>
                <w:noProof/>
                <w:sz w:val="18"/>
                <w:szCs w:val="18"/>
              </w:rPr>
              <w:t xml:space="preserve">National standards </w:t>
            </w:r>
            <w:r>
              <w:rPr>
                <w:rFonts w:cs="Arial"/>
                <w:b/>
                <w:noProof/>
                <w:color w:val="FF0000"/>
                <w:sz w:val="18"/>
                <w:szCs w:val="18"/>
              </w:rPr>
              <w:t xml:space="preserve">more stringent </w:t>
            </w:r>
            <w:r>
              <w:rPr>
                <w:rFonts w:cs="Arial"/>
                <w:b/>
                <w:noProof/>
                <w:sz w:val="18"/>
                <w:szCs w:val="18"/>
              </w:rPr>
              <w:t>than proposed</w:t>
            </w:r>
          </w:p>
        </w:tc>
        <w:tc>
          <w:tcPr>
            <w:tcW w:w="4536" w:type="dxa"/>
            <w:shd w:val="clear" w:color="auto" w:fill="D9D9D9" w:themeFill="background1" w:themeFillShade="D9"/>
          </w:tcPr>
          <w:p w:rsidR="00AB50C5" w:rsidRDefault="00724275">
            <w:pPr>
              <w:pStyle w:val="Table-ContentsCT"/>
              <w:spacing w:before="0" w:after="0"/>
              <w:jc w:val="center"/>
              <w:rPr>
                <w:rFonts w:cs="Arial"/>
                <w:b/>
                <w:noProof/>
                <w:sz w:val="18"/>
                <w:szCs w:val="18"/>
              </w:rPr>
            </w:pPr>
            <w:r>
              <w:rPr>
                <w:rFonts w:cs="Arial"/>
                <w:b/>
                <w:noProof/>
                <w:sz w:val="18"/>
                <w:szCs w:val="18"/>
              </w:rPr>
              <w:t xml:space="preserve">National standards </w:t>
            </w:r>
            <w:r>
              <w:rPr>
                <w:rFonts w:cs="Arial"/>
                <w:b/>
                <w:noProof/>
                <w:color w:val="FF0000"/>
                <w:sz w:val="18"/>
                <w:szCs w:val="18"/>
              </w:rPr>
              <w:t xml:space="preserve">less stringent / different </w:t>
            </w:r>
            <w:r>
              <w:rPr>
                <w:rFonts w:cs="Arial"/>
                <w:b/>
                <w:noProof/>
                <w:sz w:val="18"/>
                <w:szCs w:val="18"/>
              </w:rPr>
              <w:t>parameters than proposed</w:t>
            </w:r>
          </w:p>
        </w:tc>
        <w:tc>
          <w:tcPr>
            <w:tcW w:w="3119" w:type="dxa"/>
            <w:shd w:val="clear" w:color="auto" w:fill="D9D9D9" w:themeFill="background1" w:themeFillShade="D9"/>
            <w:vAlign w:val="center"/>
          </w:tcPr>
          <w:p w:rsidR="00AB50C5" w:rsidRDefault="00724275">
            <w:pPr>
              <w:pStyle w:val="Table-ContentsCT"/>
              <w:spacing w:before="0" w:after="0"/>
              <w:jc w:val="center"/>
              <w:rPr>
                <w:rFonts w:cs="Arial"/>
                <w:b/>
                <w:noProof/>
                <w:sz w:val="18"/>
                <w:szCs w:val="18"/>
              </w:rPr>
            </w:pPr>
            <w:r>
              <w:rPr>
                <w:rFonts w:cs="Arial"/>
                <w:b/>
                <w:noProof/>
                <w:sz w:val="18"/>
                <w:szCs w:val="18"/>
              </w:rPr>
              <w:t>Adoption of proposed EU standards</w:t>
            </w:r>
          </w:p>
        </w:tc>
        <w:tc>
          <w:tcPr>
            <w:tcW w:w="2693" w:type="dxa"/>
            <w:shd w:val="clear" w:color="auto" w:fill="D9D9D9" w:themeFill="background1" w:themeFillShade="D9"/>
            <w:vAlign w:val="center"/>
          </w:tcPr>
          <w:p w:rsidR="00AB50C5" w:rsidRDefault="00724275">
            <w:pPr>
              <w:pStyle w:val="Table-ContentsCT"/>
              <w:spacing w:before="0" w:after="0"/>
              <w:jc w:val="center"/>
              <w:rPr>
                <w:rFonts w:cs="Arial"/>
                <w:b/>
                <w:noProof/>
                <w:sz w:val="18"/>
                <w:szCs w:val="18"/>
              </w:rPr>
            </w:pPr>
            <w:r>
              <w:rPr>
                <w:rFonts w:cs="Arial"/>
                <w:b/>
                <w:noProof/>
                <w:sz w:val="18"/>
                <w:szCs w:val="18"/>
              </w:rPr>
              <w:t>Retaining status quo</w:t>
            </w:r>
          </w:p>
        </w:tc>
      </w:tr>
      <w:tr w:rsidR="00AB50C5">
        <w:tc>
          <w:tcPr>
            <w:tcW w:w="2552" w:type="dxa"/>
          </w:tcPr>
          <w:p w:rsidR="00AB50C5" w:rsidRDefault="00724275">
            <w:pPr>
              <w:rPr>
                <w:rFonts w:ascii="Arial" w:hAnsi="Arial" w:cs="Arial"/>
                <w:b/>
                <w:noProof/>
              </w:rPr>
            </w:pPr>
            <w:r>
              <w:rPr>
                <w:rFonts w:ascii="Arial" w:hAnsi="Arial" w:cs="Arial"/>
                <w:b/>
                <w:noProof/>
              </w:rPr>
              <w:t xml:space="preserve">Baseline (agricultural irrigation &amp; </w:t>
            </w:r>
            <w:r>
              <w:rPr>
                <w:rFonts w:ascii="Arial" w:hAnsi="Arial" w:cs="Arial"/>
                <w:b/>
                <w:noProof/>
              </w:rPr>
              <w:t>aquifer recharge)</w:t>
            </w:r>
          </w:p>
        </w:tc>
        <w:tc>
          <w:tcPr>
            <w:tcW w:w="7796" w:type="dxa"/>
            <w:gridSpan w:val="2"/>
          </w:tcPr>
          <w:p w:rsidR="00AB50C5" w:rsidRDefault="00724275">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u w:val="single"/>
              </w:rPr>
              <w:t>Environmental</w:t>
            </w:r>
            <w:r>
              <w:rPr>
                <w:rFonts w:ascii="Arial" w:hAnsi="Arial" w:cs="Arial"/>
                <w:noProof/>
                <w:color w:val="000000" w:themeColor="text1" w:themeShade="80"/>
                <w:sz w:val="18"/>
                <w:szCs w:val="18"/>
              </w:rPr>
              <w:t>:  0 (increased uptake in Spain but not in other MSs)</w:t>
            </w:r>
          </w:p>
          <w:p w:rsidR="00AB50C5" w:rsidRDefault="00724275">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u w:val="single"/>
              </w:rPr>
              <w:t>Economic/Administrative</w:t>
            </w:r>
            <w:r>
              <w:rPr>
                <w:rFonts w:ascii="Arial" w:hAnsi="Arial" w:cs="Arial"/>
                <w:noProof/>
                <w:color w:val="000000" w:themeColor="text1" w:themeShade="80"/>
                <w:sz w:val="18"/>
                <w:szCs w:val="18"/>
              </w:rPr>
              <w:t>: - /0 (increased costs of droughts in MSs affected if no action taken)</w:t>
            </w:r>
          </w:p>
          <w:p w:rsidR="00AB50C5" w:rsidRDefault="00724275">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u w:val="single"/>
              </w:rPr>
              <w:t>Social</w:t>
            </w:r>
            <w:r>
              <w:rPr>
                <w:rFonts w:ascii="Arial" w:hAnsi="Arial" w:cs="Arial"/>
                <w:noProof/>
                <w:color w:val="000000" w:themeColor="text1" w:themeShade="80"/>
                <w:sz w:val="18"/>
                <w:szCs w:val="18"/>
              </w:rPr>
              <w:t>: -/0</w:t>
            </w:r>
          </w:p>
        </w:tc>
        <w:tc>
          <w:tcPr>
            <w:tcW w:w="5812" w:type="dxa"/>
            <w:gridSpan w:val="2"/>
          </w:tcPr>
          <w:p w:rsidR="00AB50C5" w:rsidRDefault="00724275">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u w:val="single"/>
              </w:rPr>
              <w:t>Environmental</w:t>
            </w:r>
            <w:r>
              <w:rPr>
                <w:rFonts w:ascii="Arial" w:hAnsi="Arial" w:cs="Arial"/>
                <w:noProof/>
                <w:color w:val="000000" w:themeColor="text1" w:themeShade="80"/>
                <w:sz w:val="18"/>
                <w:szCs w:val="18"/>
              </w:rPr>
              <w:t>: 0</w:t>
            </w:r>
          </w:p>
          <w:p w:rsidR="00AB50C5" w:rsidRDefault="00724275">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u w:val="single"/>
              </w:rPr>
              <w:t>Economic/Administrative</w:t>
            </w:r>
            <w:r>
              <w:rPr>
                <w:rFonts w:ascii="Arial" w:hAnsi="Arial" w:cs="Arial"/>
                <w:noProof/>
                <w:color w:val="000000" w:themeColor="text1" w:themeShade="80"/>
                <w:sz w:val="18"/>
                <w:szCs w:val="18"/>
              </w:rPr>
              <w:t>: 0</w:t>
            </w:r>
          </w:p>
          <w:p w:rsidR="00AB50C5" w:rsidRDefault="00724275">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u w:val="single"/>
              </w:rPr>
              <w:t>Social</w:t>
            </w:r>
            <w:r>
              <w:rPr>
                <w:rFonts w:ascii="Arial" w:hAnsi="Arial" w:cs="Arial"/>
                <w:noProof/>
                <w:color w:val="000000" w:themeColor="text1" w:themeShade="80"/>
                <w:sz w:val="18"/>
                <w:szCs w:val="18"/>
              </w:rPr>
              <w:t>: -/0</w:t>
            </w:r>
          </w:p>
        </w:tc>
      </w:tr>
      <w:tr w:rsidR="00AB50C5">
        <w:trPr>
          <w:trHeight w:val="3999"/>
        </w:trPr>
        <w:tc>
          <w:tcPr>
            <w:tcW w:w="2552" w:type="dxa"/>
          </w:tcPr>
          <w:p w:rsidR="00AB50C5" w:rsidRDefault="00724275">
            <w:pPr>
              <w:rPr>
                <w:rFonts w:ascii="Arial" w:hAnsi="Arial" w:cs="Arial"/>
                <w:b/>
                <w:noProof/>
                <w:sz w:val="24"/>
                <w:szCs w:val="24"/>
              </w:rPr>
            </w:pPr>
            <w:r>
              <w:rPr>
                <w:rFonts w:ascii="Arial" w:hAnsi="Arial" w:cs="Arial"/>
                <w:b/>
                <w:noProof/>
                <w:sz w:val="24"/>
                <w:szCs w:val="24"/>
              </w:rPr>
              <w:t xml:space="preserve">Ir3 – </w:t>
            </w:r>
            <w:r>
              <w:rPr>
                <w:rFonts w:ascii="Arial" w:hAnsi="Arial" w:cs="Arial"/>
                <w:b/>
                <w:noProof/>
                <w:sz w:val="24"/>
                <w:szCs w:val="24"/>
              </w:rPr>
              <w:t>Guidance</w:t>
            </w:r>
          </w:p>
          <w:p w:rsidR="00AB50C5" w:rsidRDefault="00724275">
            <w:pPr>
              <w:rPr>
                <w:rFonts w:ascii="Arial" w:hAnsi="Arial" w:cs="Arial"/>
                <w:b/>
                <w:noProof/>
              </w:rPr>
            </w:pPr>
            <w:r>
              <w:rPr>
                <w:rFonts w:ascii="Arial" w:hAnsi="Arial" w:cs="Arial"/>
                <w:b/>
                <w:noProof/>
              </w:rPr>
              <w:t>"fit-for-purpose"</w:t>
            </w:r>
          </w:p>
          <w:p w:rsidR="00AB50C5" w:rsidRDefault="00AB50C5">
            <w:pPr>
              <w:rPr>
                <w:rFonts w:ascii="Arial" w:hAnsi="Arial" w:cs="Arial"/>
                <w:b/>
                <w:noProof/>
              </w:rPr>
            </w:pPr>
          </w:p>
          <w:p w:rsidR="00AB50C5" w:rsidRDefault="00724275">
            <w:pPr>
              <w:rPr>
                <w:rFonts w:ascii="Arial" w:hAnsi="Arial" w:cs="Arial"/>
                <w:noProof/>
              </w:rPr>
            </w:pPr>
            <w:r>
              <w:rPr>
                <w:rFonts w:ascii="Arial" w:hAnsi="Arial" w:cs="Arial"/>
                <w:b/>
                <w:noProof/>
              </w:rPr>
              <w:t xml:space="preserve">Anticipated uptake: </w:t>
            </w:r>
            <w:r>
              <w:rPr>
                <w:rFonts w:ascii="Arial" w:hAnsi="Arial" w:cs="Arial"/>
                <w:b/>
                <w:noProof/>
                <w:color w:val="FF0000"/>
                <w:sz w:val="28"/>
                <w:szCs w:val="28"/>
              </w:rPr>
              <w:t>LOW</w:t>
            </w:r>
          </w:p>
        </w:tc>
        <w:tc>
          <w:tcPr>
            <w:tcW w:w="3260" w:type="dxa"/>
          </w:tcPr>
          <w:p w:rsidR="00AB50C5" w:rsidRDefault="00724275">
            <w:pPr>
              <w:jc w:val="center"/>
              <w:rPr>
                <w:rFonts w:ascii="Arial" w:hAnsi="Arial" w:cs="Arial"/>
                <w:b/>
                <w:noProof/>
                <w:sz w:val="18"/>
                <w:szCs w:val="18"/>
              </w:rPr>
            </w:pPr>
            <w:r>
              <w:rPr>
                <w:rFonts w:ascii="Arial" w:hAnsi="Arial" w:cs="Arial"/>
                <w:b/>
                <w:noProof/>
                <w:sz w:val="18"/>
                <w:szCs w:val="18"/>
              </w:rPr>
              <w:t>If MS choose to retain national standards</w:t>
            </w:r>
          </w:p>
          <w:p w:rsidR="00AB50C5" w:rsidRDefault="00724275">
            <w:pPr>
              <w:jc w:val="center"/>
              <w:rPr>
                <w:rFonts w:ascii="Arial" w:hAnsi="Arial" w:cs="Arial"/>
                <w:noProof/>
                <w:sz w:val="18"/>
                <w:szCs w:val="18"/>
              </w:rPr>
            </w:pPr>
            <w:r>
              <w:rPr>
                <w:rFonts w:ascii="Arial" w:hAnsi="Arial" w:cs="Arial"/>
                <w:noProof/>
                <w:sz w:val="18"/>
                <w:szCs w:val="18"/>
                <w:u w:val="single"/>
              </w:rPr>
              <w:t>Environmental</w:t>
            </w:r>
            <w:r>
              <w:rPr>
                <w:rFonts w:ascii="Arial" w:hAnsi="Arial" w:cs="Arial"/>
                <w:noProof/>
                <w:sz w:val="18"/>
                <w:szCs w:val="18"/>
              </w:rPr>
              <w:t>: 0</w:t>
            </w:r>
          </w:p>
          <w:p w:rsidR="00AB50C5" w:rsidRDefault="00724275">
            <w:pPr>
              <w:jc w:val="center"/>
              <w:rPr>
                <w:rFonts w:ascii="Arial" w:hAnsi="Arial" w:cs="Arial"/>
                <w:noProof/>
                <w:sz w:val="18"/>
                <w:szCs w:val="18"/>
              </w:rPr>
            </w:pPr>
            <w:r>
              <w:rPr>
                <w:rFonts w:ascii="Arial" w:hAnsi="Arial" w:cs="Arial"/>
                <w:noProof/>
                <w:sz w:val="18"/>
                <w:szCs w:val="18"/>
                <w:u w:val="single"/>
              </w:rPr>
              <w:t>Economic/ Administrative</w:t>
            </w:r>
            <w:r>
              <w:rPr>
                <w:rFonts w:ascii="Arial" w:hAnsi="Arial" w:cs="Arial"/>
                <w:noProof/>
                <w:sz w:val="18"/>
                <w:szCs w:val="18"/>
              </w:rPr>
              <w:t>: 0</w:t>
            </w:r>
          </w:p>
          <w:p w:rsidR="00AB50C5" w:rsidRDefault="00724275">
            <w:pPr>
              <w:jc w:val="center"/>
              <w:rPr>
                <w:rFonts w:ascii="Arial" w:hAnsi="Arial" w:cs="Arial"/>
                <w:noProof/>
              </w:rPr>
            </w:pPr>
            <w:r>
              <w:rPr>
                <w:rFonts w:ascii="Arial" w:hAnsi="Arial" w:cs="Arial"/>
                <w:noProof/>
                <w:sz w:val="18"/>
                <w:szCs w:val="18"/>
                <w:u w:val="single"/>
              </w:rPr>
              <w:t>Social</w:t>
            </w:r>
            <w:r>
              <w:rPr>
                <w:rFonts w:ascii="Arial" w:hAnsi="Arial" w:cs="Arial"/>
                <w:noProof/>
                <w:sz w:val="18"/>
                <w:szCs w:val="18"/>
              </w:rPr>
              <w:t>: 0</w:t>
            </w:r>
          </w:p>
          <w:p w:rsidR="00AB50C5" w:rsidRDefault="00AB50C5">
            <w:pPr>
              <w:jc w:val="center"/>
              <w:rPr>
                <w:rFonts w:ascii="Arial" w:hAnsi="Arial" w:cs="Arial"/>
                <w:b/>
                <w:noProof/>
                <w:sz w:val="18"/>
                <w:szCs w:val="18"/>
              </w:rPr>
            </w:pPr>
          </w:p>
          <w:p w:rsidR="00AB50C5" w:rsidRDefault="00AB50C5">
            <w:pPr>
              <w:jc w:val="center"/>
              <w:rPr>
                <w:rFonts w:ascii="Arial" w:hAnsi="Arial" w:cs="Arial"/>
                <w:b/>
                <w:noProof/>
                <w:sz w:val="18"/>
                <w:szCs w:val="18"/>
              </w:rPr>
            </w:pPr>
          </w:p>
          <w:p w:rsidR="00AB50C5" w:rsidRDefault="00AB50C5">
            <w:pPr>
              <w:jc w:val="center"/>
              <w:rPr>
                <w:rFonts w:ascii="Arial" w:hAnsi="Arial" w:cs="Arial"/>
                <w:b/>
                <w:noProof/>
                <w:sz w:val="18"/>
                <w:szCs w:val="18"/>
              </w:rPr>
            </w:pPr>
          </w:p>
          <w:p w:rsidR="00AB50C5" w:rsidRDefault="00724275">
            <w:pPr>
              <w:jc w:val="center"/>
              <w:rPr>
                <w:rFonts w:ascii="Arial" w:hAnsi="Arial" w:cs="Arial"/>
                <w:b/>
                <w:noProof/>
                <w:sz w:val="18"/>
                <w:szCs w:val="18"/>
              </w:rPr>
            </w:pPr>
            <w:r>
              <w:rPr>
                <w:rFonts w:ascii="Arial" w:hAnsi="Arial" w:cs="Arial"/>
                <w:b/>
                <w:noProof/>
                <w:sz w:val="18"/>
                <w:szCs w:val="18"/>
              </w:rPr>
              <w:t>If MS choose to align i.e. lower national standards</w:t>
            </w:r>
          </w:p>
          <w:p w:rsidR="00AB50C5" w:rsidRDefault="00724275">
            <w:pPr>
              <w:jc w:val="center"/>
              <w:rPr>
                <w:rFonts w:ascii="Arial" w:hAnsi="Arial" w:cs="Arial"/>
                <w:noProof/>
                <w:sz w:val="18"/>
                <w:szCs w:val="18"/>
              </w:rPr>
            </w:pPr>
            <w:r>
              <w:rPr>
                <w:rFonts w:ascii="Arial" w:hAnsi="Arial" w:cs="Arial"/>
                <w:noProof/>
                <w:sz w:val="18"/>
                <w:szCs w:val="18"/>
                <w:u w:val="single"/>
              </w:rPr>
              <w:t>Environmental</w:t>
            </w:r>
            <w:r>
              <w:rPr>
                <w:rFonts w:ascii="Arial" w:hAnsi="Arial" w:cs="Arial"/>
                <w:noProof/>
                <w:sz w:val="18"/>
                <w:szCs w:val="18"/>
              </w:rPr>
              <w:t>: +/0</w:t>
            </w:r>
          </w:p>
          <w:p w:rsidR="00AB50C5" w:rsidRDefault="00724275">
            <w:pPr>
              <w:jc w:val="center"/>
              <w:rPr>
                <w:rFonts w:ascii="Arial" w:hAnsi="Arial" w:cs="Arial"/>
                <w:noProof/>
                <w:sz w:val="18"/>
                <w:szCs w:val="18"/>
              </w:rPr>
            </w:pPr>
            <w:r>
              <w:rPr>
                <w:rFonts w:ascii="Arial" w:hAnsi="Arial" w:cs="Arial"/>
                <w:noProof/>
                <w:sz w:val="18"/>
                <w:szCs w:val="18"/>
              </w:rPr>
              <w:t>(potential for increased uptake d</w:t>
            </w:r>
            <w:r>
              <w:rPr>
                <w:rFonts w:ascii="Arial" w:hAnsi="Arial" w:cs="Arial"/>
                <w:noProof/>
                <w:sz w:val="18"/>
                <w:szCs w:val="18"/>
              </w:rPr>
              <w:t>ue to less stringent requirements)</w:t>
            </w:r>
          </w:p>
          <w:p w:rsidR="00AB50C5" w:rsidRDefault="00724275">
            <w:pPr>
              <w:jc w:val="center"/>
              <w:rPr>
                <w:rFonts w:ascii="Arial" w:hAnsi="Arial" w:cs="Arial"/>
                <w:noProof/>
                <w:sz w:val="18"/>
                <w:szCs w:val="18"/>
              </w:rPr>
            </w:pPr>
            <w:r>
              <w:rPr>
                <w:rFonts w:ascii="Arial" w:hAnsi="Arial" w:cs="Arial"/>
                <w:noProof/>
                <w:sz w:val="18"/>
                <w:szCs w:val="18"/>
                <w:u w:val="single"/>
              </w:rPr>
              <w:t>Economic/ Administrative</w:t>
            </w:r>
            <w:r>
              <w:rPr>
                <w:rFonts w:ascii="Arial" w:hAnsi="Arial" w:cs="Arial"/>
                <w:noProof/>
                <w:sz w:val="18"/>
                <w:szCs w:val="18"/>
              </w:rPr>
              <w:t>: 0</w:t>
            </w:r>
          </w:p>
          <w:p w:rsidR="00AB50C5" w:rsidRDefault="00724275">
            <w:pPr>
              <w:jc w:val="center"/>
              <w:rPr>
                <w:rFonts w:ascii="Arial" w:hAnsi="Arial" w:cs="Arial"/>
                <w:noProof/>
                <w:sz w:val="18"/>
                <w:szCs w:val="18"/>
              </w:rPr>
            </w:pPr>
            <w:r>
              <w:rPr>
                <w:rFonts w:ascii="Arial" w:hAnsi="Arial" w:cs="Arial"/>
                <w:noProof/>
                <w:sz w:val="18"/>
                <w:szCs w:val="18"/>
                <w:u w:val="single"/>
              </w:rPr>
              <w:t>Social</w:t>
            </w:r>
            <w:r>
              <w:rPr>
                <w:rFonts w:ascii="Arial" w:hAnsi="Arial" w:cs="Arial"/>
                <w:noProof/>
                <w:sz w:val="18"/>
                <w:szCs w:val="18"/>
              </w:rPr>
              <w:t>: 0/-</w:t>
            </w:r>
          </w:p>
          <w:p w:rsidR="00AB50C5" w:rsidRDefault="00724275">
            <w:pPr>
              <w:jc w:val="center"/>
              <w:rPr>
                <w:rFonts w:ascii="Arial" w:hAnsi="Arial" w:cs="Arial"/>
                <w:noProof/>
                <w:sz w:val="18"/>
                <w:szCs w:val="18"/>
              </w:rPr>
            </w:pPr>
            <w:r>
              <w:rPr>
                <w:rFonts w:ascii="Arial" w:hAnsi="Arial" w:cs="Arial"/>
                <w:noProof/>
                <w:sz w:val="18"/>
                <w:szCs w:val="18"/>
              </w:rPr>
              <w:t>(public acceptance potentially compromised)</w:t>
            </w:r>
          </w:p>
        </w:tc>
        <w:tc>
          <w:tcPr>
            <w:tcW w:w="4536" w:type="dxa"/>
          </w:tcPr>
          <w:p w:rsidR="00AB50C5" w:rsidRDefault="00724275">
            <w:pPr>
              <w:jc w:val="center"/>
              <w:rPr>
                <w:rFonts w:ascii="Arial" w:hAnsi="Arial" w:cs="Arial"/>
                <w:b/>
                <w:noProof/>
                <w:color w:val="000000" w:themeColor="text1" w:themeShade="80"/>
                <w:sz w:val="18"/>
                <w:szCs w:val="18"/>
              </w:rPr>
            </w:pPr>
            <w:r>
              <w:rPr>
                <w:rFonts w:ascii="Arial" w:hAnsi="Arial" w:cs="Arial"/>
                <w:b/>
                <w:noProof/>
                <w:color w:val="000000" w:themeColor="text1" w:themeShade="80"/>
                <w:sz w:val="18"/>
                <w:szCs w:val="18"/>
              </w:rPr>
              <w:t>If MS choose to retain national standards</w:t>
            </w:r>
          </w:p>
          <w:p w:rsidR="00AB50C5" w:rsidRDefault="00724275">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u w:val="single"/>
              </w:rPr>
              <w:t>Environmental</w:t>
            </w:r>
            <w:r>
              <w:rPr>
                <w:rFonts w:ascii="Arial" w:hAnsi="Arial" w:cs="Arial"/>
                <w:noProof/>
                <w:color w:val="000000" w:themeColor="text1" w:themeShade="80"/>
                <w:sz w:val="18"/>
                <w:szCs w:val="18"/>
              </w:rPr>
              <w:t>: 0</w:t>
            </w:r>
          </w:p>
          <w:p w:rsidR="00AB50C5" w:rsidRDefault="00724275">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u w:val="single"/>
              </w:rPr>
              <w:t>Economic/ Administrative</w:t>
            </w:r>
            <w:r>
              <w:rPr>
                <w:rFonts w:ascii="Arial" w:hAnsi="Arial" w:cs="Arial"/>
                <w:noProof/>
                <w:color w:val="000000" w:themeColor="text1" w:themeShade="80"/>
                <w:sz w:val="18"/>
                <w:szCs w:val="18"/>
              </w:rPr>
              <w:t>: 0</w:t>
            </w:r>
          </w:p>
          <w:p w:rsidR="00AB50C5" w:rsidRDefault="00724275">
            <w:pPr>
              <w:jc w:val="center"/>
              <w:rPr>
                <w:rFonts w:ascii="Arial" w:hAnsi="Arial" w:cs="Arial"/>
                <w:noProof/>
              </w:rPr>
            </w:pPr>
            <w:r>
              <w:rPr>
                <w:rFonts w:ascii="Arial" w:hAnsi="Arial" w:cs="Arial"/>
                <w:noProof/>
                <w:color w:val="000000" w:themeColor="text1" w:themeShade="80"/>
                <w:sz w:val="18"/>
                <w:szCs w:val="18"/>
                <w:u w:val="single"/>
              </w:rPr>
              <w:t>Social</w:t>
            </w:r>
            <w:r>
              <w:rPr>
                <w:rFonts w:ascii="Arial" w:hAnsi="Arial" w:cs="Arial"/>
                <w:noProof/>
                <w:color w:val="000000" w:themeColor="text1" w:themeShade="80"/>
                <w:sz w:val="18"/>
                <w:szCs w:val="18"/>
              </w:rPr>
              <w:t>: 0</w:t>
            </w:r>
          </w:p>
          <w:p w:rsidR="00AB50C5" w:rsidRDefault="00724275">
            <w:pPr>
              <w:jc w:val="center"/>
              <w:rPr>
                <w:rFonts w:ascii="Arial" w:hAnsi="Arial" w:cs="Arial"/>
                <w:b/>
                <w:noProof/>
                <w:color w:val="000000" w:themeColor="text1" w:themeShade="80"/>
                <w:sz w:val="18"/>
                <w:szCs w:val="18"/>
              </w:rPr>
            </w:pPr>
            <w:r>
              <w:rPr>
                <w:rFonts w:ascii="Arial" w:hAnsi="Arial" w:cs="Arial"/>
                <w:b/>
                <w:noProof/>
                <w:color w:val="000000" w:themeColor="text1" w:themeShade="80"/>
                <w:sz w:val="18"/>
                <w:szCs w:val="18"/>
              </w:rPr>
              <w:t xml:space="preserve">If MS choose to align i.e. increase </w:t>
            </w:r>
            <w:r>
              <w:rPr>
                <w:rFonts w:ascii="Arial" w:hAnsi="Arial" w:cs="Arial"/>
                <w:b/>
                <w:noProof/>
                <w:color w:val="000000" w:themeColor="text1" w:themeShade="80"/>
                <w:sz w:val="18"/>
                <w:szCs w:val="18"/>
              </w:rPr>
              <w:t>national standards</w:t>
            </w:r>
          </w:p>
          <w:p w:rsidR="00AB50C5" w:rsidRDefault="00724275">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u w:val="single"/>
              </w:rPr>
              <w:t>Environmental</w:t>
            </w:r>
            <w:r>
              <w:rPr>
                <w:rFonts w:ascii="Arial" w:hAnsi="Arial" w:cs="Arial"/>
                <w:noProof/>
                <w:color w:val="000000" w:themeColor="text1" w:themeShade="80"/>
                <w:sz w:val="18"/>
                <w:szCs w:val="18"/>
              </w:rPr>
              <w:t>: +/-</w:t>
            </w:r>
          </w:p>
          <w:p w:rsidR="00AB50C5" w:rsidRDefault="00724275">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rPr>
              <w:t>(reduced risks associated with environmental pollutants present in treated wastewater; Potentially reduced uptake due to more stringent standards depending whether cost is passed on to farmer)</w:t>
            </w:r>
          </w:p>
          <w:p w:rsidR="00AB50C5" w:rsidRDefault="00724275">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u w:val="single"/>
              </w:rPr>
              <w:t>Economic</w:t>
            </w:r>
            <w:r>
              <w:rPr>
                <w:rFonts w:ascii="Arial" w:hAnsi="Arial" w:cs="Arial"/>
                <w:noProof/>
                <w:color w:val="000000" w:themeColor="text1" w:themeShade="80"/>
                <w:sz w:val="18"/>
                <w:szCs w:val="18"/>
              </w:rPr>
              <w:t>: -/+</w:t>
            </w:r>
          </w:p>
          <w:p w:rsidR="00AB50C5" w:rsidRDefault="00724275">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rPr>
              <w:t xml:space="preserve">(increased </w:t>
            </w:r>
            <w:r>
              <w:rPr>
                <w:rFonts w:ascii="Arial" w:hAnsi="Arial" w:cs="Arial"/>
                <w:noProof/>
                <w:color w:val="000000" w:themeColor="text1" w:themeShade="80"/>
                <w:sz w:val="18"/>
                <w:szCs w:val="18"/>
              </w:rPr>
              <w:t>costs of treatment if more advanced processes are needed; improved trade and business opportunities/</w:t>
            </w:r>
          </w:p>
          <w:p w:rsidR="00AB50C5" w:rsidRDefault="00724275">
            <w:pPr>
              <w:jc w:val="center"/>
              <w:rPr>
                <w:rFonts w:ascii="Arial" w:hAnsi="Arial" w:cs="Arial"/>
                <w:noProof/>
                <w:color w:val="000000" w:themeColor="text1" w:themeShade="80"/>
                <w:sz w:val="18"/>
                <w:szCs w:val="18"/>
                <w:u w:val="single"/>
              </w:rPr>
            </w:pPr>
            <w:r>
              <w:rPr>
                <w:rFonts w:ascii="Arial" w:hAnsi="Arial" w:cs="Arial"/>
                <w:noProof/>
                <w:color w:val="000000" w:themeColor="text1" w:themeShade="80"/>
                <w:sz w:val="18"/>
                <w:szCs w:val="18"/>
                <w:u w:val="single"/>
              </w:rPr>
              <w:t>Administrative</w:t>
            </w:r>
          </w:p>
          <w:p w:rsidR="00AB50C5" w:rsidRDefault="00724275">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rPr>
              <w:t>Risk assessments to be performed but less monitoring costs potentially)</w:t>
            </w:r>
          </w:p>
          <w:p w:rsidR="00AB50C5" w:rsidRDefault="00724275">
            <w:pPr>
              <w:jc w:val="center"/>
              <w:rPr>
                <w:rFonts w:ascii="Arial" w:hAnsi="Arial" w:cs="Arial"/>
                <w:noProof/>
              </w:rPr>
            </w:pPr>
            <w:r>
              <w:rPr>
                <w:rFonts w:ascii="Arial" w:hAnsi="Arial" w:cs="Arial"/>
                <w:noProof/>
                <w:color w:val="000000" w:themeColor="text1" w:themeShade="80"/>
                <w:sz w:val="18"/>
                <w:szCs w:val="18"/>
                <w:u w:val="single"/>
              </w:rPr>
              <w:t>Social</w:t>
            </w:r>
            <w:r>
              <w:rPr>
                <w:rFonts w:ascii="Arial" w:hAnsi="Arial" w:cs="Arial"/>
                <w:noProof/>
                <w:color w:val="000000" w:themeColor="text1" w:themeShade="80"/>
                <w:sz w:val="18"/>
                <w:szCs w:val="18"/>
              </w:rPr>
              <w:t>: + (public acceptance boosted)</w:t>
            </w:r>
          </w:p>
        </w:tc>
        <w:tc>
          <w:tcPr>
            <w:tcW w:w="3119" w:type="dxa"/>
          </w:tcPr>
          <w:p w:rsidR="00AB50C5" w:rsidRDefault="00724275">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u w:val="single"/>
              </w:rPr>
              <w:t>Environmental</w:t>
            </w:r>
            <w:r>
              <w:rPr>
                <w:rFonts w:ascii="Arial" w:hAnsi="Arial" w:cs="Arial"/>
                <w:noProof/>
                <w:color w:val="000000" w:themeColor="text1" w:themeShade="80"/>
                <w:sz w:val="18"/>
                <w:szCs w:val="18"/>
              </w:rPr>
              <w:t>: +/0</w:t>
            </w:r>
          </w:p>
          <w:p w:rsidR="00AB50C5" w:rsidRDefault="00724275">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rPr>
              <w:t xml:space="preserve">(increased </w:t>
            </w:r>
            <w:r>
              <w:rPr>
                <w:rFonts w:ascii="Arial" w:hAnsi="Arial" w:cs="Arial"/>
                <w:noProof/>
                <w:color w:val="000000" w:themeColor="text1" w:themeShade="80"/>
                <w:sz w:val="18"/>
                <w:szCs w:val="18"/>
              </w:rPr>
              <w:t>water availability + reduced risks associated with environmental pollutants present in treated wastewater /no change)</w:t>
            </w:r>
          </w:p>
          <w:p w:rsidR="00AB50C5" w:rsidRDefault="00AB50C5">
            <w:pPr>
              <w:jc w:val="center"/>
              <w:rPr>
                <w:rFonts w:ascii="Arial" w:hAnsi="Arial" w:cs="Arial"/>
                <w:noProof/>
                <w:color w:val="000000" w:themeColor="text1" w:themeShade="80"/>
                <w:sz w:val="18"/>
                <w:szCs w:val="18"/>
              </w:rPr>
            </w:pPr>
          </w:p>
          <w:p w:rsidR="00AB50C5" w:rsidRDefault="00724275">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u w:val="single"/>
              </w:rPr>
              <w:t>Economic</w:t>
            </w:r>
            <w:r>
              <w:rPr>
                <w:rFonts w:ascii="Arial" w:hAnsi="Arial" w:cs="Arial"/>
                <w:noProof/>
                <w:color w:val="000000" w:themeColor="text1" w:themeShade="80"/>
                <w:sz w:val="18"/>
                <w:szCs w:val="18"/>
              </w:rPr>
              <w:t>:  -/+</w:t>
            </w:r>
          </w:p>
          <w:p w:rsidR="00AB50C5" w:rsidRDefault="00724275">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rPr>
              <w:t>(increased costs to farmers or WWTP operators/ potential for increased uptake / improved trade and business opportunities)</w:t>
            </w:r>
          </w:p>
          <w:p w:rsidR="00AB50C5" w:rsidRDefault="00AB50C5">
            <w:pPr>
              <w:jc w:val="center"/>
              <w:rPr>
                <w:rFonts w:ascii="Arial" w:hAnsi="Arial" w:cs="Arial"/>
                <w:noProof/>
                <w:color w:val="000000" w:themeColor="text1" w:themeShade="80"/>
                <w:sz w:val="18"/>
                <w:szCs w:val="18"/>
              </w:rPr>
            </w:pPr>
          </w:p>
          <w:p w:rsidR="00AB50C5" w:rsidRDefault="00724275">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u w:val="single"/>
              </w:rPr>
              <w:t>Administrative</w:t>
            </w:r>
            <w:r>
              <w:rPr>
                <w:rFonts w:ascii="Arial" w:hAnsi="Arial" w:cs="Arial"/>
                <w:noProof/>
                <w:color w:val="000000" w:themeColor="text1" w:themeShade="80"/>
                <w:sz w:val="18"/>
                <w:szCs w:val="18"/>
              </w:rPr>
              <w:t>:</w:t>
            </w:r>
          </w:p>
          <w:p w:rsidR="00AB50C5" w:rsidRDefault="00724275">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rPr>
              <w:t>administrative burden due to system to be set up for water reuse permitting</w:t>
            </w:r>
          </w:p>
          <w:p w:rsidR="00AB50C5" w:rsidRDefault="00AB50C5">
            <w:pPr>
              <w:jc w:val="center"/>
              <w:rPr>
                <w:rFonts w:ascii="Arial" w:hAnsi="Arial" w:cs="Arial"/>
                <w:noProof/>
                <w:color w:val="000000" w:themeColor="text1" w:themeShade="80"/>
                <w:sz w:val="18"/>
                <w:szCs w:val="18"/>
              </w:rPr>
            </w:pPr>
          </w:p>
          <w:p w:rsidR="00AB50C5" w:rsidRDefault="00724275">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u w:val="single"/>
              </w:rPr>
              <w:t>Social</w:t>
            </w:r>
            <w:r>
              <w:rPr>
                <w:rFonts w:ascii="Arial" w:hAnsi="Arial" w:cs="Arial"/>
                <w:noProof/>
                <w:color w:val="000000" w:themeColor="text1" w:themeShade="80"/>
                <w:sz w:val="18"/>
                <w:szCs w:val="18"/>
              </w:rPr>
              <w:t>: +</w:t>
            </w:r>
          </w:p>
          <w:p w:rsidR="00AB50C5" w:rsidRDefault="00724275">
            <w:pPr>
              <w:jc w:val="center"/>
              <w:rPr>
                <w:rFonts w:ascii="Arial" w:hAnsi="Arial" w:cs="Arial"/>
                <w:noProof/>
                <w:sz w:val="18"/>
                <w:szCs w:val="18"/>
              </w:rPr>
            </w:pPr>
            <w:r>
              <w:rPr>
                <w:rFonts w:ascii="Arial" w:hAnsi="Arial" w:cs="Arial"/>
                <w:noProof/>
                <w:color w:val="000000" w:themeColor="text1" w:themeShade="80"/>
                <w:sz w:val="18"/>
                <w:szCs w:val="18"/>
              </w:rPr>
              <w:t>(promotion of public acceptance)</w:t>
            </w:r>
          </w:p>
        </w:tc>
        <w:tc>
          <w:tcPr>
            <w:tcW w:w="2693" w:type="dxa"/>
          </w:tcPr>
          <w:p w:rsidR="00AB50C5" w:rsidRDefault="00724275">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u w:val="single"/>
              </w:rPr>
              <w:t>Environmental</w:t>
            </w:r>
            <w:r>
              <w:rPr>
                <w:rFonts w:ascii="Arial" w:hAnsi="Arial" w:cs="Arial"/>
                <w:noProof/>
                <w:color w:val="000000" w:themeColor="text1" w:themeShade="80"/>
                <w:sz w:val="18"/>
                <w:szCs w:val="18"/>
              </w:rPr>
              <w:t>: 0</w:t>
            </w:r>
          </w:p>
          <w:p w:rsidR="00AB50C5" w:rsidRDefault="00724275">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u w:val="single"/>
              </w:rPr>
              <w:t>Economic/ Administrative</w:t>
            </w:r>
            <w:r>
              <w:rPr>
                <w:rFonts w:ascii="Arial" w:hAnsi="Arial" w:cs="Arial"/>
                <w:noProof/>
                <w:color w:val="000000" w:themeColor="text1" w:themeShade="80"/>
                <w:sz w:val="18"/>
                <w:szCs w:val="18"/>
              </w:rPr>
              <w:t>: 0</w:t>
            </w:r>
          </w:p>
          <w:p w:rsidR="00AB50C5" w:rsidRDefault="00724275">
            <w:pPr>
              <w:jc w:val="center"/>
              <w:rPr>
                <w:rFonts w:ascii="Arial" w:hAnsi="Arial" w:cs="Arial"/>
                <w:noProof/>
              </w:rPr>
            </w:pPr>
            <w:r>
              <w:rPr>
                <w:rFonts w:ascii="Arial" w:hAnsi="Arial" w:cs="Arial"/>
                <w:noProof/>
                <w:color w:val="000000" w:themeColor="text1" w:themeShade="80"/>
                <w:sz w:val="18"/>
                <w:szCs w:val="18"/>
                <w:u w:val="single"/>
              </w:rPr>
              <w:t>Social</w:t>
            </w:r>
            <w:r>
              <w:rPr>
                <w:rFonts w:ascii="Arial" w:hAnsi="Arial" w:cs="Arial"/>
                <w:noProof/>
                <w:color w:val="000000" w:themeColor="text1" w:themeShade="80"/>
                <w:sz w:val="18"/>
                <w:szCs w:val="18"/>
              </w:rPr>
              <w:t>: 0</w:t>
            </w:r>
          </w:p>
        </w:tc>
      </w:tr>
      <w:tr w:rsidR="00AB50C5">
        <w:trPr>
          <w:trHeight w:val="3234"/>
        </w:trPr>
        <w:tc>
          <w:tcPr>
            <w:tcW w:w="2552" w:type="dxa"/>
          </w:tcPr>
          <w:p w:rsidR="00AB50C5" w:rsidRDefault="00724275">
            <w:pPr>
              <w:rPr>
                <w:rFonts w:ascii="Arial" w:hAnsi="Arial" w:cs="Arial"/>
                <w:b/>
                <w:noProof/>
                <w:sz w:val="24"/>
                <w:szCs w:val="24"/>
              </w:rPr>
            </w:pPr>
            <w:r>
              <w:rPr>
                <w:rFonts w:ascii="Arial" w:hAnsi="Arial" w:cs="Arial"/>
                <w:b/>
                <w:noProof/>
                <w:sz w:val="24"/>
                <w:szCs w:val="24"/>
              </w:rPr>
              <w:t>Ir1 – Legal instrument</w:t>
            </w:r>
          </w:p>
          <w:p w:rsidR="00AB50C5" w:rsidRDefault="00724275">
            <w:pPr>
              <w:rPr>
                <w:rFonts w:ascii="Arial" w:hAnsi="Arial" w:cs="Arial"/>
                <w:b/>
                <w:noProof/>
                <w:sz w:val="24"/>
                <w:szCs w:val="24"/>
              </w:rPr>
            </w:pPr>
            <w:r>
              <w:rPr>
                <w:rFonts w:ascii="Arial" w:hAnsi="Arial" w:cs="Arial"/>
                <w:b/>
                <w:noProof/>
              </w:rPr>
              <w:t>"one-size-fits-all</w:t>
            </w:r>
            <w:r>
              <w:rPr>
                <w:rFonts w:ascii="Arial" w:hAnsi="Arial" w:cs="Arial"/>
                <w:b/>
                <w:noProof/>
                <w:sz w:val="24"/>
                <w:szCs w:val="24"/>
              </w:rPr>
              <w:t>"</w:t>
            </w:r>
          </w:p>
          <w:p w:rsidR="00AB50C5" w:rsidRDefault="00AB50C5">
            <w:pPr>
              <w:rPr>
                <w:rFonts w:ascii="Arial" w:hAnsi="Arial" w:cs="Arial"/>
                <w:b/>
                <w:noProof/>
              </w:rPr>
            </w:pPr>
          </w:p>
          <w:p w:rsidR="00AB50C5" w:rsidRDefault="00724275">
            <w:pPr>
              <w:rPr>
                <w:rFonts w:ascii="Arial" w:hAnsi="Arial" w:cs="Arial"/>
                <w:b/>
                <w:noProof/>
              </w:rPr>
            </w:pPr>
            <w:r>
              <w:rPr>
                <w:rFonts w:ascii="Arial" w:hAnsi="Arial" w:cs="Arial"/>
                <w:b/>
                <w:noProof/>
              </w:rPr>
              <w:t xml:space="preserve">Anticipated uptake: </w:t>
            </w:r>
          </w:p>
          <w:p w:rsidR="00AB50C5" w:rsidRDefault="00724275">
            <w:pPr>
              <w:rPr>
                <w:rFonts w:ascii="Arial" w:hAnsi="Arial" w:cs="Arial"/>
                <w:b/>
                <w:noProof/>
              </w:rPr>
            </w:pPr>
            <w:r>
              <w:rPr>
                <w:rFonts w:ascii="Arial" w:hAnsi="Arial" w:cs="Arial"/>
                <w:b/>
                <w:noProof/>
                <w:color w:val="FF0000"/>
                <w:sz w:val="28"/>
                <w:szCs w:val="28"/>
              </w:rPr>
              <w:t>NEGATIVE</w:t>
            </w:r>
            <w:r>
              <w:rPr>
                <w:rFonts w:ascii="Arial" w:hAnsi="Arial" w:cs="Arial"/>
                <w:b/>
                <w:noProof/>
                <w:color w:val="FF0000"/>
              </w:rPr>
              <w:t xml:space="preserve"> </w:t>
            </w:r>
            <w:r>
              <w:rPr>
                <w:rFonts w:ascii="Arial" w:hAnsi="Arial" w:cs="Arial"/>
                <w:b/>
                <w:noProof/>
              </w:rPr>
              <w:t>(under 0,50 Eur/m3 scenario)</w:t>
            </w:r>
          </w:p>
          <w:p w:rsidR="00AB50C5" w:rsidRDefault="00AB50C5">
            <w:pPr>
              <w:rPr>
                <w:rFonts w:ascii="Arial" w:hAnsi="Arial" w:cs="Arial"/>
                <w:noProof/>
              </w:rPr>
            </w:pPr>
          </w:p>
        </w:tc>
        <w:tc>
          <w:tcPr>
            <w:tcW w:w="3260" w:type="dxa"/>
          </w:tcPr>
          <w:p w:rsidR="00AB50C5" w:rsidRDefault="00724275">
            <w:pPr>
              <w:jc w:val="center"/>
              <w:rPr>
                <w:rFonts w:ascii="Arial" w:hAnsi="Arial" w:cs="Arial"/>
                <w:b/>
                <w:noProof/>
                <w:color w:val="000000" w:themeColor="text1" w:themeShade="80"/>
                <w:sz w:val="18"/>
                <w:szCs w:val="18"/>
              </w:rPr>
            </w:pPr>
            <w:r>
              <w:rPr>
                <w:rFonts w:ascii="Arial" w:hAnsi="Arial" w:cs="Arial"/>
                <w:b/>
                <w:noProof/>
                <w:color w:val="000000" w:themeColor="text1" w:themeShade="80"/>
                <w:sz w:val="18"/>
                <w:szCs w:val="18"/>
              </w:rPr>
              <w:t>If MS choose to retain national standards</w:t>
            </w:r>
          </w:p>
          <w:p w:rsidR="00AB50C5" w:rsidRDefault="00724275">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u w:val="single"/>
              </w:rPr>
              <w:t>Environmental</w:t>
            </w:r>
            <w:r>
              <w:rPr>
                <w:rFonts w:ascii="Arial" w:hAnsi="Arial" w:cs="Arial"/>
                <w:noProof/>
                <w:color w:val="000000" w:themeColor="text1" w:themeShade="80"/>
                <w:sz w:val="18"/>
                <w:szCs w:val="18"/>
              </w:rPr>
              <w:t>: 0</w:t>
            </w:r>
          </w:p>
          <w:p w:rsidR="00AB50C5" w:rsidRDefault="00724275">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u w:val="single"/>
              </w:rPr>
              <w:t>Economic/Administrative</w:t>
            </w:r>
            <w:r>
              <w:rPr>
                <w:rFonts w:ascii="Arial" w:hAnsi="Arial" w:cs="Arial"/>
                <w:noProof/>
                <w:color w:val="000000" w:themeColor="text1" w:themeShade="80"/>
                <w:sz w:val="18"/>
                <w:szCs w:val="18"/>
              </w:rPr>
              <w:t>: 0</w:t>
            </w:r>
          </w:p>
          <w:p w:rsidR="00AB50C5" w:rsidRDefault="00724275">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u w:val="single"/>
              </w:rPr>
              <w:t>Social</w:t>
            </w:r>
            <w:r>
              <w:rPr>
                <w:rFonts w:ascii="Arial" w:hAnsi="Arial" w:cs="Arial"/>
                <w:noProof/>
                <w:color w:val="000000" w:themeColor="text1" w:themeShade="80"/>
                <w:sz w:val="18"/>
                <w:szCs w:val="18"/>
              </w:rPr>
              <w:t>: 0</w:t>
            </w:r>
          </w:p>
          <w:p w:rsidR="00AB50C5" w:rsidRDefault="00724275">
            <w:pPr>
              <w:jc w:val="center"/>
              <w:rPr>
                <w:rFonts w:ascii="Arial" w:hAnsi="Arial" w:cs="Arial"/>
                <w:b/>
                <w:noProof/>
                <w:color w:val="000000" w:themeColor="text1" w:themeShade="80"/>
                <w:sz w:val="18"/>
                <w:szCs w:val="18"/>
              </w:rPr>
            </w:pPr>
            <w:r>
              <w:rPr>
                <w:rFonts w:ascii="Arial" w:hAnsi="Arial" w:cs="Arial"/>
                <w:b/>
                <w:noProof/>
                <w:color w:val="000000" w:themeColor="text1" w:themeShade="80"/>
                <w:sz w:val="18"/>
                <w:szCs w:val="18"/>
              </w:rPr>
              <w:t>If MS choose to align i.e. lower national standards</w:t>
            </w:r>
          </w:p>
          <w:p w:rsidR="00AB50C5" w:rsidRDefault="00724275">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u w:val="single"/>
              </w:rPr>
              <w:t>Environmental</w:t>
            </w:r>
            <w:r>
              <w:rPr>
                <w:rFonts w:ascii="Arial" w:hAnsi="Arial" w:cs="Arial"/>
                <w:noProof/>
                <w:color w:val="000000" w:themeColor="text1" w:themeShade="80"/>
                <w:sz w:val="18"/>
                <w:szCs w:val="18"/>
              </w:rPr>
              <w:t>: +/0</w:t>
            </w:r>
          </w:p>
          <w:p w:rsidR="00AB50C5" w:rsidRDefault="00724275">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rPr>
              <w:t xml:space="preserve">(potential for increased </w:t>
            </w:r>
            <w:r>
              <w:rPr>
                <w:rFonts w:ascii="Arial" w:hAnsi="Arial" w:cs="Arial"/>
                <w:noProof/>
                <w:color w:val="000000" w:themeColor="text1" w:themeShade="80"/>
                <w:sz w:val="18"/>
                <w:szCs w:val="18"/>
              </w:rPr>
              <w:t>uptake volume due to less stringent requirements)</w:t>
            </w:r>
          </w:p>
          <w:p w:rsidR="00AB50C5" w:rsidRDefault="00724275">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u w:val="single"/>
              </w:rPr>
              <w:t>Economic/Administrative</w:t>
            </w:r>
            <w:r>
              <w:rPr>
                <w:rFonts w:ascii="Arial" w:hAnsi="Arial" w:cs="Arial"/>
                <w:noProof/>
                <w:color w:val="000000" w:themeColor="text1" w:themeShade="80"/>
                <w:sz w:val="18"/>
                <w:szCs w:val="18"/>
              </w:rPr>
              <w:t>: +/0</w:t>
            </w:r>
          </w:p>
          <w:p w:rsidR="00AB50C5" w:rsidRDefault="00724275">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rPr>
              <w:t>(possible treatment or monitoring costs savings)</w:t>
            </w:r>
          </w:p>
          <w:p w:rsidR="00AB50C5" w:rsidRDefault="00724275">
            <w:pPr>
              <w:jc w:val="center"/>
              <w:rPr>
                <w:rFonts w:ascii="Arial" w:hAnsi="Arial" w:cs="Arial"/>
                <w:noProof/>
              </w:rPr>
            </w:pPr>
            <w:r>
              <w:rPr>
                <w:rFonts w:ascii="Arial" w:hAnsi="Arial" w:cs="Arial"/>
                <w:noProof/>
                <w:color w:val="000000" w:themeColor="text1" w:themeShade="80"/>
                <w:sz w:val="18"/>
                <w:szCs w:val="18"/>
                <w:u w:val="single"/>
              </w:rPr>
              <w:t>Social</w:t>
            </w:r>
            <w:r>
              <w:rPr>
                <w:rFonts w:ascii="Arial" w:hAnsi="Arial" w:cs="Arial"/>
                <w:noProof/>
                <w:color w:val="000000" w:themeColor="text1" w:themeShade="80"/>
                <w:sz w:val="18"/>
                <w:szCs w:val="18"/>
              </w:rPr>
              <w:t>: 0/- (public acceptance potentially compromised)</w:t>
            </w:r>
          </w:p>
        </w:tc>
        <w:tc>
          <w:tcPr>
            <w:tcW w:w="4536" w:type="dxa"/>
          </w:tcPr>
          <w:p w:rsidR="00AB50C5" w:rsidRDefault="00724275">
            <w:pPr>
              <w:jc w:val="center"/>
              <w:rPr>
                <w:rFonts w:ascii="Arial" w:hAnsi="Arial" w:cs="Arial"/>
                <w:b/>
                <w:noProof/>
                <w:color w:val="000000" w:themeColor="text1" w:themeShade="80"/>
                <w:sz w:val="18"/>
                <w:szCs w:val="18"/>
              </w:rPr>
            </w:pPr>
            <w:r>
              <w:rPr>
                <w:rFonts w:ascii="Arial" w:hAnsi="Arial" w:cs="Arial"/>
                <w:b/>
                <w:noProof/>
                <w:color w:val="000000" w:themeColor="text1" w:themeShade="80"/>
                <w:sz w:val="18"/>
                <w:szCs w:val="18"/>
              </w:rPr>
              <w:t>MS align i.e. increase national standards</w:t>
            </w:r>
          </w:p>
          <w:p w:rsidR="00AB50C5" w:rsidRDefault="00724275">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u w:val="single"/>
              </w:rPr>
              <w:t>Environmental</w:t>
            </w:r>
            <w:r>
              <w:rPr>
                <w:rFonts w:ascii="Arial" w:hAnsi="Arial" w:cs="Arial"/>
                <w:noProof/>
                <w:color w:val="000000" w:themeColor="text1" w:themeShade="80"/>
                <w:sz w:val="18"/>
                <w:szCs w:val="18"/>
              </w:rPr>
              <w:t>: ++/- -</w:t>
            </w:r>
          </w:p>
          <w:p w:rsidR="00AB50C5" w:rsidRDefault="00724275">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rPr>
              <w:t>(reduced</w:t>
            </w:r>
            <w:r>
              <w:rPr>
                <w:rFonts w:ascii="Arial" w:hAnsi="Arial" w:cs="Arial"/>
                <w:noProof/>
                <w:color w:val="000000" w:themeColor="text1" w:themeShade="80"/>
                <w:sz w:val="18"/>
                <w:szCs w:val="18"/>
              </w:rPr>
              <w:t xml:space="preserve"> risks associated with environmental pollutants present in treated wastewater;</w:t>
            </w:r>
          </w:p>
          <w:p w:rsidR="00AB50C5" w:rsidRDefault="00724275">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rPr>
              <w:t>Reduced uptake volume due to more stringent standards)</w:t>
            </w:r>
          </w:p>
          <w:p w:rsidR="00AB50C5" w:rsidRDefault="00AB50C5">
            <w:pPr>
              <w:jc w:val="center"/>
              <w:rPr>
                <w:rFonts w:ascii="Arial" w:hAnsi="Arial" w:cs="Arial"/>
                <w:noProof/>
                <w:color w:val="000000" w:themeColor="text1" w:themeShade="80"/>
                <w:sz w:val="18"/>
                <w:szCs w:val="18"/>
              </w:rPr>
            </w:pPr>
          </w:p>
          <w:p w:rsidR="00AB50C5" w:rsidRDefault="00724275">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u w:val="single"/>
              </w:rPr>
              <w:t>Economic/ Administrative</w:t>
            </w:r>
            <w:r>
              <w:rPr>
                <w:rFonts w:ascii="Arial" w:hAnsi="Arial" w:cs="Arial"/>
                <w:noProof/>
                <w:color w:val="000000" w:themeColor="text1" w:themeShade="80"/>
                <w:sz w:val="18"/>
                <w:szCs w:val="18"/>
              </w:rPr>
              <w:t>: - -/+ +</w:t>
            </w:r>
          </w:p>
          <w:p w:rsidR="00AB50C5" w:rsidRDefault="00724275">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rPr>
              <w:t>(increased costs of treatment if more advanced processes are needed; improved trade and</w:t>
            </w:r>
            <w:r>
              <w:rPr>
                <w:rFonts w:ascii="Arial" w:hAnsi="Arial" w:cs="Arial"/>
                <w:noProof/>
                <w:color w:val="000000" w:themeColor="text1" w:themeShade="80"/>
                <w:sz w:val="18"/>
                <w:szCs w:val="18"/>
              </w:rPr>
              <w:t xml:space="preserve"> business opportunities)</w:t>
            </w:r>
          </w:p>
          <w:p w:rsidR="00AB50C5" w:rsidRDefault="00AB50C5">
            <w:pPr>
              <w:jc w:val="center"/>
              <w:rPr>
                <w:rFonts w:ascii="Arial" w:hAnsi="Arial" w:cs="Arial"/>
                <w:noProof/>
                <w:color w:val="000000" w:themeColor="text1" w:themeShade="80"/>
                <w:sz w:val="18"/>
                <w:szCs w:val="18"/>
              </w:rPr>
            </w:pPr>
          </w:p>
          <w:p w:rsidR="00AB50C5" w:rsidRDefault="00724275">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u w:val="single"/>
              </w:rPr>
              <w:t>Social</w:t>
            </w:r>
            <w:r>
              <w:rPr>
                <w:rFonts w:ascii="Arial" w:hAnsi="Arial" w:cs="Arial"/>
                <w:noProof/>
                <w:color w:val="000000" w:themeColor="text1" w:themeShade="80"/>
                <w:sz w:val="18"/>
                <w:szCs w:val="18"/>
              </w:rPr>
              <w:t>: +</w:t>
            </w:r>
          </w:p>
          <w:p w:rsidR="00AB50C5" w:rsidRDefault="00724275">
            <w:pPr>
              <w:jc w:val="center"/>
              <w:rPr>
                <w:rFonts w:ascii="Arial" w:hAnsi="Arial" w:cs="Arial"/>
                <w:noProof/>
              </w:rPr>
            </w:pPr>
            <w:r>
              <w:rPr>
                <w:rFonts w:ascii="Arial" w:hAnsi="Arial" w:cs="Arial"/>
                <w:noProof/>
                <w:color w:val="000000" w:themeColor="text1" w:themeShade="80"/>
                <w:sz w:val="18"/>
                <w:szCs w:val="18"/>
              </w:rPr>
              <w:t>(public acceptance boosted</w:t>
            </w:r>
            <w:r>
              <w:rPr>
                <w:rFonts w:ascii="Arial" w:hAnsi="Arial" w:cs="Arial"/>
                <w:noProof/>
                <w:color w:val="000000" w:themeColor="text1" w:themeShade="80"/>
                <w:sz w:val="14"/>
                <w:szCs w:val="14"/>
              </w:rPr>
              <w:t>)</w:t>
            </w:r>
          </w:p>
        </w:tc>
        <w:tc>
          <w:tcPr>
            <w:tcW w:w="3119" w:type="dxa"/>
          </w:tcPr>
          <w:p w:rsidR="00AB50C5" w:rsidRDefault="00724275">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u w:val="single"/>
              </w:rPr>
              <w:t>Environmental</w:t>
            </w:r>
            <w:r>
              <w:rPr>
                <w:rFonts w:ascii="Arial" w:hAnsi="Arial" w:cs="Arial"/>
                <w:noProof/>
                <w:color w:val="000000" w:themeColor="text1" w:themeShade="80"/>
                <w:sz w:val="18"/>
                <w:szCs w:val="18"/>
              </w:rPr>
              <w:t>: +/0</w:t>
            </w:r>
          </w:p>
          <w:p w:rsidR="00AB50C5" w:rsidRDefault="00724275">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rPr>
              <w:t>(increased water availability/ reduced risks associated with environmental pollutants present in treated wastewater/ no change)</w:t>
            </w:r>
          </w:p>
          <w:p w:rsidR="00AB50C5" w:rsidRDefault="00AB50C5">
            <w:pPr>
              <w:jc w:val="center"/>
              <w:rPr>
                <w:rFonts w:ascii="Arial" w:hAnsi="Arial" w:cs="Arial"/>
                <w:noProof/>
                <w:color w:val="000000" w:themeColor="text1" w:themeShade="80"/>
                <w:sz w:val="18"/>
                <w:szCs w:val="18"/>
              </w:rPr>
            </w:pPr>
          </w:p>
          <w:p w:rsidR="00AB50C5" w:rsidRDefault="00724275">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u w:val="single"/>
              </w:rPr>
              <w:t>Economic/Administrative</w:t>
            </w:r>
            <w:r>
              <w:rPr>
                <w:rFonts w:ascii="Arial" w:hAnsi="Arial" w:cs="Arial"/>
                <w:noProof/>
                <w:color w:val="000000" w:themeColor="text1" w:themeShade="80"/>
                <w:sz w:val="18"/>
                <w:szCs w:val="18"/>
              </w:rPr>
              <w:t>: - -/+ +</w:t>
            </w:r>
          </w:p>
          <w:p w:rsidR="00AB50C5" w:rsidRDefault="00724275">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rPr>
              <w:t xml:space="preserve">(increased </w:t>
            </w:r>
            <w:r>
              <w:rPr>
                <w:rFonts w:ascii="Arial" w:hAnsi="Arial" w:cs="Arial"/>
                <w:noProof/>
                <w:color w:val="000000" w:themeColor="text1" w:themeShade="80"/>
                <w:sz w:val="18"/>
                <w:szCs w:val="18"/>
              </w:rPr>
              <w:t>costs to farmers/ increased costs for WWTP and farmers / improved trade and business opportunities)</w:t>
            </w:r>
          </w:p>
          <w:p w:rsidR="00AB50C5" w:rsidRDefault="00724275">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u w:val="single"/>
              </w:rPr>
              <w:t>Social</w:t>
            </w:r>
            <w:r>
              <w:rPr>
                <w:rFonts w:ascii="Arial" w:hAnsi="Arial" w:cs="Arial"/>
                <w:noProof/>
                <w:color w:val="000000" w:themeColor="text1" w:themeShade="80"/>
                <w:sz w:val="18"/>
                <w:szCs w:val="18"/>
              </w:rPr>
              <w:t>: +</w:t>
            </w:r>
          </w:p>
          <w:p w:rsidR="00AB50C5" w:rsidRDefault="00724275">
            <w:pPr>
              <w:jc w:val="center"/>
              <w:rPr>
                <w:rFonts w:ascii="Arial" w:hAnsi="Arial" w:cs="Arial"/>
                <w:noProof/>
                <w:sz w:val="18"/>
                <w:szCs w:val="18"/>
              </w:rPr>
            </w:pPr>
            <w:r>
              <w:rPr>
                <w:rFonts w:ascii="Arial" w:hAnsi="Arial" w:cs="Arial"/>
                <w:noProof/>
                <w:color w:val="000000" w:themeColor="text1" w:themeShade="80"/>
                <w:sz w:val="18"/>
                <w:szCs w:val="18"/>
              </w:rPr>
              <w:t>(promotion of public acceptance)</w:t>
            </w:r>
          </w:p>
        </w:tc>
        <w:tc>
          <w:tcPr>
            <w:tcW w:w="2693" w:type="dxa"/>
          </w:tcPr>
          <w:p w:rsidR="00AB50C5" w:rsidRDefault="00724275">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u w:val="single"/>
              </w:rPr>
              <w:t>Environmental</w:t>
            </w:r>
            <w:r>
              <w:rPr>
                <w:rFonts w:ascii="Arial" w:hAnsi="Arial" w:cs="Arial"/>
                <w:noProof/>
                <w:color w:val="000000" w:themeColor="text1" w:themeShade="80"/>
                <w:sz w:val="18"/>
                <w:szCs w:val="18"/>
              </w:rPr>
              <w:t>: 0</w:t>
            </w:r>
          </w:p>
          <w:p w:rsidR="00AB50C5" w:rsidRDefault="00AB50C5">
            <w:pPr>
              <w:jc w:val="center"/>
              <w:rPr>
                <w:rFonts w:ascii="Arial" w:hAnsi="Arial" w:cs="Arial"/>
                <w:noProof/>
                <w:color w:val="000000" w:themeColor="text1" w:themeShade="80"/>
                <w:sz w:val="18"/>
                <w:szCs w:val="18"/>
              </w:rPr>
            </w:pPr>
          </w:p>
          <w:p w:rsidR="00AB50C5" w:rsidRDefault="00724275">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u w:val="single"/>
              </w:rPr>
              <w:t>Economic/ Administrative</w:t>
            </w:r>
            <w:r>
              <w:rPr>
                <w:rFonts w:ascii="Arial" w:hAnsi="Arial" w:cs="Arial"/>
                <w:noProof/>
                <w:color w:val="000000" w:themeColor="text1" w:themeShade="80"/>
                <w:sz w:val="18"/>
                <w:szCs w:val="18"/>
              </w:rPr>
              <w:t>: 0</w:t>
            </w:r>
          </w:p>
          <w:p w:rsidR="00AB50C5" w:rsidRDefault="00AB50C5">
            <w:pPr>
              <w:jc w:val="center"/>
              <w:rPr>
                <w:rFonts w:ascii="Arial" w:hAnsi="Arial" w:cs="Arial"/>
                <w:noProof/>
                <w:color w:val="000000" w:themeColor="text1" w:themeShade="80"/>
                <w:sz w:val="18"/>
                <w:szCs w:val="18"/>
              </w:rPr>
            </w:pPr>
          </w:p>
          <w:p w:rsidR="00AB50C5" w:rsidRDefault="00724275">
            <w:pPr>
              <w:jc w:val="center"/>
              <w:rPr>
                <w:rFonts w:ascii="Arial" w:hAnsi="Arial" w:cs="Arial"/>
                <w:noProof/>
              </w:rPr>
            </w:pPr>
            <w:r>
              <w:rPr>
                <w:rFonts w:ascii="Arial" w:hAnsi="Arial" w:cs="Arial"/>
                <w:noProof/>
                <w:color w:val="000000" w:themeColor="text1" w:themeShade="80"/>
                <w:sz w:val="18"/>
                <w:szCs w:val="18"/>
                <w:u w:val="single"/>
              </w:rPr>
              <w:t>Social</w:t>
            </w:r>
            <w:r>
              <w:rPr>
                <w:rFonts w:ascii="Arial" w:hAnsi="Arial" w:cs="Arial"/>
                <w:noProof/>
                <w:color w:val="000000" w:themeColor="text1" w:themeShade="80"/>
                <w:sz w:val="18"/>
                <w:szCs w:val="18"/>
              </w:rPr>
              <w:t>: 0</w:t>
            </w:r>
          </w:p>
        </w:tc>
      </w:tr>
      <w:tr w:rsidR="00AB50C5">
        <w:tc>
          <w:tcPr>
            <w:tcW w:w="2552" w:type="dxa"/>
          </w:tcPr>
          <w:p w:rsidR="00AB50C5" w:rsidRDefault="00724275">
            <w:pPr>
              <w:rPr>
                <w:rFonts w:ascii="Arial" w:hAnsi="Arial" w:cs="Arial"/>
                <w:b/>
                <w:noProof/>
                <w:sz w:val="24"/>
                <w:szCs w:val="24"/>
              </w:rPr>
            </w:pPr>
            <w:r>
              <w:rPr>
                <w:rFonts w:ascii="Arial" w:hAnsi="Arial" w:cs="Arial"/>
                <w:b/>
                <w:noProof/>
                <w:sz w:val="24"/>
                <w:szCs w:val="24"/>
              </w:rPr>
              <w:t>Ir2 – Legal instrument</w:t>
            </w:r>
          </w:p>
          <w:p w:rsidR="00AB50C5" w:rsidRDefault="00724275">
            <w:pPr>
              <w:rPr>
                <w:rFonts w:ascii="Arial" w:hAnsi="Arial" w:cs="Arial"/>
                <w:b/>
                <w:noProof/>
              </w:rPr>
            </w:pPr>
            <w:r>
              <w:rPr>
                <w:rFonts w:ascii="Arial" w:hAnsi="Arial" w:cs="Arial"/>
                <w:b/>
                <w:noProof/>
              </w:rPr>
              <w:t>"fit-for-purpose"</w:t>
            </w:r>
          </w:p>
          <w:p w:rsidR="00AB50C5" w:rsidRDefault="00AB50C5">
            <w:pPr>
              <w:rPr>
                <w:rFonts w:ascii="Arial" w:hAnsi="Arial" w:cs="Arial"/>
                <w:b/>
                <w:noProof/>
              </w:rPr>
            </w:pPr>
          </w:p>
          <w:p w:rsidR="00AB50C5" w:rsidRDefault="00724275">
            <w:pPr>
              <w:rPr>
                <w:rFonts w:ascii="Arial" w:hAnsi="Arial" w:cs="Arial"/>
                <w:b/>
                <w:noProof/>
              </w:rPr>
            </w:pPr>
            <w:r>
              <w:rPr>
                <w:rFonts w:ascii="Arial" w:hAnsi="Arial" w:cs="Arial"/>
                <w:b/>
                <w:noProof/>
              </w:rPr>
              <w:t xml:space="preserve">Anticipated uptake: </w:t>
            </w:r>
            <w:r>
              <w:rPr>
                <w:rFonts w:ascii="Arial" w:hAnsi="Arial" w:cs="Arial"/>
                <w:b/>
                <w:noProof/>
                <w:color w:val="FF0000"/>
                <w:sz w:val="28"/>
                <w:szCs w:val="28"/>
              </w:rPr>
              <w:t>HIGH</w:t>
            </w:r>
          </w:p>
        </w:tc>
        <w:tc>
          <w:tcPr>
            <w:tcW w:w="3260" w:type="dxa"/>
          </w:tcPr>
          <w:p w:rsidR="00AB50C5" w:rsidRDefault="00724275">
            <w:pPr>
              <w:jc w:val="center"/>
              <w:rPr>
                <w:rFonts w:ascii="Arial" w:hAnsi="Arial" w:cs="Arial"/>
                <w:b/>
                <w:noProof/>
                <w:color w:val="000000" w:themeColor="text1" w:themeShade="80"/>
                <w:sz w:val="18"/>
                <w:szCs w:val="18"/>
              </w:rPr>
            </w:pPr>
            <w:r>
              <w:rPr>
                <w:rFonts w:ascii="Arial" w:hAnsi="Arial" w:cs="Arial"/>
                <w:b/>
                <w:noProof/>
                <w:color w:val="000000" w:themeColor="text1" w:themeShade="80"/>
                <w:sz w:val="18"/>
                <w:szCs w:val="18"/>
              </w:rPr>
              <w:t>If MS choose to retain national standards</w:t>
            </w:r>
          </w:p>
          <w:p w:rsidR="00AB50C5" w:rsidRDefault="00724275">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u w:val="single"/>
              </w:rPr>
              <w:t>Environmental</w:t>
            </w:r>
            <w:r>
              <w:rPr>
                <w:rFonts w:ascii="Arial" w:hAnsi="Arial" w:cs="Arial"/>
                <w:noProof/>
                <w:color w:val="000000" w:themeColor="text1" w:themeShade="80"/>
                <w:sz w:val="18"/>
                <w:szCs w:val="18"/>
              </w:rPr>
              <w:t>: 0</w:t>
            </w:r>
          </w:p>
          <w:p w:rsidR="00AB50C5" w:rsidRDefault="00724275">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u w:val="single"/>
              </w:rPr>
              <w:t>Economic/Administrative</w:t>
            </w:r>
            <w:r>
              <w:rPr>
                <w:rFonts w:ascii="Arial" w:hAnsi="Arial" w:cs="Arial"/>
                <w:noProof/>
                <w:color w:val="000000" w:themeColor="text1" w:themeShade="80"/>
                <w:sz w:val="18"/>
                <w:szCs w:val="18"/>
              </w:rPr>
              <w:t>: 0</w:t>
            </w:r>
          </w:p>
          <w:p w:rsidR="00AB50C5" w:rsidRDefault="00724275">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u w:val="single"/>
              </w:rPr>
              <w:t>Social</w:t>
            </w:r>
            <w:r>
              <w:rPr>
                <w:rFonts w:ascii="Arial" w:hAnsi="Arial" w:cs="Arial"/>
                <w:noProof/>
                <w:color w:val="000000" w:themeColor="text1" w:themeShade="80"/>
                <w:sz w:val="18"/>
                <w:szCs w:val="18"/>
              </w:rPr>
              <w:t>: 0</w:t>
            </w:r>
          </w:p>
          <w:p w:rsidR="00AB50C5" w:rsidRDefault="00724275">
            <w:pPr>
              <w:jc w:val="center"/>
              <w:rPr>
                <w:rFonts w:ascii="Arial" w:hAnsi="Arial" w:cs="Arial"/>
                <w:b/>
                <w:noProof/>
                <w:color w:val="000000" w:themeColor="text1" w:themeShade="80"/>
                <w:sz w:val="18"/>
                <w:szCs w:val="18"/>
              </w:rPr>
            </w:pPr>
            <w:r>
              <w:rPr>
                <w:rFonts w:ascii="Arial" w:hAnsi="Arial" w:cs="Arial"/>
                <w:b/>
                <w:noProof/>
                <w:color w:val="000000" w:themeColor="text1" w:themeShade="80"/>
                <w:sz w:val="18"/>
                <w:szCs w:val="18"/>
              </w:rPr>
              <w:t>If MS choose to align i.e. lower national standards</w:t>
            </w:r>
          </w:p>
          <w:p w:rsidR="00AB50C5" w:rsidRDefault="00724275">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u w:val="single"/>
              </w:rPr>
              <w:t>Environmental</w:t>
            </w:r>
            <w:r>
              <w:rPr>
                <w:rFonts w:ascii="Arial" w:hAnsi="Arial" w:cs="Arial"/>
                <w:noProof/>
                <w:color w:val="000000" w:themeColor="text1" w:themeShade="80"/>
                <w:sz w:val="18"/>
                <w:szCs w:val="18"/>
              </w:rPr>
              <w:t>: ++/0</w:t>
            </w:r>
          </w:p>
          <w:p w:rsidR="00AB50C5" w:rsidRDefault="00724275">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rPr>
              <w:t xml:space="preserve">(potential for increased uptake volume due to less stringent </w:t>
            </w:r>
            <w:r>
              <w:rPr>
                <w:rFonts w:ascii="Arial" w:hAnsi="Arial" w:cs="Arial"/>
                <w:noProof/>
                <w:color w:val="000000" w:themeColor="text1" w:themeShade="80"/>
                <w:sz w:val="18"/>
                <w:szCs w:val="18"/>
              </w:rPr>
              <w:t>requirements)</w:t>
            </w:r>
          </w:p>
          <w:p w:rsidR="00AB50C5" w:rsidRDefault="00724275">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u w:val="single"/>
              </w:rPr>
              <w:t>Economic/Administrative</w:t>
            </w:r>
            <w:r>
              <w:rPr>
                <w:rFonts w:ascii="Arial" w:hAnsi="Arial" w:cs="Arial"/>
                <w:noProof/>
                <w:color w:val="000000" w:themeColor="text1" w:themeShade="80"/>
                <w:sz w:val="18"/>
                <w:szCs w:val="18"/>
              </w:rPr>
              <w:t>: +/0</w:t>
            </w:r>
          </w:p>
          <w:p w:rsidR="00AB50C5" w:rsidRDefault="00724275">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rPr>
              <w:t>(possible treatment or monitoring costs savings)</w:t>
            </w:r>
          </w:p>
          <w:p w:rsidR="00AB50C5" w:rsidRDefault="00724275">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u w:val="single"/>
              </w:rPr>
              <w:t>Social</w:t>
            </w:r>
            <w:r>
              <w:rPr>
                <w:rFonts w:ascii="Arial" w:hAnsi="Arial" w:cs="Arial"/>
                <w:noProof/>
                <w:color w:val="000000" w:themeColor="text1" w:themeShade="80"/>
                <w:sz w:val="18"/>
                <w:szCs w:val="18"/>
              </w:rPr>
              <w:t>: 0/-</w:t>
            </w:r>
          </w:p>
          <w:p w:rsidR="00AB50C5" w:rsidRDefault="00724275">
            <w:pPr>
              <w:jc w:val="center"/>
              <w:rPr>
                <w:rFonts w:ascii="Arial" w:hAnsi="Arial" w:cs="Arial"/>
                <w:noProof/>
              </w:rPr>
            </w:pPr>
            <w:r>
              <w:rPr>
                <w:rFonts w:ascii="Arial" w:hAnsi="Arial" w:cs="Arial"/>
                <w:noProof/>
                <w:color w:val="000000" w:themeColor="text1" w:themeShade="80"/>
                <w:sz w:val="18"/>
                <w:szCs w:val="18"/>
              </w:rPr>
              <w:t>(public acceptance potentially compromised)</w:t>
            </w:r>
          </w:p>
        </w:tc>
        <w:tc>
          <w:tcPr>
            <w:tcW w:w="4536" w:type="dxa"/>
          </w:tcPr>
          <w:p w:rsidR="00AB50C5" w:rsidRDefault="00724275">
            <w:pPr>
              <w:jc w:val="center"/>
              <w:rPr>
                <w:rFonts w:ascii="Arial" w:hAnsi="Arial" w:cs="Arial"/>
                <w:b/>
                <w:noProof/>
                <w:color w:val="000000" w:themeColor="text1" w:themeShade="80"/>
                <w:sz w:val="18"/>
                <w:szCs w:val="18"/>
              </w:rPr>
            </w:pPr>
            <w:r>
              <w:rPr>
                <w:rFonts w:ascii="Arial" w:hAnsi="Arial" w:cs="Arial"/>
                <w:b/>
                <w:noProof/>
                <w:color w:val="000000" w:themeColor="text1" w:themeShade="80"/>
                <w:sz w:val="18"/>
                <w:szCs w:val="18"/>
              </w:rPr>
              <w:t>MS align i.e. increase national standards</w:t>
            </w:r>
          </w:p>
          <w:p w:rsidR="00AB50C5" w:rsidRDefault="00724275">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u w:val="single"/>
              </w:rPr>
              <w:t>Environmental</w:t>
            </w:r>
            <w:r>
              <w:rPr>
                <w:rFonts w:ascii="Arial" w:hAnsi="Arial" w:cs="Arial"/>
                <w:noProof/>
                <w:color w:val="000000" w:themeColor="text1" w:themeShade="80"/>
                <w:sz w:val="18"/>
                <w:szCs w:val="18"/>
              </w:rPr>
              <w:t>: ++/- -</w:t>
            </w:r>
          </w:p>
          <w:p w:rsidR="00AB50C5" w:rsidRDefault="00724275">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rPr>
              <w:t>(reduced risks associated with environmental</w:t>
            </w:r>
            <w:r>
              <w:rPr>
                <w:rFonts w:ascii="Arial" w:hAnsi="Arial" w:cs="Arial"/>
                <w:noProof/>
                <w:color w:val="000000" w:themeColor="text1" w:themeShade="80"/>
                <w:sz w:val="18"/>
                <w:szCs w:val="18"/>
              </w:rPr>
              <w:t xml:space="preserve"> pollutants present in treated wastewater;</w:t>
            </w:r>
          </w:p>
          <w:p w:rsidR="00AB50C5" w:rsidRDefault="00724275">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rPr>
              <w:t>Reduced uptake volume due to more stringent standards)</w:t>
            </w:r>
          </w:p>
          <w:p w:rsidR="00AB50C5" w:rsidRDefault="00AB50C5">
            <w:pPr>
              <w:jc w:val="center"/>
              <w:rPr>
                <w:rFonts w:ascii="Arial" w:hAnsi="Arial" w:cs="Arial"/>
                <w:noProof/>
                <w:color w:val="000000" w:themeColor="text1" w:themeShade="80"/>
                <w:sz w:val="18"/>
                <w:szCs w:val="18"/>
              </w:rPr>
            </w:pPr>
          </w:p>
          <w:p w:rsidR="00AB50C5" w:rsidRDefault="00724275">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u w:val="single"/>
              </w:rPr>
              <w:t>Economic/ Administrative</w:t>
            </w:r>
            <w:r>
              <w:rPr>
                <w:rFonts w:ascii="Arial" w:hAnsi="Arial" w:cs="Arial"/>
                <w:noProof/>
                <w:color w:val="000000" w:themeColor="text1" w:themeShade="80"/>
                <w:sz w:val="18"/>
                <w:szCs w:val="18"/>
              </w:rPr>
              <w:t>: - -/+ +</w:t>
            </w:r>
          </w:p>
          <w:p w:rsidR="00AB50C5" w:rsidRDefault="00724275">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rPr>
              <w:t>(increased costs of treatment if more advanced processes are needed; improved trade and business opportunities)</w:t>
            </w:r>
          </w:p>
          <w:p w:rsidR="00AB50C5" w:rsidRDefault="00724275">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u w:val="single"/>
              </w:rPr>
              <w:t>Social</w:t>
            </w:r>
            <w:r>
              <w:rPr>
                <w:rFonts w:ascii="Arial" w:hAnsi="Arial" w:cs="Arial"/>
                <w:noProof/>
                <w:color w:val="000000" w:themeColor="text1" w:themeShade="80"/>
                <w:sz w:val="18"/>
                <w:szCs w:val="18"/>
              </w:rPr>
              <w:t>: +</w:t>
            </w:r>
          </w:p>
          <w:p w:rsidR="00AB50C5" w:rsidRDefault="00724275">
            <w:pPr>
              <w:jc w:val="center"/>
              <w:rPr>
                <w:rFonts w:ascii="Arial" w:hAnsi="Arial" w:cs="Arial"/>
                <w:noProof/>
              </w:rPr>
            </w:pPr>
            <w:r>
              <w:rPr>
                <w:rFonts w:ascii="Arial" w:hAnsi="Arial" w:cs="Arial"/>
                <w:noProof/>
                <w:color w:val="000000" w:themeColor="text1" w:themeShade="80"/>
                <w:sz w:val="18"/>
                <w:szCs w:val="18"/>
              </w:rPr>
              <w:t>(</w:t>
            </w:r>
            <w:r>
              <w:rPr>
                <w:rFonts w:ascii="Arial" w:hAnsi="Arial" w:cs="Arial"/>
                <w:noProof/>
                <w:color w:val="000000" w:themeColor="text1" w:themeShade="80"/>
                <w:sz w:val="18"/>
                <w:szCs w:val="18"/>
              </w:rPr>
              <w:t>public acceptance boosted</w:t>
            </w:r>
            <w:r>
              <w:rPr>
                <w:rFonts w:ascii="Arial" w:hAnsi="Arial" w:cs="Arial"/>
                <w:noProof/>
                <w:color w:val="000000" w:themeColor="text1" w:themeShade="80"/>
                <w:sz w:val="14"/>
                <w:szCs w:val="14"/>
              </w:rPr>
              <w:t>)</w:t>
            </w:r>
          </w:p>
        </w:tc>
        <w:tc>
          <w:tcPr>
            <w:tcW w:w="3119" w:type="dxa"/>
          </w:tcPr>
          <w:p w:rsidR="00AB50C5" w:rsidRDefault="00724275">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u w:val="single"/>
              </w:rPr>
              <w:t>Environmental</w:t>
            </w:r>
            <w:r>
              <w:rPr>
                <w:rFonts w:ascii="Arial" w:hAnsi="Arial" w:cs="Arial"/>
                <w:noProof/>
                <w:color w:val="000000" w:themeColor="text1" w:themeShade="80"/>
                <w:sz w:val="18"/>
                <w:szCs w:val="18"/>
              </w:rPr>
              <w:t>: +/0</w:t>
            </w:r>
          </w:p>
          <w:p w:rsidR="00AB50C5" w:rsidRDefault="00724275">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rPr>
              <w:t>(increased water availability/ reduced risks associated with environmental pollutants present in treated wastewater/ no change)</w:t>
            </w:r>
          </w:p>
          <w:p w:rsidR="00AB50C5" w:rsidRDefault="00AB50C5">
            <w:pPr>
              <w:jc w:val="center"/>
              <w:rPr>
                <w:rFonts w:ascii="Arial" w:hAnsi="Arial" w:cs="Arial"/>
                <w:noProof/>
                <w:color w:val="000000" w:themeColor="text1" w:themeShade="80"/>
                <w:sz w:val="18"/>
                <w:szCs w:val="18"/>
              </w:rPr>
            </w:pPr>
          </w:p>
          <w:p w:rsidR="00AB50C5" w:rsidRDefault="00724275">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u w:val="single"/>
              </w:rPr>
              <w:t>Economic/Administrative</w:t>
            </w:r>
            <w:r>
              <w:rPr>
                <w:rFonts w:ascii="Arial" w:hAnsi="Arial" w:cs="Arial"/>
                <w:noProof/>
                <w:color w:val="000000" w:themeColor="text1" w:themeShade="80"/>
                <w:sz w:val="18"/>
                <w:szCs w:val="18"/>
              </w:rPr>
              <w:t>: - -/+ +</w:t>
            </w:r>
          </w:p>
          <w:p w:rsidR="00AB50C5" w:rsidRDefault="00724275">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rPr>
              <w:t>(increased costs to farmers/ increased costs for</w:t>
            </w:r>
            <w:r>
              <w:rPr>
                <w:rFonts w:ascii="Arial" w:hAnsi="Arial" w:cs="Arial"/>
                <w:noProof/>
                <w:color w:val="000000" w:themeColor="text1" w:themeShade="80"/>
                <w:sz w:val="18"/>
                <w:szCs w:val="18"/>
              </w:rPr>
              <w:t xml:space="preserve"> WWTP and farmers / improved trade and business opportunities)</w:t>
            </w:r>
          </w:p>
          <w:p w:rsidR="00AB50C5" w:rsidRDefault="00724275">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u w:val="single"/>
              </w:rPr>
              <w:t>Social</w:t>
            </w:r>
            <w:r>
              <w:rPr>
                <w:rFonts w:ascii="Arial" w:hAnsi="Arial" w:cs="Arial"/>
                <w:noProof/>
                <w:color w:val="000000" w:themeColor="text1" w:themeShade="80"/>
                <w:sz w:val="18"/>
                <w:szCs w:val="18"/>
              </w:rPr>
              <w:t>: +</w:t>
            </w:r>
          </w:p>
          <w:p w:rsidR="00AB50C5" w:rsidRDefault="00724275">
            <w:pPr>
              <w:jc w:val="center"/>
              <w:rPr>
                <w:rFonts w:ascii="Arial" w:hAnsi="Arial" w:cs="Arial"/>
                <w:noProof/>
                <w:sz w:val="18"/>
                <w:szCs w:val="18"/>
              </w:rPr>
            </w:pPr>
            <w:r>
              <w:rPr>
                <w:rFonts w:ascii="Arial" w:hAnsi="Arial" w:cs="Arial"/>
                <w:noProof/>
                <w:color w:val="000000" w:themeColor="text1" w:themeShade="80"/>
                <w:sz w:val="18"/>
                <w:szCs w:val="18"/>
              </w:rPr>
              <w:t>(promotion of public acceptance)</w:t>
            </w:r>
          </w:p>
        </w:tc>
        <w:tc>
          <w:tcPr>
            <w:tcW w:w="2693" w:type="dxa"/>
          </w:tcPr>
          <w:p w:rsidR="00AB50C5" w:rsidRDefault="00724275">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u w:val="single"/>
              </w:rPr>
              <w:t>Environmental</w:t>
            </w:r>
            <w:r>
              <w:rPr>
                <w:rFonts w:ascii="Arial" w:hAnsi="Arial" w:cs="Arial"/>
                <w:noProof/>
                <w:color w:val="000000" w:themeColor="text1" w:themeShade="80"/>
                <w:sz w:val="18"/>
                <w:szCs w:val="18"/>
              </w:rPr>
              <w:t>: 0</w:t>
            </w:r>
          </w:p>
          <w:p w:rsidR="00AB50C5" w:rsidRDefault="00AB50C5">
            <w:pPr>
              <w:jc w:val="center"/>
              <w:rPr>
                <w:rFonts w:ascii="Arial" w:hAnsi="Arial" w:cs="Arial"/>
                <w:noProof/>
                <w:color w:val="000000" w:themeColor="text1" w:themeShade="80"/>
                <w:sz w:val="18"/>
                <w:szCs w:val="18"/>
              </w:rPr>
            </w:pPr>
          </w:p>
          <w:p w:rsidR="00AB50C5" w:rsidRDefault="00724275">
            <w:pPr>
              <w:jc w:val="center"/>
              <w:rPr>
                <w:rFonts w:ascii="Arial" w:hAnsi="Arial" w:cs="Arial"/>
                <w:noProof/>
                <w:color w:val="000000" w:themeColor="text1" w:themeShade="80"/>
                <w:sz w:val="18"/>
                <w:szCs w:val="18"/>
              </w:rPr>
            </w:pPr>
            <w:r>
              <w:rPr>
                <w:rFonts w:ascii="Arial" w:hAnsi="Arial" w:cs="Arial"/>
                <w:noProof/>
                <w:color w:val="000000" w:themeColor="text1" w:themeShade="80"/>
                <w:sz w:val="18"/>
                <w:szCs w:val="18"/>
                <w:u w:val="single"/>
              </w:rPr>
              <w:t>Economic/ Administrative</w:t>
            </w:r>
            <w:r>
              <w:rPr>
                <w:rFonts w:ascii="Arial" w:hAnsi="Arial" w:cs="Arial"/>
                <w:noProof/>
                <w:color w:val="000000" w:themeColor="text1" w:themeShade="80"/>
                <w:sz w:val="18"/>
                <w:szCs w:val="18"/>
              </w:rPr>
              <w:t>: 0</w:t>
            </w:r>
          </w:p>
          <w:p w:rsidR="00AB50C5" w:rsidRDefault="00AB50C5">
            <w:pPr>
              <w:jc w:val="center"/>
              <w:rPr>
                <w:rFonts w:ascii="Arial" w:hAnsi="Arial" w:cs="Arial"/>
                <w:noProof/>
                <w:color w:val="000000" w:themeColor="text1" w:themeShade="80"/>
                <w:sz w:val="18"/>
                <w:szCs w:val="18"/>
              </w:rPr>
            </w:pPr>
          </w:p>
          <w:p w:rsidR="00AB50C5" w:rsidRDefault="00724275">
            <w:pPr>
              <w:jc w:val="center"/>
              <w:rPr>
                <w:rFonts w:ascii="Arial" w:hAnsi="Arial" w:cs="Arial"/>
                <w:noProof/>
              </w:rPr>
            </w:pPr>
            <w:r>
              <w:rPr>
                <w:rFonts w:ascii="Arial" w:hAnsi="Arial" w:cs="Arial"/>
                <w:noProof/>
                <w:color w:val="000000" w:themeColor="text1" w:themeShade="80"/>
                <w:sz w:val="18"/>
                <w:szCs w:val="18"/>
                <w:u w:val="single"/>
              </w:rPr>
              <w:t>Social</w:t>
            </w:r>
            <w:r>
              <w:rPr>
                <w:rFonts w:ascii="Arial" w:hAnsi="Arial" w:cs="Arial"/>
                <w:noProof/>
                <w:color w:val="000000" w:themeColor="text1" w:themeShade="80"/>
                <w:sz w:val="18"/>
                <w:szCs w:val="18"/>
              </w:rPr>
              <w:t>: 0</w:t>
            </w:r>
          </w:p>
        </w:tc>
      </w:tr>
    </w:tbl>
    <w:p w:rsidR="00AB50C5" w:rsidRDefault="00AB50C5">
      <w:pPr>
        <w:suppressAutoHyphens/>
        <w:spacing w:before="120" w:after="120" w:line="240" w:lineRule="auto"/>
        <w:jc w:val="both"/>
        <w:rPr>
          <w:rFonts w:ascii="Times New Roman" w:eastAsia="Times New Roman" w:hAnsi="Times New Roman" w:cs="Times New Roman"/>
          <w:i/>
          <w:noProof/>
          <w:sz w:val="24"/>
          <w:szCs w:val="24"/>
          <w:lang w:eastAsia="de-DE"/>
        </w:rPr>
      </w:pPr>
    </w:p>
    <w:p w:rsidR="00AB50C5" w:rsidRDefault="00AB50C5">
      <w:pPr>
        <w:rPr>
          <w:rFonts w:ascii="Times New Roman" w:eastAsia="Times New Roman" w:hAnsi="Times New Roman" w:cs="Times New Roman"/>
          <w:i/>
          <w:noProof/>
          <w:sz w:val="24"/>
          <w:szCs w:val="24"/>
          <w:lang w:eastAsia="de-DE"/>
        </w:rPr>
        <w:sectPr w:rsidR="00AB50C5">
          <w:headerReference w:type="even" r:id="rId106"/>
          <w:headerReference w:type="default" r:id="rId107"/>
          <w:footerReference w:type="even" r:id="rId108"/>
          <w:footerReference w:type="default" r:id="rId109"/>
          <w:headerReference w:type="first" r:id="rId110"/>
          <w:footerReference w:type="first" r:id="rId111"/>
          <w:pgSz w:w="16839" w:h="11907" w:orient="landscape"/>
          <w:pgMar w:top="1417" w:right="1134" w:bottom="1417" w:left="1134" w:header="708" w:footer="708" w:gutter="0"/>
          <w:cols w:space="708"/>
          <w:docGrid w:linePitch="360"/>
        </w:sectPr>
      </w:pPr>
    </w:p>
    <w:p w:rsidR="00AB50C5" w:rsidRDefault="00724275">
      <w:pPr>
        <w:pStyle w:val="Heading2"/>
        <w:numPr>
          <w:ilvl w:val="0"/>
          <w:numId w:val="0"/>
        </w:numPr>
        <w:rPr>
          <w:rFonts w:eastAsia="Calibri"/>
          <w:noProof/>
          <w:color w:val="000000"/>
        </w:rPr>
      </w:pPr>
      <w:bookmarkStart w:id="286" w:name="_Toc507407452"/>
      <w:bookmarkStart w:id="287" w:name="_Toc516234831"/>
      <w:r>
        <w:rPr>
          <w:rFonts w:eastAsia="Calibri"/>
          <w:noProof/>
          <w:color w:val="000000"/>
        </w:rPr>
        <w:t xml:space="preserve">Annex 13 – Abbreviations and </w:t>
      </w:r>
      <w:r>
        <w:rPr>
          <w:rFonts w:eastAsia="Calibri"/>
          <w:noProof/>
          <w:color w:val="000000"/>
        </w:rPr>
        <w:t>Glossary</w:t>
      </w:r>
      <w:bookmarkEnd w:id="286"/>
      <w:bookmarkEnd w:id="287"/>
    </w:p>
    <w:p w:rsidR="00AB50C5" w:rsidRDefault="00AB50C5">
      <w:pPr>
        <w:suppressAutoHyphens/>
        <w:spacing w:before="120" w:after="120" w:line="240" w:lineRule="auto"/>
        <w:jc w:val="both"/>
        <w:rPr>
          <w:rFonts w:ascii="Times New Roman" w:eastAsia="Times New Roman" w:hAnsi="Times New Roman" w:cs="Times New Roman"/>
          <w:b/>
          <w:noProof/>
          <w:sz w:val="24"/>
          <w:szCs w:val="24"/>
          <w:lang w:eastAsia="de-DE"/>
        </w:rPr>
      </w:pPr>
    </w:p>
    <w:p w:rsidR="00AB50C5" w:rsidRDefault="00724275">
      <w:pPr>
        <w:suppressAutoHyphens/>
        <w:spacing w:before="120" w:after="120" w:line="240" w:lineRule="auto"/>
        <w:ind w:left="2880" w:hanging="2880"/>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Agricultural irrigation</w:t>
      </w:r>
      <w:r>
        <w:rPr>
          <w:rFonts w:ascii="Times New Roman" w:eastAsia="Times New Roman" w:hAnsi="Times New Roman" w:cs="Times New Roman"/>
          <w:noProof/>
          <w:sz w:val="24"/>
          <w:szCs w:val="24"/>
          <w:lang w:eastAsia="de-DE"/>
        </w:rPr>
        <w:tab/>
        <w:t>The application of controlled amounts of water to plants at needed intervals</w:t>
      </w:r>
    </w:p>
    <w:p w:rsidR="00AB50C5" w:rsidRDefault="00724275">
      <w:pPr>
        <w:suppressAutoHyphens/>
        <w:spacing w:before="120" w:after="120" w:line="240" w:lineRule="auto"/>
        <w:ind w:left="2880" w:hanging="2880"/>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Aquifer</w:t>
      </w:r>
      <w:r>
        <w:rPr>
          <w:rFonts w:ascii="Times New Roman" w:eastAsia="Times New Roman" w:hAnsi="Times New Roman" w:cs="Times New Roman"/>
          <w:noProof/>
          <w:sz w:val="24"/>
          <w:szCs w:val="24"/>
          <w:lang w:eastAsia="de-DE"/>
        </w:rPr>
        <w:tab/>
        <w:t>An underground layer of water-bearing permeable rock, rock fractures or unconsolidated materials from which groundwater can be extracted</w:t>
      </w:r>
    </w:p>
    <w:p w:rsidR="00AB50C5" w:rsidRDefault="00724275">
      <w:pPr>
        <w:suppressAutoHyphens/>
        <w:spacing w:before="120" w:after="120" w:line="240" w:lineRule="auto"/>
        <w:ind w:left="2880" w:hanging="2880"/>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Aquifer recharge</w:t>
      </w:r>
      <w:r>
        <w:rPr>
          <w:rFonts w:ascii="Times New Roman" w:eastAsia="Times New Roman" w:hAnsi="Times New Roman" w:cs="Times New Roman"/>
          <w:noProof/>
          <w:sz w:val="24"/>
          <w:szCs w:val="24"/>
          <w:lang w:eastAsia="de-DE"/>
        </w:rPr>
        <w:tab/>
        <w:t>A hydrological process where water moves downward from the soil surface towards groundwater. Recharge occurs both naturally (through the water cycle) and man-induced (i.e. artificial aquifer recharge), where rainwater, surface water and/or</w:t>
      </w:r>
      <w:r>
        <w:rPr>
          <w:rFonts w:ascii="Times New Roman" w:eastAsia="Times New Roman" w:hAnsi="Times New Roman" w:cs="Times New Roman"/>
          <w:noProof/>
          <w:sz w:val="24"/>
          <w:szCs w:val="24"/>
          <w:lang w:eastAsia="de-DE"/>
        </w:rPr>
        <w:t xml:space="preserve"> reclaimed water is routed to the subsurface. Artificial groundwater recharge aims at increasing the groundwater potential and it can effectively help preventing saline intrusion in depleted coastal aquifers.</w:t>
      </w:r>
    </w:p>
    <w:p w:rsidR="00AB50C5" w:rsidRDefault="00724275">
      <w:pPr>
        <w:suppressAutoHyphens/>
        <w:spacing w:before="120" w:after="120" w:line="240" w:lineRule="auto"/>
        <w:ind w:left="2880" w:hanging="2880"/>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Associated Directives</w:t>
      </w:r>
      <w:r>
        <w:rPr>
          <w:rFonts w:ascii="Times New Roman" w:eastAsia="Times New Roman" w:hAnsi="Times New Roman" w:cs="Times New Roman"/>
          <w:noProof/>
          <w:sz w:val="24"/>
          <w:szCs w:val="24"/>
          <w:lang w:eastAsia="de-DE"/>
        </w:rPr>
        <w:tab/>
        <w:t>(to the Water Framework D</w:t>
      </w:r>
      <w:r>
        <w:rPr>
          <w:rFonts w:ascii="Times New Roman" w:eastAsia="Times New Roman" w:hAnsi="Times New Roman" w:cs="Times New Roman"/>
          <w:noProof/>
          <w:sz w:val="24"/>
          <w:szCs w:val="24"/>
          <w:lang w:eastAsia="de-DE"/>
        </w:rPr>
        <w:t>irective) Groundwater Directive and Priority Substances Directive</w:t>
      </w:r>
    </w:p>
    <w:p w:rsidR="00AB50C5" w:rsidRDefault="00724275">
      <w:pPr>
        <w:suppressAutoHyphens/>
        <w:spacing w:before="120" w:after="120" w:line="240" w:lineRule="auto"/>
        <w:ind w:left="2880" w:hanging="2880"/>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Blueprint</w:t>
      </w:r>
      <w:r>
        <w:rPr>
          <w:rFonts w:ascii="Times New Roman" w:eastAsia="Times New Roman" w:hAnsi="Times New Roman" w:cs="Times New Roman"/>
          <w:noProof/>
          <w:sz w:val="24"/>
          <w:szCs w:val="24"/>
          <w:lang w:eastAsia="de-DE"/>
        </w:rPr>
        <w:tab/>
        <w:t>Commission Communication "A Blueprint to safeguard Europe's water resources COM(2012) 393</w:t>
      </w:r>
    </w:p>
    <w:p w:rsidR="00AB50C5" w:rsidRDefault="00724275">
      <w:pPr>
        <w:suppressAutoHyphens/>
        <w:spacing w:before="120" w:after="120" w:line="240" w:lineRule="auto"/>
        <w:ind w:left="2880" w:hanging="2880"/>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BREF</w:t>
      </w:r>
      <w:r>
        <w:rPr>
          <w:rFonts w:ascii="Times New Roman" w:eastAsia="Times New Roman" w:hAnsi="Times New Roman" w:cs="Times New Roman"/>
          <w:noProof/>
          <w:sz w:val="24"/>
          <w:szCs w:val="24"/>
          <w:lang w:eastAsia="de-DE"/>
        </w:rPr>
        <w:tab/>
        <w:t xml:space="preserve">Best Available Technique Reference Document developed under the Industrial Emissions </w:t>
      </w:r>
      <w:r>
        <w:rPr>
          <w:rFonts w:ascii="Times New Roman" w:eastAsia="Times New Roman" w:hAnsi="Times New Roman" w:cs="Times New Roman"/>
          <w:noProof/>
          <w:sz w:val="24"/>
          <w:szCs w:val="24"/>
          <w:lang w:eastAsia="de-DE"/>
        </w:rPr>
        <w:t>Directive</w:t>
      </w:r>
    </w:p>
    <w:p w:rsidR="00AB50C5" w:rsidRDefault="00724275">
      <w:pPr>
        <w:suppressAutoHyphens/>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BWD</w:t>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t>Bathing Water Directive</w:t>
      </w:r>
    </w:p>
    <w:p w:rsidR="00AB50C5" w:rsidRDefault="00724275">
      <w:pPr>
        <w:suppressAutoHyphens/>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CAP</w:t>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t>Common Agricultural Policy</w:t>
      </w:r>
    </w:p>
    <w:p w:rsidR="00AB50C5" w:rsidRDefault="00724275">
      <w:pPr>
        <w:suppressAutoHyphens/>
        <w:spacing w:before="120" w:after="120" w:line="240" w:lineRule="auto"/>
        <w:ind w:left="2880" w:hanging="2880"/>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Catchment area</w:t>
      </w:r>
      <w:r>
        <w:rPr>
          <w:rFonts w:ascii="Times New Roman" w:eastAsia="Times New Roman" w:hAnsi="Times New Roman" w:cs="Times New Roman"/>
          <w:noProof/>
          <w:sz w:val="24"/>
          <w:szCs w:val="24"/>
          <w:lang w:eastAsia="de-DE"/>
        </w:rPr>
        <w:tab/>
        <w:t>Any area of land where precipitation collects and drains off into a common outlet, such as into a river, bay, or other body</w:t>
      </w:r>
    </w:p>
    <w:p w:rsidR="00AB50C5" w:rsidRDefault="00724275">
      <w:pPr>
        <w:suppressAutoHyphens/>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CEC</w:t>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t>Contaminant of emerging concern</w:t>
      </w:r>
    </w:p>
    <w:p w:rsidR="00AB50C5" w:rsidRDefault="00724275">
      <w:pPr>
        <w:suppressAutoHyphens/>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CEN</w:t>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t>European Committee for Standardization</w:t>
      </w:r>
    </w:p>
    <w:p w:rsidR="00AB50C5" w:rsidRDefault="00724275">
      <w:pPr>
        <w:suppressAutoHyphens/>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Circular Economy Action Plan  Commission Communication "Closing the loop – an EU action plan for the circular economy  COM(2015) 614</w:t>
      </w:r>
    </w:p>
    <w:p w:rsidR="00AB50C5" w:rsidRDefault="00724275">
      <w:pPr>
        <w:suppressAutoHyphens/>
        <w:spacing w:before="120" w:after="120" w:line="240" w:lineRule="auto"/>
        <w:ind w:left="2880" w:hanging="2880"/>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CIS</w:t>
      </w:r>
      <w:r>
        <w:rPr>
          <w:rFonts w:ascii="Times New Roman" w:eastAsia="Times New Roman" w:hAnsi="Times New Roman" w:cs="Times New Roman"/>
          <w:noProof/>
          <w:sz w:val="24"/>
          <w:szCs w:val="24"/>
          <w:lang w:eastAsia="de-DE"/>
        </w:rPr>
        <w:tab/>
        <w:t xml:space="preserve">Common Implementation Strategy for the Water Framework Directive and Floods </w:t>
      </w:r>
      <w:r>
        <w:rPr>
          <w:rFonts w:ascii="Times New Roman" w:eastAsia="Times New Roman" w:hAnsi="Times New Roman" w:cs="Times New Roman"/>
          <w:noProof/>
          <w:sz w:val="24"/>
          <w:szCs w:val="24"/>
          <w:lang w:eastAsia="de-DE"/>
        </w:rPr>
        <w:t>Directive</w:t>
      </w:r>
    </w:p>
    <w:p w:rsidR="00AB50C5" w:rsidRDefault="00724275">
      <w:pPr>
        <w:suppressAutoHyphens/>
        <w:spacing w:before="120" w:after="120" w:line="240" w:lineRule="auto"/>
        <w:ind w:left="2880" w:hanging="2880"/>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Discharge</w:t>
      </w:r>
      <w:r>
        <w:rPr>
          <w:rFonts w:ascii="Times New Roman" w:eastAsia="Times New Roman" w:hAnsi="Times New Roman" w:cs="Times New Roman"/>
          <w:noProof/>
          <w:sz w:val="24"/>
          <w:szCs w:val="24"/>
          <w:lang w:eastAsia="de-DE"/>
        </w:rPr>
        <w:tab/>
        <w:t>The volume of water flowing through a river channel at any given point (measured in cubic metres per second)</w:t>
      </w:r>
    </w:p>
    <w:p w:rsidR="00AB50C5" w:rsidRDefault="00724275">
      <w:pPr>
        <w:suppressAutoHyphens/>
        <w:spacing w:before="120" w:after="120" w:line="240" w:lineRule="auto"/>
        <w:ind w:left="2880" w:hanging="2880"/>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Drought</w:t>
      </w:r>
      <w:r>
        <w:rPr>
          <w:rFonts w:ascii="Times New Roman" w:eastAsia="Times New Roman" w:hAnsi="Times New Roman" w:cs="Times New Roman"/>
          <w:noProof/>
          <w:sz w:val="24"/>
          <w:szCs w:val="24"/>
          <w:lang w:eastAsia="de-DE"/>
        </w:rPr>
        <w:tab/>
        <w:t>A period of below-average precipitation in a given region, resulting in prolonged shortages in the water supply, whethe</w:t>
      </w:r>
      <w:r>
        <w:rPr>
          <w:rFonts w:ascii="Times New Roman" w:eastAsia="Times New Roman" w:hAnsi="Times New Roman" w:cs="Times New Roman"/>
          <w:noProof/>
          <w:sz w:val="24"/>
          <w:szCs w:val="24"/>
          <w:lang w:eastAsia="de-DE"/>
        </w:rPr>
        <w:t>r atmospheric, surface water or ground water</w:t>
      </w:r>
    </w:p>
    <w:p w:rsidR="00AB50C5" w:rsidRDefault="00724275">
      <w:pPr>
        <w:suppressAutoHyphens/>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DWD</w:t>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t>Drinking Water Directive</w:t>
      </w:r>
    </w:p>
    <w:p w:rsidR="00AB50C5" w:rsidRDefault="00724275">
      <w:pPr>
        <w:suppressAutoHyphens/>
        <w:spacing w:before="120" w:after="120" w:line="240" w:lineRule="auto"/>
        <w:ind w:left="2880" w:hanging="2880"/>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Effluent</w:t>
      </w:r>
      <w:r>
        <w:rPr>
          <w:rFonts w:ascii="Times New Roman" w:eastAsia="Times New Roman" w:hAnsi="Times New Roman" w:cs="Times New Roman"/>
          <w:noProof/>
          <w:sz w:val="24"/>
          <w:szCs w:val="24"/>
          <w:lang w:eastAsia="de-DE"/>
        </w:rPr>
        <w:tab/>
        <w:t>Wastewater - treated or untreated - that flows out of a treatment plant, sewer, or industrial outfall. Generally refers to wastes discharged into surface waters</w:t>
      </w:r>
    </w:p>
    <w:p w:rsidR="00AB50C5" w:rsidRDefault="00724275">
      <w:pPr>
        <w:suppressAutoHyphens/>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EC</w:t>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t>Eur</w:t>
      </w:r>
      <w:r>
        <w:rPr>
          <w:rFonts w:ascii="Times New Roman" w:eastAsia="Times New Roman" w:hAnsi="Times New Roman" w:cs="Times New Roman"/>
          <w:noProof/>
          <w:sz w:val="24"/>
          <w:szCs w:val="24"/>
          <w:lang w:eastAsia="de-DE"/>
        </w:rPr>
        <w:t>opean Commission</w:t>
      </w:r>
    </w:p>
    <w:p w:rsidR="00AB50C5" w:rsidRDefault="00724275">
      <w:pPr>
        <w:suppressAutoHyphens/>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EEA</w:t>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t>European Environment Agency</w:t>
      </w:r>
    </w:p>
    <w:p w:rsidR="00AB50C5" w:rsidRDefault="00724275">
      <w:pPr>
        <w:suppressAutoHyphens/>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EFSA</w:t>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t>European Food Safety Authority</w:t>
      </w:r>
    </w:p>
    <w:p w:rsidR="00AB50C5" w:rsidRDefault="00724275">
      <w:pPr>
        <w:suppressAutoHyphens/>
        <w:spacing w:before="120" w:after="120" w:line="240" w:lineRule="auto"/>
        <w:jc w:val="both"/>
        <w:rPr>
          <w:rFonts w:ascii="Times New Roman" w:eastAsia="Times New Roman" w:hAnsi="Times New Roman" w:cs="Times New Roman"/>
          <w:noProof/>
          <w:sz w:val="24"/>
          <w:szCs w:val="24"/>
          <w:lang w:val="fr-FR" w:eastAsia="de-DE"/>
        </w:rPr>
      </w:pPr>
      <w:r>
        <w:rPr>
          <w:rFonts w:ascii="Times New Roman" w:eastAsia="Times New Roman" w:hAnsi="Times New Roman" w:cs="Times New Roman"/>
          <w:noProof/>
          <w:sz w:val="24"/>
          <w:szCs w:val="24"/>
          <w:lang w:val="fr-FR" w:eastAsia="de-DE"/>
        </w:rPr>
        <w:t>EIA Directive</w:t>
      </w:r>
      <w:r>
        <w:rPr>
          <w:rFonts w:ascii="Times New Roman" w:eastAsia="Times New Roman" w:hAnsi="Times New Roman" w:cs="Times New Roman"/>
          <w:noProof/>
          <w:sz w:val="24"/>
          <w:szCs w:val="24"/>
          <w:lang w:val="fr-FR" w:eastAsia="de-DE"/>
        </w:rPr>
        <w:tab/>
      </w:r>
      <w:r>
        <w:rPr>
          <w:rFonts w:ascii="Times New Roman" w:eastAsia="Times New Roman" w:hAnsi="Times New Roman" w:cs="Times New Roman"/>
          <w:noProof/>
          <w:sz w:val="24"/>
          <w:szCs w:val="24"/>
          <w:lang w:val="fr-FR" w:eastAsia="de-DE"/>
        </w:rPr>
        <w:tab/>
      </w:r>
      <w:r>
        <w:rPr>
          <w:rFonts w:ascii="Times New Roman" w:eastAsia="Times New Roman" w:hAnsi="Times New Roman" w:cs="Times New Roman"/>
          <w:noProof/>
          <w:sz w:val="24"/>
          <w:szCs w:val="24"/>
          <w:lang w:val="fr-FR" w:eastAsia="de-DE"/>
        </w:rPr>
        <w:tab/>
        <w:t>Environmental Impact Assessment Directive</w:t>
      </w:r>
    </w:p>
    <w:p w:rsidR="00AB50C5" w:rsidRDefault="00724275">
      <w:pPr>
        <w:suppressAutoHyphens/>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EU</w:t>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t>European Union</w:t>
      </w:r>
    </w:p>
    <w:p w:rsidR="00AB50C5" w:rsidRDefault="00724275">
      <w:pPr>
        <w:suppressAutoHyphens/>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Fertigation</w:t>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t>Irrigation with nutrient rich water but free from other pollutants</w:t>
      </w:r>
    </w:p>
    <w:p w:rsidR="00AB50C5" w:rsidRDefault="00724275">
      <w:pPr>
        <w:suppressAutoHyphens/>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 xml:space="preserve">GHG </w:t>
      </w:r>
      <w:r>
        <w:rPr>
          <w:rFonts w:ascii="Times New Roman" w:eastAsia="Times New Roman" w:hAnsi="Times New Roman" w:cs="Times New Roman"/>
          <w:noProof/>
          <w:sz w:val="24"/>
          <w:szCs w:val="24"/>
          <w:lang w:eastAsia="de-DE"/>
        </w:rPr>
        <w:t>emissions</w:t>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t>Green House Gas emissions</w:t>
      </w:r>
    </w:p>
    <w:p w:rsidR="00AB50C5" w:rsidRDefault="00724275">
      <w:pPr>
        <w:suppressAutoHyphens/>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ICT</w:t>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t>Information and communication technology</w:t>
      </w:r>
    </w:p>
    <w:p w:rsidR="00AB50C5" w:rsidRDefault="00724275">
      <w:pPr>
        <w:suppressAutoHyphens/>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IED</w:t>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t>Industrial Emissions Directive</w:t>
      </w:r>
    </w:p>
    <w:p w:rsidR="00AB50C5" w:rsidRDefault="00724275">
      <w:pPr>
        <w:suppressAutoHyphens/>
        <w:spacing w:before="120" w:after="120" w:line="240" w:lineRule="auto"/>
        <w:ind w:left="2880" w:hanging="2880"/>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Internal Market</w:t>
      </w:r>
      <w:r>
        <w:rPr>
          <w:rFonts w:ascii="Times New Roman" w:eastAsia="Times New Roman" w:hAnsi="Times New Roman" w:cs="Times New Roman"/>
          <w:noProof/>
          <w:sz w:val="24"/>
          <w:szCs w:val="24"/>
          <w:lang w:eastAsia="de-DE"/>
        </w:rPr>
        <w:tab/>
        <w:t xml:space="preserve"> EU single </w:t>
      </w:r>
      <w:r>
        <w:rPr>
          <w:rFonts w:ascii="Times New Roman" w:eastAsia="Times New Roman" w:hAnsi="Times New Roman" w:cs="Times New Roman"/>
          <w:bCs/>
          <w:noProof/>
          <w:sz w:val="24"/>
          <w:szCs w:val="24"/>
          <w:lang w:eastAsia="de-DE"/>
        </w:rPr>
        <w:t>market</w:t>
      </w:r>
      <w:r>
        <w:rPr>
          <w:rFonts w:ascii="Times New Roman" w:eastAsia="Times New Roman" w:hAnsi="Times New Roman" w:cs="Times New Roman"/>
          <w:noProof/>
          <w:sz w:val="24"/>
          <w:szCs w:val="24"/>
          <w:lang w:eastAsia="de-DE"/>
        </w:rPr>
        <w:t xml:space="preserve"> in which the free movement of goods, services, capital and persons is assured, and in which citizens are free to live, work, study and do business.</w:t>
      </w:r>
      <w:r>
        <w:rPr>
          <w:rFonts w:ascii="Times New Roman" w:eastAsia="Times New Roman" w:hAnsi="Times New Roman" w:cs="Times New Roman"/>
          <w:noProof/>
          <w:sz w:val="24"/>
          <w:szCs w:val="24"/>
          <w:lang w:eastAsia="de-DE"/>
        </w:rPr>
        <w:tab/>
      </w:r>
    </w:p>
    <w:p w:rsidR="00AB50C5" w:rsidRDefault="00724275">
      <w:pPr>
        <w:suppressAutoHyphens/>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Ir</w:t>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t>Irrigation</w:t>
      </w:r>
    </w:p>
    <w:p w:rsidR="00AB50C5" w:rsidRDefault="00724275">
      <w:pPr>
        <w:suppressAutoHyphens/>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JRC</w:t>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t>Joint Research Centre (European Commission)</w:t>
      </w:r>
    </w:p>
    <w:p w:rsidR="00AB50C5" w:rsidRDefault="00724275">
      <w:pPr>
        <w:suppressAutoHyphens/>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Membrane bioreactor</w:t>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t>Specific water tr</w:t>
      </w:r>
      <w:r>
        <w:rPr>
          <w:rFonts w:ascii="Times New Roman" w:eastAsia="Times New Roman" w:hAnsi="Times New Roman" w:cs="Times New Roman"/>
          <w:noProof/>
          <w:sz w:val="24"/>
          <w:szCs w:val="24"/>
          <w:lang w:eastAsia="de-DE"/>
        </w:rPr>
        <w:t>eatment technology</w:t>
      </w:r>
    </w:p>
    <w:p w:rsidR="00AB50C5" w:rsidRDefault="00724275">
      <w:pPr>
        <w:suppressAutoHyphens/>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Micro-filtration</w:t>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t>Specific water treatment technology</w:t>
      </w:r>
    </w:p>
    <w:p w:rsidR="00AB50C5" w:rsidRDefault="00724275">
      <w:pPr>
        <w:suppressAutoHyphens/>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MSFD</w:t>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t>Marine Strategy Framework Directive</w:t>
      </w:r>
    </w:p>
    <w:p w:rsidR="00AB50C5" w:rsidRDefault="00724275">
      <w:pPr>
        <w:suppressAutoHyphens/>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N</w:t>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t>Nitrogen</w:t>
      </w:r>
    </w:p>
    <w:p w:rsidR="00AB50C5" w:rsidRDefault="00724275">
      <w:pPr>
        <w:suppressAutoHyphens/>
        <w:spacing w:before="120" w:after="120" w:line="240" w:lineRule="auto"/>
        <w:ind w:left="2880" w:hanging="2880"/>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NUTS2</w:t>
      </w:r>
      <w:r>
        <w:rPr>
          <w:rFonts w:ascii="Times New Roman" w:eastAsia="Times New Roman" w:hAnsi="Times New Roman" w:cs="Times New Roman"/>
          <w:noProof/>
          <w:sz w:val="24"/>
          <w:szCs w:val="24"/>
          <w:lang w:eastAsia="de-DE"/>
        </w:rPr>
        <w:tab/>
        <w:t>Nomenclature of territorial units for statistical purposes - second level regions</w:t>
      </w:r>
    </w:p>
    <w:p w:rsidR="00AB50C5" w:rsidRDefault="00724275">
      <w:pPr>
        <w:suppressAutoHyphens/>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Reverse osmosis</w:t>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t>Specific water treat</w:t>
      </w:r>
      <w:r>
        <w:rPr>
          <w:rFonts w:ascii="Times New Roman" w:eastAsia="Times New Roman" w:hAnsi="Times New Roman" w:cs="Times New Roman"/>
          <w:noProof/>
          <w:sz w:val="24"/>
          <w:szCs w:val="24"/>
          <w:lang w:eastAsia="de-DE"/>
        </w:rPr>
        <w:t>ment technology</w:t>
      </w:r>
    </w:p>
    <w:p w:rsidR="00AB50C5" w:rsidRDefault="00724275">
      <w:pPr>
        <w:suppressAutoHyphens/>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RBD</w:t>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t>River Basin District</w:t>
      </w:r>
    </w:p>
    <w:p w:rsidR="00AB50C5" w:rsidRDefault="00724275">
      <w:pPr>
        <w:suppressAutoHyphens/>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RBMP</w:t>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t>River Basin Management Plan</w:t>
      </w:r>
    </w:p>
    <w:p w:rsidR="00AB50C5" w:rsidRDefault="00724275">
      <w:pPr>
        <w:suppressAutoHyphens/>
        <w:spacing w:before="120" w:after="120" w:line="240" w:lineRule="auto"/>
        <w:ind w:left="2880" w:hanging="2880"/>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Saline intrusion</w:t>
      </w:r>
      <w:r>
        <w:rPr>
          <w:rFonts w:ascii="Times New Roman" w:eastAsia="Times New Roman" w:hAnsi="Times New Roman" w:cs="Times New Roman"/>
          <w:noProof/>
          <w:sz w:val="24"/>
          <w:szCs w:val="24"/>
          <w:lang w:eastAsia="de-DE"/>
        </w:rPr>
        <w:tab/>
        <w:t>The movement of saline water into freshwater aquifers, which can lead to contamination of drinking water sources and other consequences</w:t>
      </w:r>
    </w:p>
    <w:p w:rsidR="00AB50C5" w:rsidRDefault="00724275">
      <w:pPr>
        <w:suppressAutoHyphens/>
        <w:spacing w:before="120" w:after="120" w:line="240" w:lineRule="auto"/>
        <w:ind w:left="2880" w:hanging="2880"/>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SCHEER</w:t>
      </w:r>
      <w:r>
        <w:rPr>
          <w:rFonts w:ascii="Times New Roman" w:eastAsia="Times New Roman" w:hAnsi="Times New Roman" w:cs="Times New Roman"/>
          <w:noProof/>
          <w:sz w:val="24"/>
          <w:szCs w:val="24"/>
          <w:lang w:eastAsia="de-DE"/>
        </w:rPr>
        <w:tab/>
        <w:t>Scientific Commi</w:t>
      </w:r>
      <w:r>
        <w:rPr>
          <w:rFonts w:ascii="Times New Roman" w:eastAsia="Times New Roman" w:hAnsi="Times New Roman" w:cs="Times New Roman"/>
          <w:noProof/>
          <w:sz w:val="24"/>
          <w:szCs w:val="24"/>
          <w:lang w:eastAsia="de-DE"/>
        </w:rPr>
        <w:t>ttee on Health, Environmental and Emerging Risks</w:t>
      </w:r>
    </w:p>
    <w:p w:rsidR="00AB50C5" w:rsidRDefault="00724275">
      <w:pPr>
        <w:suppressAutoHyphens/>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SDGs</w:t>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t>Sustainable Development Goals</w:t>
      </w:r>
    </w:p>
    <w:p w:rsidR="00AB50C5" w:rsidRDefault="00724275">
      <w:pPr>
        <w:suppressAutoHyphens/>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SME</w:t>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t>Small and Medium Sized Enterprise</w:t>
      </w:r>
    </w:p>
    <w:p w:rsidR="00AB50C5" w:rsidRDefault="00724275">
      <w:pPr>
        <w:suppressAutoHyphens/>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Streamflow</w:t>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t xml:space="preserve">The flow of water in rivers, streams and other channels </w:t>
      </w:r>
    </w:p>
    <w:p w:rsidR="00AB50C5" w:rsidRDefault="00724275">
      <w:pPr>
        <w:suppressAutoHyphens/>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TIA</w:t>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t>Territorial Impact Assessment</w:t>
      </w:r>
    </w:p>
    <w:p w:rsidR="00AB50C5" w:rsidRDefault="00724275">
      <w:pPr>
        <w:suppressAutoHyphens/>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Ultrafiltration</w:t>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t>Spe</w:t>
      </w:r>
      <w:r>
        <w:rPr>
          <w:rFonts w:ascii="Times New Roman" w:eastAsia="Times New Roman" w:hAnsi="Times New Roman" w:cs="Times New Roman"/>
          <w:noProof/>
          <w:sz w:val="24"/>
          <w:szCs w:val="24"/>
          <w:lang w:eastAsia="de-DE"/>
        </w:rPr>
        <w:t>cific water treatment technology</w:t>
      </w:r>
    </w:p>
    <w:p w:rsidR="00AB50C5" w:rsidRDefault="00724275">
      <w:pPr>
        <w:suppressAutoHyphens/>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Ultra-violet disinfection</w:t>
      </w:r>
      <w:r>
        <w:rPr>
          <w:rFonts w:ascii="Times New Roman" w:eastAsia="Times New Roman" w:hAnsi="Times New Roman" w:cs="Times New Roman"/>
          <w:noProof/>
          <w:sz w:val="24"/>
          <w:szCs w:val="24"/>
          <w:lang w:eastAsia="de-DE"/>
        </w:rPr>
        <w:tab/>
        <w:t>Specific water treatment technology</w:t>
      </w:r>
    </w:p>
    <w:p w:rsidR="00AB50C5" w:rsidRDefault="00724275">
      <w:pPr>
        <w:suppressAutoHyphens/>
        <w:spacing w:before="120" w:after="120" w:line="240" w:lineRule="auto"/>
        <w:ind w:left="2880" w:hanging="2880"/>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Water abstraction</w:t>
      </w:r>
      <w:r>
        <w:rPr>
          <w:rFonts w:ascii="Times New Roman" w:eastAsia="Times New Roman" w:hAnsi="Times New Roman" w:cs="Times New Roman"/>
          <w:noProof/>
          <w:sz w:val="24"/>
          <w:szCs w:val="24"/>
          <w:lang w:eastAsia="de-DE"/>
        </w:rPr>
        <w:tab/>
        <w:t xml:space="preserve">The process of taking </w:t>
      </w:r>
      <w:r>
        <w:rPr>
          <w:rFonts w:ascii="Times New Roman" w:eastAsia="Times New Roman" w:hAnsi="Times New Roman" w:cs="Times New Roman"/>
          <w:bCs/>
          <w:noProof/>
          <w:sz w:val="24"/>
          <w:szCs w:val="24"/>
          <w:lang w:eastAsia="de-DE"/>
        </w:rPr>
        <w:t>water</w:t>
      </w:r>
      <w:r>
        <w:rPr>
          <w:rFonts w:ascii="Times New Roman" w:eastAsia="Times New Roman" w:hAnsi="Times New Roman" w:cs="Times New Roman"/>
          <w:noProof/>
          <w:sz w:val="24"/>
          <w:szCs w:val="24"/>
          <w:lang w:eastAsia="de-DE"/>
        </w:rPr>
        <w:t xml:space="preserve"> from a ground or surface source, either temporarily or permanently.</w:t>
      </w:r>
    </w:p>
    <w:p w:rsidR="00AB50C5" w:rsidRDefault="00724275">
      <w:pPr>
        <w:suppressAutoHyphens/>
        <w:spacing w:before="120" w:after="120" w:line="240" w:lineRule="auto"/>
        <w:ind w:left="2880" w:hanging="2880"/>
        <w:rPr>
          <w:rFonts w:ascii="Times New Roman" w:eastAsia="Times New Roman" w:hAnsi="Times New Roman" w:cs="Times New Roman"/>
          <w:noProof/>
          <w:sz w:val="24"/>
          <w:szCs w:val="24"/>
          <w:lang w:val="en-US" w:eastAsia="de-DE"/>
        </w:rPr>
      </w:pPr>
      <w:r>
        <w:rPr>
          <w:rFonts w:ascii="Times New Roman" w:eastAsia="Times New Roman" w:hAnsi="Times New Roman" w:cs="Times New Roman"/>
          <w:noProof/>
          <w:sz w:val="24"/>
          <w:szCs w:val="24"/>
          <w:lang w:eastAsia="de-DE"/>
        </w:rPr>
        <w:t>Water appropriation</w:t>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val="en-US" w:eastAsia="de-DE"/>
        </w:rPr>
        <w:t>The capture, impounding, or</w:t>
      </w:r>
      <w:r>
        <w:rPr>
          <w:rFonts w:ascii="Times New Roman" w:eastAsia="Times New Roman" w:hAnsi="Times New Roman" w:cs="Times New Roman"/>
          <w:noProof/>
          <w:sz w:val="24"/>
          <w:szCs w:val="24"/>
          <w:lang w:val="en-US" w:eastAsia="de-DE"/>
        </w:rPr>
        <w:t xml:space="preserve"> diversion of water from its natural course or channel and its actual </w:t>
      </w:r>
      <w:hyperlink r:id="rId112" w:tooltip="A putting to, placing before, preferring a request or petition to or before a person. The act of making a request for something. A written [...]" w:history="1">
        <w:r>
          <w:rPr>
            <w:rStyle w:val="Hyperlink"/>
            <w:rFonts w:ascii="Times New Roman" w:eastAsia="Times New Roman" w:hAnsi="Times New Roman" w:cs="Times New Roman"/>
            <w:noProof/>
            <w:color w:val="auto"/>
            <w:sz w:val="24"/>
            <w:szCs w:val="24"/>
            <w:u w:val="none"/>
            <w:lang w:val="en-US" w:eastAsia="de-DE"/>
          </w:rPr>
          <w:t>application</w:t>
        </w:r>
      </w:hyperlink>
      <w:r>
        <w:rPr>
          <w:rFonts w:ascii="Times New Roman" w:eastAsia="Times New Roman" w:hAnsi="Times New Roman" w:cs="Times New Roman"/>
          <w:noProof/>
          <w:sz w:val="24"/>
          <w:szCs w:val="24"/>
          <w:lang w:val="en-US" w:eastAsia="de-DE"/>
        </w:rPr>
        <w:t xml:space="preserve"> to some </w:t>
      </w:r>
      <w:hyperlink r:id="rId113" w:tooltip="The right to use and enjoy property according to one's own liking or so as to derive a profit or benefit from it, including all [...]" w:history="1">
        <w:r>
          <w:rPr>
            <w:rStyle w:val="Hyperlink"/>
            <w:rFonts w:ascii="Times New Roman" w:eastAsia="Times New Roman" w:hAnsi="Times New Roman" w:cs="Times New Roman"/>
            <w:noProof/>
            <w:color w:val="auto"/>
            <w:sz w:val="24"/>
            <w:szCs w:val="24"/>
            <w:u w:val="none"/>
            <w:lang w:val="en-US" w:eastAsia="de-DE"/>
          </w:rPr>
          <w:t>beneficial use</w:t>
        </w:r>
      </w:hyperlink>
      <w:r>
        <w:rPr>
          <w:rFonts w:ascii="Times New Roman" w:eastAsia="Times New Roman" w:hAnsi="Times New Roman" w:cs="Times New Roman"/>
          <w:noProof/>
          <w:sz w:val="24"/>
          <w:szCs w:val="24"/>
          <w:lang w:val="en-US" w:eastAsia="de-DE"/>
        </w:rPr>
        <w:t xml:space="preserve"> to the </w:t>
      </w:r>
      <w:hyperlink r:id="rId114" w:tooltip="One who makes an appropriation; as, an appropriator of water. Lux v. Ilaggin, 69 Cal. 255, 10 Pac. 736. In English ecclcsiastical law. A spiritual [...]" w:history="1">
        <w:r>
          <w:rPr>
            <w:rStyle w:val="Hyperlink"/>
            <w:rFonts w:ascii="Times New Roman" w:eastAsia="Times New Roman" w:hAnsi="Times New Roman" w:cs="Times New Roman"/>
            <w:noProof/>
            <w:color w:val="auto"/>
            <w:sz w:val="24"/>
            <w:szCs w:val="24"/>
            <w:u w:val="none"/>
            <w:lang w:val="en-US" w:eastAsia="de-DE"/>
          </w:rPr>
          <w:t>appropriator</w:t>
        </w:r>
      </w:hyperlink>
      <w:r>
        <w:rPr>
          <w:rFonts w:ascii="Times New Roman" w:eastAsia="Times New Roman" w:hAnsi="Times New Roman" w:cs="Times New Roman"/>
          <w:noProof/>
          <w:sz w:val="24"/>
          <w:szCs w:val="24"/>
          <w:lang w:val="en-US" w:eastAsia="de-DE"/>
        </w:rPr>
        <w:t xml:space="preserve"> to the exclusion of</w:t>
      </w:r>
      <w:r>
        <w:rPr>
          <w:rFonts w:ascii="Times New Roman" w:eastAsia="Times New Roman" w:hAnsi="Times New Roman" w:cs="Times New Roman"/>
          <w:noProof/>
          <w:sz w:val="24"/>
          <w:szCs w:val="24"/>
          <w:lang w:val="en-US" w:eastAsia="de-DE"/>
        </w:rPr>
        <w:t xml:space="preserve"> other persons</w:t>
      </w:r>
    </w:p>
    <w:p w:rsidR="00AB50C5" w:rsidRDefault="00724275">
      <w:pPr>
        <w:suppressAutoHyphens/>
        <w:spacing w:before="120" w:after="120" w:line="240" w:lineRule="auto"/>
        <w:ind w:left="2880" w:hanging="2880"/>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Water reuse</w:t>
      </w:r>
      <w:r>
        <w:rPr>
          <w:rFonts w:ascii="Times New Roman" w:eastAsia="Times New Roman" w:hAnsi="Times New Roman" w:cs="Times New Roman"/>
          <w:noProof/>
          <w:sz w:val="24"/>
          <w:szCs w:val="24"/>
          <w:lang w:eastAsia="de-DE"/>
        </w:rPr>
        <w:tab/>
        <w:t>The use of water which is generated from wastewater and which, after the necessary treatment, achieves a quality that is appropriate for its intended uses (taking account of the health and environment risks and local and EU legis</w:t>
      </w:r>
      <w:r>
        <w:rPr>
          <w:rFonts w:ascii="Times New Roman" w:eastAsia="Times New Roman" w:hAnsi="Times New Roman" w:cs="Times New Roman"/>
          <w:noProof/>
          <w:sz w:val="24"/>
          <w:szCs w:val="24"/>
          <w:lang w:eastAsia="de-DE"/>
        </w:rPr>
        <w:t>lation).</w:t>
      </w:r>
    </w:p>
    <w:p w:rsidR="00AB50C5" w:rsidRDefault="00724275">
      <w:pPr>
        <w:suppressAutoHyphens/>
        <w:spacing w:before="120" w:after="120" w:line="240" w:lineRule="auto"/>
        <w:ind w:left="2880" w:hanging="2880"/>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Water scarcity</w:t>
      </w:r>
      <w:r>
        <w:rPr>
          <w:rFonts w:ascii="Times New Roman" w:eastAsia="Times New Roman" w:hAnsi="Times New Roman" w:cs="Times New Roman"/>
          <w:noProof/>
          <w:sz w:val="24"/>
          <w:szCs w:val="24"/>
          <w:lang w:eastAsia="de-DE"/>
        </w:rPr>
        <w:tab/>
        <w:t xml:space="preserve">The lack of sufficient available </w:t>
      </w:r>
      <w:r>
        <w:rPr>
          <w:rFonts w:ascii="Times New Roman" w:eastAsia="Times New Roman" w:hAnsi="Times New Roman" w:cs="Times New Roman"/>
          <w:bCs/>
          <w:noProof/>
          <w:sz w:val="24"/>
          <w:szCs w:val="24"/>
          <w:lang w:eastAsia="de-DE"/>
        </w:rPr>
        <w:t>water</w:t>
      </w:r>
      <w:r>
        <w:rPr>
          <w:rFonts w:ascii="Times New Roman" w:eastAsia="Times New Roman" w:hAnsi="Times New Roman" w:cs="Times New Roman"/>
          <w:noProof/>
          <w:sz w:val="24"/>
          <w:szCs w:val="24"/>
          <w:lang w:eastAsia="de-DE"/>
        </w:rPr>
        <w:t xml:space="preserve"> resources to meet </w:t>
      </w:r>
      <w:r>
        <w:rPr>
          <w:rFonts w:ascii="Times New Roman" w:eastAsia="Times New Roman" w:hAnsi="Times New Roman" w:cs="Times New Roman"/>
          <w:bCs/>
          <w:noProof/>
          <w:sz w:val="24"/>
          <w:szCs w:val="24"/>
          <w:lang w:eastAsia="de-DE"/>
        </w:rPr>
        <w:t>water</w:t>
      </w:r>
      <w:r>
        <w:rPr>
          <w:rFonts w:ascii="Times New Roman" w:eastAsia="Times New Roman" w:hAnsi="Times New Roman" w:cs="Times New Roman"/>
          <w:noProof/>
          <w:sz w:val="24"/>
          <w:szCs w:val="24"/>
          <w:lang w:eastAsia="de-DE"/>
        </w:rPr>
        <w:t xml:space="preserve"> needs within a region.</w:t>
      </w:r>
    </w:p>
    <w:p w:rsidR="00AB50C5" w:rsidRDefault="00724275">
      <w:pPr>
        <w:suppressAutoHyphens/>
        <w:spacing w:before="120" w:after="120" w:line="240" w:lineRule="auto"/>
        <w:ind w:left="2880" w:hanging="2880"/>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Water stress</w:t>
      </w:r>
      <w:r>
        <w:rPr>
          <w:rFonts w:ascii="Times New Roman" w:eastAsia="Times New Roman" w:hAnsi="Times New Roman" w:cs="Times New Roman"/>
          <w:noProof/>
          <w:sz w:val="24"/>
          <w:szCs w:val="24"/>
          <w:lang w:eastAsia="de-DE"/>
        </w:rPr>
        <w:tab/>
      </w:r>
      <w:r>
        <w:rPr>
          <w:rFonts w:ascii="Times New Roman" w:eastAsia="Times New Roman" w:hAnsi="Times New Roman" w:cs="Times New Roman"/>
          <w:bCs/>
          <w:noProof/>
          <w:sz w:val="24"/>
          <w:szCs w:val="24"/>
          <w:lang w:eastAsia="de-DE"/>
        </w:rPr>
        <w:t>T</w:t>
      </w:r>
      <w:r>
        <w:rPr>
          <w:rFonts w:ascii="Times New Roman" w:eastAsia="Times New Roman" w:hAnsi="Times New Roman" w:cs="Times New Roman"/>
          <w:noProof/>
          <w:sz w:val="24"/>
          <w:szCs w:val="24"/>
          <w:lang w:eastAsia="de-DE"/>
        </w:rPr>
        <w:t xml:space="preserve">he demand for </w:t>
      </w:r>
      <w:r>
        <w:rPr>
          <w:rFonts w:ascii="Times New Roman" w:eastAsia="Times New Roman" w:hAnsi="Times New Roman" w:cs="Times New Roman"/>
          <w:bCs/>
          <w:noProof/>
          <w:sz w:val="24"/>
          <w:szCs w:val="24"/>
          <w:lang w:eastAsia="de-DE"/>
        </w:rPr>
        <w:t>water</w:t>
      </w:r>
      <w:r>
        <w:rPr>
          <w:rFonts w:ascii="Times New Roman" w:eastAsia="Times New Roman" w:hAnsi="Times New Roman" w:cs="Times New Roman"/>
          <w:noProof/>
          <w:sz w:val="24"/>
          <w:szCs w:val="24"/>
          <w:lang w:eastAsia="de-DE"/>
        </w:rPr>
        <w:t xml:space="preserve"> exceeding the available amount during a certain period or poor quality restricting its use.</w:t>
      </w:r>
    </w:p>
    <w:p w:rsidR="00AB50C5" w:rsidRDefault="00724275">
      <w:pPr>
        <w:suppressAutoHyphens/>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WEI+</w:t>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 xml:space="preserve">Water Exploitation Index </w:t>
      </w:r>
    </w:p>
    <w:p w:rsidR="00AB50C5" w:rsidRDefault="00724275">
      <w:pPr>
        <w:suppressAutoHyphens/>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WFD</w:t>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t>Water Framework Directive</w:t>
      </w:r>
    </w:p>
    <w:p w:rsidR="00AB50C5" w:rsidRDefault="00724275">
      <w:pPr>
        <w:suppressAutoHyphens/>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WHO</w:t>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t>World Health Organization</w:t>
      </w:r>
    </w:p>
    <w:p w:rsidR="00AB50C5" w:rsidRDefault="00724275">
      <w:pPr>
        <w:suppressAutoHyphens/>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WS&amp;D</w:t>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t>Water Scarcity and Droughts</w:t>
      </w:r>
    </w:p>
    <w:p w:rsidR="00AB50C5" w:rsidRDefault="00724275">
      <w:pPr>
        <w:suppressAutoHyphens/>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WSSTP</w:t>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r>
      <w:r>
        <w:rPr>
          <w:rFonts w:ascii="Times New Roman" w:eastAsia="Times New Roman" w:hAnsi="Times New Roman" w:cs="Times New Roman"/>
          <w:bCs/>
          <w:noProof/>
          <w:sz w:val="24"/>
          <w:szCs w:val="24"/>
          <w:lang w:eastAsia="de-DE"/>
        </w:rPr>
        <w:t>Water Supply and Sanitation Technology Platform</w:t>
      </w:r>
    </w:p>
    <w:p w:rsidR="00AB50C5" w:rsidRDefault="00724275">
      <w:pPr>
        <w:suppressAutoHyphens/>
        <w:spacing w:before="120" w:after="120" w:line="240" w:lineRule="auto"/>
        <w:jc w:val="both"/>
        <w:rPr>
          <w:rFonts w:ascii="Times New Roman" w:eastAsia="Times New Roman" w:hAnsi="Times New Roman" w:cs="Times New Roman"/>
          <w:noProof/>
          <w:sz w:val="24"/>
          <w:szCs w:val="24"/>
          <w:lang w:eastAsia="de-DE"/>
        </w:rPr>
      </w:pPr>
      <w:r>
        <w:rPr>
          <w:rFonts w:ascii="Times New Roman" w:eastAsia="Times New Roman" w:hAnsi="Times New Roman" w:cs="Times New Roman"/>
          <w:noProof/>
          <w:sz w:val="24"/>
          <w:szCs w:val="24"/>
          <w:lang w:eastAsia="de-DE"/>
        </w:rPr>
        <w:t>UWWTD</w:t>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r>
      <w:r>
        <w:rPr>
          <w:rFonts w:ascii="Times New Roman" w:eastAsia="Times New Roman" w:hAnsi="Times New Roman" w:cs="Times New Roman"/>
          <w:noProof/>
          <w:sz w:val="24"/>
          <w:szCs w:val="24"/>
          <w:lang w:eastAsia="de-DE"/>
        </w:rPr>
        <w:tab/>
        <w:t>Urban Wastewater Treatment Directive</w:t>
      </w:r>
    </w:p>
    <w:sectPr w:rsidR="00AB50C5">
      <w:headerReference w:type="even" r:id="rId115"/>
      <w:headerReference w:type="default" r:id="rId116"/>
      <w:footerReference w:type="even" r:id="rId117"/>
      <w:footerReference w:type="default" r:id="rId118"/>
      <w:headerReference w:type="first" r:id="rId119"/>
      <w:footerReference w:type="first" r:id="rId120"/>
      <w:pgSz w:w="11907" w:h="1683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50C5" w:rsidRDefault="00724275">
      <w:pPr>
        <w:spacing w:after="0" w:line="240" w:lineRule="auto"/>
      </w:pPr>
      <w:r>
        <w:separator/>
      </w:r>
    </w:p>
  </w:endnote>
  <w:endnote w:type="continuationSeparator" w:id="0">
    <w:p w:rsidR="00AB50C5" w:rsidRDefault="00724275">
      <w:pPr>
        <w:spacing w:after="0" w:line="240" w:lineRule="auto"/>
      </w:pPr>
      <w:r>
        <w:continuationSeparator/>
      </w:r>
    </w:p>
  </w:endnote>
  <w:endnote w:type="continuationNotice" w:id="1">
    <w:p w:rsidR="00AB50C5" w:rsidRDefault="00AB50C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w:altName w:val="Arial"/>
    <w:panose1 w:val="020B0604020202020204"/>
    <w:charset w:val="00"/>
    <w:family w:val="swiss"/>
    <w:pitch w:val="variable"/>
    <w:sig w:usb0="20002A87" w:usb1="00000000" w:usb2="00000000" w:usb3="00000000" w:csb0="000001F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OpenSymbol">
    <w:altName w:val="Arial Unicode MS"/>
    <w:charset w:val="80"/>
    <w:family w:val="auto"/>
    <w:pitch w:val="default"/>
  </w:font>
  <w:font w:name="Corbel">
    <w:panose1 w:val="020B0503020204020204"/>
    <w:charset w:val="00"/>
    <w:family w:val="swiss"/>
    <w:pitch w:val="variable"/>
    <w:sig w:usb0="A00002EF" w:usb1="4000A44B" w:usb2="00000000" w:usb3="00000000" w:csb0="0000019F" w:csb1="00000000"/>
  </w:font>
  <w:font w:name="Microsoft YaHei">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notTrueType/>
    <w:pitch w:val="variable"/>
    <w:sig w:usb0="00000003" w:usb1="00000000" w:usb2="00000000" w:usb3="00000000" w:csb0="00000001" w:csb1="00000000"/>
  </w:font>
  <w:font w:name="Humnst777 Lt BT">
    <w:charset w:val="00"/>
    <w:family w:val="swiss"/>
    <w:pitch w:val="variable"/>
    <w:sig w:usb0="800000AF" w:usb1="1000204A" w:usb2="00000000" w:usb3="00000000" w:csb0="00000011" w:csb1="00000000"/>
  </w:font>
  <w:font w:name="MS Mincho">
    <w:altName w:val="ＭＳ 明朝"/>
    <w:panose1 w:val="02020609040205080304"/>
    <w:charset w:val="80"/>
    <w:family w:val="modern"/>
    <w:pitch w:val="fixed"/>
    <w:sig w:usb0="E00002FF" w:usb1="6AC7FDFB" w:usb2="00000012" w:usb3="00000000" w:csb0="0002009F" w:csb1="00000000"/>
  </w:font>
  <w:font w:name="GillSans-Light">
    <w:altName w:val="MS Gothic"/>
    <w:panose1 w:val="00000000000000000000"/>
    <w:charset w:val="80"/>
    <w:family w:val="swiss"/>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275" w:rsidRPr="00724275" w:rsidRDefault="00724275" w:rsidP="00724275">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0C5" w:rsidRDefault="00AB50C5">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8299609"/>
      <w:docPartObj>
        <w:docPartGallery w:val="Page Numbers (Bottom of Page)"/>
        <w:docPartUnique/>
      </w:docPartObj>
    </w:sdtPr>
    <w:sdtEndPr/>
    <w:sdtContent>
      <w:p w:rsidR="00AB50C5" w:rsidRDefault="00724275">
        <w:pPr>
          <w:pStyle w:val="Footer"/>
          <w:jc w:val="center"/>
        </w:pPr>
        <w:r>
          <w:fldChar w:fldCharType="begin"/>
        </w:r>
        <w:r>
          <w:instrText xml:space="preserve"> PAGE   \* MERGEFORMAT </w:instrText>
        </w:r>
        <w:r>
          <w:fldChar w:fldCharType="separate"/>
        </w:r>
        <w:r>
          <w:rPr>
            <w:noProof/>
          </w:rPr>
          <w:t>71</w:t>
        </w:r>
        <w:r>
          <w:rPr>
            <w:noProof/>
          </w:rPr>
          <w:fldChar w:fldCharType="end"/>
        </w:r>
      </w:p>
    </w:sdtContent>
  </w:sdt>
  <w:p w:rsidR="00AB50C5" w:rsidRDefault="00AB50C5">
    <w:pPr>
      <w:pStyle w:val="Footer"/>
      <w:ind w:right="360"/>
      <w:rPr>
        <w:rFonts w:ascii="Arial" w:hAnsi="Arial" w:cs="Arial"/>
        <w:sz w:val="20"/>
        <w:szCs w:val="20"/>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0C5" w:rsidRDefault="00AB50C5">
    <w:pPr>
      <w:pStyle w:val="FooterLandscape"/>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0C5" w:rsidRDefault="00AB50C5">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6966889"/>
      <w:docPartObj>
        <w:docPartGallery w:val="Page Numbers (Bottom of Page)"/>
        <w:docPartUnique/>
      </w:docPartObj>
    </w:sdtPr>
    <w:sdtEndPr/>
    <w:sdtContent>
      <w:p w:rsidR="00AB50C5" w:rsidRDefault="00724275">
        <w:pPr>
          <w:pStyle w:val="Footer"/>
          <w:jc w:val="center"/>
        </w:pPr>
        <w:r>
          <w:fldChar w:fldCharType="begin"/>
        </w:r>
        <w:r>
          <w:instrText xml:space="preserve"> PAGE   \* MERGEFORMAT </w:instrText>
        </w:r>
        <w:r>
          <w:fldChar w:fldCharType="separate"/>
        </w:r>
        <w:r>
          <w:rPr>
            <w:noProof/>
          </w:rPr>
          <w:t>85</w:t>
        </w:r>
        <w:r>
          <w:rPr>
            <w:noProof/>
          </w:rPr>
          <w:fldChar w:fldCharType="end"/>
        </w:r>
      </w:p>
    </w:sdtContent>
  </w:sdt>
  <w:p w:rsidR="00AB50C5" w:rsidRDefault="00AB50C5">
    <w:pPr>
      <w:pStyle w:val="Footer"/>
      <w:ind w:right="360"/>
      <w:rPr>
        <w:rFonts w:ascii="Arial" w:hAnsi="Arial" w:cs="Arial"/>
        <w:sz w:val="20"/>
        <w:szCs w:val="20"/>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0C5" w:rsidRDefault="00AB50C5">
    <w:pPr>
      <w:pStyle w:val="FooterLandscape"/>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0C5" w:rsidRDefault="00AB50C5">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4728978"/>
      <w:docPartObj>
        <w:docPartGallery w:val="Page Numbers (Bottom of Page)"/>
        <w:docPartUnique/>
      </w:docPartObj>
    </w:sdtPr>
    <w:sdtEndPr/>
    <w:sdtContent>
      <w:p w:rsidR="00AB50C5" w:rsidRDefault="00724275">
        <w:pPr>
          <w:pStyle w:val="Footer"/>
          <w:jc w:val="center"/>
        </w:pPr>
        <w:r>
          <w:fldChar w:fldCharType="begin"/>
        </w:r>
        <w:r>
          <w:instrText xml:space="preserve"> PAGE   \* MERGEFORMAT </w:instrText>
        </w:r>
        <w:r>
          <w:fldChar w:fldCharType="separate"/>
        </w:r>
        <w:r>
          <w:rPr>
            <w:noProof/>
          </w:rPr>
          <w:t>93</w:t>
        </w:r>
        <w:r>
          <w:rPr>
            <w:noProof/>
          </w:rPr>
          <w:fldChar w:fldCharType="end"/>
        </w:r>
      </w:p>
    </w:sdtContent>
  </w:sdt>
  <w:p w:rsidR="00AB50C5" w:rsidRDefault="00AB50C5">
    <w:pPr>
      <w:pStyle w:val="Footer"/>
      <w:ind w:right="360"/>
      <w:rPr>
        <w:rFonts w:ascii="Arial" w:hAnsi="Arial" w:cs="Arial"/>
        <w:sz w:val="20"/>
        <w:szCs w:val="20"/>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0C5" w:rsidRDefault="00AB50C5">
    <w:pPr>
      <w:pStyle w:val="FooterLandscape"/>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0C5" w:rsidRDefault="00AB50C5">
    <w:pPr>
      <w:pStyle w:val="Footer"/>
    </w:pPr>
  </w:p>
  <w:p w:rsidR="00AB50C5" w:rsidRDefault="00AB50C5"/>
  <w:p w:rsidR="00AB50C5" w:rsidRDefault="00AB50C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275" w:rsidRPr="00724275" w:rsidRDefault="00724275" w:rsidP="00724275">
    <w:pPr>
      <w:pStyle w:val="FooterCoverPage"/>
      <w:rPr>
        <w:rFonts w:ascii="Arial" w:hAnsi="Arial" w:cs="Arial"/>
        <w:b/>
        <w:sz w:val="48"/>
      </w:rPr>
    </w:pPr>
    <w:r w:rsidRPr="00724275">
      <w:rPr>
        <w:rFonts w:ascii="Arial" w:hAnsi="Arial" w:cs="Arial"/>
        <w:b/>
        <w:sz w:val="48"/>
      </w:rPr>
      <w:t>EN</w:t>
    </w:r>
    <w:r w:rsidRPr="00724275">
      <w:rPr>
        <w:rFonts w:ascii="Arial" w:hAnsi="Arial" w:cs="Arial"/>
        <w:b/>
        <w:sz w:val="48"/>
      </w:rPr>
      <w:tab/>
    </w:r>
    <w:r w:rsidRPr="00724275">
      <w:rPr>
        <w:rFonts w:ascii="Arial" w:hAnsi="Arial" w:cs="Arial"/>
        <w:b/>
        <w:sz w:val="48"/>
      </w:rPr>
      <w:tab/>
    </w:r>
    <w:r w:rsidRPr="00724275">
      <w:tab/>
    </w:r>
    <w:r w:rsidRPr="00724275">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0C5" w:rsidRDefault="00724275">
    <w:pPr>
      <w:pStyle w:val="Footer"/>
    </w:pPr>
    <w:r>
      <w:rPr>
        <w:rFonts w:ascii="Arial" w:hAnsi="Arial" w:cs="Arial"/>
        <w:b/>
        <w:sz w:val="48"/>
      </w:rPr>
      <w:tab/>
    </w:r>
    <w:r>
      <w:fldChar w:fldCharType="begin"/>
    </w:r>
    <w:r>
      <w:instrText xml:space="preserve"> PAGE  \* MERGEFORMAT </w:instrText>
    </w:r>
    <w:r>
      <w:fldChar w:fldCharType="separate"/>
    </w:r>
    <w:r>
      <w:rPr>
        <w:noProof/>
      </w:rPr>
      <w:t>150</w:t>
    </w:r>
    <w:r>
      <w:fldChar w:fldCharType="end"/>
    </w:r>
    <w:r>
      <w:tab/>
    </w:r>
    <w:r>
      <w:tab/>
    </w:r>
  </w:p>
  <w:p w:rsidR="00AB50C5" w:rsidRDefault="00AB50C5"/>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0C5" w:rsidRDefault="00AB50C5">
    <w:pPr>
      <w:pStyle w:val="Footer"/>
    </w:pPr>
  </w:p>
  <w:p w:rsidR="00AB50C5" w:rsidRDefault="00AB50C5"/>
  <w:p w:rsidR="00AB50C5" w:rsidRDefault="00AB50C5"/>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0C5" w:rsidRDefault="00AB50C5">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8554810"/>
      <w:docPartObj>
        <w:docPartGallery w:val="Page Numbers (Bottom of Page)"/>
        <w:docPartUnique/>
      </w:docPartObj>
    </w:sdtPr>
    <w:sdtEndPr>
      <w:rPr>
        <w:noProof/>
      </w:rPr>
    </w:sdtEndPr>
    <w:sdtContent>
      <w:p w:rsidR="00AB50C5" w:rsidRDefault="00724275">
        <w:pPr>
          <w:pStyle w:val="Footer"/>
          <w:jc w:val="center"/>
        </w:pPr>
        <w:r>
          <w:fldChar w:fldCharType="begin"/>
        </w:r>
        <w:r>
          <w:instrText xml:space="preserve"> PAGE   \* MERGEFORMAT </w:instrText>
        </w:r>
        <w:r>
          <w:fldChar w:fldCharType="separate"/>
        </w:r>
        <w:r>
          <w:rPr>
            <w:noProof/>
          </w:rPr>
          <w:t>152</w:t>
        </w:r>
        <w:r>
          <w:rPr>
            <w:noProof/>
          </w:rPr>
          <w:fldChar w:fldCharType="end"/>
        </w:r>
      </w:p>
    </w:sdtContent>
  </w:sdt>
  <w:p w:rsidR="00AB50C5" w:rsidRDefault="00AB50C5">
    <w:pPr>
      <w:pStyle w:val="Footer"/>
      <w:rPr>
        <w:rFonts w:ascii="Arial" w:hAnsi="Arial" w:cs="Arial"/>
        <w:b/>
        <w:sz w:val="48"/>
      </w:rP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0C5" w:rsidRDefault="00AB50C5">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0C5" w:rsidRDefault="00AB50C5">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0C5" w:rsidRDefault="00724275">
    <w:pPr>
      <w:pStyle w:val="Footer"/>
      <w:rPr>
        <w:rFonts w:ascii="Arial" w:hAnsi="Arial"/>
        <w:b/>
        <w:sz w:val="48"/>
      </w:rPr>
    </w:pPr>
    <w:r>
      <w:rPr>
        <w:rFonts w:ascii="Arial" w:hAnsi="Arial" w:cs="Arial"/>
        <w:b/>
        <w:sz w:val="48"/>
      </w:rPr>
      <w:tab/>
    </w:r>
    <w:r>
      <w:fldChar w:fldCharType="begin"/>
    </w:r>
    <w:r>
      <w:instrText xml:space="preserve"> PAGE  \* MERGEFORMAT </w:instrText>
    </w:r>
    <w:r>
      <w:fldChar w:fldCharType="separate"/>
    </w:r>
    <w:r>
      <w:rPr>
        <w:noProof/>
      </w:rPr>
      <w:t>155</w:t>
    </w:r>
    <w:r>
      <w:fldChar w:fldCharType="end"/>
    </w:r>
    <w:r>
      <w:tab/>
    </w:r>
    <w:r>
      <w:tab/>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0C5" w:rsidRDefault="00AB50C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275" w:rsidRPr="00724275" w:rsidRDefault="00724275" w:rsidP="00724275">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0C5" w:rsidRDefault="00AB50C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1749796"/>
      <w:docPartObj>
        <w:docPartGallery w:val="Page Numbers (Bottom of Page)"/>
        <w:docPartUnique/>
      </w:docPartObj>
    </w:sdtPr>
    <w:sdtEndPr/>
    <w:sdtContent>
      <w:p w:rsidR="00AB50C5" w:rsidRDefault="00724275">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rsidR="00AB50C5" w:rsidRDefault="00AB50C5">
    <w:pPr>
      <w:pStyle w:val="FooterLandscape"/>
      <w:rPr>
        <w:rFonts w:ascii="Arial" w:hAnsi="Arial" w:cs="Arial"/>
        <w:b/>
        <w:sz w:val="4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0C5" w:rsidRDefault="00AB50C5">
    <w:pPr>
      <w:pStyle w:val="FooterLandscap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0C5" w:rsidRDefault="00AB50C5">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0548378"/>
      <w:docPartObj>
        <w:docPartGallery w:val="Page Numbers (Bottom of Page)"/>
        <w:docPartUnique/>
      </w:docPartObj>
    </w:sdtPr>
    <w:sdtEndPr>
      <w:rPr>
        <w:noProof/>
      </w:rPr>
    </w:sdtEndPr>
    <w:sdtContent>
      <w:p w:rsidR="00AB50C5" w:rsidRDefault="00724275">
        <w:pPr>
          <w:pStyle w:val="Footer"/>
          <w:jc w:val="center"/>
        </w:pPr>
        <w:r>
          <w:fldChar w:fldCharType="begin"/>
        </w:r>
        <w:r>
          <w:instrText xml:space="preserve"> PAGE   \* MERGEFORMAT </w:instrText>
        </w:r>
        <w:r>
          <w:fldChar w:fldCharType="separate"/>
        </w:r>
        <w:r>
          <w:rPr>
            <w:noProof/>
          </w:rPr>
          <w:t>4</w:t>
        </w:r>
        <w:r>
          <w:rPr>
            <w:noProof/>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0C5" w:rsidRDefault="00AB50C5">
    <w:pPr>
      <w:pStyle w:val="FooterLandscap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50C5" w:rsidRDefault="00724275">
      <w:pPr>
        <w:spacing w:after="0" w:line="240" w:lineRule="auto"/>
      </w:pPr>
      <w:r>
        <w:separator/>
      </w:r>
    </w:p>
  </w:footnote>
  <w:footnote w:type="continuationSeparator" w:id="0">
    <w:p w:rsidR="00AB50C5" w:rsidRDefault="00724275">
      <w:pPr>
        <w:spacing w:after="0" w:line="240" w:lineRule="auto"/>
      </w:pPr>
      <w:r>
        <w:continuationSeparator/>
      </w:r>
    </w:p>
  </w:footnote>
  <w:footnote w:type="continuationNotice" w:id="1">
    <w:p w:rsidR="00AB50C5" w:rsidRDefault="00AB50C5">
      <w:pPr>
        <w:spacing w:after="0" w:line="240" w:lineRule="auto"/>
      </w:pPr>
    </w:p>
  </w:footnote>
  <w:footnote w:id="2">
    <w:p w:rsidR="00AB50C5" w:rsidRDefault="00724275">
      <w:pPr>
        <w:pStyle w:val="FootnoteText"/>
        <w:rPr>
          <w:sz w:val="18"/>
        </w:rPr>
      </w:pPr>
      <w:r>
        <w:rPr>
          <w:rStyle w:val="FootnoteReference"/>
        </w:rPr>
        <w:footnoteRef/>
      </w:r>
      <w:r>
        <w:t xml:space="preserve"> </w:t>
      </w:r>
      <w:r>
        <w:rPr>
          <w:sz w:val="18"/>
        </w:rPr>
        <w:t>For more information on water reuse policy initiative please see the document “</w:t>
      </w:r>
      <w:r>
        <w:rPr>
          <w:bCs/>
          <w:sz w:val="18"/>
        </w:rPr>
        <w:t xml:space="preserve">Closing the loop - An EU action plan for the Circular Economy”, </w:t>
      </w:r>
      <w:hyperlink r:id="rId1" w:history="1">
        <w:r>
          <w:rPr>
            <w:rStyle w:val="Hyperlink"/>
            <w:sz w:val="18"/>
          </w:rPr>
          <w:t>COM/2015/0614</w:t>
        </w:r>
      </w:hyperlink>
    </w:p>
  </w:footnote>
  <w:footnote w:id="3">
    <w:p w:rsidR="00AB50C5" w:rsidRDefault="00724275">
      <w:pPr>
        <w:pStyle w:val="FootnoteText"/>
        <w:ind w:left="284" w:hanging="284"/>
      </w:pPr>
      <w:r>
        <w:rPr>
          <w:rStyle w:val="FootnoteReference"/>
        </w:rPr>
        <w:footnoteRef/>
      </w:r>
      <w:r>
        <w:t xml:space="preserve"> SANTE/10470/2016 – Guidance Document on Addressing microbiological risks in fresh fruits and vegetables at primary</w:t>
      </w:r>
      <w:r>
        <w:t xml:space="preserve"> production through good hygiene</w:t>
      </w:r>
    </w:p>
  </w:footnote>
  <w:footnote w:id="4">
    <w:p w:rsidR="00AB50C5" w:rsidRDefault="00724275">
      <w:pPr>
        <w:pStyle w:val="FootnoteText"/>
      </w:pPr>
      <w:r>
        <w:rPr>
          <w:rStyle w:val="FootnoteReference"/>
        </w:rPr>
        <w:footnoteRef/>
      </w:r>
      <w:r>
        <w:t xml:space="preserve"> </w:t>
      </w:r>
      <w:r>
        <w:rPr>
          <w:rFonts w:cs="Calibri"/>
          <w:lang w:eastAsia="en-GB"/>
        </w:rPr>
        <w:t xml:space="preserve">Example: see AQUABIO and AQUATRACK in </w:t>
      </w:r>
      <w:hyperlink r:id="rId2" w:history="1">
        <w:r>
          <w:rPr>
            <w:rStyle w:val="Hyperlink"/>
            <w:rFonts w:cs="Calibri"/>
            <w:lang w:eastAsia="en-GB"/>
          </w:rPr>
          <w:t>http://r3water.eu/techniques-for-reuse-of-water/</w:t>
        </w:r>
      </w:hyperlink>
    </w:p>
  </w:footnote>
  <w:footnote w:id="5">
    <w:p w:rsidR="00AB50C5" w:rsidRDefault="00724275">
      <w:pPr>
        <w:pStyle w:val="FootnoteText"/>
      </w:pPr>
      <w:r>
        <w:rPr>
          <w:rStyle w:val="FootnoteReference"/>
        </w:rPr>
        <w:footnoteRef/>
      </w:r>
      <w:r>
        <w:t xml:space="preserve"> EIP Water AG 100 – Real Time Water Quality Monitoring</w:t>
      </w:r>
    </w:p>
  </w:footnote>
  <w:footnote w:id="6">
    <w:p w:rsidR="00AB50C5" w:rsidRDefault="00724275">
      <w:pPr>
        <w:pStyle w:val="FootnoteText"/>
      </w:pPr>
      <w:r>
        <w:rPr>
          <w:rStyle w:val="FootnoteReference"/>
        </w:rPr>
        <w:footnoteRef/>
      </w:r>
      <w:r>
        <w:t xml:space="preserve"> </w:t>
      </w:r>
      <w:hyperlink r:id="rId3" w:history="1">
        <w:r>
          <w:rPr>
            <w:rStyle w:val="Hyperlink"/>
            <w:rFonts w:cs="Calibri"/>
            <w:lang w:eastAsia="en-GB"/>
          </w:rPr>
          <w:t>https://www.eip-water.eu/sites/default/files/AG100%20RTWQM%20WaterReuse-ConceptNote-v2.pdf</w:t>
        </w:r>
      </w:hyperlink>
    </w:p>
  </w:footnote>
  <w:footnote w:id="7">
    <w:p w:rsidR="00AB50C5" w:rsidRDefault="00724275">
      <w:pPr>
        <w:spacing w:after="0" w:line="240" w:lineRule="auto"/>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hyperlink r:id="rId4" w:tgtFrame="_blank" w:history="1">
        <w:r>
          <w:rPr>
            <w:rStyle w:val="Hyperlink"/>
            <w:rFonts w:ascii="Times New Roman" w:hAnsi="Times New Roman" w:cs="Times New Roman"/>
            <w:sz w:val="20"/>
            <w:szCs w:val="20"/>
            <w:lang w:eastAsia="en-GB"/>
          </w:rPr>
          <w:t>http://demoware.eu/en/results/deliverables</w:t>
        </w:r>
      </w:hyperlink>
      <w:r>
        <w:rPr>
          <w:rFonts w:ascii="Times New Roman" w:hAnsi="Times New Roman" w:cs="Times New Roman"/>
          <w:sz w:val="20"/>
          <w:szCs w:val="20"/>
          <w:lang w:eastAsia="en-GB"/>
        </w:rPr>
        <w:t xml:space="preserve">. Deliverables </w:t>
      </w:r>
      <w:hyperlink r:id="rId5" w:history="1">
        <w:r>
          <w:rPr>
            <w:rStyle w:val="Hyperlink"/>
            <w:rFonts w:ascii="Times New Roman" w:hAnsi="Times New Roman" w:cs="Times New Roman"/>
            <w:sz w:val="20"/>
            <w:szCs w:val="20"/>
            <w:lang w:eastAsia="en-GB"/>
          </w:rPr>
          <w:t>D3.1</w:t>
        </w:r>
      </w:hyperlink>
      <w:r>
        <w:rPr>
          <w:rFonts w:ascii="Times New Roman" w:hAnsi="Times New Roman" w:cs="Times New Roman"/>
          <w:sz w:val="20"/>
          <w:szCs w:val="20"/>
          <w:lang w:eastAsia="en-GB"/>
        </w:rPr>
        <w:t xml:space="preserve"> - "</w:t>
      </w:r>
      <w:r>
        <w:rPr>
          <w:rFonts w:ascii="Times New Roman" w:hAnsi="Times New Roman" w:cs="Times New Roman"/>
          <w:color w:val="32444A"/>
          <w:sz w:val="20"/>
          <w:szCs w:val="20"/>
          <w:lang w:val="en"/>
        </w:rPr>
        <w:t xml:space="preserve">Appropriate and user friendly methodologies for RA_LCA_WFP" </w:t>
      </w:r>
      <w:r>
        <w:rPr>
          <w:rFonts w:ascii="Times New Roman" w:hAnsi="Times New Roman" w:cs="Times New Roman"/>
          <w:sz w:val="20"/>
          <w:szCs w:val="20"/>
          <w:lang w:eastAsia="en-GB"/>
        </w:rPr>
        <w:t xml:space="preserve">and </w:t>
      </w:r>
      <w:hyperlink r:id="rId6" w:history="1">
        <w:r>
          <w:rPr>
            <w:rStyle w:val="Hyperlink"/>
            <w:rFonts w:ascii="Times New Roman" w:hAnsi="Times New Roman" w:cs="Times New Roman"/>
            <w:sz w:val="20"/>
            <w:szCs w:val="20"/>
            <w:lang w:eastAsia="en-GB"/>
          </w:rPr>
          <w:t>D3.2</w:t>
        </w:r>
      </w:hyperlink>
      <w:r>
        <w:rPr>
          <w:rFonts w:ascii="Times New Roman" w:hAnsi="Times New Roman" w:cs="Times New Roman"/>
          <w:sz w:val="20"/>
          <w:szCs w:val="20"/>
          <w:lang w:eastAsia="en-GB"/>
        </w:rPr>
        <w:t xml:space="preserve"> – "</w:t>
      </w:r>
      <w:r>
        <w:rPr>
          <w:rFonts w:ascii="Times New Roman" w:hAnsi="Times New Roman" w:cs="Times New Roman"/>
          <w:sz w:val="20"/>
          <w:szCs w:val="20"/>
        </w:rPr>
        <w:t>Show case of the environmental benefits and risk assessment of reuse schemes",</w:t>
      </w:r>
      <w:r>
        <w:rPr>
          <w:rFonts w:ascii="Times New Roman" w:hAnsi="Times New Roman" w:cs="Times New Roman"/>
          <w:sz w:val="20"/>
          <w:szCs w:val="20"/>
          <w:lang w:eastAsia="en-GB"/>
        </w:rPr>
        <w:t xml:space="preserve"> are of a </w:t>
      </w:r>
      <w:r>
        <w:rPr>
          <w:rFonts w:ascii="Times New Roman" w:hAnsi="Times New Roman" w:cs="Times New Roman"/>
          <w:sz w:val="20"/>
          <w:szCs w:val="20"/>
          <w:lang w:eastAsia="en-GB"/>
        </w:rPr>
        <w:t>special interest.</w:t>
      </w:r>
    </w:p>
  </w:footnote>
  <w:footnote w:id="8">
    <w:p w:rsidR="00AB50C5" w:rsidRDefault="00724275">
      <w:pPr>
        <w:pStyle w:val="FootnoteText"/>
      </w:pPr>
      <w:r>
        <w:rPr>
          <w:rStyle w:val="FootnoteReference"/>
        </w:rPr>
        <w:footnoteRef/>
      </w:r>
      <w:r>
        <w:t xml:space="preserve"> A water reuse scheme is a system consisting of UWWTP, distribution system and the system for application of reclaimed water for irrigation or groundwater recharge.</w:t>
      </w:r>
    </w:p>
  </w:footnote>
  <w:footnote w:id="9">
    <w:p w:rsidR="00AB50C5" w:rsidRDefault="00724275">
      <w:pPr>
        <w:pStyle w:val="FootnoteText"/>
      </w:pPr>
      <w:r>
        <w:rPr>
          <w:rStyle w:val="FootnoteReference"/>
        </w:rPr>
        <w:footnoteRef/>
      </w:r>
      <w:r>
        <w:t xml:space="preserve"> www.marsol.eu / </w:t>
      </w:r>
      <w:hyperlink r:id="rId7" w:history="1">
        <w:r>
          <w:rPr>
            <w:rStyle w:val="Hyperlink"/>
          </w:rPr>
          <w:t>www.eip-water.eu/MAR_Solutions</w:t>
        </w:r>
      </w:hyperlink>
      <w:r>
        <w:t xml:space="preserve">, with the application of MAR in eight demonstration sites in six countries around the Mediterranean (Portugal, Spain, Italy, Greece, Malta, Israel) </w:t>
      </w:r>
    </w:p>
  </w:footnote>
  <w:footnote w:id="10">
    <w:p w:rsidR="00AB50C5" w:rsidRDefault="00724275">
      <w:pPr>
        <w:pStyle w:val="FootnoteText"/>
        <w:ind w:left="0" w:firstLine="0"/>
      </w:pPr>
      <w:r>
        <w:rPr>
          <w:rStyle w:val="FootnoteReference"/>
        </w:rPr>
        <w:footnoteRef/>
      </w:r>
      <w:r>
        <w:t xml:space="preserve"> The TIA has been completed before the JRC modelling report (Annex 4), ther</w:t>
      </w:r>
      <w:r>
        <w:t xml:space="preserve">efore there could be some differences in these reports in particular as regards the data availability.   </w:t>
      </w:r>
    </w:p>
  </w:footnote>
  <w:footnote w:id="11">
    <w:p w:rsidR="00AB50C5" w:rsidRDefault="00724275">
      <w:pPr>
        <w:pStyle w:val="FootnoteText"/>
        <w:ind w:left="0" w:firstLine="0"/>
        <w:rPr>
          <w:szCs w:val="18"/>
        </w:rPr>
      </w:pPr>
      <w:r>
        <w:rPr>
          <w:rStyle w:val="FootnoteReference"/>
          <w:sz w:val="18"/>
          <w:szCs w:val="18"/>
        </w:rPr>
        <w:footnoteRef/>
      </w:r>
      <w:r>
        <w:rPr>
          <w:szCs w:val="18"/>
        </w:rPr>
        <w:t xml:space="preserve"> The text of this chapter is based on the background paper for the TIA Workshop “Territorial Impact Assessment (TIA) on the on the Development of Min</w:t>
      </w:r>
      <w:r>
        <w:rPr>
          <w:szCs w:val="18"/>
        </w:rPr>
        <w:t>imum Quality Requirements for Water Reuse in Agricultural Irrigation and Aquifer Recharge” developed by the European Commission DG for Environment and DG for Regional and Urban Policy.</w:t>
      </w:r>
    </w:p>
  </w:footnote>
  <w:footnote w:id="12">
    <w:p w:rsidR="00AB50C5" w:rsidRDefault="00724275">
      <w:pPr>
        <w:pStyle w:val="FootnoteText"/>
        <w:ind w:left="0" w:firstLine="0"/>
        <w:rPr>
          <w:szCs w:val="18"/>
        </w:rPr>
      </w:pPr>
      <w:r>
        <w:rPr>
          <w:rStyle w:val="FootnoteReference"/>
          <w:sz w:val="18"/>
          <w:szCs w:val="18"/>
        </w:rPr>
        <w:footnoteRef/>
      </w:r>
      <w:r>
        <w:rPr>
          <w:szCs w:val="18"/>
        </w:rPr>
        <w:t xml:space="preserve"> https://www.espon.eu/main/Menu_ToolsandMaps/TIA/</w:t>
      </w:r>
    </w:p>
  </w:footnote>
  <w:footnote w:id="13">
    <w:p w:rsidR="00AB50C5" w:rsidRDefault="00724275">
      <w:pPr>
        <w:pStyle w:val="FootnoteText"/>
        <w:rPr>
          <w:szCs w:val="18"/>
        </w:rPr>
      </w:pPr>
      <w:r>
        <w:rPr>
          <w:rStyle w:val="FootnoteReference"/>
          <w:sz w:val="18"/>
          <w:szCs w:val="18"/>
        </w:rPr>
        <w:footnoteRef/>
      </w:r>
      <w:r>
        <w:rPr>
          <w:szCs w:val="18"/>
        </w:rPr>
        <w:t xml:space="preserve"> https://www.espon.</w:t>
      </w:r>
      <w:r>
        <w:rPr>
          <w:szCs w:val="18"/>
        </w:rPr>
        <w:t>eu/main/Menu_ToolsandMaps/ESPONTypologies/index.html</w:t>
      </w:r>
    </w:p>
  </w:footnote>
  <w:footnote w:id="14">
    <w:p w:rsidR="00AB50C5" w:rsidRDefault="00724275">
      <w:pPr>
        <w:pStyle w:val="FootnoteText"/>
        <w:rPr>
          <w:szCs w:val="18"/>
        </w:rPr>
      </w:pPr>
      <w:r>
        <w:rPr>
          <w:rStyle w:val="FootnoteReference"/>
          <w:sz w:val="18"/>
          <w:szCs w:val="18"/>
        </w:rPr>
        <w:footnoteRef/>
      </w:r>
      <w:r>
        <w:rPr>
          <w:szCs w:val="18"/>
        </w:rPr>
        <w:t xml:space="preserve"> 5 out of the 24 experts thought that this indicator is not relevant when considering all regions and therefore chose not to vote for it.</w:t>
      </w:r>
    </w:p>
    <w:p w:rsidR="00AB50C5" w:rsidRDefault="00AB50C5">
      <w:pPr>
        <w:pStyle w:val="FootnoteText"/>
      </w:pPr>
    </w:p>
  </w:footnote>
  <w:footnote w:id="15">
    <w:p w:rsidR="00AB50C5" w:rsidRDefault="00724275">
      <w:pPr>
        <w:pStyle w:val="FootnoteText"/>
        <w:rPr>
          <w:szCs w:val="18"/>
          <w:lang w:val="en-US"/>
        </w:rPr>
      </w:pPr>
      <w:r>
        <w:rPr>
          <w:rStyle w:val="FootnoteReference"/>
          <w:sz w:val="18"/>
          <w:szCs w:val="18"/>
        </w:rPr>
        <w:footnoteRef/>
      </w:r>
      <w:r>
        <w:rPr>
          <w:szCs w:val="18"/>
        </w:rPr>
        <w:t xml:space="preserve"> The effect of outmigration to rural regions should be taken w</w:t>
      </w:r>
      <w:r>
        <w:rPr>
          <w:szCs w:val="18"/>
        </w:rPr>
        <w:t>ith cautiousness since 9 out of the 24 experts did not consider this indicator as relevant and therefore chose not to vote</w:t>
      </w:r>
    </w:p>
  </w:footnote>
  <w:footnote w:id="16">
    <w:p w:rsidR="00AB50C5" w:rsidRDefault="00724275">
      <w:pPr>
        <w:pStyle w:val="FootnoteText"/>
      </w:pPr>
      <w:r>
        <w:rPr>
          <w:rStyle w:val="FootnoteReference"/>
        </w:rPr>
        <w:footnoteRef/>
      </w:r>
      <w:r>
        <w:t xml:space="preserve"> The United Nations World Water Development Report 2017 "Wastewater the untapped resource".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275" w:rsidRPr="00724275" w:rsidRDefault="00724275" w:rsidP="00724275">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0C5" w:rsidRDefault="00AB50C5">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0C5" w:rsidRDefault="00AB50C5">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0C5" w:rsidRDefault="00AB50C5">
    <w:pPr>
      <w:pStyle w:val="HeaderLandscape"/>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0C5" w:rsidRDefault="00AB50C5">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0C5" w:rsidRDefault="00AB50C5">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0C5" w:rsidRDefault="00AB50C5">
    <w:pPr>
      <w:pStyle w:val="HeaderLandscape"/>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0C5" w:rsidRDefault="00AB50C5">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0C5" w:rsidRDefault="00AB50C5">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0C5" w:rsidRDefault="00AB50C5">
    <w:pPr>
      <w:pStyle w:val="HeaderLandscape"/>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0C5" w:rsidRDefault="00AB50C5">
    <w:pPr>
      <w:pStyle w:val="Header"/>
    </w:pPr>
  </w:p>
  <w:p w:rsidR="00AB50C5" w:rsidRDefault="00AB50C5"/>
  <w:p w:rsidR="00AB50C5" w:rsidRDefault="00AB50C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275" w:rsidRPr="00724275" w:rsidRDefault="00724275" w:rsidP="00724275">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0C5" w:rsidRDefault="00AB50C5">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0C5" w:rsidRDefault="00AB50C5">
    <w:pPr>
      <w:pStyle w:val="Header"/>
    </w:pPr>
  </w:p>
  <w:p w:rsidR="00AB50C5" w:rsidRDefault="00AB50C5"/>
  <w:p w:rsidR="00AB50C5" w:rsidRDefault="00AB50C5"/>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0C5" w:rsidRDefault="00AB50C5">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0C5" w:rsidRDefault="00AB50C5">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0C5" w:rsidRDefault="00AB50C5">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0C5" w:rsidRDefault="00AB50C5">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0C5" w:rsidRDefault="00AB50C5">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0C5" w:rsidRDefault="00AB50C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275" w:rsidRPr="00724275" w:rsidRDefault="00724275" w:rsidP="00724275">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0C5" w:rsidRDefault="00AB50C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0C5" w:rsidRDefault="00724275">
    <w:pPr>
      <w:pStyle w:val="HeaderLandscape"/>
      <w:tabs>
        <w:tab w:val="clear" w:pos="7285"/>
        <w:tab w:val="clear" w:pos="14003"/>
        <w:tab w:val="left" w:pos="5719"/>
      </w:tabs>
    </w:pP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0C5" w:rsidRDefault="00AB50C5">
    <w:pPr>
      <w:pStyle w:val="HeaderLandscap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0C5" w:rsidRDefault="00AB50C5">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0C5" w:rsidRDefault="00724275">
    <w:pPr>
      <w:pStyle w:val="HeaderLandscape"/>
      <w:tabs>
        <w:tab w:val="clear" w:pos="7285"/>
        <w:tab w:val="clear" w:pos="14003"/>
        <w:tab w:val="left" w:pos="5719"/>
      </w:tabs>
    </w:pPr>
    <w: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0C5" w:rsidRDefault="00AB50C5">
    <w:pPr>
      <w:pStyle w:val="HeaderLandscap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242D94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01"/>
    <w:multiLevelType w:val="multilevel"/>
    <w:tmpl w:val="00000001"/>
    <w:lvl w:ilvl="0">
      <w:start w:val="1"/>
      <w:numFmt w:val="decimal"/>
      <w:pStyle w:val="Heading1"/>
      <w:lvlText w:val="%1."/>
      <w:lvlJc w:val="left"/>
      <w:pPr>
        <w:tabs>
          <w:tab w:val="num" w:pos="850"/>
        </w:tabs>
        <w:ind w:left="850" w:hanging="850"/>
      </w:pPr>
    </w:lvl>
    <w:lvl w:ilvl="1">
      <w:start w:val="1"/>
      <w:numFmt w:val="decimal"/>
      <w:pStyle w:val="Heading2"/>
      <w:lvlText w:val="%1.%2."/>
      <w:lvlJc w:val="left"/>
      <w:pPr>
        <w:tabs>
          <w:tab w:val="num" w:pos="1450"/>
        </w:tabs>
        <w:ind w:left="1450" w:hanging="850"/>
      </w:pPr>
    </w:lvl>
    <w:lvl w:ilvl="2">
      <w:start w:val="1"/>
      <w:numFmt w:val="decimal"/>
      <w:pStyle w:val="Heading3"/>
      <w:lvlText w:val="%1.%2.%3."/>
      <w:lvlJc w:val="left"/>
      <w:pPr>
        <w:tabs>
          <w:tab w:val="num" w:pos="850"/>
        </w:tabs>
        <w:ind w:left="850" w:hanging="850"/>
      </w:pPr>
      <w:rPr>
        <w:rFonts w:ascii="Times New Roman" w:hAnsi="Times New Roman" w:cs="Times New Roman"/>
      </w:rPr>
    </w:lvl>
    <w:lvl w:ilvl="3">
      <w:start w:val="1"/>
      <w:numFmt w:val="decimal"/>
      <w:pStyle w:val="Heading4"/>
      <w:lvlText w:val="%1.%2.%3.%4."/>
      <w:lvlJc w:val="left"/>
      <w:pPr>
        <w:tabs>
          <w:tab w:val="num" w:pos="850"/>
        </w:tabs>
        <w:ind w:left="850" w:hanging="850"/>
      </w:pPr>
      <w:rPr>
        <w:rFonts w:ascii="Symbol" w:hAnsi="Symbol" w:cs="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00000002"/>
    <w:multiLevelType w:val="multilevel"/>
    <w:tmpl w:val="00000002"/>
    <w:name w:val="WW8Num1"/>
    <w:lvl w:ilvl="0">
      <w:start w:val="1"/>
      <w:numFmt w:val="decimal"/>
      <w:pStyle w:val="CSubheading"/>
      <w:lvlText w:val="%1."/>
      <w:lvlJc w:val="left"/>
      <w:pPr>
        <w:tabs>
          <w:tab w:val="num" w:pos="850"/>
        </w:tabs>
        <w:ind w:left="850" w:hanging="850"/>
      </w:pPr>
    </w:lvl>
    <w:lvl w:ilvl="1">
      <w:start w:val="1"/>
      <w:numFmt w:val="decimal"/>
      <w:lvlText w:val="%1.%2."/>
      <w:lvlJc w:val="left"/>
      <w:pPr>
        <w:tabs>
          <w:tab w:val="num" w:pos="1701"/>
        </w:tabs>
        <w:ind w:left="1701" w:hanging="850"/>
      </w:pPr>
    </w:lvl>
    <w:lvl w:ilvl="2">
      <w:start w:val="1"/>
      <w:numFmt w:val="decimal"/>
      <w:lvlText w:val="%1.%2.%3."/>
      <w:lvlJc w:val="left"/>
      <w:pPr>
        <w:tabs>
          <w:tab w:val="num" w:pos="850"/>
        </w:tabs>
        <w:ind w:left="850" w:hanging="850"/>
      </w:pPr>
      <w:rPr>
        <w:rFonts w:ascii="Times New Roman" w:hAnsi="Times New Roman" w:cs="Times New Roman"/>
      </w:rPr>
    </w:lvl>
    <w:lvl w:ilvl="3">
      <w:start w:val="1"/>
      <w:numFmt w:val="decimal"/>
      <w:lvlText w:val="%1.%2.%3.%4."/>
      <w:lvlJc w:val="left"/>
      <w:pPr>
        <w:tabs>
          <w:tab w:val="num" w:pos="850"/>
        </w:tabs>
        <w:ind w:left="850" w:hanging="850"/>
      </w:pPr>
      <w:rPr>
        <w:rFonts w:ascii="Symbol" w:hAnsi="Symbol" w:cs="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00000003"/>
    <w:multiLevelType w:val="multilevel"/>
    <w:tmpl w:val="00000003"/>
    <w:name w:val="WW8Num2"/>
    <w:lvl w:ilvl="0">
      <w:start w:val="1"/>
      <w:numFmt w:val="decimal"/>
      <w:pStyle w:val="ListNumber4"/>
      <w:lvlText w:val="(%1)"/>
      <w:lvlJc w:val="left"/>
      <w:pPr>
        <w:tabs>
          <w:tab w:val="num" w:pos="1560"/>
        </w:tabs>
        <w:ind w:left="1560" w:hanging="709"/>
      </w:pPr>
      <w:rPr>
        <w:rFonts w:ascii="Calibri" w:eastAsia="Calibri" w:hAnsi="Calibri" w:cs="Times New Roman" w:hint="default"/>
        <w:sz w:val="24"/>
        <w:szCs w:val="24"/>
      </w:rPr>
    </w:lvl>
    <w:lvl w:ilvl="1">
      <w:start w:val="1"/>
      <w:numFmt w:val="lowerLetter"/>
      <w:lvlText w:val="(%2)"/>
      <w:lvlJc w:val="left"/>
      <w:pPr>
        <w:tabs>
          <w:tab w:val="num" w:pos="2268"/>
        </w:tabs>
        <w:ind w:left="2268" w:hanging="708"/>
      </w:pPr>
      <w:rPr>
        <w:rFonts w:ascii="Courier New" w:hAnsi="Courier New" w:cs="Courier New" w:hint="default"/>
      </w:rPr>
    </w:lvl>
    <w:lvl w:ilvl="2">
      <w:start w:val="1"/>
      <w:numFmt w:val="bullet"/>
      <w:lvlText w:val="–"/>
      <w:lvlJc w:val="left"/>
      <w:pPr>
        <w:tabs>
          <w:tab w:val="num" w:pos="2977"/>
        </w:tabs>
        <w:ind w:left="2977" w:hanging="709"/>
      </w:pPr>
      <w:rPr>
        <w:rFonts w:ascii="Times New Roman" w:hAnsi="Times New Roman" w:cs="Wingdings" w:hint="default"/>
      </w:rPr>
    </w:lvl>
    <w:lvl w:ilvl="3">
      <w:start w:val="1"/>
      <w:numFmt w:val="bullet"/>
      <w:lvlText w:val=""/>
      <w:lvlJc w:val="left"/>
      <w:pPr>
        <w:tabs>
          <w:tab w:val="num" w:pos="3686"/>
        </w:tabs>
        <w:ind w:left="3686" w:hanging="709"/>
      </w:pPr>
      <w:rPr>
        <w:rFonts w:ascii="Symbol" w:hAnsi="Symbol" w:cs="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00000005"/>
    <w:multiLevelType w:val="multilevel"/>
    <w:tmpl w:val="00000005"/>
    <w:name w:val="WW8Num4"/>
    <w:lvl w:ilvl="0">
      <w:start w:val="1"/>
      <w:numFmt w:val="decimal"/>
      <w:pStyle w:val="ListNumber3"/>
      <w:lvlText w:val="(%1)"/>
      <w:lvlJc w:val="left"/>
      <w:pPr>
        <w:tabs>
          <w:tab w:val="num" w:pos="1560"/>
        </w:tabs>
        <w:ind w:left="1560" w:hanging="709"/>
      </w:pPr>
      <w:rPr>
        <w:rFonts w:ascii="Symbol" w:hAnsi="Symbol" w:cs="Symbol" w:hint="default"/>
      </w:rPr>
    </w:lvl>
    <w:lvl w:ilvl="1">
      <w:start w:val="1"/>
      <w:numFmt w:val="lowerLetter"/>
      <w:lvlText w:val="(%2)"/>
      <w:lvlJc w:val="left"/>
      <w:pPr>
        <w:tabs>
          <w:tab w:val="num" w:pos="2268"/>
        </w:tabs>
        <w:ind w:left="2268" w:hanging="708"/>
      </w:pPr>
      <w:rPr>
        <w:rFonts w:ascii="Courier New" w:hAnsi="Courier New" w:cs="Courier New" w:hint="default"/>
      </w:rPr>
    </w:lvl>
    <w:lvl w:ilvl="2">
      <w:start w:val="1"/>
      <w:numFmt w:val="bullet"/>
      <w:lvlText w:val="–"/>
      <w:lvlJc w:val="left"/>
      <w:pPr>
        <w:tabs>
          <w:tab w:val="num" w:pos="2977"/>
        </w:tabs>
        <w:ind w:left="2977" w:hanging="709"/>
      </w:pPr>
      <w:rPr>
        <w:rFonts w:ascii="Times New Roman" w:hAnsi="Times New Roman" w:cs="Wingdings" w:hint="default"/>
      </w:rPr>
    </w:lvl>
    <w:lvl w:ilvl="3">
      <w:start w:val="1"/>
      <w:numFmt w:val="bullet"/>
      <w:lvlText w:val=""/>
      <w:lvlJc w:val="left"/>
      <w:pPr>
        <w:tabs>
          <w:tab w:val="num" w:pos="3686"/>
        </w:tabs>
        <w:ind w:left="3686" w:hanging="709"/>
      </w:pPr>
      <w:rPr>
        <w:rFonts w:ascii="Symbol" w:hAnsi="Symbol" w:cs="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0000000C"/>
    <w:multiLevelType w:val="singleLevel"/>
    <w:tmpl w:val="0000000C"/>
    <w:name w:val="WW8Num11"/>
    <w:lvl w:ilvl="0">
      <w:start w:val="1"/>
      <w:numFmt w:val="bullet"/>
      <w:pStyle w:val="ListBullet2"/>
      <w:lvlText w:val=""/>
      <w:lvlJc w:val="left"/>
      <w:pPr>
        <w:tabs>
          <w:tab w:val="num" w:pos="1134"/>
        </w:tabs>
        <w:ind w:left="1134" w:hanging="283"/>
      </w:pPr>
      <w:rPr>
        <w:rFonts w:ascii="Symbol" w:hAnsi="Symbol" w:cs="Times New Roman" w:hint="default"/>
        <w:sz w:val="24"/>
        <w:szCs w:val="24"/>
      </w:rPr>
    </w:lvl>
  </w:abstractNum>
  <w:abstractNum w:abstractNumId="6">
    <w:nsid w:val="00000010"/>
    <w:multiLevelType w:val="singleLevel"/>
    <w:tmpl w:val="00000010"/>
    <w:name w:val="WW8Num15"/>
    <w:lvl w:ilvl="0">
      <w:start w:val="1"/>
      <w:numFmt w:val="bullet"/>
      <w:pStyle w:val="AFWBullets"/>
      <w:lvlText w:val=""/>
      <w:lvlJc w:val="left"/>
      <w:pPr>
        <w:tabs>
          <w:tab w:val="num" w:pos="0"/>
        </w:tabs>
        <w:ind w:left="2631" w:hanging="360"/>
      </w:pPr>
      <w:rPr>
        <w:rFonts w:ascii="Wingdings 3" w:hAnsi="Wingdings 3" w:cs="Times New Roman" w:hint="default"/>
      </w:rPr>
    </w:lvl>
  </w:abstractNum>
  <w:abstractNum w:abstractNumId="7">
    <w:nsid w:val="00000012"/>
    <w:multiLevelType w:val="multilevel"/>
    <w:tmpl w:val="00000012"/>
    <w:name w:val="WW8Num17"/>
    <w:lvl w:ilvl="0">
      <w:start w:val="1"/>
      <w:numFmt w:val="decimal"/>
      <w:pStyle w:val="ListNumber2"/>
      <w:lvlText w:val="(%1)"/>
      <w:lvlJc w:val="left"/>
      <w:pPr>
        <w:tabs>
          <w:tab w:val="num" w:pos="1560"/>
        </w:tabs>
        <w:ind w:left="1560" w:hanging="709"/>
      </w:pPr>
      <w:rPr>
        <w:rFonts w:ascii="Calibri" w:eastAsia="Calibri" w:hAnsi="Calibri" w:cs="Times New Roman" w:hint="default"/>
      </w:rPr>
    </w:lvl>
    <w:lvl w:ilvl="1">
      <w:start w:val="1"/>
      <w:numFmt w:val="lowerLetter"/>
      <w:lvlText w:val="(%2)"/>
      <w:lvlJc w:val="left"/>
      <w:pPr>
        <w:tabs>
          <w:tab w:val="num" w:pos="2268"/>
        </w:tabs>
        <w:ind w:left="2268" w:hanging="708"/>
      </w:pPr>
      <w:rPr>
        <w:rFonts w:ascii="Courier New" w:hAnsi="Courier New" w:cs="Courier New" w:hint="default"/>
      </w:rPr>
    </w:lvl>
    <w:lvl w:ilvl="2">
      <w:start w:val="1"/>
      <w:numFmt w:val="bullet"/>
      <w:lvlText w:val="–"/>
      <w:lvlJc w:val="left"/>
      <w:pPr>
        <w:tabs>
          <w:tab w:val="num" w:pos="2977"/>
        </w:tabs>
        <w:ind w:left="2977" w:hanging="709"/>
      </w:pPr>
      <w:rPr>
        <w:rFonts w:ascii="Times New Roman" w:hAnsi="Times New Roman" w:cs="Wingdings" w:hint="default"/>
      </w:rPr>
    </w:lvl>
    <w:lvl w:ilvl="3">
      <w:start w:val="1"/>
      <w:numFmt w:val="bullet"/>
      <w:lvlText w:val=""/>
      <w:lvlJc w:val="left"/>
      <w:pPr>
        <w:tabs>
          <w:tab w:val="num" w:pos="3686"/>
        </w:tabs>
        <w:ind w:left="3686" w:hanging="709"/>
      </w:pPr>
      <w:rPr>
        <w:rFonts w:ascii="Symbol" w:hAnsi="Symbol" w:cs="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00000014"/>
    <w:multiLevelType w:val="singleLevel"/>
    <w:tmpl w:val="00000014"/>
    <w:name w:val="WW8Num19"/>
    <w:lvl w:ilvl="0">
      <w:start w:val="1"/>
      <w:numFmt w:val="bullet"/>
      <w:pStyle w:val="Style7bulletpoint"/>
      <w:lvlText w:val=""/>
      <w:lvlJc w:val="left"/>
      <w:pPr>
        <w:tabs>
          <w:tab w:val="num" w:pos="0"/>
        </w:tabs>
        <w:ind w:left="720" w:hanging="360"/>
      </w:pPr>
      <w:rPr>
        <w:rFonts w:ascii="Symbol" w:hAnsi="Symbol" w:cs="Symbol" w:hint="default"/>
      </w:rPr>
    </w:lvl>
  </w:abstractNum>
  <w:abstractNum w:abstractNumId="9">
    <w:nsid w:val="00000016"/>
    <w:multiLevelType w:val="singleLevel"/>
    <w:tmpl w:val="00000016"/>
    <w:name w:val="WW8Num21"/>
    <w:lvl w:ilvl="0">
      <w:start w:val="1"/>
      <w:numFmt w:val="bullet"/>
      <w:pStyle w:val="Tiret0"/>
      <w:lvlText w:val="–"/>
      <w:lvlJc w:val="left"/>
      <w:pPr>
        <w:tabs>
          <w:tab w:val="num" w:pos="850"/>
        </w:tabs>
        <w:ind w:left="850" w:hanging="850"/>
      </w:pPr>
      <w:rPr>
        <w:rFonts w:ascii="Times New Roman" w:hAnsi="Times New Roman"/>
      </w:rPr>
    </w:lvl>
  </w:abstractNum>
  <w:abstractNum w:abstractNumId="10">
    <w:nsid w:val="00000017"/>
    <w:multiLevelType w:val="singleLevel"/>
    <w:tmpl w:val="00000017"/>
    <w:name w:val="WW8Num22"/>
    <w:lvl w:ilvl="0">
      <w:start w:val="1"/>
      <w:numFmt w:val="bullet"/>
      <w:pStyle w:val="Tiret2"/>
      <w:lvlText w:val="–"/>
      <w:lvlJc w:val="left"/>
      <w:pPr>
        <w:tabs>
          <w:tab w:val="num" w:pos="1984"/>
        </w:tabs>
        <w:ind w:left="1984" w:hanging="567"/>
      </w:pPr>
      <w:rPr>
        <w:rFonts w:ascii="Times New Roman" w:hAnsi="Times New Roman"/>
      </w:rPr>
    </w:lvl>
  </w:abstractNum>
  <w:abstractNum w:abstractNumId="11">
    <w:nsid w:val="00000019"/>
    <w:multiLevelType w:val="singleLevel"/>
    <w:tmpl w:val="00000019"/>
    <w:name w:val="WW8Num24"/>
    <w:lvl w:ilvl="0">
      <w:start w:val="1"/>
      <w:numFmt w:val="bullet"/>
      <w:pStyle w:val="ListBullet3"/>
      <w:lvlText w:val=""/>
      <w:lvlJc w:val="left"/>
      <w:pPr>
        <w:tabs>
          <w:tab w:val="num" w:pos="1134"/>
        </w:tabs>
        <w:ind w:left="1134" w:hanging="283"/>
      </w:pPr>
      <w:rPr>
        <w:rFonts w:ascii="Symbol" w:hAnsi="Symbol" w:cs="Symbol" w:hint="default"/>
      </w:rPr>
    </w:lvl>
  </w:abstractNum>
  <w:abstractNum w:abstractNumId="12">
    <w:nsid w:val="0000001A"/>
    <w:multiLevelType w:val="singleLevel"/>
    <w:tmpl w:val="0000001A"/>
    <w:name w:val="WW8Num25"/>
    <w:lvl w:ilvl="0">
      <w:start w:val="1"/>
      <w:numFmt w:val="bullet"/>
      <w:pStyle w:val="ListDash"/>
      <w:lvlText w:val="–"/>
      <w:lvlJc w:val="left"/>
      <w:pPr>
        <w:tabs>
          <w:tab w:val="num" w:pos="283"/>
        </w:tabs>
        <w:ind w:left="283" w:hanging="283"/>
      </w:pPr>
      <w:rPr>
        <w:rFonts w:ascii="Times New Roman" w:hAnsi="Times New Roman" w:cs="Times New Roman"/>
      </w:rPr>
    </w:lvl>
  </w:abstractNum>
  <w:abstractNum w:abstractNumId="13">
    <w:nsid w:val="0000001D"/>
    <w:multiLevelType w:val="singleLevel"/>
    <w:tmpl w:val="0000001D"/>
    <w:name w:val="WW8Num28"/>
    <w:lvl w:ilvl="0">
      <w:start w:val="1"/>
      <w:numFmt w:val="bullet"/>
      <w:pStyle w:val="Tiret3"/>
      <w:lvlText w:val="–"/>
      <w:lvlJc w:val="left"/>
      <w:pPr>
        <w:tabs>
          <w:tab w:val="num" w:pos="2551"/>
        </w:tabs>
        <w:ind w:left="2551" w:hanging="567"/>
      </w:pPr>
      <w:rPr>
        <w:rFonts w:ascii="Times New Roman" w:hAnsi="Times New Roman"/>
      </w:rPr>
    </w:lvl>
  </w:abstractNum>
  <w:abstractNum w:abstractNumId="14">
    <w:nsid w:val="0000001E"/>
    <w:multiLevelType w:val="singleLevel"/>
    <w:tmpl w:val="0000001E"/>
    <w:name w:val="WW8Num29"/>
    <w:lvl w:ilvl="0">
      <w:start w:val="1"/>
      <w:numFmt w:val="bullet"/>
      <w:pStyle w:val="Tiret4"/>
      <w:lvlText w:val="–"/>
      <w:lvlJc w:val="left"/>
      <w:pPr>
        <w:tabs>
          <w:tab w:val="num" w:pos="3118"/>
        </w:tabs>
        <w:ind w:left="3118" w:hanging="567"/>
      </w:pPr>
      <w:rPr>
        <w:rFonts w:ascii="Times New Roman" w:hAnsi="Times New Roman"/>
      </w:rPr>
    </w:lvl>
  </w:abstractNum>
  <w:abstractNum w:abstractNumId="15">
    <w:nsid w:val="00000020"/>
    <w:multiLevelType w:val="singleLevel"/>
    <w:tmpl w:val="00000020"/>
    <w:name w:val="WW8Num31"/>
    <w:lvl w:ilvl="0">
      <w:start w:val="1"/>
      <w:numFmt w:val="bullet"/>
      <w:pStyle w:val="Tiret1"/>
      <w:lvlText w:val="–"/>
      <w:lvlJc w:val="left"/>
      <w:pPr>
        <w:tabs>
          <w:tab w:val="num" w:pos="1417"/>
        </w:tabs>
        <w:ind w:left="1417" w:hanging="567"/>
      </w:pPr>
      <w:rPr>
        <w:rFonts w:ascii="Times New Roman" w:hAnsi="Times New Roman"/>
      </w:rPr>
    </w:lvl>
  </w:abstractNum>
  <w:abstractNum w:abstractNumId="16">
    <w:nsid w:val="00000025"/>
    <w:multiLevelType w:val="singleLevel"/>
    <w:tmpl w:val="00000025"/>
    <w:name w:val="WW8Num36"/>
    <w:lvl w:ilvl="0">
      <w:start w:val="1"/>
      <w:numFmt w:val="bullet"/>
      <w:pStyle w:val="ListDash2"/>
      <w:lvlText w:val="–"/>
      <w:lvlJc w:val="left"/>
      <w:pPr>
        <w:tabs>
          <w:tab w:val="num" w:pos="1134"/>
        </w:tabs>
        <w:ind w:left="1134" w:hanging="283"/>
      </w:pPr>
      <w:rPr>
        <w:rFonts w:ascii="Times New Roman" w:hAnsi="Times New Roman" w:cs="Symbol" w:hint="default"/>
      </w:rPr>
    </w:lvl>
  </w:abstractNum>
  <w:abstractNum w:abstractNumId="17">
    <w:nsid w:val="00000026"/>
    <w:multiLevelType w:val="singleLevel"/>
    <w:tmpl w:val="00000026"/>
    <w:name w:val="WW8Num37"/>
    <w:lvl w:ilvl="0">
      <w:start w:val="1"/>
      <w:numFmt w:val="decimal"/>
      <w:pStyle w:val="Considrant"/>
      <w:lvlText w:val="(%1)"/>
      <w:lvlJc w:val="left"/>
      <w:pPr>
        <w:tabs>
          <w:tab w:val="num" w:pos="709"/>
        </w:tabs>
        <w:ind w:left="709" w:hanging="709"/>
      </w:pPr>
      <w:rPr>
        <w:rFonts w:ascii="Times New Roman" w:hAnsi="Times New Roman" w:cs="Times New Roman"/>
      </w:rPr>
    </w:lvl>
  </w:abstractNum>
  <w:abstractNum w:abstractNumId="18">
    <w:nsid w:val="00000027"/>
    <w:multiLevelType w:val="multilevel"/>
    <w:tmpl w:val="00000027"/>
    <w:name w:val="WW8Num38"/>
    <w:lvl w:ilvl="0">
      <w:start w:val="1"/>
      <w:numFmt w:val="decimal"/>
      <w:pStyle w:val="ListNumber"/>
      <w:lvlText w:val="(%1)"/>
      <w:lvlJc w:val="left"/>
      <w:pPr>
        <w:tabs>
          <w:tab w:val="num" w:pos="709"/>
        </w:tabs>
        <w:ind w:left="709" w:hanging="709"/>
      </w:pPr>
    </w:lvl>
    <w:lvl w:ilvl="1">
      <w:start w:val="1"/>
      <w:numFmt w:val="lowerLetter"/>
      <w:lvlText w:val="(%2)"/>
      <w:lvlJc w:val="left"/>
      <w:pPr>
        <w:tabs>
          <w:tab w:val="num" w:pos="1417"/>
        </w:tabs>
        <w:ind w:left="1417" w:hanging="708"/>
      </w:pPr>
    </w:lvl>
    <w:lvl w:ilvl="2">
      <w:start w:val="1"/>
      <w:numFmt w:val="bullet"/>
      <w:lvlText w:val="–"/>
      <w:lvlJc w:val="left"/>
      <w:pPr>
        <w:tabs>
          <w:tab w:val="num" w:pos="2126"/>
        </w:tabs>
        <w:ind w:left="2126" w:hanging="709"/>
      </w:pPr>
      <w:rPr>
        <w:rFonts w:ascii="Times New Roman" w:hAnsi="Times New Roman"/>
      </w:rPr>
    </w:lvl>
    <w:lvl w:ilvl="3">
      <w:start w:val="1"/>
      <w:numFmt w:val="bullet"/>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00000028"/>
    <w:multiLevelType w:val="singleLevel"/>
    <w:tmpl w:val="00000028"/>
    <w:name w:val="WW8Num39"/>
    <w:lvl w:ilvl="0">
      <w:start w:val="1"/>
      <w:numFmt w:val="bullet"/>
      <w:pStyle w:val="ListDash1"/>
      <w:lvlText w:val="–"/>
      <w:lvlJc w:val="left"/>
      <w:pPr>
        <w:tabs>
          <w:tab w:val="num" w:pos="1134"/>
        </w:tabs>
        <w:ind w:left="1134" w:hanging="283"/>
      </w:pPr>
      <w:rPr>
        <w:rFonts w:ascii="Times New Roman" w:hAnsi="Times New Roman"/>
      </w:rPr>
    </w:lvl>
  </w:abstractNum>
  <w:abstractNum w:abstractNumId="20">
    <w:nsid w:val="0000002A"/>
    <w:multiLevelType w:val="singleLevel"/>
    <w:tmpl w:val="0000002A"/>
    <w:name w:val="WW8Num41"/>
    <w:lvl w:ilvl="0">
      <w:start w:val="1"/>
      <w:numFmt w:val="bullet"/>
      <w:pStyle w:val="ListBullet1"/>
      <w:lvlText w:val=""/>
      <w:lvlJc w:val="left"/>
      <w:pPr>
        <w:tabs>
          <w:tab w:val="num" w:pos="1134"/>
        </w:tabs>
        <w:ind w:left="1134" w:hanging="283"/>
      </w:pPr>
      <w:rPr>
        <w:rFonts w:ascii="Symbol" w:hAnsi="Symbol" w:cs="Times New Roman"/>
      </w:rPr>
    </w:lvl>
  </w:abstractNum>
  <w:abstractNum w:abstractNumId="21">
    <w:nsid w:val="0000002C"/>
    <w:multiLevelType w:val="singleLevel"/>
    <w:tmpl w:val="0000002C"/>
    <w:name w:val="WW8Num43"/>
    <w:lvl w:ilvl="0">
      <w:start w:val="1"/>
      <w:numFmt w:val="bullet"/>
      <w:lvlText w:val=""/>
      <w:lvlJc w:val="left"/>
      <w:pPr>
        <w:tabs>
          <w:tab w:val="num" w:pos="567"/>
        </w:tabs>
        <w:ind w:left="567" w:hanging="283"/>
      </w:pPr>
      <w:rPr>
        <w:rFonts w:ascii="Symbol" w:hAnsi="Symbol" w:cs="Symbol" w:hint="default"/>
      </w:rPr>
    </w:lvl>
  </w:abstractNum>
  <w:abstractNum w:abstractNumId="22">
    <w:nsid w:val="00000030"/>
    <w:multiLevelType w:val="singleLevel"/>
    <w:tmpl w:val="00000030"/>
    <w:name w:val="WW8Num47"/>
    <w:lvl w:ilvl="0">
      <w:start w:val="1"/>
      <w:numFmt w:val="bullet"/>
      <w:pStyle w:val="ListDash3"/>
      <w:lvlText w:val="–"/>
      <w:lvlJc w:val="left"/>
      <w:pPr>
        <w:tabs>
          <w:tab w:val="num" w:pos="1134"/>
        </w:tabs>
        <w:ind w:left="1134" w:hanging="283"/>
      </w:pPr>
      <w:rPr>
        <w:rFonts w:ascii="Times New Roman" w:hAnsi="Times New Roman" w:cs="Times New Roman" w:hint="default"/>
      </w:rPr>
    </w:lvl>
  </w:abstractNum>
  <w:abstractNum w:abstractNumId="23">
    <w:nsid w:val="00000031"/>
    <w:multiLevelType w:val="multilevel"/>
    <w:tmpl w:val="00000031"/>
    <w:name w:val="WW8Num48"/>
    <w:lvl w:ilvl="0">
      <w:start w:val="1"/>
      <w:numFmt w:val="decimal"/>
      <w:pStyle w:val="ListNumber1"/>
      <w:lvlText w:val="(%1)"/>
      <w:lvlJc w:val="left"/>
      <w:pPr>
        <w:tabs>
          <w:tab w:val="num" w:pos="1560"/>
        </w:tabs>
        <w:ind w:left="1560" w:hanging="709"/>
      </w:pPr>
      <w:rPr>
        <w:rFonts w:ascii="Symbol" w:eastAsia="Verdana" w:hAnsi="Symbol" w:cs="Symbol" w:hint="default"/>
      </w:rPr>
    </w:lvl>
    <w:lvl w:ilvl="1">
      <w:start w:val="1"/>
      <w:numFmt w:val="lowerLetter"/>
      <w:lvlText w:val="(%2)"/>
      <w:lvlJc w:val="left"/>
      <w:pPr>
        <w:tabs>
          <w:tab w:val="num" w:pos="2268"/>
        </w:tabs>
        <w:ind w:left="2268" w:hanging="708"/>
      </w:pPr>
      <w:rPr>
        <w:rFonts w:ascii="Courier New" w:hAnsi="Courier New" w:cs="Courier New" w:hint="default"/>
      </w:rPr>
    </w:lvl>
    <w:lvl w:ilvl="2">
      <w:start w:val="1"/>
      <w:numFmt w:val="bullet"/>
      <w:lvlText w:val="–"/>
      <w:lvlJc w:val="left"/>
      <w:pPr>
        <w:tabs>
          <w:tab w:val="num" w:pos="2977"/>
        </w:tabs>
        <w:ind w:left="2977" w:hanging="709"/>
      </w:pPr>
      <w:rPr>
        <w:rFonts w:ascii="Times New Roman" w:hAnsi="Times New Roman" w:cs="Wingdings" w:hint="default"/>
      </w:rPr>
    </w:lvl>
    <w:lvl w:ilvl="3">
      <w:start w:val="1"/>
      <w:numFmt w:val="bullet"/>
      <w:lvlText w:val=""/>
      <w:lvlJc w:val="left"/>
      <w:pPr>
        <w:tabs>
          <w:tab w:val="num" w:pos="3686"/>
        </w:tabs>
        <w:ind w:left="3686" w:hanging="709"/>
      </w:pPr>
      <w:rPr>
        <w:rFonts w:ascii="Symbol" w:hAnsi="Symbol" w:cs="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00000032"/>
    <w:multiLevelType w:val="multilevel"/>
    <w:tmpl w:val="00000032"/>
    <w:name w:val="WW8Num49"/>
    <w:lvl w:ilvl="0">
      <w:start w:val="1"/>
      <w:numFmt w:val="decimal"/>
      <w:pStyle w:val="NumPar1"/>
      <w:lvlText w:val="%1."/>
      <w:lvlJc w:val="left"/>
      <w:pPr>
        <w:tabs>
          <w:tab w:val="num" w:pos="850"/>
        </w:tabs>
        <w:ind w:left="850" w:hanging="850"/>
      </w:pPr>
      <w:rPr>
        <w:rFonts w:ascii="Times New Roman" w:hAnsi="Times New Roman" w:cs="Times New Roman"/>
      </w:r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nsid w:val="00000033"/>
    <w:multiLevelType w:val="singleLevel"/>
    <w:tmpl w:val="00000033"/>
    <w:name w:val="WW8Num50"/>
    <w:lvl w:ilvl="0">
      <w:start w:val="1"/>
      <w:numFmt w:val="bullet"/>
      <w:pStyle w:val="ListDash4"/>
      <w:lvlText w:val="–"/>
      <w:lvlJc w:val="left"/>
      <w:pPr>
        <w:tabs>
          <w:tab w:val="num" w:pos="1134"/>
        </w:tabs>
        <w:ind w:left="1134" w:hanging="283"/>
      </w:pPr>
      <w:rPr>
        <w:rFonts w:ascii="Times New Roman" w:hAnsi="Times New Roman"/>
      </w:rPr>
    </w:lvl>
  </w:abstractNum>
  <w:abstractNum w:abstractNumId="26">
    <w:nsid w:val="00000035"/>
    <w:multiLevelType w:val="singleLevel"/>
    <w:tmpl w:val="00000035"/>
    <w:name w:val="WW8Num52"/>
    <w:lvl w:ilvl="0">
      <w:start w:val="1"/>
      <w:numFmt w:val="bullet"/>
      <w:pStyle w:val="ListBullet4"/>
      <w:lvlText w:val=""/>
      <w:lvlJc w:val="left"/>
      <w:pPr>
        <w:tabs>
          <w:tab w:val="num" w:pos="1134"/>
        </w:tabs>
        <w:ind w:left="1134" w:hanging="283"/>
      </w:pPr>
      <w:rPr>
        <w:rFonts w:ascii="Symbol" w:hAnsi="Symbol" w:cs="Times New Roman"/>
      </w:rPr>
    </w:lvl>
  </w:abstractNum>
  <w:abstractNum w:abstractNumId="27">
    <w:nsid w:val="00000038"/>
    <w:multiLevelType w:val="multilevel"/>
    <w:tmpl w:val="00000038"/>
    <w:name w:val="WW8Num55"/>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8">
    <w:nsid w:val="01362915"/>
    <w:multiLevelType w:val="multilevel"/>
    <w:tmpl w:val="6C440FE6"/>
    <w:styleLink w:val="LFO4"/>
    <w:lvl w:ilvl="0">
      <w:numFmt w:val="bullet"/>
      <w:lvlText w:val="–"/>
      <w:lvlJc w:val="left"/>
      <w:pPr>
        <w:ind w:left="2551" w:hanging="567"/>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29">
    <w:nsid w:val="014C6BDB"/>
    <w:multiLevelType w:val="hybridMultilevel"/>
    <w:tmpl w:val="066487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nsid w:val="01541DD2"/>
    <w:multiLevelType w:val="multilevel"/>
    <w:tmpl w:val="7608917E"/>
    <w:styleLink w:val="LFO18"/>
    <w:lvl w:ilvl="0">
      <w:start w:val="1"/>
      <w:numFmt w:val="decimal"/>
      <w:lvlText w:val="(%1)"/>
      <w:lvlJc w:val="left"/>
      <w:pPr>
        <w:ind w:left="709" w:hanging="709"/>
      </w:pPr>
    </w:lvl>
    <w:lvl w:ilvl="1">
      <w:start w:val="1"/>
      <w:numFmt w:val="lowerLetter"/>
      <w:lvlText w:val="(%2)"/>
      <w:lvlJc w:val="left"/>
      <w:pPr>
        <w:ind w:left="1417" w:hanging="708"/>
      </w:pPr>
    </w:lvl>
    <w:lvl w:ilvl="2">
      <w:numFmt w:val="bullet"/>
      <w:lvlText w:val="–"/>
      <w:lvlJc w:val="left"/>
      <w:pPr>
        <w:ind w:left="2126" w:hanging="709"/>
      </w:pPr>
      <w:rPr>
        <w:rFonts w:ascii="Times New Roman" w:hAnsi="Times New Roman" w:cs="Times New Roman"/>
      </w:rPr>
    </w:lvl>
    <w:lvl w:ilvl="3">
      <w:numFmt w:val="bullet"/>
      <w:lvlText w:val=""/>
      <w:lvlJc w:val="left"/>
      <w:pPr>
        <w:ind w:left="2835" w:hanging="709"/>
      </w:pPr>
      <w:rPr>
        <w:rFonts w:ascii="Symbol" w:hAnsi="Symbol"/>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01717A77"/>
    <w:multiLevelType w:val="multilevel"/>
    <w:tmpl w:val="FEB633DA"/>
    <w:styleLink w:val="WWOutlineListStyle"/>
    <w:lvl w:ilvl="0">
      <w:start w:val="1"/>
      <w:numFmt w:val="decimal"/>
      <w:lvlText w:val="%1."/>
      <w:lvlJc w:val="left"/>
      <w:pPr>
        <w:ind w:left="850" w:hanging="850"/>
      </w:pPr>
    </w:lvl>
    <w:lvl w:ilvl="1">
      <w:start w:val="1"/>
      <w:numFmt w:val="decimal"/>
      <w:lvlText w:val="%1.%2."/>
      <w:lvlJc w:val="left"/>
      <w:pPr>
        <w:ind w:left="1701" w:hanging="850"/>
      </w:pPr>
    </w:lvl>
    <w:lvl w:ilvl="2">
      <w:start w:val="1"/>
      <w:numFmt w:val="decimal"/>
      <w:lvlText w:val="%1.%2.%3."/>
      <w:lvlJc w:val="left"/>
      <w:pPr>
        <w:ind w:left="850" w:hanging="850"/>
      </w:pPr>
    </w:lvl>
    <w:lvl w:ilvl="3">
      <w:start w:val="1"/>
      <w:numFmt w:val="decimal"/>
      <w:lvlText w:val="%1.%2.%3.%4."/>
      <w:lvlJc w:val="left"/>
      <w:pPr>
        <w:ind w:left="850" w:hanging="850"/>
      </w:pPr>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2">
    <w:nsid w:val="0382396E"/>
    <w:multiLevelType w:val="hybridMultilevel"/>
    <w:tmpl w:val="82685416"/>
    <w:lvl w:ilvl="0" w:tplc="62B411B6">
      <w:start w:val="1"/>
      <w:numFmt w:val="decimal"/>
      <w:pStyle w:val="Enumbering"/>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03C834B4"/>
    <w:multiLevelType w:val="hybridMultilevel"/>
    <w:tmpl w:val="5004FE4A"/>
    <w:lvl w:ilvl="0" w:tplc="01FA4468">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04C7750C"/>
    <w:multiLevelType w:val="hybridMultilevel"/>
    <w:tmpl w:val="59C68D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054A2261"/>
    <w:multiLevelType w:val="hybridMultilevel"/>
    <w:tmpl w:val="EDEAB1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nsid w:val="056C235A"/>
    <w:multiLevelType w:val="hybridMultilevel"/>
    <w:tmpl w:val="129E982E"/>
    <w:numStyleLink w:val="ImportedStyle3"/>
  </w:abstractNum>
  <w:abstractNum w:abstractNumId="37">
    <w:nsid w:val="08816BD6"/>
    <w:multiLevelType w:val="hybridMultilevel"/>
    <w:tmpl w:val="1640EB34"/>
    <w:numStyleLink w:val="ImportedStyle9"/>
  </w:abstractNum>
  <w:abstractNum w:abstractNumId="38">
    <w:nsid w:val="09AF3A4D"/>
    <w:multiLevelType w:val="hybridMultilevel"/>
    <w:tmpl w:val="FF54D748"/>
    <w:lvl w:ilvl="0" w:tplc="A0EE43A2">
      <w:start w:val="1"/>
      <w:numFmt w:val="bullet"/>
      <w:pStyle w:val="JRCTextbulletedlist1"/>
      <w:lvlText w:val="—"/>
      <w:lvlJc w:val="left"/>
      <w:pPr>
        <w:ind w:left="360" w:hanging="360"/>
      </w:pPr>
      <w:rPr>
        <w:rFonts w:ascii="Times New Roman" w:hAnsi="Times New Roman"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nsid w:val="0B1543D2"/>
    <w:multiLevelType w:val="multilevel"/>
    <w:tmpl w:val="19505C68"/>
    <w:styleLink w:val="LFO21"/>
    <w:lvl w:ilvl="0">
      <w:start w:val="1"/>
      <w:numFmt w:val="decimal"/>
      <w:lvlText w:val="(%1)"/>
      <w:lvlJc w:val="left"/>
      <w:pPr>
        <w:ind w:left="1560" w:hanging="709"/>
      </w:pPr>
    </w:lvl>
    <w:lvl w:ilvl="1">
      <w:start w:val="1"/>
      <w:numFmt w:val="lowerLetter"/>
      <w:lvlText w:val="(%2)"/>
      <w:lvlJc w:val="left"/>
      <w:pPr>
        <w:ind w:left="2268" w:hanging="708"/>
      </w:pPr>
    </w:lvl>
    <w:lvl w:ilvl="2">
      <w:numFmt w:val="bullet"/>
      <w:lvlText w:val="–"/>
      <w:lvlJc w:val="left"/>
      <w:pPr>
        <w:ind w:left="2977" w:hanging="709"/>
      </w:pPr>
      <w:rPr>
        <w:rFonts w:ascii="Times New Roman" w:hAnsi="Times New Roman" w:cs="Times New Roman"/>
      </w:rPr>
    </w:lvl>
    <w:lvl w:ilvl="3">
      <w:numFmt w:val="bullet"/>
      <w:lvlText w:val=""/>
      <w:lvlJc w:val="left"/>
      <w:pPr>
        <w:ind w:left="3686" w:hanging="709"/>
      </w:pPr>
      <w:rPr>
        <w:rFonts w:ascii="Symbol" w:hAnsi="Symbol"/>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nsid w:val="0B7670E6"/>
    <w:multiLevelType w:val="hybridMultilevel"/>
    <w:tmpl w:val="C6BCB7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0C2D3953"/>
    <w:multiLevelType w:val="hybridMultilevel"/>
    <w:tmpl w:val="B2D66048"/>
    <w:lvl w:ilvl="0" w:tplc="7728A15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0CFD7AD9"/>
    <w:multiLevelType w:val="multilevel"/>
    <w:tmpl w:val="28B2803E"/>
    <w:styleLink w:val="CowiBulletList"/>
    <w:lvl w:ilvl="0">
      <w:start w:val="1"/>
      <w:numFmt w:val="bullet"/>
      <w:lvlText w:val="›"/>
      <w:lvlJc w:val="left"/>
      <w:pPr>
        <w:tabs>
          <w:tab w:val="num" w:pos="425"/>
        </w:tabs>
        <w:ind w:left="425" w:hanging="425"/>
      </w:pPr>
      <w:rPr>
        <w:color w:val="F04E23"/>
        <w:position w:val="0"/>
        <w:sz w:val="24"/>
      </w:rPr>
    </w:lvl>
    <w:lvl w:ilvl="1">
      <w:start w:val="1"/>
      <w:numFmt w:val="bullet"/>
      <w:lvlText w:val="›"/>
      <w:lvlJc w:val="left"/>
      <w:pPr>
        <w:tabs>
          <w:tab w:val="num" w:pos="851"/>
        </w:tabs>
        <w:ind w:left="851" w:hanging="426"/>
      </w:pPr>
      <w:rPr>
        <w:color w:val="333333"/>
        <w:position w:val="0"/>
        <w:sz w:val="24"/>
      </w:rPr>
    </w:lvl>
    <w:lvl w:ilvl="2">
      <w:start w:val="1"/>
      <w:numFmt w:val="bullet"/>
      <w:lvlText w:val="›"/>
      <w:lvlJc w:val="left"/>
      <w:pPr>
        <w:tabs>
          <w:tab w:val="num" w:pos="1276"/>
        </w:tabs>
        <w:ind w:left="1276" w:hanging="425"/>
      </w:pPr>
      <w:rPr>
        <w:color w:val="333333"/>
        <w:position w:val="0"/>
        <w:sz w:val="24"/>
      </w:rPr>
    </w:lvl>
    <w:lvl w:ilvl="3">
      <w:start w:val="1"/>
      <w:numFmt w:val="bullet"/>
      <w:lvlText w:val="-"/>
      <w:lvlJc w:val="left"/>
      <w:pPr>
        <w:tabs>
          <w:tab w:val="num" w:pos="1701"/>
        </w:tabs>
        <w:ind w:left="1701" w:hanging="425"/>
      </w:p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43">
    <w:nsid w:val="0D3E3F92"/>
    <w:multiLevelType w:val="multilevel"/>
    <w:tmpl w:val="21A644B8"/>
    <w:styleLink w:val="LFO19"/>
    <w:lvl w:ilvl="0">
      <w:start w:val="1"/>
      <w:numFmt w:val="decimal"/>
      <w:lvlText w:val="(%1)"/>
      <w:lvlJc w:val="left"/>
      <w:pPr>
        <w:ind w:left="1560" w:hanging="709"/>
      </w:pPr>
    </w:lvl>
    <w:lvl w:ilvl="1">
      <w:start w:val="1"/>
      <w:numFmt w:val="lowerLetter"/>
      <w:lvlText w:val="(%2)"/>
      <w:lvlJc w:val="left"/>
      <w:pPr>
        <w:ind w:left="2268" w:hanging="708"/>
      </w:pPr>
    </w:lvl>
    <w:lvl w:ilvl="2">
      <w:numFmt w:val="bullet"/>
      <w:lvlText w:val="–"/>
      <w:lvlJc w:val="left"/>
      <w:pPr>
        <w:ind w:left="2977" w:hanging="709"/>
      </w:pPr>
      <w:rPr>
        <w:rFonts w:ascii="Times New Roman" w:hAnsi="Times New Roman" w:cs="Times New Roman"/>
      </w:rPr>
    </w:lvl>
    <w:lvl w:ilvl="3">
      <w:numFmt w:val="bullet"/>
      <w:lvlText w:val=""/>
      <w:lvlJc w:val="left"/>
      <w:pPr>
        <w:ind w:left="3686" w:hanging="709"/>
      </w:pPr>
      <w:rPr>
        <w:rFonts w:ascii="Symbol" w:hAnsi="Symbol"/>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nsid w:val="0DD3002E"/>
    <w:multiLevelType w:val="hybridMultilevel"/>
    <w:tmpl w:val="149E4A5C"/>
    <w:lvl w:ilvl="0" w:tplc="01FA4468">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0E4A5EAC"/>
    <w:multiLevelType w:val="hybridMultilevel"/>
    <w:tmpl w:val="49801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0EA33D82"/>
    <w:multiLevelType w:val="hybridMultilevel"/>
    <w:tmpl w:val="E8FEF4A0"/>
    <w:lvl w:ilvl="0" w:tplc="08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104A2C2F"/>
    <w:multiLevelType w:val="hybridMultilevel"/>
    <w:tmpl w:val="74822E76"/>
    <w:styleLink w:val="ImportedStyle7"/>
    <w:lvl w:ilvl="0" w:tplc="D53E3B7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5026E82">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C34499C">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E5E940C">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0C23816">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2187016">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0FA28F6">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460B40C">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1C83DD0">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8">
    <w:nsid w:val="11A21BA5"/>
    <w:multiLevelType w:val="hybridMultilevel"/>
    <w:tmpl w:val="BB9E406E"/>
    <w:lvl w:ilvl="0" w:tplc="A0EE43A2">
      <w:start w:val="1"/>
      <w:numFmt w:val="bullet"/>
      <w:lvlText w:val="—"/>
      <w:lvlJc w:val="left"/>
      <w:pPr>
        <w:ind w:left="360" w:hanging="360"/>
      </w:pPr>
      <w:rPr>
        <w:rFonts w:ascii="Times New Roman" w:hAnsi="Times New Roman" w:cs="Times New Roman" w:hint="default"/>
      </w:rPr>
    </w:lvl>
    <w:lvl w:ilvl="1" w:tplc="4480544E">
      <w:start w:val="1"/>
      <w:numFmt w:val="bullet"/>
      <w:pStyle w:val="JRCTextbulletedlist2"/>
      <w:lvlText w:val="●"/>
      <w:lvlJc w:val="left"/>
      <w:pPr>
        <w:ind w:left="1080" w:hanging="360"/>
      </w:pPr>
      <w:rPr>
        <w:rFonts w:ascii="Verdana" w:hAnsi="Verdana"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nsid w:val="11D83EB3"/>
    <w:multiLevelType w:val="hybridMultilevel"/>
    <w:tmpl w:val="E0802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11EA7D2A"/>
    <w:multiLevelType w:val="hybridMultilevel"/>
    <w:tmpl w:val="15247274"/>
    <w:lvl w:ilvl="0" w:tplc="54E0AC7A">
      <w:start w:val="1"/>
      <w:numFmt w:val="bullet"/>
      <w:pStyle w:val="JRCBoxbulletlist"/>
      <w:lvlText w:val="—"/>
      <w:lvlJc w:val="left"/>
      <w:pPr>
        <w:ind w:left="720" w:hanging="360"/>
      </w:pPr>
      <w:rPr>
        <w:rFonts w:ascii="Verdana" w:hAnsi="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nsid w:val="12340AB0"/>
    <w:multiLevelType w:val="hybridMultilevel"/>
    <w:tmpl w:val="C7664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13863EC9"/>
    <w:multiLevelType w:val="hybridMultilevel"/>
    <w:tmpl w:val="ABCE828A"/>
    <w:lvl w:ilvl="0" w:tplc="01FA4468">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13D04DEF"/>
    <w:multiLevelType w:val="hybridMultilevel"/>
    <w:tmpl w:val="3D3A4A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nsid w:val="15010435"/>
    <w:multiLevelType w:val="hybridMultilevel"/>
    <w:tmpl w:val="398E48DA"/>
    <w:lvl w:ilvl="0" w:tplc="47C22B48">
      <w:start w:val="1"/>
      <w:numFmt w:val="bullet"/>
      <w:pStyle w:val="EBP2"/>
      <w:lvlText w:val=""/>
      <w:lvlJc w:val="left"/>
      <w:pPr>
        <w:ind w:left="5334" w:hanging="360"/>
      </w:pPr>
      <w:rPr>
        <w:rFonts w:ascii="Symbol" w:hAnsi="Symbol" w:hint="default"/>
      </w:rPr>
    </w:lvl>
    <w:lvl w:ilvl="1" w:tplc="CC02DFFC">
      <w:numFmt w:val="bullet"/>
      <w:lvlText w:val="-"/>
      <w:lvlJc w:val="left"/>
      <w:pPr>
        <w:ind w:left="2160" w:hanging="360"/>
      </w:pPr>
      <w:rPr>
        <w:rFonts w:ascii="Arial" w:eastAsia="Times New Roman" w:hAnsi="Arial" w:cs="Arial" w:hint="default"/>
      </w:rPr>
    </w:lvl>
    <w:lvl w:ilvl="2" w:tplc="E43A09F6" w:tentative="1">
      <w:start w:val="1"/>
      <w:numFmt w:val="bullet"/>
      <w:lvlText w:val=""/>
      <w:lvlJc w:val="left"/>
      <w:pPr>
        <w:ind w:left="2880" w:hanging="360"/>
      </w:pPr>
      <w:rPr>
        <w:rFonts w:ascii="Wingdings" w:hAnsi="Wingdings" w:hint="default"/>
      </w:rPr>
    </w:lvl>
    <w:lvl w:ilvl="3" w:tplc="91F4CC82" w:tentative="1">
      <w:start w:val="1"/>
      <w:numFmt w:val="bullet"/>
      <w:lvlText w:val=""/>
      <w:lvlJc w:val="left"/>
      <w:pPr>
        <w:ind w:left="3600" w:hanging="360"/>
      </w:pPr>
      <w:rPr>
        <w:rFonts w:ascii="Symbol" w:hAnsi="Symbol" w:hint="default"/>
      </w:rPr>
    </w:lvl>
    <w:lvl w:ilvl="4" w:tplc="53008150" w:tentative="1">
      <w:start w:val="1"/>
      <w:numFmt w:val="bullet"/>
      <w:lvlText w:val="o"/>
      <w:lvlJc w:val="left"/>
      <w:pPr>
        <w:ind w:left="4320" w:hanging="360"/>
      </w:pPr>
      <w:rPr>
        <w:rFonts w:ascii="Courier New" w:hAnsi="Courier New" w:cs="Courier New" w:hint="default"/>
      </w:rPr>
    </w:lvl>
    <w:lvl w:ilvl="5" w:tplc="4B1CDAF0" w:tentative="1">
      <w:start w:val="1"/>
      <w:numFmt w:val="bullet"/>
      <w:lvlText w:val=""/>
      <w:lvlJc w:val="left"/>
      <w:pPr>
        <w:ind w:left="5040" w:hanging="360"/>
      </w:pPr>
      <w:rPr>
        <w:rFonts w:ascii="Wingdings" w:hAnsi="Wingdings" w:hint="default"/>
      </w:rPr>
    </w:lvl>
    <w:lvl w:ilvl="6" w:tplc="C43CD7E4" w:tentative="1">
      <w:start w:val="1"/>
      <w:numFmt w:val="bullet"/>
      <w:lvlText w:val=""/>
      <w:lvlJc w:val="left"/>
      <w:pPr>
        <w:ind w:left="5760" w:hanging="360"/>
      </w:pPr>
      <w:rPr>
        <w:rFonts w:ascii="Symbol" w:hAnsi="Symbol" w:hint="default"/>
      </w:rPr>
    </w:lvl>
    <w:lvl w:ilvl="7" w:tplc="02D276A0" w:tentative="1">
      <w:start w:val="1"/>
      <w:numFmt w:val="bullet"/>
      <w:lvlText w:val="o"/>
      <w:lvlJc w:val="left"/>
      <w:pPr>
        <w:ind w:left="6480" w:hanging="360"/>
      </w:pPr>
      <w:rPr>
        <w:rFonts w:ascii="Courier New" w:hAnsi="Courier New" w:cs="Courier New" w:hint="default"/>
      </w:rPr>
    </w:lvl>
    <w:lvl w:ilvl="8" w:tplc="3EC095A0" w:tentative="1">
      <w:start w:val="1"/>
      <w:numFmt w:val="bullet"/>
      <w:lvlText w:val=""/>
      <w:lvlJc w:val="left"/>
      <w:pPr>
        <w:ind w:left="7200" w:hanging="360"/>
      </w:pPr>
      <w:rPr>
        <w:rFonts w:ascii="Wingdings" w:hAnsi="Wingdings" w:hint="default"/>
      </w:rPr>
    </w:lvl>
  </w:abstractNum>
  <w:abstractNum w:abstractNumId="55">
    <w:nsid w:val="16514971"/>
    <w:multiLevelType w:val="hybridMultilevel"/>
    <w:tmpl w:val="38744220"/>
    <w:lvl w:ilvl="0" w:tplc="C52A733C">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6">
    <w:nsid w:val="166554F7"/>
    <w:multiLevelType w:val="hybridMultilevel"/>
    <w:tmpl w:val="C27CB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19737744"/>
    <w:multiLevelType w:val="hybridMultilevel"/>
    <w:tmpl w:val="72E40D82"/>
    <w:lvl w:ilvl="0" w:tplc="01FA4468">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198128BA"/>
    <w:multiLevelType w:val="multilevel"/>
    <w:tmpl w:val="5DEA358C"/>
    <w:styleLink w:val="LFO8"/>
    <w:lvl w:ilvl="0">
      <w:numFmt w:val="bullet"/>
      <w:lvlText w:val=""/>
      <w:lvlJc w:val="left"/>
      <w:pPr>
        <w:ind w:left="567" w:hanging="283"/>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59">
    <w:nsid w:val="1B042BA4"/>
    <w:multiLevelType w:val="hybridMultilevel"/>
    <w:tmpl w:val="BBDEBE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nsid w:val="1B571A91"/>
    <w:multiLevelType w:val="multilevel"/>
    <w:tmpl w:val="BEFA0B7C"/>
    <w:styleLink w:val="LFO28"/>
    <w:lvl w:ilvl="0">
      <w:numFmt w:val="bullet"/>
      <w:lvlText w:val=""/>
      <w:lvlJc w:val="left"/>
      <w:pPr>
        <w:ind w:left="2631" w:hanging="360"/>
      </w:pPr>
      <w:rPr>
        <w:rFonts w:ascii="Wingdings 3" w:hAnsi="Wingdings 3"/>
        <w:color w:val="C0504D"/>
        <w:sz w:val="20"/>
      </w:rPr>
    </w:lvl>
    <w:lvl w:ilvl="1">
      <w:numFmt w:val="bullet"/>
      <w:lvlText w:val="o"/>
      <w:lvlJc w:val="left"/>
      <w:pPr>
        <w:ind w:left="2860" w:hanging="360"/>
      </w:pPr>
      <w:rPr>
        <w:rFonts w:ascii="Courier New" w:hAnsi="Courier New" w:cs="Courier New"/>
      </w:rPr>
    </w:lvl>
    <w:lvl w:ilvl="2">
      <w:numFmt w:val="bullet"/>
      <w:lvlText w:val=""/>
      <w:lvlJc w:val="left"/>
      <w:pPr>
        <w:ind w:left="3580" w:hanging="360"/>
      </w:pPr>
      <w:rPr>
        <w:rFonts w:ascii="Wingdings" w:hAnsi="Wingdings"/>
      </w:rPr>
    </w:lvl>
    <w:lvl w:ilvl="3">
      <w:numFmt w:val="bullet"/>
      <w:lvlText w:val=""/>
      <w:lvlJc w:val="left"/>
      <w:pPr>
        <w:ind w:left="4300" w:hanging="360"/>
      </w:pPr>
      <w:rPr>
        <w:rFonts w:ascii="Symbol" w:hAnsi="Symbol"/>
      </w:rPr>
    </w:lvl>
    <w:lvl w:ilvl="4">
      <w:numFmt w:val="bullet"/>
      <w:lvlText w:val="o"/>
      <w:lvlJc w:val="left"/>
      <w:pPr>
        <w:ind w:left="5020" w:hanging="360"/>
      </w:pPr>
      <w:rPr>
        <w:rFonts w:ascii="Courier New" w:hAnsi="Courier New" w:cs="Courier New"/>
      </w:rPr>
    </w:lvl>
    <w:lvl w:ilvl="5">
      <w:numFmt w:val="bullet"/>
      <w:lvlText w:val=""/>
      <w:lvlJc w:val="left"/>
      <w:pPr>
        <w:ind w:left="5740" w:hanging="360"/>
      </w:pPr>
      <w:rPr>
        <w:rFonts w:ascii="Wingdings" w:hAnsi="Wingdings"/>
      </w:rPr>
    </w:lvl>
    <w:lvl w:ilvl="6">
      <w:numFmt w:val="bullet"/>
      <w:lvlText w:val=""/>
      <w:lvlJc w:val="left"/>
      <w:pPr>
        <w:ind w:left="6460" w:hanging="360"/>
      </w:pPr>
      <w:rPr>
        <w:rFonts w:ascii="Symbol" w:hAnsi="Symbol"/>
      </w:rPr>
    </w:lvl>
    <w:lvl w:ilvl="7">
      <w:numFmt w:val="bullet"/>
      <w:lvlText w:val="o"/>
      <w:lvlJc w:val="left"/>
      <w:pPr>
        <w:ind w:left="7180" w:hanging="360"/>
      </w:pPr>
      <w:rPr>
        <w:rFonts w:ascii="Courier New" w:hAnsi="Courier New" w:cs="Courier New"/>
      </w:rPr>
    </w:lvl>
    <w:lvl w:ilvl="8">
      <w:numFmt w:val="bullet"/>
      <w:lvlText w:val=""/>
      <w:lvlJc w:val="left"/>
      <w:pPr>
        <w:ind w:left="7900" w:hanging="360"/>
      </w:pPr>
      <w:rPr>
        <w:rFonts w:ascii="Wingdings" w:hAnsi="Wingdings"/>
      </w:rPr>
    </w:lvl>
  </w:abstractNum>
  <w:abstractNum w:abstractNumId="61">
    <w:nsid w:val="1C3301A0"/>
    <w:multiLevelType w:val="multilevel"/>
    <w:tmpl w:val="14A8EAEA"/>
    <w:styleLink w:val="LFO12"/>
    <w:lvl w:ilvl="0">
      <w:numFmt w:val="bullet"/>
      <w:lvlText w:val=""/>
      <w:lvlJc w:val="left"/>
      <w:pPr>
        <w:ind w:left="1134" w:hanging="283"/>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62">
    <w:nsid w:val="1C454CB4"/>
    <w:multiLevelType w:val="multilevel"/>
    <w:tmpl w:val="CC38F7E2"/>
    <w:styleLink w:val="LFO5"/>
    <w:lvl w:ilvl="0">
      <w:numFmt w:val="bullet"/>
      <w:lvlText w:val="–"/>
      <w:lvlJc w:val="left"/>
      <w:pPr>
        <w:ind w:left="3118" w:hanging="567"/>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63">
    <w:nsid w:val="1DB311ED"/>
    <w:multiLevelType w:val="hybridMultilevel"/>
    <w:tmpl w:val="AE8821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1DB6746B"/>
    <w:multiLevelType w:val="multilevel"/>
    <w:tmpl w:val="E864CF84"/>
    <w:styleLink w:val="LFO10"/>
    <w:lvl w:ilvl="0">
      <w:numFmt w:val="bullet"/>
      <w:lvlText w:val=""/>
      <w:lvlJc w:val="left"/>
      <w:pPr>
        <w:ind w:left="1134" w:hanging="283"/>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65">
    <w:nsid w:val="1E6A727C"/>
    <w:multiLevelType w:val="hybridMultilevel"/>
    <w:tmpl w:val="F7BCA13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6">
    <w:nsid w:val="21C247C4"/>
    <w:multiLevelType w:val="hybridMultilevel"/>
    <w:tmpl w:val="DDF82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221C531F"/>
    <w:multiLevelType w:val="hybridMultilevel"/>
    <w:tmpl w:val="083EA8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nsid w:val="23D56113"/>
    <w:multiLevelType w:val="hybridMultilevel"/>
    <w:tmpl w:val="ABF214E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9">
    <w:nsid w:val="274B24B0"/>
    <w:multiLevelType w:val="hybridMultilevel"/>
    <w:tmpl w:val="78609C16"/>
    <w:lvl w:ilvl="0" w:tplc="01FA4468">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282F56C0"/>
    <w:multiLevelType w:val="hybridMultilevel"/>
    <w:tmpl w:val="8C32D2E4"/>
    <w:lvl w:ilvl="0" w:tplc="344CAFFC">
      <w:start w:val="1"/>
      <w:numFmt w:val="decimal"/>
      <w:lvlText w:val="%1)"/>
      <w:lvlJc w:val="left"/>
      <w:pPr>
        <w:ind w:left="360" w:hanging="360"/>
      </w:pPr>
      <w:rPr>
        <w:rFonts w:ascii="Times New Roman" w:hAnsi="Times New Roman" w:hint="default"/>
        <w:b w:val="0"/>
        <w:i w:val="0"/>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1">
    <w:nsid w:val="28782D52"/>
    <w:multiLevelType w:val="multilevel"/>
    <w:tmpl w:val="BAF00272"/>
    <w:styleLink w:val="LFO6"/>
    <w:lvl w:ilvl="0">
      <w:start w:val="1"/>
      <w:numFmt w:val="decimal"/>
      <w:lvlText w:val="%1."/>
      <w:lvlJc w:val="left"/>
      <w:pPr>
        <w:ind w:left="850" w:hanging="850"/>
      </w:pPr>
    </w:lvl>
    <w:lvl w:ilvl="1">
      <w:start w:val="1"/>
      <w:numFmt w:val="decimal"/>
      <w:lvlText w:val="%1.%2."/>
      <w:lvlJc w:val="left"/>
      <w:pPr>
        <w:ind w:left="850" w:hanging="850"/>
      </w:pPr>
    </w:lvl>
    <w:lvl w:ilvl="2">
      <w:start w:val="1"/>
      <w:numFmt w:val="decimal"/>
      <w:lvlText w:val="%1.%2.%3."/>
      <w:lvlJc w:val="left"/>
      <w:pPr>
        <w:ind w:left="850" w:hanging="850"/>
      </w:pPr>
    </w:lvl>
    <w:lvl w:ilvl="3">
      <w:start w:val="1"/>
      <w:numFmt w:val="decimal"/>
      <w:lvlText w:val="%1.%2.%3.%4."/>
      <w:lvlJc w:val="left"/>
      <w:pPr>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2">
    <w:nsid w:val="28F1590E"/>
    <w:multiLevelType w:val="hybridMultilevel"/>
    <w:tmpl w:val="59884B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nsid w:val="29CF2835"/>
    <w:multiLevelType w:val="hybridMultilevel"/>
    <w:tmpl w:val="3C96BB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nsid w:val="2ACF124E"/>
    <w:multiLevelType w:val="hybridMultilevel"/>
    <w:tmpl w:val="58A8BFDE"/>
    <w:lvl w:ilvl="0" w:tplc="44B8DD18">
      <w:start w:val="1"/>
      <w:numFmt w:val="decimal"/>
      <w:pStyle w:val="JRCTextnumberedlist1"/>
      <w:lvlText w:val="%1."/>
      <w:lvlJc w:val="left"/>
      <w:pPr>
        <w:ind w:left="720" w:hanging="360"/>
      </w:pPr>
    </w:lvl>
    <w:lvl w:ilvl="1" w:tplc="4F049BF6">
      <w:start w:val="1"/>
      <w:numFmt w:val="lowerLetter"/>
      <w:pStyle w:val="JRCTextnumberedlist2"/>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5">
    <w:nsid w:val="2ACF7DB0"/>
    <w:multiLevelType w:val="multilevel"/>
    <w:tmpl w:val="203887C4"/>
    <w:lvl w:ilvl="0">
      <w:start w:val="1"/>
      <w:numFmt w:val="decimal"/>
      <w:pStyle w:val="JRCLevel-1title"/>
      <w:lvlText w:val="%1"/>
      <w:lvlJc w:val="left"/>
      <w:pPr>
        <w:ind w:left="432" w:hanging="432"/>
      </w:pPr>
      <w:rPr>
        <w:rFonts w:hint="default"/>
      </w:rPr>
    </w:lvl>
    <w:lvl w:ilvl="1">
      <w:start w:val="1"/>
      <w:numFmt w:val="decimal"/>
      <w:pStyle w:val="JRCLevel-2title"/>
      <w:lvlText w:val="%1.%2"/>
      <w:lvlJc w:val="left"/>
      <w:pPr>
        <w:ind w:left="576" w:hanging="576"/>
      </w:pPr>
      <w:rPr>
        <w:rFonts w:hint="default"/>
      </w:rPr>
    </w:lvl>
    <w:lvl w:ilvl="2">
      <w:start w:val="1"/>
      <w:numFmt w:val="decimal"/>
      <w:pStyle w:val="JRCLevel-3title"/>
      <w:lvlText w:val="%1.%2.%3"/>
      <w:lvlJc w:val="left"/>
      <w:pPr>
        <w:ind w:left="720" w:hanging="720"/>
      </w:pPr>
      <w:rPr>
        <w:rFonts w:hint="default"/>
      </w:rPr>
    </w:lvl>
    <w:lvl w:ilvl="3">
      <w:start w:val="1"/>
      <w:numFmt w:val="decimal"/>
      <w:pStyle w:val="JRCLevel-4title"/>
      <w:lvlText w:val="%1.%2.%3.%4"/>
      <w:lvlJc w:val="left"/>
      <w:pPr>
        <w:ind w:left="864" w:hanging="864"/>
      </w:pPr>
      <w:rPr>
        <w:rFonts w:hint="default"/>
      </w:rPr>
    </w:lvl>
    <w:lvl w:ilvl="4">
      <w:start w:val="1"/>
      <w:numFmt w:val="decimal"/>
      <w:pStyle w:val="JRCLevel-5titl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6">
    <w:nsid w:val="2B2C740B"/>
    <w:multiLevelType w:val="hybridMultilevel"/>
    <w:tmpl w:val="5398549C"/>
    <w:styleLink w:val="ImportedStyle2"/>
    <w:lvl w:ilvl="0" w:tplc="55040ABE">
      <w:start w:val="1"/>
      <w:numFmt w:val="upperRoman"/>
      <w:lvlText w:val="%1."/>
      <w:lvlJc w:val="left"/>
      <w:pPr>
        <w:ind w:left="357" w:hanging="335"/>
      </w:pPr>
      <w:rPr>
        <w:rFonts w:hAnsi="Arial Unicode MS"/>
        <w:b/>
        <w:bCs/>
        <w:caps w:val="0"/>
        <w:smallCaps w:val="0"/>
        <w:strike w:val="0"/>
        <w:dstrike w:val="0"/>
        <w:outline w:val="0"/>
        <w:emboss w:val="0"/>
        <w:imprint w:val="0"/>
        <w:spacing w:val="0"/>
        <w:w w:val="100"/>
        <w:kern w:val="0"/>
        <w:position w:val="0"/>
        <w:highlight w:val="none"/>
        <w:vertAlign w:val="baseline"/>
      </w:rPr>
    </w:lvl>
    <w:lvl w:ilvl="1" w:tplc="5DB41A3E">
      <w:start w:val="1"/>
      <w:numFmt w:val="upperLetter"/>
      <w:lvlText w:val="%2."/>
      <w:lvlJc w:val="left"/>
      <w:pPr>
        <w:ind w:left="935" w:hanging="215"/>
      </w:pPr>
      <w:rPr>
        <w:rFonts w:hAnsi="Arial Unicode MS"/>
        <w:b/>
        <w:bCs/>
        <w:caps w:val="0"/>
        <w:smallCaps w:val="0"/>
        <w:strike w:val="0"/>
        <w:dstrike w:val="0"/>
        <w:outline w:val="0"/>
        <w:emboss w:val="0"/>
        <w:imprint w:val="0"/>
        <w:spacing w:val="0"/>
        <w:w w:val="100"/>
        <w:kern w:val="0"/>
        <w:position w:val="0"/>
        <w:highlight w:val="none"/>
        <w:vertAlign w:val="baseline"/>
      </w:rPr>
    </w:lvl>
    <w:lvl w:ilvl="2" w:tplc="22A80882">
      <w:start w:val="1"/>
      <w:numFmt w:val="lowerRoman"/>
      <w:suff w:val="nothing"/>
      <w:lvlText w:val="%3."/>
      <w:lvlJc w:val="left"/>
      <w:pPr>
        <w:ind w:left="1655" w:hanging="155"/>
      </w:pPr>
      <w:rPr>
        <w:rFonts w:hAnsi="Arial Unicode MS"/>
        <w:b/>
        <w:bCs/>
        <w:caps w:val="0"/>
        <w:smallCaps w:val="0"/>
        <w:strike w:val="0"/>
        <w:dstrike w:val="0"/>
        <w:outline w:val="0"/>
        <w:emboss w:val="0"/>
        <w:imprint w:val="0"/>
        <w:spacing w:val="0"/>
        <w:w w:val="100"/>
        <w:kern w:val="0"/>
        <w:position w:val="0"/>
        <w:highlight w:val="none"/>
        <w:vertAlign w:val="baseline"/>
      </w:rPr>
    </w:lvl>
    <w:lvl w:ilvl="3" w:tplc="DC4CE208">
      <w:start w:val="1"/>
      <w:numFmt w:val="decimal"/>
      <w:lvlText w:val="%4."/>
      <w:lvlJc w:val="left"/>
      <w:pPr>
        <w:ind w:left="2375" w:hanging="215"/>
      </w:pPr>
      <w:rPr>
        <w:rFonts w:hAnsi="Arial Unicode MS"/>
        <w:b/>
        <w:bCs/>
        <w:caps w:val="0"/>
        <w:smallCaps w:val="0"/>
        <w:strike w:val="0"/>
        <w:dstrike w:val="0"/>
        <w:outline w:val="0"/>
        <w:emboss w:val="0"/>
        <w:imprint w:val="0"/>
        <w:spacing w:val="0"/>
        <w:w w:val="100"/>
        <w:kern w:val="0"/>
        <w:position w:val="0"/>
        <w:highlight w:val="none"/>
        <w:vertAlign w:val="baseline"/>
      </w:rPr>
    </w:lvl>
    <w:lvl w:ilvl="4" w:tplc="F0A45E30">
      <w:start w:val="1"/>
      <w:numFmt w:val="lowerLetter"/>
      <w:lvlText w:val="%5."/>
      <w:lvlJc w:val="left"/>
      <w:pPr>
        <w:ind w:left="3095" w:hanging="215"/>
      </w:pPr>
      <w:rPr>
        <w:rFonts w:hAnsi="Arial Unicode MS"/>
        <w:b/>
        <w:bCs/>
        <w:caps w:val="0"/>
        <w:smallCaps w:val="0"/>
        <w:strike w:val="0"/>
        <w:dstrike w:val="0"/>
        <w:outline w:val="0"/>
        <w:emboss w:val="0"/>
        <w:imprint w:val="0"/>
        <w:spacing w:val="0"/>
        <w:w w:val="100"/>
        <w:kern w:val="0"/>
        <w:position w:val="0"/>
        <w:highlight w:val="none"/>
        <w:vertAlign w:val="baseline"/>
      </w:rPr>
    </w:lvl>
    <w:lvl w:ilvl="5" w:tplc="EA58F5A8">
      <w:start w:val="1"/>
      <w:numFmt w:val="lowerRoman"/>
      <w:suff w:val="nothing"/>
      <w:lvlText w:val="%6."/>
      <w:lvlJc w:val="left"/>
      <w:pPr>
        <w:ind w:left="3815" w:hanging="155"/>
      </w:pPr>
      <w:rPr>
        <w:rFonts w:hAnsi="Arial Unicode MS"/>
        <w:b/>
        <w:bCs/>
        <w:caps w:val="0"/>
        <w:smallCaps w:val="0"/>
        <w:strike w:val="0"/>
        <w:dstrike w:val="0"/>
        <w:outline w:val="0"/>
        <w:emboss w:val="0"/>
        <w:imprint w:val="0"/>
        <w:spacing w:val="0"/>
        <w:w w:val="100"/>
        <w:kern w:val="0"/>
        <w:position w:val="0"/>
        <w:highlight w:val="none"/>
        <w:vertAlign w:val="baseline"/>
      </w:rPr>
    </w:lvl>
    <w:lvl w:ilvl="6" w:tplc="B6F09140">
      <w:start w:val="1"/>
      <w:numFmt w:val="decimal"/>
      <w:lvlText w:val="%7."/>
      <w:lvlJc w:val="left"/>
      <w:pPr>
        <w:ind w:left="4535" w:hanging="215"/>
      </w:pPr>
      <w:rPr>
        <w:rFonts w:hAnsi="Arial Unicode MS"/>
        <w:b/>
        <w:bCs/>
        <w:caps w:val="0"/>
        <w:smallCaps w:val="0"/>
        <w:strike w:val="0"/>
        <w:dstrike w:val="0"/>
        <w:outline w:val="0"/>
        <w:emboss w:val="0"/>
        <w:imprint w:val="0"/>
        <w:spacing w:val="0"/>
        <w:w w:val="100"/>
        <w:kern w:val="0"/>
        <w:position w:val="0"/>
        <w:highlight w:val="none"/>
        <w:vertAlign w:val="baseline"/>
      </w:rPr>
    </w:lvl>
    <w:lvl w:ilvl="7" w:tplc="B13254F6">
      <w:start w:val="1"/>
      <w:numFmt w:val="lowerLetter"/>
      <w:lvlText w:val="%8."/>
      <w:lvlJc w:val="left"/>
      <w:pPr>
        <w:ind w:left="5255" w:hanging="215"/>
      </w:pPr>
      <w:rPr>
        <w:rFonts w:hAnsi="Arial Unicode MS"/>
        <w:b/>
        <w:bCs/>
        <w:caps w:val="0"/>
        <w:smallCaps w:val="0"/>
        <w:strike w:val="0"/>
        <w:dstrike w:val="0"/>
        <w:outline w:val="0"/>
        <w:emboss w:val="0"/>
        <w:imprint w:val="0"/>
        <w:spacing w:val="0"/>
        <w:w w:val="100"/>
        <w:kern w:val="0"/>
        <w:position w:val="0"/>
        <w:highlight w:val="none"/>
        <w:vertAlign w:val="baseline"/>
      </w:rPr>
    </w:lvl>
    <w:lvl w:ilvl="8" w:tplc="DA0C9672">
      <w:start w:val="1"/>
      <w:numFmt w:val="lowerRoman"/>
      <w:suff w:val="nothing"/>
      <w:lvlText w:val="%9."/>
      <w:lvlJc w:val="left"/>
      <w:pPr>
        <w:ind w:left="5975" w:hanging="155"/>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77">
    <w:nsid w:val="2BB923A9"/>
    <w:multiLevelType w:val="hybridMultilevel"/>
    <w:tmpl w:val="85EE6E2C"/>
    <w:numStyleLink w:val="ImportedStyle5"/>
  </w:abstractNum>
  <w:abstractNum w:abstractNumId="78">
    <w:nsid w:val="2BBE5E45"/>
    <w:multiLevelType w:val="hybridMultilevel"/>
    <w:tmpl w:val="B00896E6"/>
    <w:lvl w:ilvl="0" w:tplc="08090003">
      <w:start w:val="1"/>
      <w:numFmt w:val="bullet"/>
      <w:lvlText w:val="o"/>
      <w:lvlJc w:val="left"/>
      <w:pPr>
        <w:ind w:left="1434" w:hanging="360"/>
      </w:pPr>
      <w:rPr>
        <w:rFonts w:ascii="Courier New" w:hAnsi="Courier New" w:cs="Courier New" w:hint="default"/>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79">
    <w:nsid w:val="2BC1436B"/>
    <w:multiLevelType w:val="hybridMultilevel"/>
    <w:tmpl w:val="2286B8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1">
    <w:nsid w:val="2DE15F19"/>
    <w:multiLevelType w:val="hybridMultilevel"/>
    <w:tmpl w:val="2F542EB4"/>
    <w:lvl w:ilvl="0" w:tplc="01FA4468">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nsid w:val="2DFC5BFA"/>
    <w:multiLevelType w:val="hybridMultilevel"/>
    <w:tmpl w:val="B3566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nsid w:val="2F37185F"/>
    <w:multiLevelType w:val="multilevel"/>
    <w:tmpl w:val="6A605636"/>
    <w:styleLink w:val="LFO2"/>
    <w:lvl w:ilvl="0">
      <w:numFmt w:val="bullet"/>
      <w:lvlText w:val="–"/>
      <w:lvlJc w:val="left"/>
      <w:pPr>
        <w:ind w:left="1417" w:hanging="567"/>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84">
    <w:nsid w:val="2FC4389B"/>
    <w:multiLevelType w:val="multilevel"/>
    <w:tmpl w:val="687E2FEA"/>
    <w:styleLink w:val="AMECHeadings"/>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sz w:val="28"/>
      </w:rPr>
    </w:lvl>
    <w:lvl w:ilvl="2">
      <w:start w:val="1"/>
      <w:numFmt w:val="decimal"/>
      <w:lvlText w:val="%1.%2.%3"/>
      <w:lvlJc w:val="left"/>
      <w:pPr>
        <w:ind w:left="851" w:hanging="851"/>
      </w:pPr>
      <w:rPr>
        <w:rFonts w:hint="default"/>
        <w:sz w:val="12"/>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85">
    <w:nsid w:val="311F3C76"/>
    <w:multiLevelType w:val="multilevel"/>
    <w:tmpl w:val="57E69DAA"/>
    <w:styleLink w:val="LFO17"/>
    <w:lvl w:ilvl="0">
      <w:numFmt w:val="bullet"/>
      <w:lvlText w:val="–"/>
      <w:lvlJc w:val="left"/>
      <w:pPr>
        <w:ind w:left="1134" w:hanging="283"/>
      </w:pPr>
      <w:rPr>
        <w:rFonts w:ascii="Times New Roman" w:hAnsi="Times New Roman" w:cs="Times New Roman"/>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86">
    <w:nsid w:val="334B118E"/>
    <w:multiLevelType w:val="hybridMultilevel"/>
    <w:tmpl w:val="8E469718"/>
    <w:numStyleLink w:val="ImportedStyle4"/>
  </w:abstractNum>
  <w:abstractNum w:abstractNumId="87">
    <w:nsid w:val="33CE1D55"/>
    <w:multiLevelType w:val="hybridMultilevel"/>
    <w:tmpl w:val="02DE5778"/>
    <w:name w:val="LegalNumParListTemplate3"/>
    <w:lvl w:ilvl="0" w:tplc="D49AC38C">
      <w:start w:val="1"/>
      <w:numFmt w:val="decimal"/>
      <w:lvlText w:val="%1."/>
      <w:lvlJc w:val="left"/>
      <w:pPr>
        <w:tabs>
          <w:tab w:val="num" w:pos="476"/>
        </w:tabs>
        <w:ind w:left="476" w:hanging="476"/>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nsid w:val="350666B0"/>
    <w:multiLevelType w:val="hybridMultilevel"/>
    <w:tmpl w:val="85EE6E2C"/>
    <w:styleLink w:val="ImportedStyle5"/>
    <w:lvl w:ilvl="0" w:tplc="1C74F28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B88A36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F82F15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300E8E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D101CE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C8ECC8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A5402E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E2E32D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2C6219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9">
    <w:nsid w:val="356521CB"/>
    <w:multiLevelType w:val="multilevel"/>
    <w:tmpl w:val="33BC10D2"/>
    <w:styleLink w:val="LFO22"/>
    <w:lvl w:ilvl="0">
      <w:start w:val="1"/>
      <w:numFmt w:val="decimal"/>
      <w:lvlText w:val="(%1)"/>
      <w:lvlJc w:val="left"/>
      <w:pPr>
        <w:ind w:left="1560" w:hanging="709"/>
      </w:pPr>
    </w:lvl>
    <w:lvl w:ilvl="1">
      <w:start w:val="1"/>
      <w:numFmt w:val="lowerLetter"/>
      <w:lvlText w:val="(%2)"/>
      <w:lvlJc w:val="left"/>
      <w:pPr>
        <w:ind w:left="2268" w:hanging="708"/>
      </w:pPr>
    </w:lvl>
    <w:lvl w:ilvl="2">
      <w:numFmt w:val="bullet"/>
      <w:lvlText w:val="–"/>
      <w:lvlJc w:val="left"/>
      <w:pPr>
        <w:ind w:left="2977" w:hanging="709"/>
      </w:pPr>
      <w:rPr>
        <w:rFonts w:ascii="Times New Roman" w:hAnsi="Times New Roman" w:cs="Times New Roman"/>
      </w:rPr>
    </w:lvl>
    <w:lvl w:ilvl="3">
      <w:numFmt w:val="bullet"/>
      <w:lvlText w:val=""/>
      <w:lvlJc w:val="left"/>
      <w:pPr>
        <w:ind w:left="3686" w:hanging="709"/>
      </w:pPr>
      <w:rPr>
        <w:rFonts w:ascii="Symbol" w:hAnsi="Symbol"/>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0">
    <w:nsid w:val="3C0140E0"/>
    <w:multiLevelType w:val="hybridMultilevel"/>
    <w:tmpl w:val="11FEA850"/>
    <w:lvl w:ilvl="0" w:tplc="757ECC86">
      <w:start w:val="1"/>
      <w:numFmt w:val="bullet"/>
      <w:lvlText w:val=""/>
      <w:lvlJc w:val="left"/>
      <w:pPr>
        <w:ind w:left="360" w:hanging="360"/>
      </w:pPr>
      <w:rPr>
        <w:rFonts w:ascii="Symbol" w:hAnsi="Symbol" w:hint="default"/>
      </w:rPr>
    </w:lvl>
    <w:lvl w:ilvl="1" w:tplc="757ECC86">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1">
    <w:nsid w:val="3C3E4E0F"/>
    <w:multiLevelType w:val="hybridMultilevel"/>
    <w:tmpl w:val="C382E3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2">
    <w:nsid w:val="3D830F3F"/>
    <w:multiLevelType w:val="hybridMultilevel"/>
    <w:tmpl w:val="31AE57C6"/>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93">
    <w:nsid w:val="3DFE0CC1"/>
    <w:multiLevelType w:val="hybridMultilevel"/>
    <w:tmpl w:val="49B6511E"/>
    <w:lvl w:ilvl="0" w:tplc="486A8CE8">
      <w:start w:val="1"/>
      <w:numFmt w:val="decimal"/>
      <w:lvlText w:val="%1."/>
      <w:lvlJc w:val="left"/>
      <w:pPr>
        <w:ind w:left="720" w:hanging="360"/>
      </w:pPr>
      <w:rPr>
        <w:rFonts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4">
    <w:nsid w:val="41230B4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nsid w:val="42A86095"/>
    <w:multiLevelType w:val="hybridMultilevel"/>
    <w:tmpl w:val="553EA0BE"/>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nsid w:val="441463EA"/>
    <w:multiLevelType w:val="hybridMultilevel"/>
    <w:tmpl w:val="A1524B40"/>
    <w:lvl w:ilvl="0" w:tplc="C84A746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nsid w:val="47E13B09"/>
    <w:multiLevelType w:val="hybridMultilevel"/>
    <w:tmpl w:val="00145F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nsid w:val="48291DC6"/>
    <w:multiLevelType w:val="hybridMultilevel"/>
    <w:tmpl w:val="5398549C"/>
    <w:numStyleLink w:val="ImportedStyle2"/>
  </w:abstractNum>
  <w:abstractNum w:abstractNumId="99">
    <w:nsid w:val="48C1688C"/>
    <w:multiLevelType w:val="multilevel"/>
    <w:tmpl w:val="272E9D34"/>
    <w:styleLink w:val="LFO9"/>
    <w:lvl w:ilvl="0">
      <w:numFmt w:val="bullet"/>
      <w:lvlText w:val=""/>
      <w:lvlJc w:val="left"/>
      <w:pPr>
        <w:ind w:left="1134" w:hanging="283"/>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00">
    <w:nsid w:val="49615ADD"/>
    <w:multiLevelType w:val="hybridMultilevel"/>
    <w:tmpl w:val="1974D16C"/>
    <w:lvl w:ilvl="0" w:tplc="B75A67CC">
      <w:start w:val="1"/>
      <w:numFmt w:val="bullet"/>
      <w:pStyle w:val="AufzhlungEnde"/>
      <w:lvlText w:val=""/>
      <w:lvlJc w:val="left"/>
      <w:pPr>
        <w:ind w:left="1422" w:hanging="567"/>
      </w:pPr>
      <w:rPr>
        <w:rFonts w:ascii="Symbol" w:hAnsi="Symbol" w:hint="default"/>
        <w:color w:val="auto"/>
      </w:rPr>
    </w:lvl>
    <w:lvl w:ilvl="1" w:tplc="04070003">
      <w:start w:val="1"/>
      <w:numFmt w:val="bullet"/>
      <w:lvlText w:val="o"/>
      <w:lvlJc w:val="left"/>
      <w:pPr>
        <w:ind w:left="1028" w:hanging="360"/>
      </w:pPr>
      <w:rPr>
        <w:rFonts w:ascii="Courier New" w:hAnsi="Courier New" w:cs="Courier New" w:hint="default"/>
      </w:rPr>
    </w:lvl>
    <w:lvl w:ilvl="2" w:tplc="04070005" w:tentative="1">
      <w:start w:val="1"/>
      <w:numFmt w:val="bullet"/>
      <w:lvlText w:val=""/>
      <w:lvlJc w:val="left"/>
      <w:pPr>
        <w:ind w:left="1748" w:hanging="360"/>
      </w:pPr>
      <w:rPr>
        <w:rFonts w:ascii="Wingdings" w:hAnsi="Wingdings" w:hint="default"/>
      </w:rPr>
    </w:lvl>
    <w:lvl w:ilvl="3" w:tplc="04070001" w:tentative="1">
      <w:start w:val="1"/>
      <w:numFmt w:val="bullet"/>
      <w:lvlText w:val=""/>
      <w:lvlJc w:val="left"/>
      <w:pPr>
        <w:ind w:left="2468" w:hanging="360"/>
      </w:pPr>
      <w:rPr>
        <w:rFonts w:ascii="Symbol" w:hAnsi="Symbol" w:hint="default"/>
      </w:rPr>
    </w:lvl>
    <w:lvl w:ilvl="4" w:tplc="04070003" w:tentative="1">
      <w:start w:val="1"/>
      <w:numFmt w:val="bullet"/>
      <w:lvlText w:val="o"/>
      <w:lvlJc w:val="left"/>
      <w:pPr>
        <w:ind w:left="3188" w:hanging="360"/>
      </w:pPr>
      <w:rPr>
        <w:rFonts w:ascii="Courier New" w:hAnsi="Courier New" w:cs="Courier New" w:hint="default"/>
      </w:rPr>
    </w:lvl>
    <w:lvl w:ilvl="5" w:tplc="04070005" w:tentative="1">
      <w:start w:val="1"/>
      <w:numFmt w:val="bullet"/>
      <w:lvlText w:val=""/>
      <w:lvlJc w:val="left"/>
      <w:pPr>
        <w:ind w:left="3908" w:hanging="360"/>
      </w:pPr>
      <w:rPr>
        <w:rFonts w:ascii="Wingdings" w:hAnsi="Wingdings" w:hint="default"/>
      </w:rPr>
    </w:lvl>
    <w:lvl w:ilvl="6" w:tplc="04070001" w:tentative="1">
      <w:start w:val="1"/>
      <w:numFmt w:val="bullet"/>
      <w:lvlText w:val=""/>
      <w:lvlJc w:val="left"/>
      <w:pPr>
        <w:ind w:left="4628" w:hanging="360"/>
      </w:pPr>
      <w:rPr>
        <w:rFonts w:ascii="Symbol" w:hAnsi="Symbol" w:hint="default"/>
      </w:rPr>
    </w:lvl>
    <w:lvl w:ilvl="7" w:tplc="04070003" w:tentative="1">
      <w:start w:val="1"/>
      <w:numFmt w:val="bullet"/>
      <w:lvlText w:val="o"/>
      <w:lvlJc w:val="left"/>
      <w:pPr>
        <w:ind w:left="5348" w:hanging="360"/>
      </w:pPr>
      <w:rPr>
        <w:rFonts w:ascii="Courier New" w:hAnsi="Courier New" w:cs="Courier New" w:hint="default"/>
      </w:rPr>
    </w:lvl>
    <w:lvl w:ilvl="8" w:tplc="04070005" w:tentative="1">
      <w:start w:val="1"/>
      <w:numFmt w:val="bullet"/>
      <w:lvlText w:val=""/>
      <w:lvlJc w:val="left"/>
      <w:pPr>
        <w:ind w:left="6068" w:hanging="360"/>
      </w:pPr>
      <w:rPr>
        <w:rFonts w:ascii="Wingdings" w:hAnsi="Wingdings" w:hint="default"/>
      </w:rPr>
    </w:lvl>
  </w:abstractNum>
  <w:abstractNum w:abstractNumId="101">
    <w:nsid w:val="4A432656"/>
    <w:multiLevelType w:val="multilevel"/>
    <w:tmpl w:val="92F0703C"/>
    <w:lvl w:ilvl="0">
      <w:start w:val="1"/>
      <w:numFmt w:val="decimal"/>
      <w:lvlText w:val="%1."/>
      <w:lvlJc w:val="left"/>
      <w:pPr>
        <w:tabs>
          <w:tab w:val="num" w:pos="480"/>
        </w:tabs>
        <w:ind w:left="480" w:hanging="480"/>
      </w:pPr>
    </w:lvl>
    <w:lvl w:ilvl="1">
      <w:start w:val="1"/>
      <w:numFmt w:val="decimal"/>
      <w:lvlText w:val="%1.%2."/>
      <w:lvlJc w:val="left"/>
      <w:pPr>
        <w:tabs>
          <w:tab w:val="num" w:pos="1080"/>
        </w:tabs>
        <w:ind w:left="1080" w:hanging="600"/>
      </w:pPr>
    </w:lvl>
    <w:lvl w:ilvl="2">
      <w:start w:val="1"/>
      <w:numFmt w:val="decimal"/>
      <w:lvlText w:val="%1.%2.%3."/>
      <w:lvlJc w:val="left"/>
      <w:pPr>
        <w:tabs>
          <w:tab w:val="num" w:pos="1920"/>
        </w:tabs>
        <w:ind w:left="1920" w:hanging="840"/>
      </w:pPr>
    </w:lvl>
    <w:lvl w:ilvl="3">
      <w:start w:val="1"/>
      <w:numFmt w:val="decimal"/>
      <w:lvlText w:val="%1.%2.%3.%4."/>
      <w:lvlJc w:val="left"/>
      <w:pPr>
        <w:tabs>
          <w:tab w:val="num" w:pos="2880"/>
        </w:tabs>
        <w:ind w:left="2880" w:hanging="9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2">
    <w:nsid w:val="4ABD6862"/>
    <w:multiLevelType w:val="hybridMultilevel"/>
    <w:tmpl w:val="15D28E6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3">
    <w:nsid w:val="4D8072CE"/>
    <w:multiLevelType w:val="multilevel"/>
    <w:tmpl w:val="4E0CB822"/>
    <w:styleLink w:val="LFO16"/>
    <w:lvl w:ilvl="0">
      <w:numFmt w:val="bullet"/>
      <w:lvlText w:val="–"/>
      <w:lvlJc w:val="left"/>
      <w:pPr>
        <w:ind w:left="1134" w:hanging="283"/>
      </w:pPr>
      <w:rPr>
        <w:rFonts w:ascii="Times New Roman" w:hAnsi="Times New Roman" w:cs="Times New Roman"/>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04">
    <w:nsid w:val="4DA448C8"/>
    <w:multiLevelType w:val="multilevel"/>
    <w:tmpl w:val="B2EECDD0"/>
    <w:styleLink w:val="LFO1"/>
    <w:lvl w:ilvl="0">
      <w:numFmt w:val="bullet"/>
      <w:lvlText w:val="–"/>
      <w:lvlJc w:val="left"/>
      <w:pPr>
        <w:ind w:left="850" w:hanging="85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05">
    <w:nsid w:val="4DF43D69"/>
    <w:multiLevelType w:val="multilevel"/>
    <w:tmpl w:val="3EBE5A78"/>
    <w:styleLink w:val="LFO11"/>
    <w:lvl w:ilvl="0">
      <w:numFmt w:val="bullet"/>
      <w:lvlText w:val=""/>
      <w:lvlJc w:val="left"/>
      <w:pPr>
        <w:ind w:left="1134" w:hanging="283"/>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06">
    <w:nsid w:val="4EE0333E"/>
    <w:multiLevelType w:val="hybridMultilevel"/>
    <w:tmpl w:val="177C6ECC"/>
    <w:styleLink w:val="ImportedStyle8"/>
    <w:lvl w:ilvl="0" w:tplc="289C407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A36536A">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1C0E4AE">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8BE3F42">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710B22A">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E222722">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16057E2">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5A229A4">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DCC6668">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7">
    <w:nsid w:val="4FBC1DB9"/>
    <w:multiLevelType w:val="hybridMultilevel"/>
    <w:tmpl w:val="DB62C2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8">
    <w:nsid w:val="50B20CEE"/>
    <w:multiLevelType w:val="hybridMultilevel"/>
    <w:tmpl w:val="07EA13E0"/>
    <w:lvl w:ilvl="0" w:tplc="C8E2FB80">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9">
    <w:nsid w:val="51E3298C"/>
    <w:multiLevelType w:val="multilevel"/>
    <w:tmpl w:val="548E58B8"/>
    <w:styleLink w:val="LFO20"/>
    <w:lvl w:ilvl="0">
      <w:start w:val="1"/>
      <w:numFmt w:val="decimal"/>
      <w:lvlText w:val="(%1)"/>
      <w:lvlJc w:val="left"/>
      <w:pPr>
        <w:ind w:left="1560" w:hanging="709"/>
      </w:pPr>
    </w:lvl>
    <w:lvl w:ilvl="1">
      <w:start w:val="1"/>
      <w:numFmt w:val="lowerLetter"/>
      <w:lvlText w:val="(%2)"/>
      <w:lvlJc w:val="left"/>
      <w:pPr>
        <w:ind w:left="2268" w:hanging="708"/>
      </w:pPr>
    </w:lvl>
    <w:lvl w:ilvl="2">
      <w:numFmt w:val="bullet"/>
      <w:lvlText w:val="–"/>
      <w:lvlJc w:val="left"/>
      <w:pPr>
        <w:ind w:left="2977" w:hanging="709"/>
      </w:pPr>
      <w:rPr>
        <w:rFonts w:ascii="Times New Roman" w:hAnsi="Times New Roman" w:cs="Times New Roman"/>
      </w:rPr>
    </w:lvl>
    <w:lvl w:ilvl="3">
      <w:numFmt w:val="bullet"/>
      <w:lvlText w:val=""/>
      <w:lvlJc w:val="left"/>
      <w:pPr>
        <w:ind w:left="3686" w:hanging="709"/>
      </w:pPr>
      <w:rPr>
        <w:rFonts w:ascii="Symbol" w:hAnsi="Symbol"/>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0">
    <w:nsid w:val="54C8475E"/>
    <w:multiLevelType w:val="hybridMultilevel"/>
    <w:tmpl w:val="4434F1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1">
    <w:nsid w:val="54D83241"/>
    <w:multiLevelType w:val="multilevel"/>
    <w:tmpl w:val="2F6816D8"/>
    <w:styleLink w:val="LFO13"/>
    <w:lvl w:ilvl="0">
      <w:numFmt w:val="bullet"/>
      <w:lvlText w:val="–"/>
      <w:lvlJc w:val="left"/>
      <w:pPr>
        <w:ind w:left="283" w:hanging="283"/>
      </w:pPr>
      <w:rPr>
        <w:rFonts w:ascii="Times New Roman" w:hAnsi="Times New Roman" w:cs="Times New Roman"/>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12">
    <w:nsid w:val="557B1A2A"/>
    <w:multiLevelType w:val="hybridMultilevel"/>
    <w:tmpl w:val="D89C6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3">
    <w:nsid w:val="57326D99"/>
    <w:multiLevelType w:val="hybridMultilevel"/>
    <w:tmpl w:val="74822E76"/>
    <w:numStyleLink w:val="ImportedStyle7"/>
  </w:abstractNum>
  <w:abstractNum w:abstractNumId="114">
    <w:nsid w:val="577C041D"/>
    <w:multiLevelType w:val="hybridMultilevel"/>
    <w:tmpl w:val="EB302E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5">
    <w:nsid w:val="5849305D"/>
    <w:multiLevelType w:val="hybridMultilevel"/>
    <w:tmpl w:val="5B8A4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nsid w:val="59722758"/>
    <w:multiLevelType w:val="hybridMultilevel"/>
    <w:tmpl w:val="8E0E39C6"/>
    <w:lvl w:ilvl="0" w:tplc="D9B0DF08">
      <w:numFmt w:val="decimal"/>
      <w:pStyle w:val="ESPONSubtitle"/>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7">
    <w:nsid w:val="5B190EEB"/>
    <w:multiLevelType w:val="multilevel"/>
    <w:tmpl w:val="0AA24616"/>
    <w:styleLink w:val="LFO23"/>
    <w:lvl w:ilvl="0">
      <w:start w:val="1"/>
      <w:numFmt w:val="decimal"/>
      <w:lvlText w:val="(%1)"/>
      <w:lvlJc w:val="left"/>
      <w:pPr>
        <w:ind w:left="709" w:hanging="709"/>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18">
    <w:nsid w:val="5BF506AB"/>
    <w:multiLevelType w:val="hybridMultilevel"/>
    <w:tmpl w:val="21F2B7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nsid w:val="5F60385D"/>
    <w:multiLevelType w:val="hybridMultilevel"/>
    <w:tmpl w:val="129E982E"/>
    <w:styleLink w:val="ImportedStyle3"/>
    <w:lvl w:ilvl="0" w:tplc="9BAEC732">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81402DA">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44C0A64">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254352E">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92C9C8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17603A6">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CD84954">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9E41F22">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4BE7EDC">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0">
    <w:nsid w:val="5FE51CEA"/>
    <w:multiLevelType w:val="hybridMultilevel"/>
    <w:tmpl w:val="FA0C2038"/>
    <w:lvl w:ilvl="0" w:tplc="77928A5E">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1">
    <w:nsid w:val="60B4188C"/>
    <w:multiLevelType w:val="hybridMultilevel"/>
    <w:tmpl w:val="C61CD30E"/>
    <w:lvl w:ilvl="0" w:tplc="08090001">
      <w:start w:val="1"/>
      <w:numFmt w:val="bullet"/>
      <w:lvlText w:val=""/>
      <w:lvlJc w:val="left"/>
      <w:pPr>
        <w:ind w:left="2047" w:hanging="705"/>
      </w:pPr>
      <w:rPr>
        <w:rFonts w:ascii="Symbol" w:hAnsi="Symbol" w:hint="default"/>
      </w:rPr>
    </w:lvl>
    <w:lvl w:ilvl="1" w:tplc="08090003" w:tentative="1">
      <w:start w:val="1"/>
      <w:numFmt w:val="bullet"/>
      <w:lvlText w:val="o"/>
      <w:lvlJc w:val="left"/>
      <w:pPr>
        <w:ind w:left="2422" w:hanging="360"/>
      </w:pPr>
      <w:rPr>
        <w:rFonts w:ascii="Courier New" w:hAnsi="Courier New" w:cs="Courier New" w:hint="default"/>
      </w:rPr>
    </w:lvl>
    <w:lvl w:ilvl="2" w:tplc="08090005" w:tentative="1">
      <w:start w:val="1"/>
      <w:numFmt w:val="bullet"/>
      <w:lvlText w:val=""/>
      <w:lvlJc w:val="left"/>
      <w:pPr>
        <w:ind w:left="3142" w:hanging="360"/>
      </w:pPr>
      <w:rPr>
        <w:rFonts w:ascii="Wingdings" w:hAnsi="Wingdings" w:hint="default"/>
      </w:rPr>
    </w:lvl>
    <w:lvl w:ilvl="3" w:tplc="08090001" w:tentative="1">
      <w:start w:val="1"/>
      <w:numFmt w:val="bullet"/>
      <w:lvlText w:val=""/>
      <w:lvlJc w:val="left"/>
      <w:pPr>
        <w:ind w:left="3862" w:hanging="360"/>
      </w:pPr>
      <w:rPr>
        <w:rFonts w:ascii="Symbol" w:hAnsi="Symbol" w:hint="default"/>
      </w:rPr>
    </w:lvl>
    <w:lvl w:ilvl="4" w:tplc="08090003" w:tentative="1">
      <w:start w:val="1"/>
      <w:numFmt w:val="bullet"/>
      <w:lvlText w:val="o"/>
      <w:lvlJc w:val="left"/>
      <w:pPr>
        <w:ind w:left="4582" w:hanging="360"/>
      </w:pPr>
      <w:rPr>
        <w:rFonts w:ascii="Courier New" w:hAnsi="Courier New" w:cs="Courier New" w:hint="default"/>
      </w:rPr>
    </w:lvl>
    <w:lvl w:ilvl="5" w:tplc="08090005" w:tentative="1">
      <w:start w:val="1"/>
      <w:numFmt w:val="bullet"/>
      <w:lvlText w:val=""/>
      <w:lvlJc w:val="left"/>
      <w:pPr>
        <w:ind w:left="5302" w:hanging="360"/>
      </w:pPr>
      <w:rPr>
        <w:rFonts w:ascii="Wingdings" w:hAnsi="Wingdings" w:hint="default"/>
      </w:rPr>
    </w:lvl>
    <w:lvl w:ilvl="6" w:tplc="08090001" w:tentative="1">
      <w:start w:val="1"/>
      <w:numFmt w:val="bullet"/>
      <w:lvlText w:val=""/>
      <w:lvlJc w:val="left"/>
      <w:pPr>
        <w:ind w:left="6022" w:hanging="360"/>
      </w:pPr>
      <w:rPr>
        <w:rFonts w:ascii="Symbol" w:hAnsi="Symbol" w:hint="default"/>
      </w:rPr>
    </w:lvl>
    <w:lvl w:ilvl="7" w:tplc="08090003" w:tentative="1">
      <w:start w:val="1"/>
      <w:numFmt w:val="bullet"/>
      <w:lvlText w:val="o"/>
      <w:lvlJc w:val="left"/>
      <w:pPr>
        <w:ind w:left="6742" w:hanging="360"/>
      </w:pPr>
      <w:rPr>
        <w:rFonts w:ascii="Courier New" w:hAnsi="Courier New" w:cs="Courier New" w:hint="default"/>
      </w:rPr>
    </w:lvl>
    <w:lvl w:ilvl="8" w:tplc="08090005" w:tentative="1">
      <w:start w:val="1"/>
      <w:numFmt w:val="bullet"/>
      <w:lvlText w:val=""/>
      <w:lvlJc w:val="left"/>
      <w:pPr>
        <w:ind w:left="7462" w:hanging="360"/>
      </w:pPr>
      <w:rPr>
        <w:rFonts w:ascii="Wingdings" w:hAnsi="Wingdings" w:hint="default"/>
      </w:rPr>
    </w:lvl>
  </w:abstractNum>
  <w:abstractNum w:abstractNumId="122">
    <w:nsid w:val="63B13CD4"/>
    <w:multiLevelType w:val="hybridMultilevel"/>
    <w:tmpl w:val="CAAE1AA8"/>
    <w:numStyleLink w:val="ImportedStyle6"/>
  </w:abstractNum>
  <w:abstractNum w:abstractNumId="123">
    <w:nsid w:val="63D41175"/>
    <w:multiLevelType w:val="hybridMultilevel"/>
    <w:tmpl w:val="ED4AC3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4">
    <w:nsid w:val="64985FFF"/>
    <w:multiLevelType w:val="hybridMultilevel"/>
    <w:tmpl w:val="EDF6BB62"/>
    <w:styleLink w:val="Estiloimportado1"/>
    <w:lvl w:ilvl="0" w:tplc="18980816">
      <w:start w:val="1"/>
      <w:numFmt w:val="bullet"/>
      <w:lvlText w:val="-"/>
      <w:lvlJc w:val="left"/>
      <w:pPr>
        <w:ind w:left="720" w:hanging="36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512817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262B08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99A720C">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4FE134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CACB13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D8C66EC">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4CCF19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B921DE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5">
    <w:nsid w:val="66BF0AE8"/>
    <w:multiLevelType w:val="multilevel"/>
    <w:tmpl w:val="2C24C88A"/>
    <w:styleLink w:val="LFO14"/>
    <w:lvl w:ilvl="0">
      <w:numFmt w:val="bullet"/>
      <w:lvlText w:val="–"/>
      <w:lvlJc w:val="left"/>
      <w:pPr>
        <w:ind w:left="1134" w:hanging="283"/>
      </w:pPr>
      <w:rPr>
        <w:rFonts w:ascii="Times New Roman" w:hAnsi="Times New Roman" w:cs="Times New Roman"/>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26">
    <w:nsid w:val="687F1981"/>
    <w:multiLevelType w:val="hybridMultilevel"/>
    <w:tmpl w:val="1ECE35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7">
    <w:nsid w:val="690952FB"/>
    <w:multiLevelType w:val="hybridMultilevel"/>
    <w:tmpl w:val="177C6ECC"/>
    <w:numStyleLink w:val="ImportedStyle8"/>
  </w:abstractNum>
  <w:abstractNum w:abstractNumId="128">
    <w:nsid w:val="6A6C76F2"/>
    <w:multiLevelType w:val="hybridMultilevel"/>
    <w:tmpl w:val="CAAE1AA8"/>
    <w:styleLink w:val="ImportedStyle6"/>
    <w:lvl w:ilvl="0" w:tplc="292CF34C">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1805FF6">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D867358">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C743D6C">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E1C6ED2">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B8E6F6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02A6EF2">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73CC65A">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690E71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9">
    <w:nsid w:val="6F474297"/>
    <w:multiLevelType w:val="multilevel"/>
    <w:tmpl w:val="A4F4C4C4"/>
    <w:styleLink w:val="LFO29"/>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0">
    <w:nsid w:val="6F6B3DF4"/>
    <w:multiLevelType w:val="hybridMultilevel"/>
    <w:tmpl w:val="1640EB34"/>
    <w:styleLink w:val="ImportedStyle9"/>
    <w:lvl w:ilvl="0" w:tplc="CB82CB54">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86E2B9C">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95639BE">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F3AE522">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2EC5B88">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D50EB12">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24C5CBE">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F1C80E8">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82C193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1">
    <w:nsid w:val="72DA77F8"/>
    <w:multiLevelType w:val="hybridMultilevel"/>
    <w:tmpl w:val="8070C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2">
    <w:nsid w:val="73B236CB"/>
    <w:multiLevelType w:val="hybridMultilevel"/>
    <w:tmpl w:val="35242F9C"/>
    <w:lvl w:ilvl="0" w:tplc="08090001">
      <w:start w:val="1"/>
      <w:numFmt w:val="bullet"/>
      <w:lvlText w:val=""/>
      <w:lvlJc w:val="left"/>
      <w:pPr>
        <w:ind w:left="720" w:hanging="360"/>
      </w:pPr>
      <w:rPr>
        <w:rFonts w:ascii="Symbol" w:hAnsi="Symbol" w:hint="default"/>
      </w:rPr>
    </w:lvl>
    <w:lvl w:ilvl="1" w:tplc="E8386530">
      <w:numFmt w:val="bullet"/>
      <w:lvlText w:val="•"/>
      <w:lvlJc w:val="left"/>
      <w:pPr>
        <w:ind w:left="1650" w:hanging="57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nsid w:val="753C5534"/>
    <w:multiLevelType w:val="hybridMultilevel"/>
    <w:tmpl w:val="DC1A52A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34">
    <w:nsid w:val="758D70E3"/>
    <w:multiLevelType w:val="multilevel"/>
    <w:tmpl w:val="F47A8184"/>
    <w:styleLink w:val="LFO3"/>
    <w:lvl w:ilvl="0">
      <w:numFmt w:val="bullet"/>
      <w:lvlText w:val="–"/>
      <w:lvlJc w:val="left"/>
      <w:pPr>
        <w:ind w:left="1984" w:hanging="567"/>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35">
    <w:nsid w:val="75952A95"/>
    <w:multiLevelType w:val="hybridMultilevel"/>
    <w:tmpl w:val="B25C1956"/>
    <w:lvl w:ilvl="0" w:tplc="01FA4468">
      <w:numFmt w:val="bullet"/>
      <w:lvlText w:val="-"/>
      <w:lvlJc w:val="left"/>
      <w:pPr>
        <w:ind w:left="360" w:hanging="360"/>
      </w:pPr>
      <w:rPr>
        <w:rFonts w:ascii="Calibri" w:eastAsia="Calibri" w:hAnsi="Calibri"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6">
    <w:nsid w:val="770F4B6B"/>
    <w:multiLevelType w:val="hybridMultilevel"/>
    <w:tmpl w:val="EB408C6A"/>
    <w:lvl w:ilvl="0" w:tplc="78EED08A">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7">
    <w:nsid w:val="78AE095F"/>
    <w:multiLevelType w:val="multilevel"/>
    <w:tmpl w:val="4754CCDC"/>
    <w:styleLink w:val="LFO15"/>
    <w:lvl w:ilvl="0">
      <w:numFmt w:val="bullet"/>
      <w:lvlText w:val="–"/>
      <w:lvlJc w:val="left"/>
      <w:pPr>
        <w:ind w:left="1134" w:hanging="283"/>
      </w:pPr>
      <w:rPr>
        <w:rFonts w:ascii="Times New Roman" w:hAnsi="Times New Roman" w:cs="Times New Roman"/>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38">
    <w:nsid w:val="798404CC"/>
    <w:multiLevelType w:val="multilevel"/>
    <w:tmpl w:val="76B2139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9">
    <w:nsid w:val="7AA133F4"/>
    <w:multiLevelType w:val="hybridMultilevel"/>
    <w:tmpl w:val="C388D2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0">
    <w:nsid w:val="7CD37CD8"/>
    <w:multiLevelType w:val="hybridMultilevel"/>
    <w:tmpl w:val="8E469718"/>
    <w:styleLink w:val="ImportedStyle4"/>
    <w:lvl w:ilvl="0" w:tplc="D7C41B88">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FD420EC">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B28656E">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3224DD4">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82874BE">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2BE7AC2">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92E3E40">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5C632FC">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9A2131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1">
    <w:nsid w:val="7DE46429"/>
    <w:multiLevelType w:val="hybridMultilevel"/>
    <w:tmpl w:val="A04040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2">
    <w:nsid w:val="7EAD1760"/>
    <w:multiLevelType w:val="hybridMultilevel"/>
    <w:tmpl w:val="F30A4D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2"/>
  </w:num>
  <w:num w:numId="22">
    <w:abstractNumId w:val="23"/>
  </w:num>
  <w:num w:numId="23">
    <w:abstractNumId w:val="24"/>
  </w:num>
  <w:num w:numId="24">
    <w:abstractNumId w:val="25"/>
  </w:num>
  <w:num w:numId="25">
    <w:abstractNumId w:val="26"/>
  </w:num>
  <w:num w:numId="26">
    <w:abstractNumId w:val="126"/>
  </w:num>
  <w:num w:numId="27">
    <w:abstractNumId w:val="115"/>
  </w:num>
  <w:num w:numId="28">
    <w:abstractNumId w:val="132"/>
  </w:num>
  <w:num w:numId="29">
    <w:abstractNumId w:val="52"/>
  </w:num>
  <w:num w:numId="30">
    <w:abstractNumId w:val="33"/>
  </w:num>
  <w:num w:numId="31">
    <w:abstractNumId w:val="45"/>
  </w:num>
  <w:num w:numId="32">
    <w:abstractNumId w:val="82"/>
  </w:num>
  <w:num w:numId="33">
    <w:abstractNumId w:val="96"/>
  </w:num>
  <w:num w:numId="34">
    <w:abstractNumId w:val="69"/>
  </w:num>
  <w:num w:numId="35">
    <w:abstractNumId w:val="135"/>
  </w:num>
  <w:num w:numId="36">
    <w:abstractNumId w:val="31"/>
  </w:num>
  <w:num w:numId="37">
    <w:abstractNumId w:val="104"/>
  </w:num>
  <w:num w:numId="38">
    <w:abstractNumId w:val="83"/>
  </w:num>
  <w:num w:numId="39">
    <w:abstractNumId w:val="134"/>
  </w:num>
  <w:num w:numId="40">
    <w:abstractNumId w:val="28"/>
  </w:num>
  <w:num w:numId="41">
    <w:abstractNumId w:val="62"/>
  </w:num>
  <w:num w:numId="42">
    <w:abstractNumId w:val="71"/>
  </w:num>
  <w:num w:numId="43">
    <w:abstractNumId w:val="58"/>
  </w:num>
  <w:num w:numId="44">
    <w:abstractNumId w:val="99"/>
  </w:num>
  <w:num w:numId="45">
    <w:abstractNumId w:val="64"/>
  </w:num>
  <w:num w:numId="46">
    <w:abstractNumId w:val="105"/>
  </w:num>
  <w:num w:numId="47">
    <w:abstractNumId w:val="61"/>
  </w:num>
  <w:num w:numId="48">
    <w:abstractNumId w:val="111"/>
  </w:num>
  <w:num w:numId="49">
    <w:abstractNumId w:val="125"/>
  </w:num>
  <w:num w:numId="50">
    <w:abstractNumId w:val="137"/>
  </w:num>
  <w:num w:numId="51">
    <w:abstractNumId w:val="103"/>
  </w:num>
  <w:num w:numId="52">
    <w:abstractNumId w:val="85"/>
  </w:num>
  <w:num w:numId="53">
    <w:abstractNumId w:val="30"/>
  </w:num>
  <w:num w:numId="54">
    <w:abstractNumId w:val="43"/>
  </w:num>
  <w:num w:numId="55">
    <w:abstractNumId w:val="109"/>
  </w:num>
  <w:num w:numId="56">
    <w:abstractNumId w:val="39"/>
  </w:num>
  <w:num w:numId="57">
    <w:abstractNumId w:val="89"/>
  </w:num>
  <w:num w:numId="58">
    <w:abstractNumId w:val="117"/>
  </w:num>
  <w:num w:numId="59">
    <w:abstractNumId w:val="60"/>
  </w:num>
  <w:num w:numId="60">
    <w:abstractNumId w:val="129"/>
  </w:num>
  <w:num w:numId="61">
    <w:abstractNumId w:val="78"/>
  </w:num>
  <w:num w:numId="62">
    <w:abstractNumId w:val="118"/>
  </w:num>
  <w:num w:numId="63">
    <w:abstractNumId w:val="112"/>
  </w:num>
  <w:num w:numId="64">
    <w:abstractNumId w:val="131"/>
  </w:num>
  <w:num w:numId="65">
    <w:abstractNumId w:val="123"/>
  </w:num>
  <w:num w:numId="66">
    <w:abstractNumId w:val="76"/>
  </w:num>
  <w:num w:numId="67">
    <w:abstractNumId w:val="98"/>
  </w:num>
  <w:num w:numId="68">
    <w:abstractNumId w:val="119"/>
  </w:num>
  <w:num w:numId="69">
    <w:abstractNumId w:val="36"/>
  </w:num>
  <w:num w:numId="70">
    <w:abstractNumId w:val="140"/>
  </w:num>
  <w:num w:numId="71">
    <w:abstractNumId w:val="86"/>
  </w:num>
  <w:num w:numId="72">
    <w:abstractNumId w:val="88"/>
  </w:num>
  <w:num w:numId="73">
    <w:abstractNumId w:val="77"/>
  </w:num>
  <w:num w:numId="74">
    <w:abstractNumId w:val="128"/>
  </w:num>
  <w:num w:numId="75">
    <w:abstractNumId w:val="122"/>
  </w:num>
  <w:num w:numId="76">
    <w:abstractNumId w:val="47"/>
  </w:num>
  <w:num w:numId="77">
    <w:abstractNumId w:val="113"/>
  </w:num>
  <w:num w:numId="78">
    <w:abstractNumId w:val="106"/>
  </w:num>
  <w:num w:numId="79">
    <w:abstractNumId w:val="127"/>
  </w:num>
  <w:num w:numId="80">
    <w:abstractNumId w:val="130"/>
  </w:num>
  <w:num w:numId="81">
    <w:abstractNumId w:val="37"/>
  </w:num>
  <w:num w:numId="82">
    <w:abstractNumId w:val="75"/>
  </w:num>
  <w:num w:numId="83">
    <w:abstractNumId w:val="38"/>
  </w:num>
  <w:num w:numId="84">
    <w:abstractNumId w:val="48"/>
  </w:num>
  <w:num w:numId="85">
    <w:abstractNumId w:val="50"/>
  </w:num>
  <w:num w:numId="86">
    <w:abstractNumId w:val="74"/>
  </w:num>
  <w:num w:numId="87">
    <w:abstractNumId w:val="124"/>
  </w:num>
  <w:num w:numId="88">
    <w:abstractNumId w:val="29"/>
  </w:num>
  <w:num w:numId="89">
    <w:abstractNumId w:val="101"/>
  </w:num>
  <w:num w:numId="90">
    <w:abstractNumId w:val="80"/>
  </w:num>
  <w:num w:numId="91">
    <w:abstractNumId w:val="46"/>
  </w:num>
  <w:num w:numId="92">
    <w:abstractNumId w:val="110"/>
  </w:num>
  <w:num w:numId="93">
    <w:abstractNumId w:val="91"/>
  </w:num>
  <w:num w:numId="94">
    <w:abstractNumId w:val="102"/>
  </w:num>
  <w:num w:numId="95">
    <w:abstractNumId w:val="114"/>
  </w:num>
  <w:num w:numId="96">
    <w:abstractNumId w:val="67"/>
  </w:num>
  <w:num w:numId="97">
    <w:abstractNumId w:val="107"/>
  </w:num>
  <w:num w:numId="98">
    <w:abstractNumId w:val="97"/>
  </w:num>
  <w:num w:numId="99">
    <w:abstractNumId w:val="51"/>
  </w:num>
  <w:num w:numId="100">
    <w:abstractNumId w:val="73"/>
  </w:num>
  <w:num w:numId="101">
    <w:abstractNumId w:val="72"/>
  </w:num>
  <w:num w:numId="102">
    <w:abstractNumId w:val="79"/>
  </w:num>
  <w:num w:numId="103">
    <w:abstractNumId w:val="141"/>
  </w:num>
  <w:num w:numId="104">
    <w:abstractNumId w:val="95"/>
  </w:num>
  <w:num w:numId="105">
    <w:abstractNumId w:val="34"/>
  </w:num>
  <w:num w:numId="106">
    <w:abstractNumId w:val="139"/>
  </w:num>
  <w:num w:numId="107">
    <w:abstractNumId w:val="63"/>
  </w:num>
  <w:num w:numId="108">
    <w:abstractNumId w:val="53"/>
  </w:num>
  <w:num w:numId="109">
    <w:abstractNumId w:val="0"/>
  </w:num>
  <w:num w:numId="110">
    <w:abstractNumId w:val="94"/>
  </w:num>
  <w:num w:numId="111">
    <w:abstractNumId w:val="35"/>
  </w:num>
  <w:num w:numId="112">
    <w:abstractNumId w:val="92"/>
  </w:num>
  <w:num w:numId="113">
    <w:abstractNumId w:val="133"/>
  </w:num>
  <w:num w:numId="114">
    <w:abstractNumId w:val="84"/>
  </w:num>
  <w:num w:numId="115">
    <w:abstractNumId w:val="41"/>
  </w:num>
  <w:num w:numId="116">
    <w:abstractNumId w:val="57"/>
  </w:num>
  <w:num w:numId="117">
    <w:abstractNumId w:val="81"/>
  </w:num>
  <w:num w:numId="118">
    <w:abstractNumId w:val="44"/>
  </w:num>
  <w:num w:numId="119">
    <w:abstractNumId w:val="70"/>
  </w:num>
  <w:num w:numId="120">
    <w:abstractNumId w:val="142"/>
  </w:num>
  <w:num w:numId="121">
    <w:abstractNumId w:val="49"/>
  </w:num>
  <w:num w:numId="122">
    <w:abstractNumId w:val="59"/>
  </w:num>
  <w:num w:numId="123">
    <w:abstractNumId w:val="40"/>
  </w:num>
  <w:num w:numId="124">
    <w:abstractNumId w:val="90"/>
  </w:num>
  <w:num w:numId="125">
    <w:abstractNumId w:val="68"/>
  </w:num>
  <w:num w:numId="126">
    <w:abstractNumId w:val="66"/>
  </w:num>
  <w:num w:numId="127">
    <w:abstractNumId w:val="108"/>
  </w:num>
  <w:num w:numId="128">
    <w:abstractNumId w:val="56"/>
  </w:num>
  <w:num w:numId="129">
    <w:abstractNumId w:val="93"/>
  </w:num>
  <w:num w:numId="130">
    <w:abstractNumId w:val="136"/>
  </w:num>
  <w:num w:numId="131">
    <w:abstractNumId w:val="55"/>
  </w:num>
  <w:num w:numId="132">
    <w:abstractNumId w:val="121"/>
  </w:num>
  <w:num w:numId="133">
    <w:abstractNumId w:val="138"/>
  </w:num>
  <w:num w:numId="134">
    <w:abstractNumId w:val="54"/>
  </w:num>
  <w:num w:numId="135">
    <w:abstractNumId w:val="32"/>
  </w:num>
  <w:num w:numId="136">
    <w:abstractNumId w:val="100"/>
  </w:num>
  <w:num w:numId="137">
    <w:abstractNumId w:val="116"/>
  </w:num>
  <w:num w:numId="138">
    <w:abstractNumId w:val="42"/>
  </w:num>
  <w:num w:numId="139">
    <w:abstractNumId w:val="65"/>
  </w:num>
  <w:num w:numId="140">
    <w:abstractNumId w:val="120"/>
  </w:num>
  <w:numIdMacAtCleanup w:val="1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hyphenationZone w:val="425"/>
  <w:characterSpacingControl w:val="doNotCompress"/>
  <w:hdrShapeDefaults>
    <o:shapedefaults v:ext="edit" spidmax="9728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3D872749-6644-4990-8823-83E626004C48"/>
    <w:docVar w:name="LW_COVERPAGE_TYPE" w:val="1"/>
    <w:docVar w:name="LW_CROSSREFERENCE" w:val="{COM(2018) 337 final}_x000d__x000a_{SEC(2018) 249 final}_x000d__x000a_{SWD(2018) 250 final}"/>
    <w:docVar w:name="LW_DocType" w:val="NORMAL"/>
    <w:docVar w:name="LW_EMISSION" w:val="13.6.2018"/>
    <w:docVar w:name="LW_EMISSION_ISODATE" w:val="2018-06-13"/>
    <w:docVar w:name="LW_EMISSION_LOCATION" w:val="BRX"/>
    <w:docVar w:name="LW_EMISSION_PREFIX" w:val="Brussels,"/>
    <w:docVar w:name="LW_EMISSION_SUFFIX" w:val=" "/>
    <w:docVar w:name="LW_ID_DOCTYPE_NONLW" w:val="CP-026"/>
    <w:docVar w:name="LW_LANGUE" w:val="EN"/>
    <w:docVar w:name="LW_LEVEL_OF_SENSITIVITY" w:val="Standard treatment"/>
    <w:docVar w:name="LW_NOM.INST" w:val="EUROPEAN COMMISSION"/>
    <w:docVar w:name="LW_NOM.INST_JOINTDOC" w:val="&lt;EMPTY&gt;"/>
    <w:docVar w:name="LW_OBJETACTEPRINCIPAL.CP" w:val="&lt;UNUSED&gt;"/>
    <w:docVar w:name="LW_PART_NBR" w:val="3"/>
    <w:docVar w:name="LW_PART_NBR_TOTAL" w:val="3"/>
    <w:docVar w:name="LW_REF.INST.NEW" w:val="SWD"/>
    <w:docVar w:name="LW_REF.INST.NEW_ADOPTED" w:val="final/2"/>
    <w:docVar w:name="LW_REF.INST.NEW_TEXT" w:val="(2018) 249"/>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lt;UNUSED&gt;"/>
    <w:docVar w:name="LW_TYPE.DOC.CP" w:val="COMMISSION STAFF WORKING DOCUMENT_x000b__x000b_IMPACT ASSESSMENT_x000b_"/>
    <w:docVar w:name="LW_TYPEACTEPRINCIPAL.CP" w:val="Proposal for a Regulation of the European Parliament and of the Council on minimum requirements for water reuse"/>
  </w:docVars>
  <w:rsids>
    <w:rsidRoot w:val="00AB50C5"/>
    <w:rsid w:val="00724275"/>
    <w:rsid w:val="00AB50C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972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qFormat="1"/>
    <w:lsdException w:name="index heading" w:uiPriority="0"/>
    <w:lsdException w:name="caption" w:uiPriority="35" w:qFormat="1"/>
    <w:lsdException w:name="envelope address" w:uiPriority="0"/>
    <w:lsdException w:name="envelope return" w:uiPriority="0"/>
    <w:lsdException w:name="footnote reference" w:uiPriority="0" w:qFormat="1"/>
    <w:lsdException w:name="annotation reference" w:uiPriority="0"/>
    <w:lsdException w:name="page number" w:uiPriority="0"/>
    <w:lsdException w:name="endnote text" w:qFormat="1"/>
    <w:lsdException w:name="table of authorities" w:uiPriority="0"/>
    <w:lsdException w:name="macro" w:uiPriority="0"/>
    <w:lsdException w:name="toa heading" w:uiPriority="0"/>
    <w:lsdException w:name="List" w:uiPriority="0"/>
    <w:lsdException w:name="List Bullet" w:uiPriority="4"/>
    <w:lsdException w:name="List Number" w:uiPriority="0"/>
    <w:lsdException w:name="List 2" w:uiPriority="0"/>
    <w:lsdException w:name="List 3" w:uiPriority="0"/>
    <w:lsdException w:name="List 4" w:uiPriority="0"/>
    <w:lsdException w:name="List 5" w:uiPriority="0"/>
    <w:lsdException w:name="List Bullet 2" w:uiPriority="4"/>
    <w:lsdException w:name="List Bullet 3" w:uiPriority="4"/>
    <w:lsdException w:name="List Bullet 4" w:uiPriority="4"/>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Lev 1,E H1"/>
    <w:basedOn w:val="Normal"/>
    <w:next w:val="Text1"/>
    <w:link w:val="Heading1Char"/>
    <w:uiPriority w:val="9"/>
    <w:qFormat/>
    <w:pPr>
      <w:keepNext/>
      <w:numPr>
        <w:numId w:val="1"/>
      </w:numPr>
      <w:spacing w:before="360" w:after="120" w:line="240" w:lineRule="auto"/>
      <w:jc w:val="both"/>
      <w:outlineLvl w:val="0"/>
    </w:pPr>
    <w:rPr>
      <w:rFonts w:ascii="Times New Roman" w:eastAsia="Times New Roman" w:hAnsi="Times New Roman" w:cs="Times New Roman"/>
      <w:b/>
      <w:bCs/>
      <w:smallCaps/>
      <w:sz w:val="24"/>
      <w:szCs w:val="32"/>
      <w:lang w:eastAsia="de-DE"/>
    </w:rPr>
  </w:style>
  <w:style w:type="paragraph" w:styleId="Heading2">
    <w:name w:val="heading 2"/>
    <w:aliases w:val="Lev 2,E H2,Heading 2 Char1,Heading 2 Char Char Char"/>
    <w:basedOn w:val="Normal"/>
    <w:next w:val="Text2"/>
    <w:link w:val="Heading2Char"/>
    <w:uiPriority w:val="9"/>
    <w:qFormat/>
    <w:pPr>
      <w:keepNext/>
      <w:numPr>
        <w:ilvl w:val="1"/>
        <w:numId w:val="1"/>
      </w:numPr>
      <w:spacing w:before="120" w:after="120" w:line="240" w:lineRule="auto"/>
      <w:jc w:val="both"/>
      <w:outlineLvl w:val="1"/>
    </w:pPr>
    <w:rPr>
      <w:rFonts w:ascii="Times New Roman" w:eastAsia="Times New Roman" w:hAnsi="Times New Roman" w:cs="Times New Roman"/>
      <w:b/>
      <w:bCs/>
      <w:iCs/>
      <w:sz w:val="24"/>
      <w:szCs w:val="28"/>
      <w:lang w:eastAsia="de-DE"/>
    </w:rPr>
  </w:style>
  <w:style w:type="paragraph" w:styleId="Heading3">
    <w:name w:val="heading 3"/>
    <w:aliases w:val="E H3"/>
    <w:basedOn w:val="Normal"/>
    <w:next w:val="Text3"/>
    <w:link w:val="Heading3Char"/>
    <w:uiPriority w:val="9"/>
    <w:qFormat/>
    <w:pPr>
      <w:keepNext/>
      <w:numPr>
        <w:ilvl w:val="2"/>
        <w:numId w:val="1"/>
      </w:numPr>
      <w:spacing w:before="120" w:after="120" w:line="240" w:lineRule="auto"/>
      <w:jc w:val="both"/>
      <w:outlineLvl w:val="2"/>
    </w:pPr>
    <w:rPr>
      <w:rFonts w:ascii="Times New Roman" w:eastAsia="Times New Roman" w:hAnsi="Times New Roman" w:cs="Times New Roman"/>
      <w:bCs/>
      <w:i/>
      <w:sz w:val="24"/>
      <w:szCs w:val="26"/>
      <w:lang w:eastAsia="de-DE"/>
    </w:rPr>
  </w:style>
  <w:style w:type="paragraph" w:styleId="Heading4">
    <w:name w:val="heading 4"/>
    <w:aliases w:val="E H4"/>
    <w:basedOn w:val="Normal"/>
    <w:next w:val="Text4"/>
    <w:link w:val="Heading4Char"/>
    <w:uiPriority w:val="9"/>
    <w:qFormat/>
    <w:pPr>
      <w:keepNext/>
      <w:numPr>
        <w:ilvl w:val="3"/>
        <w:numId w:val="1"/>
      </w:numPr>
      <w:spacing w:before="120" w:after="120" w:line="240" w:lineRule="auto"/>
      <w:jc w:val="both"/>
      <w:outlineLvl w:val="3"/>
    </w:pPr>
    <w:rPr>
      <w:rFonts w:ascii="Times New Roman" w:eastAsia="Times New Roman" w:hAnsi="Times New Roman" w:cs="Times New Roman"/>
      <w:bCs/>
      <w:sz w:val="24"/>
      <w:szCs w:val="28"/>
      <w:lang w:eastAsia="de-DE"/>
    </w:rPr>
  </w:style>
  <w:style w:type="paragraph" w:styleId="Heading5">
    <w:name w:val="heading 5"/>
    <w:basedOn w:val="Normal"/>
    <w:next w:val="Normal"/>
    <w:link w:val="Heading5Char"/>
    <w:uiPriority w:val="9"/>
    <w:qFormat/>
    <w:pPr>
      <w:keepNext/>
      <w:keepLines/>
      <w:spacing w:before="200" w:after="0" w:line="240" w:lineRule="auto"/>
      <w:jc w:val="both"/>
      <w:outlineLvl w:val="4"/>
    </w:pPr>
    <w:rPr>
      <w:rFonts w:ascii="Verdana" w:eastAsia="Times New Roman" w:hAnsi="Verdana" w:cs="Times New Roman"/>
      <w:sz w:val="20"/>
      <w:szCs w:val="24"/>
    </w:rPr>
  </w:style>
  <w:style w:type="paragraph" w:styleId="Heading6">
    <w:name w:val="heading 6"/>
    <w:aliases w:val="Figure,H6"/>
    <w:basedOn w:val="Normal"/>
    <w:next w:val="Normal"/>
    <w:link w:val="Heading6Char"/>
    <w:unhideWhenUsed/>
    <w:qFormat/>
    <w:pPr>
      <w:keepNext/>
      <w:keepLines/>
      <w:suppressAutoHyphens/>
      <w:spacing w:before="200" w:after="0" w:line="240" w:lineRule="auto"/>
      <w:jc w:val="both"/>
      <w:outlineLvl w:val="5"/>
    </w:pPr>
    <w:rPr>
      <w:rFonts w:asciiTheme="majorHAnsi" w:eastAsiaTheme="majorEastAsia" w:hAnsiTheme="majorHAnsi" w:cstheme="majorBidi"/>
      <w:i/>
      <w:iCs/>
      <w:color w:val="243F60" w:themeColor="accent1" w:themeShade="7F"/>
      <w:sz w:val="24"/>
      <w:szCs w:val="24"/>
      <w:lang w:eastAsia="ar-SA"/>
    </w:rPr>
  </w:style>
  <w:style w:type="paragraph" w:styleId="Heading7">
    <w:name w:val="heading 7"/>
    <w:basedOn w:val="Normal"/>
    <w:next w:val="Normal"/>
    <w:link w:val="Heading7Char"/>
    <w:qFormat/>
    <w:pPr>
      <w:spacing w:before="240" w:after="60" w:line="240" w:lineRule="auto"/>
      <w:ind w:left="4748" w:hanging="708"/>
      <w:jc w:val="both"/>
      <w:outlineLvl w:val="6"/>
    </w:pPr>
    <w:rPr>
      <w:rFonts w:ascii="Arial" w:eastAsia="Times New Roman" w:hAnsi="Arial" w:cs="Times New Roman"/>
      <w:sz w:val="20"/>
      <w:szCs w:val="20"/>
    </w:rPr>
  </w:style>
  <w:style w:type="paragraph" w:styleId="Heading8">
    <w:name w:val="heading 8"/>
    <w:basedOn w:val="Normal"/>
    <w:next w:val="Normal"/>
    <w:link w:val="Heading8Char"/>
    <w:qFormat/>
    <w:pPr>
      <w:spacing w:before="240" w:after="60" w:line="240" w:lineRule="auto"/>
      <w:ind w:left="5456" w:hanging="708"/>
      <w:jc w:val="both"/>
      <w:outlineLvl w:val="7"/>
    </w:pPr>
    <w:rPr>
      <w:rFonts w:ascii="Arial" w:eastAsia="Times New Roman" w:hAnsi="Arial" w:cs="Times New Roman"/>
      <w:i/>
      <w:sz w:val="20"/>
      <w:szCs w:val="20"/>
    </w:rPr>
  </w:style>
  <w:style w:type="paragraph" w:styleId="Heading9">
    <w:name w:val="heading 9"/>
    <w:basedOn w:val="Normal"/>
    <w:next w:val="Normal"/>
    <w:link w:val="Heading9Char"/>
    <w:qFormat/>
    <w:pPr>
      <w:spacing w:before="240" w:after="60" w:line="240" w:lineRule="auto"/>
      <w:ind w:left="6164" w:hanging="708"/>
      <w:jc w:val="both"/>
      <w:outlineLvl w:val="8"/>
    </w:pPr>
    <w:rPr>
      <w:rFonts w:ascii="Arial" w:eastAsia="Times New Roman" w:hAnsi="Arial" w:cs="Times New Roman"/>
      <w:i/>
      <w:sz w:val="18"/>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ev 1 Char,E H1 Char"/>
    <w:basedOn w:val="DefaultParagraphFont"/>
    <w:link w:val="Heading1"/>
    <w:uiPriority w:val="9"/>
    <w:rPr>
      <w:rFonts w:ascii="Times New Roman" w:eastAsia="Times New Roman" w:hAnsi="Times New Roman" w:cs="Times New Roman"/>
      <w:b/>
      <w:bCs/>
      <w:smallCaps/>
      <w:sz w:val="24"/>
      <w:szCs w:val="32"/>
      <w:lang w:eastAsia="de-DE"/>
    </w:rPr>
  </w:style>
  <w:style w:type="character" w:customStyle="1" w:styleId="Heading2Char">
    <w:name w:val="Heading 2 Char"/>
    <w:aliases w:val="Lev 2 Char,E H2 Char,Heading 2 Char1 Char,Heading 2 Char Char Char Char"/>
    <w:basedOn w:val="DefaultParagraphFont"/>
    <w:link w:val="Heading2"/>
    <w:uiPriority w:val="9"/>
    <w:rPr>
      <w:rFonts w:ascii="Times New Roman" w:eastAsia="Times New Roman" w:hAnsi="Times New Roman" w:cs="Times New Roman"/>
      <w:b/>
      <w:bCs/>
      <w:iCs/>
      <w:sz w:val="24"/>
      <w:szCs w:val="28"/>
      <w:lang w:eastAsia="de-DE"/>
    </w:rPr>
  </w:style>
  <w:style w:type="character" w:customStyle="1" w:styleId="Heading3Char">
    <w:name w:val="Heading 3 Char"/>
    <w:aliases w:val="E H3 Char"/>
    <w:basedOn w:val="DefaultParagraphFont"/>
    <w:link w:val="Heading3"/>
    <w:uiPriority w:val="9"/>
    <w:rPr>
      <w:rFonts w:ascii="Times New Roman" w:eastAsia="Times New Roman" w:hAnsi="Times New Roman" w:cs="Times New Roman"/>
      <w:bCs/>
      <w:i/>
      <w:sz w:val="24"/>
      <w:szCs w:val="26"/>
      <w:lang w:eastAsia="de-DE"/>
    </w:rPr>
  </w:style>
  <w:style w:type="character" w:customStyle="1" w:styleId="Heading4Char">
    <w:name w:val="Heading 4 Char"/>
    <w:aliases w:val="E H4 Char"/>
    <w:basedOn w:val="DefaultParagraphFont"/>
    <w:link w:val="Heading4"/>
    <w:uiPriority w:val="9"/>
    <w:rPr>
      <w:rFonts w:ascii="Times New Roman" w:eastAsia="Times New Roman" w:hAnsi="Times New Roman" w:cs="Times New Roman"/>
      <w:bCs/>
      <w:sz w:val="24"/>
      <w:szCs w:val="28"/>
      <w:lang w:eastAsia="de-DE"/>
    </w:rPr>
  </w:style>
  <w:style w:type="character" w:customStyle="1" w:styleId="Heading5Char">
    <w:name w:val="Heading 5 Char"/>
    <w:basedOn w:val="DefaultParagraphFont"/>
    <w:link w:val="Heading5"/>
    <w:uiPriority w:val="9"/>
    <w:rPr>
      <w:rFonts w:ascii="Verdana" w:eastAsia="Times New Roman" w:hAnsi="Verdana" w:cs="Times New Roman"/>
      <w:sz w:val="20"/>
      <w:szCs w:val="24"/>
    </w:rPr>
  </w:style>
  <w:style w:type="character" w:customStyle="1" w:styleId="Heading6Char">
    <w:name w:val="Heading 6 Char"/>
    <w:aliases w:val="Figure Char,H6 Char"/>
    <w:basedOn w:val="DefaultParagraphFont"/>
    <w:link w:val="Heading6"/>
    <w:rPr>
      <w:rFonts w:asciiTheme="majorHAnsi" w:eastAsiaTheme="majorEastAsia" w:hAnsiTheme="majorHAnsi" w:cstheme="majorBidi"/>
      <w:i/>
      <w:iCs/>
      <w:color w:val="243F60" w:themeColor="accent1" w:themeShade="7F"/>
      <w:sz w:val="24"/>
      <w:szCs w:val="24"/>
      <w:lang w:eastAsia="ar-SA"/>
    </w:rPr>
  </w:style>
  <w:style w:type="character" w:customStyle="1" w:styleId="Heading7Char">
    <w:name w:val="Heading 7 Char"/>
    <w:basedOn w:val="DefaultParagraphFont"/>
    <w:link w:val="Heading7"/>
    <w:rPr>
      <w:rFonts w:ascii="Arial" w:eastAsia="Times New Roman" w:hAnsi="Arial" w:cs="Times New Roman"/>
      <w:sz w:val="20"/>
      <w:szCs w:val="20"/>
    </w:rPr>
  </w:style>
  <w:style w:type="character" w:customStyle="1" w:styleId="Heading8Char">
    <w:name w:val="Heading 8 Char"/>
    <w:basedOn w:val="DefaultParagraphFont"/>
    <w:link w:val="Heading8"/>
    <w:rPr>
      <w:rFonts w:ascii="Arial" w:eastAsia="Times New Roman" w:hAnsi="Arial" w:cs="Times New Roman"/>
      <w:i/>
      <w:sz w:val="20"/>
      <w:szCs w:val="20"/>
    </w:rPr>
  </w:style>
  <w:style w:type="character" w:customStyle="1" w:styleId="Heading9Char">
    <w:name w:val="Heading 9 Char"/>
    <w:basedOn w:val="DefaultParagraphFont"/>
    <w:link w:val="Heading9"/>
    <w:rPr>
      <w:rFonts w:ascii="Arial" w:eastAsia="Times New Roman" w:hAnsi="Arial" w:cs="Times New Roman"/>
      <w:i/>
      <w:sz w:val="18"/>
      <w:szCs w:val="20"/>
    </w:rPr>
  </w:style>
  <w:style w:type="numbering" w:customStyle="1" w:styleId="NoList1">
    <w:name w:val="No List1"/>
    <w:next w:val="No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rPr>
      <w:rFonts w:ascii="Times New Roman" w:hAnsi="Times New Roman" w:cs="Times New Roman"/>
    </w:rPr>
  </w:style>
  <w:style w:type="character" w:customStyle="1" w:styleId="WW8Num1z3">
    <w:name w:val="WW8Num1z3"/>
    <w:rPr>
      <w:rFonts w:ascii="Symbol" w:hAnsi="Symbol" w:cs="Symbol" w:hint="default"/>
    </w:rPr>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Calibri" w:eastAsia="Calibri" w:hAnsi="Calibri" w:cs="Times New Roman" w:hint="default"/>
      <w:sz w:val="24"/>
      <w:szCs w:val="24"/>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cs="Times New Roman"/>
    </w:rPr>
  </w:style>
  <w:style w:type="character" w:customStyle="1" w:styleId="WW8Num4z0">
    <w:name w:val="WW8Num4z0"/>
    <w:rPr>
      <w:rFonts w:ascii="Symbol" w:hAnsi="Symbol" w:cs="Symbol" w:hint="default"/>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4z3">
    <w:name w:val="WW8Num4z3"/>
    <w:rPr>
      <w:rFonts w:ascii="Symbol" w:hAnsi="Symbol" w:cs="Symbol" w:hint="default"/>
    </w:rPr>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Symbol" w:hAnsi="Symbol" w:cs="Symbol" w:hint="default"/>
    </w:rPr>
  </w:style>
  <w:style w:type="character" w:customStyle="1" w:styleId="WW8Num6z0">
    <w:name w:val="WW8Num6z0"/>
    <w:rPr>
      <w:rFonts w:ascii="Symbol" w:hAnsi="Symbol" w:cs="Symbol" w:hint="default"/>
    </w:rPr>
  </w:style>
  <w:style w:type="character" w:customStyle="1" w:styleId="WW8Num7z0">
    <w:name w:val="WW8Num7z0"/>
    <w:rPr>
      <w:rFonts w:ascii="Symbol" w:hAnsi="Symbol" w:cs="Symbol" w:hint="default"/>
    </w:rPr>
  </w:style>
  <w:style w:type="character" w:customStyle="1" w:styleId="WW8Num8z0">
    <w:name w:val="WW8Num8z0"/>
    <w:rPr>
      <w:rFonts w:ascii="Symbol" w:hAnsi="Symbol" w:cs="Symbol" w:hint="default"/>
    </w:rPr>
  </w:style>
  <w:style w:type="character" w:customStyle="1" w:styleId="WW8Num9z0">
    <w:name w:val="WW8Num9z0"/>
    <w:rPr>
      <w:rFonts w:ascii="Symbol" w:hAnsi="Symbol" w:cs="Symbol" w:hint="default"/>
    </w:rPr>
  </w:style>
  <w:style w:type="character" w:customStyle="1" w:styleId="WW8Num10z0">
    <w:name w:val="WW8Num10z0"/>
    <w:rPr>
      <w:rFonts w:ascii="Symbol" w:hAnsi="Symbol" w:cs="Symbol" w:hint="default"/>
    </w:rPr>
  </w:style>
  <w:style w:type="character" w:customStyle="1" w:styleId="WW8Num11z0">
    <w:name w:val="WW8Num11z0"/>
    <w:rPr>
      <w:rFonts w:ascii="Calibri" w:eastAsia="Calibri" w:hAnsi="Calibri" w:cs="Times New Roman" w:hint="default"/>
      <w:sz w:val="24"/>
      <w:szCs w:val="24"/>
    </w:rPr>
  </w:style>
  <w:style w:type="character" w:customStyle="1" w:styleId="WW8Num12z0">
    <w:name w:val="WW8Num12z0"/>
    <w:rPr>
      <w:rFonts w:ascii="Symbol" w:hAnsi="Symbol" w:cs="Symbol" w:hint="default"/>
    </w:rPr>
  </w:style>
  <w:style w:type="character" w:customStyle="1" w:styleId="WW8Num13z0">
    <w:name w:val="WW8Num13z0"/>
    <w:rPr>
      <w:rFonts w:ascii="Symbol" w:hAnsi="Symbol" w:cs="Symbol" w:hint="default"/>
      <w:sz w:val="24"/>
      <w:szCs w:val="24"/>
    </w:rPr>
  </w:style>
  <w:style w:type="character" w:customStyle="1" w:styleId="WW8Num14z0">
    <w:name w:val="WW8Num14z0"/>
    <w:rPr>
      <w:rFonts w:ascii="Wingdings 3" w:hAnsi="Wingdings 3" w:cs="Wingdings 3" w:hint="default"/>
      <w:color w:val="C0504D"/>
      <w:sz w:val="20"/>
    </w:rPr>
  </w:style>
  <w:style w:type="character" w:customStyle="1" w:styleId="WW8Num15z0">
    <w:name w:val="WW8Num15z0"/>
    <w:rPr>
      <w:rFonts w:ascii="Calibri" w:eastAsia="Calibri" w:hAnsi="Calibri" w:cs="Times New Roman" w:hint="default"/>
    </w:rPr>
  </w:style>
  <w:style w:type="character" w:customStyle="1" w:styleId="WW8Num16z0">
    <w:name w:val="WW8Num16z0"/>
  </w:style>
  <w:style w:type="character" w:customStyle="1" w:styleId="WW8Num17z0">
    <w:name w:val="WW8Num17z0"/>
    <w:rPr>
      <w:rFonts w:ascii="Calibri" w:eastAsia="Calibri" w:hAnsi="Calibri" w:cs="Times New Roman" w:hint="default"/>
    </w:rPr>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7z3">
    <w:name w:val="WW8Num17z3"/>
    <w:rPr>
      <w:rFonts w:ascii="Symbol" w:hAnsi="Symbol" w:cs="Symbol" w:hint="default"/>
    </w:rPr>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Symbol" w:hAnsi="Symbol" w:cs="Symbol" w:hint="default"/>
    </w:rPr>
  </w:style>
  <w:style w:type="character" w:customStyle="1" w:styleId="WW8Num19z0">
    <w:name w:val="WW8Num19z0"/>
    <w:rPr>
      <w:rFonts w:ascii="Symbol" w:hAnsi="Symbol" w:cs="Symbol" w:hint="default"/>
    </w:rPr>
  </w:style>
  <w:style w:type="character" w:customStyle="1" w:styleId="WW8Num20z0">
    <w:name w:val="WW8Num20z0"/>
  </w:style>
  <w:style w:type="character" w:customStyle="1" w:styleId="WW8Num21z0">
    <w:name w:val="WW8Num21z0"/>
  </w:style>
  <w:style w:type="character" w:customStyle="1" w:styleId="WW8Num22z0">
    <w:name w:val="WW8Num22z0"/>
  </w:style>
  <w:style w:type="character" w:customStyle="1" w:styleId="WW8Num23z0">
    <w:name w:val="WW8Num23z0"/>
    <w:rPr>
      <w:rFonts w:ascii="Symbol" w:hAnsi="Symbol" w:cs="Symbol" w:hint="default"/>
    </w:rPr>
  </w:style>
  <w:style w:type="character" w:customStyle="1" w:styleId="WW8Num24z0">
    <w:name w:val="WW8Num24z0"/>
    <w:rPr>
      <w:rFonts w:ascii="Symbol" w:hAnsi="Symbol" w:cs="Symbol" w:hint="default"/>
    </w:rPr>
  </w:style>
  <w:style w:type="character" w:customStyle="1" w:styleId="WW8Num25z0">
    <w:name w:val="WW8Num25z0"/>
    <w:rPr>
      <w:rFonts w:ascii="Times New Roman" w:hAnsi="Times New Roman" w:cs="Times New Roman"/>
    </w:rPr>
  </w:style>
  <w:style w:type="character" w:customStyle="1" w:styleId="WW8Num26z0">
    <w:name w:val="WW8Num26z0"/>
    <w:rPr>
      <w:rFonts w:ascii="Times New Roman" w:eastAsia="Times New Roman" w:hAnsi="Times New Roman" w:cs="Times New Roman" w:hint="default"/>
    </w:rPr>
  </w:style>
  <w:style w:type="character" w:customStyle="1" w:styleId="WW8Num27z0">
    <w:name w:val="WW8Num27z0"/>
    <w:rPr>
      <w:rFonts w:ascii="Symbol" w:hAnsi="Symbol" w:cs="Symbol" w:hint="default"/>
      <w:sz w:val="24"/>
      <w:szCs w:val="24"/>
    </w:rPr>
  </w:style>
  <w:style w:type="character" w:customStyle="1" w:styleId="WW8Num28z0">
    <w:name w:val="WW8Num28z0"/>
  </w:style>
  <w:style w:type="character" w:customStyle="1" w:styleId="WW8Num29z0">
    <w:name w:val="WW8Num29z0"/>
  </w:style>
  <w:style w:type="character" w:customStyle="1" w:styleId="WW8Num30z0">
    <w:name w:val="WW8Num30z0"/>
    <w:rPr>
      <w:rFonts w:ascii="Symbol" w:hAnsi="Symbol" w:cs="Symbol" w:hint="default"/>
    </w:rPr>
  </w:style>
  <w:style w:type="character" w:customStyle="1" w:styleId="WW8Num31z0">
    <w:name w:val="WW8Num31z0"/>
  </w:style>
  <w:style w:type="character" w:customStyle="1" w:styleId="WW8Num32z0">
    <w:name w:val="WW8Num32z0"/>
    <w:rPr>
      <w:rFonts w:eastAsia="Verdana"/>
    </w:rPr>
  </w:style>
  <w:style w:type="character" w:customStyle="1" w:styleId="WW8Num33z0">
    <w:name w:val="WW8Num33z0"/>
    <w:rPr>
      <w:rFonts w:ascii="Symbol" w:eastAsia="Verdana" w:hAnsi="Symbol" w:cs="Symbol" w:hint="default"/>
    </w:rPr>
  </w:style>
  <w:style w:type="character" w:customStyle="1" w:styleId="WW8Num34z0">
    <w:name w:val="WW8Num34z0"/>
    <w:rPr>
      <w:rFonts w:ascii="Symbol" w:hAnsi="Symbol" w:cs="Symbol" w:hint="default"/>
    </w:rPr>
  </w:style>
  <w:style w:type="character" w:customStyle="1" w:styleId="WW8Num35z0">
    <w:name w:val="WW8Num35z0"/>
    <w:rPr>
      <w:rFonts w:ascii="Calibri" w:eastAsia="Calibri" w:hAnsi="Calibri" w:cs="Times New Roman" w:hint="default"/>
    </w:rPr>
  </w:style>
  <w:style w:type="character" w:customStyle="1" w:styleId="WW8Num36z0">
    <w:name w:val="WW8Num36z0"/>
    <w:rPr>
      <w:rFonts w:ascii="Symbol" w:hAnsi="Symbol" w:cs="Symbol" w:hint="default"/>
    </w:rPr>
  </w:style>
  <w:style w:type="character" w:customStyle="1" w:styleId="WW8Num37z0">
    <w:name w:val="WW8Num37z0"/>
    <w:rPr>
      <w:rFonts w:ascii="Times New Roman" w:hAnsi="Times New Roman" w:cs="Times New Roman"/>
    </w:rPr>
  </w:style>
  <w:style w:type="character" w:customStyle="1" w:styleId="WW8Num38z0">
    <w:name w:val="WW8Num38z0"/>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39z0">
    <w:name w:val="WW8Num39z0"/>
  </w:style>
  <w:style w:type="character" w:customStyle="1" w:styleId="WW8Num40z0">
    <w:name w:val="WW8Num40z0"/>
  </w:style>
  <w:style w:type="character" w:customStyle="1" w:styleId="WW8Num41z0">
    <w:name w:val="WW8Num41z0"/>
    <w:rPr>
      <w:rFonts w:ascii="Times New Roman" w:hAnsi="Times New Roman" w:cs="Times New Roman"/>
    </w:rPr>
  </w:style>
  <w:style w:type="character" w:customStyle="1" w:styleId="WW8Num42z0">
    <w:name w:val="WW8Num42z0"/>
    <w:rPr>
      <w:rFonts w:ascii="Symbol" w:eastAsia="Verdana" w:hAnsi="Symbol" w:cs="Symbol" w:hint="default"/>
    </w:rPr>
  </w:style>
  <w:style w:type="character" w:customStyle="1" w:styleId="WW8Num43z0">
    <w:name w:val="WW8Num43z0"/>
    <w:rPr>
      <w:rFonts w:ascii="Symbol" w:hAnsi="Symbol" w:cs="Symbol" w:hint="default"/>
    </w:rPr>
  </w:style>
  <w:style w:type="character" w:customStyle="1" w:styleId="WW8Num44z0">
    <w:name w:val="WW8Num44z0"/>
    <w:rPr>
      <w:rFonts w:ascii="Symbol" w:eastAsia="Verdana" w:hAnsi="Symbol" w:cs="Symbol" w:hint="default"/>
    </w:rPr>
  </w:style>
  <w:style w:type="character" w:customStyle="1" w:styleId="WW8Num45z0">
    <w:name w:val="WW8Num45z0"/>
    <w:rPr>
      <w:rFonts w:ascii="Symbol" w:hAnsi="Symbol" w:cs="Symbol" w:hint="default"/>
    </w:rPr>
  </w:style>
  <w:style w:type="character" w:customStyle="1" w:styleId="WW8Num45z1">
    <w:name w:val="WW8Num45z1"/>
    <w:rPr>
      <w:rFonts w:ascii="Courier New" w:hAnsi="Courier New" w:cs="Courier New" w:hint="default"/>
    </w:rPr>
  </w:style>
  <w:style w:type="character" w:customStyle="1" w:styleId="WW8Num45z2">
    <w:name w:val="WW8Num45z2"/>
    <w:rPr>
      <w:rFonts w:ascii="Wingdings" w:hAnsi="Wingdings" w:cs="Wingdings" w:hint="default"/>
    </w:rPr>
  </w:style>
  <w:style w:type="character" w:customStyle="1" w:styleId="WW8Num45z3">
    <w:name w:val="WW8Num45z3"/>
    <w:rPr>
      <w:rFonts w:ascii="Symbol" w:hAnsi="Symbol" w:cs="Symbol" w:hint="default"/>
    </w:rPr>
  </w:style>
  <w:style w:type="character" w:customStyle="1" w:styleId="WW8Num46z0">
    <w:name w:val="WW8Num46z0"/>
    <w:rPr>
      <w:rFonts w:ascii="Symbol" w:eastAsia="Verdana" w:hAnsi="Symbol" w:cs="Symbol" w:hint="default"/>
      <w:sz w:val="24"/>
      <w:szCs w:val="24"/>
      <w:shd w:val="clear" w:color="auto" w:fill="FFFF00"/>
    </w:rPr>
  </w:style>
  <w:style w:type="character" w:customStyle="1" w:styleId="WW8Num47z0">
    <w:name w:val="WW8Num47z0"/>
    <w:rPr>
      <w:rFonts w:ascii="Calibri" w:eastAsia="Calibri" w:hAnsi="Calibri" w:cs="Times New Roman" w:hint="default"/>
    </w:rPr>
  </w:style>
  <w:style w:type="character" w:customStyle="1" w:styleId="WW8Num48z0">
    <w:name w:val="WW8Num48z0"/>
    <w:rPr>
      <w:rFonts w:ascii="Symbol" w:eastAsia="Verdana" w:hAnsi="Symbol" w:cs="Symbol" w:hint="default"/>
    </w:rPr>
  </w:style>
  <w:style w:type="character" w:customStyle="1" w:styleId="WW8Num48z1">
    <w:name w:val="WW8Num48z1"/>
    <w:rPr>
      <w:rFonts w:ascii="Courier New" w:hAnsi="Courier New" w:cs="Courier New" w:hint="default"/>
    </w:rPr>
  </w:style>
  <w:style w:type="character" w:customStyle="1" w:styleId="WW8Num48z2">
    <w:name w:val="WW8Num48z2"/>
    <w:rPr>
      <w:rFonts w:ascii="Wingdings" w:hAnsi="Wingdings" w:cs="Wingdings" w:hint="default"/>
    </w:rPr>
  </w:style>
  <w:style w:type="character" w:customStyle="1" w:styleId="WW8Num48z3">
    <w:name w:val="WW8Num48z3"/>
    <w:rPr>
      <w:rFonts w:ascii="Symbol" w:hAnsi="Symbol" w:cs="Symbol" w:hint="default"/>
    </w:rPr>
  </w:style>
  <w:style w:type="character" w:customStyle="1" w:styleId="WW8Num48z4">
    <w:name w:val="WW8Num48z4"/>
  </w:style>
  <w:style w:type="character" w:customStyle="1" w:styleId="WW8Num48z5">
    <w:name w:val="WW8Num48z5"/>
  </w:style>
  <w:style w:type="character" w:customStyle="1" w:styleId="WW8Num48z6">
    <w:name w:val="WW8Num48z6"/>
  </w:style>
  <w:style w:type="character" w:customStyle="1" w:styleId="WW8Num48z7">
    <w:name w:val="WW8Num48z7"/>
  </w:style>
  <w:style w:type="character" w:customStyle="1" w:styleId="WW8Num48z8">
    <w:name w:val="WW8Num48z8"/>
  </w:style>
  <w:style w:type="character" w:customStyle="1" w:styleId="WW8Num49z0">
    <w:name w:val="WW8Num49z0"/>
    <w:rPr>
      <w:rFonts w:ascii="Times New Roman" w:hAnsi="Times New Roman" w:cs="Times New Roman"/>
    </w:rPr>
  </w:style>
  <w:style w:type="character" w:customStyle="1" w:styleId="WW8Num49z1">
    <w:name w:val="WW8Num49z1"/>
  </w:style>
  <w:style w:type="character" w:customStyle="1" w:styleId="WW8Num49z2">
    <w:name w:val="WW8Num49z2"/>
  </w:style>
  <w:style w:type="character" w:customStyle="1" w:styleId="WW8Num49z3">
    <w:name w:val="WW8Num49z3"/>
  </w:style>
  <w:style w:type="character" w:customStyle="1" w:styleId="WW8Num49z4">
    <w:name w:val="WW8Num49z4"/>
  </w:style>
  <w:style w:type="character" w:customStyle="1" w:styleId="WW8Num49z5">
    <w:name w:val="WW8Num49z5"/>
  </w:style>
  <w:style w:type="character" w:customStyle="1" w:styleId="WW8Num49z6">
    <w:name w:val="WW8Num49z6"/>
  </w:style>
  <w:style w:type="character" w:customStyle="1" w:styleId="WW8Num49z7">
    <w:name w:val="WW8Num49z7"/>
  </w:style>
  <w:style w:type="character" w:customStyle="1" w:styleId="WW8Num49z8">
    <w:name w:val="WW8Num49z8"/>
  </w:style>
  <w:style w:type="character" w:customStyle="1" w:styleId="WW8Num50z0">
    <w:name w:val="WW8Num50z0"/>
  </w:style>
  <w:style w:type="character" w:customStyle="1" w:styleId="WW8Num51z0">
    <w:name w:val="WW8Num51z0"/>
  </w:style>
  <w:style w:type="character" w:customStyle="1" w:styleId="WW8Num51z1">
    <w:name w:val="WW8Num51z1"/>
  </w:style>
  <w:style w:type="character" w:customStyle="1" w:styleId="WW8Num51z2">
    <w:name w:val="WW8Num51z2"/>
  </w:style>
  <w:style w:type="character" w:customStyle="1" w:styleId="WW8Num52z0">
    <w:name w:val="WW8Num52z0"/>
    <w:rPr>
      <w:rFonts w:ascii="Times New Roman" w:hAnsi="Times New Roman" w:cs="Times New Roman"/>
    </w:rPr>
  </w:style>
  <w:style w:type="character" w:customStyle="1" w:styleId="WW8Num53z0">
    <w:name w:val="WW8Num53z0"/>
    <w:rPr>
      <w:rFonts w:ascii="Symbol" w:eastAsia="Times New Roman" w:hAnsi="Symbol" w:cs="Symbol" w:hint="default"/>
      <w:color w:val="000000"/>
      <w:sz w:val="23"/>
      <w:szCs w:val="23"/>
      <w:shd w:val="clear" w:color="auto" w:fill="auto"/>
    </w:rPr>
  </w:style>
  <w:style w:type="character" w:customStyle="1" w:styleId="WW8Num53z1">
    <w:name w:val="WW8Num53z1"/>
    <w:rPr>
      <w:rFonts w:ascii="Courier New" w:hAnsi="Courier New" w:cs="Courier New" w:hint="default"/>
    </w:rPr>
  </w:style>
  <w:style w:type="character" w:customStyle="1" w:styleId="WW8Num54z0">
    <w:name w:val="WW8Num54z0"/>
    <w:rPr>
      <w:rFonts w:ascii="Symbol" w:hAnsi="Symbol" w:cs="Symbol" w:hint="default"/>
    </w:rPr>
  </w:style>
  <w:style w:type="character" w:customStyle="1" w:styleId="WW8Num54z1">
    <w:name w:val="WW8Num54z1"/>
  </w:style>
  <w:style w:type="character" w:customStyle="1" w:styleId="WW8Num54z2">
    <w:name w:val="WW8Num54z2"/>
  </w:style>
  <w:style w:type="character" w:customStyle="1" w:styleId="WW8Num54z3">
    <w:name w:val="WW8Num54z3"/>
  </w:style>
  <w:style w:type="character" w:customStyle="1" w:styleId="WW8Num54z4">
    <w:name w:val="WW8Num54z4"/>
  </w:style>
  <w:style w:type="character" w:customStyle="1" w:styleId="WW8Num54z5">
    <w:name w:val="WW8Num54z5"/>
  </w:style>
  <w:style w:type="character" w:customStyle="1" w:styleId="WW8Num54z6">
    <w:name w:val="WW8Num54z6"/>
  </w:style>
  <w:style w:type="character" w:customStyle="1" w:styleId="WW8Num54z7">
    <w:name w:val="WW8Num54z7"/>
  </w:style>
  <w:style w:type="character" w:customStyle="1" w:styleId="WW8Num54z8">
    <w:name w:val="WW8Num54z8"/>
  </w:style>
  <w:style w:type="character" w:customStyle="1" w:styleId="WW8Num55z0">
    <w:name w:val="WW8Num55z0"/>
    <w:rPr>
      <w:rFonts w:ascii="Symbol" w:hAnsi="Symbol" w:cs="Symbol"/>
    </w:rPr>
  </w:style>
  <w:style w:type="character" w:customStyle="1" w:styleId="WW8Num55z1">
    <w:name w:val="WW8Num55z1"/>
    <w:rPr>
      <w:rFonts w:ascii="Courier New" w:hAnsi="Courier New" w:cs="Courier New"/>
    </w:rPr>
  </w:style>
  <w:style w:type="character" w:customStyle="1" w:styleId="WW8Num55z2">
    <w:name w:val="WW8Num55z2"/>
    <w:rPr>
      <w:rFonts w:ascii="Wingdings" w:hAnsi="Wingdings" w:cs="Wingdings"/>
    </w:rPr>
  </w:style>
  <w:style w:type="character" w:customStyle="1" w:styleId="WW8Num3z1">
    <w:name w:val="WW8Num3z1"/>
  </w:style>
  <w:style w:type="character" w:customStyle="1" w:styleId="WW8Num3z2">
    <w:name w:val="WW8Num3z2"/>
    <w:rPr>
      <w:rFonts w:ascii="Times New Roman" w:hAnsi="Times New Roman" w:cs="Times New Roman"/>
    </w:rPr>
  </w:style>
  <w:style w:type="character" w:customStyle="1" w:styleId="WW8Num3z3">
    <w:name w:val="WW8Num3z3"/>
    <w:rPr>
      <w:rFonts w:ascii="Symbol" w:hAnsi="Symbol" w:cs="Symbol" w:hint="default"/>
    </w:rPr>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8z1">
    <w:name w:val="WW8Num8z1"/>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9z1">
    <w:name w:val="WW8Num9z1"/>
    <w:rPr>
      <w:rFonts w:ascii="Courier New" w:hAnsi="Courier New" w:cs="Courier New" w:hint="default"/>
    </w:rPr>
  </w:style>
  <w:style w:type="character" w:customStyle="1" w:styleId="WW8Num9z2">
    <w:name w:val="WW8Num9z2"/>
    <w:rPr>
      <w:rFonts w:ascii="Wingdings" w:hAnsi="Wingdings" w:cs="Wingdings" w:hint="default"/>
    </w:rPr>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1z3">
    <w:name w:val="WW8Num11z3"/>
    <w:rPr>
      <w:rFonts w:ascii="Symbol" w:hAnsi="Symbol" w:cs="Symbol" w:hint="default"/>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4z1">
    <w:name w:val="WW8Num14z1"/>
    <w:rPr>
      <w:rFonts w:ascii="Courier New" w:hAnsi="Courier New" w:cs="Courier New" w:hint="default"/>
    </w:rPr>
  </w:style>
  <w:style w:type="character" w:customStyle="1" w:styleId="WW8Num14z2">
    <w:name w:val="WW8Num14z2"/>
    <w:rPr>
      <w:rFonts w:ascii="Wingdings" w:hAnsi="Wingdings" w:cs="Wingdings" w:hint="default"/>
    </w:rPr>
  </w:style>
  <w:style w:type="character" w:customStyle="1" w:styleId="WW8Num14z3">
    <w:name w:val="WW8Num14z3"/>
    <w:rPr>
      <w:rFonts w:ascii="Symbol" w:hAnsi="Symbol" w:cs="Symbol" w:hint="default"/>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5z3">
    <w:name w:val="WW8Num15z3"/>
    <w:rPr>
      <w:rFonts w:ascii="Symbol" w:hAnsi="Symbol" w:cs="Symbol" w:hint="default"/>
    </w:rPr>
  </w:style>
  <w:style w:type="character" w:customStyle="1" w:styleId="WW8Num16z1">
    <w:name w:val="WW8Num16z1"/>
  </w:style>
  <w:style w:type="character" w:customStyle="1" w:styleId="WW8Num16z2">
    <w:name w:val="WW8Num16z2"/>
    <w:rPr>
      <w:rFonts w:ascii="Times New Roman" w:hAnsi="Times New Roman" w:cs="Times New Roman"/>
    </w:rPr>
  </w:style>
  <w:style w:type="character" w:customStyle="1" w:styleId="WW8Num16z3">
    <w:name w:val="WW8Num16z3"/>
    <w:rPr>
      <w:rFonts w:ascii="Symbol" w:hAnsi="Symbol" w:cs="Symbol" w:hint="default"/>
    </w:rPr>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WW8Num19z1">
    <w:name w:val="WW8Num19z1"/>
    <w:rPr>
      <w:rFonts w:ascii="Courier New" w:hAnsi="Courier New" w:cs="Courier New" w:hint="default"/>
    </w:rPr>
  </w:style>
  <w:style w:type="character" w:customStyle="1" w:styleId="WW8Num19z2">
    <w:name w:val="WW8Num19z2"/>
    <w:rPr>
      <w:rFonts w:ascii="Wingdings" w:hAnsi="Wingdings" w:cs="Wingdings" w:hint="default"/>
    </w:rPr>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3z1">
    <w:name w:val="WW8Num23z1"/>
    <w:rPr>
      <w:rFonts w:ascii="Courier New" w:hAnsi="Courier New" w:cs="Courier New" w:hint="default"/>
    </w:rPr>
  </w:style>
  <w:style w:type="character" w:customStyle="1" w:styleId="WW8Num23z2">
    <w:name w:val="WW8Num23z2"/>
    <w:rPr>
      <w:rFonts w:ascii="Wingdings" w:hAnsi="Wingdings" w:cs="Wingdings" w:hint="default"/>
    </w:rPr>
  </w:style>
  <w:style w:type="character" w:customStyle="1" w:styleId="WW8Num26z1">
    <w:name w:val="WW8Num26z1"/>
    <w:rPr>
      <w:rFonts w:ascii="Courier New" w:hAnsi="Courier New" w:cs="Courier New" w:hint="default"/>
    </w:rPr>
  </w:style>
  <w:style w:type="character" w:customStyle="1" w:styleId="WW8Num26z2">
    <w:name w:val="WW8Num26z2"/>
    <w:rPr>
      <w:rFonts w:ascii="Wingdings" w:hAnsi="Wingdings" w:cs="Wingdings" w:hint="default"/>
    </w:rPr>
  </w:style>
  <w:style w:type="character" w:customStyle="1" w:styleId="WW8Num26z3">
    <w:name w:val="WW8Num26z3"/>
    <w:rPr>
      <w:rFonts w:ascii="Symbol" w:hAnsi="Symbol" w:cs="Symbol" w:hint="default"/>
    </w:rPr>
  </w:style>
  <w:style w:type="character" w:customStyle="1" w:styleId="WW8Num27z1">
    <w:name w:val="WW8Num27z1"/>
    <w:rPr>
      <w:rFonts w:ascii="Courier New" w:hAnsi="Courier New" w:cs="Courier New" w:hint="default"/>
    </w:rPr>
  </w:style>
  <w:style w:type="character" w:customStyle="1" w:styleId="WW8Num27z2">
    <w:name w:val="WW8Num27z2"/>
    <w:rPr>
      <w:rFonts w:ascii="Wingdings" w:hAnsi="Wingdings" w:cs="Wingdings" w:hint="default"/>
    </w:rPr>
  </w:style>
  <w:style w:type="character" w:customStyle="1" w:styleId="WW8Num30z1">
    <w:name w:val="WW8Num30z1"/>
    <w:rPr>
      <w:rFonts w:ascii="Courier New" w:hAnsi="Courier New" w:cs="Courier New" w:hint="default"/>
    </w:rPr>
  </w:style>
  <w:style w:type="character" w:customStyle="1" w:styleId="WW8Num30z2">
    <w:name w:val="WW8Num30z2"/>
    <w:rPr>
      <w:rFonts w:ascii="Wingdings" w:hAnsi="Wingdings" w:cs="Wingdings" w:hint="default"/>
    </w:rPr>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1">
    <w:name w:val="WW8Num33z1"/>
    <w:rPr>
      <w:rFonts w:ascii="Courier New" w:hAnsi="Courier New" w:cs="Courier New" w:hint="default"/>
    </w:rPr>
  </w:style>
  <w:style w:type="character" w:customStyle="1" w:styleId="WW8Num33z2">
    <w:name w:val="WW8Num33z2"/>
    <w:rPr>
      <w:rFonts w:ascii="Wingdings" w:hAnsi="Wingdings" w:cs="Wingdings" w:hint="default"/>
    </w:rPr>
  </w:style>
  <w:style w:type="character" w:customStyle="1" w:styleId="WW8Num34z1">
    <w:name w:val="WW8Num34z1"/>
    <w:rPr>
      <w:rFonts w:ascii="Courier New" w:hAnsi="Courier New" w:cs="Courier New" w:hint="default"/>
    </w:rPr>
  </w:style>
  <w:style w:type="character" w:customStyle="1" w:styleId="WW8Num34z2">
    <w:name w:val="WW8Num34z2"/>
    <w:rPr>
      <w:rFonts w:ascii="Wingdings" w:hAnsi="Wingdings" w:cs="Wingdings" w:hint="default"/>
    </w:rPr>
  </w:style>
  <w:style w:type="character" w:customStyle="1" w:styleId="WW8Num35z1">
    <w:name w:val="WW8Num35z1"/>
    <w:rPr>
      <w:rFonts w:ascii="Courier New" w:hAnsi="Courier New" w:cs="Courier New" w:hint="default"/>
    </w:rPr>
  </w:style>
  <w:style w:type="character" w:customStyle="1" w:styleId="WW8Num35z2">
    <w:name w:val="WW8Num35z2"/>
    <w:rPr>
      <w:rFonts w:ascii="Wingdings" w:hAnsi="Wingdings" w:cs="Wingdings" w:hint="default"/>
    </w:rPr>
  </w:style>
  <w:style w:type="character" w:customStyle="1" w:styleId="WW8Num35z3">
    <w:name w:val="WW8Num35z3"/>
    <w:rPr>
      <w:rFonts w:ascii="Symbol" w:hAnsi="Symbol" w:cs="Symbol" w:hint="default"/>
    </w:rPr>
  </w:style>
  <w:style w:type="character" w:customStyle="1" w:styleId="WW8Num36z1">
    <w:name w:val="WW8Num36z1"/>
    <w:rPr>
      <w:rFonts w:ascii="Courier New" w:hAnsi="Courier New" w:cs="Courier New" w:hint="default"/>
    </w:rPr>
  </w:style>
  <w:style w:type="character" w:customStyle="1" w:styleId="WW8Num36z2">
    <w:name w:val="WW8Num36z2"/>
    <w:rPr>
      <w:rFonts w:ascii="Wingdings" w:hAnsi="Wingdings" w:cs="Wingdings" w:hint="default"/>
    </w:rPr>
  </w:style>
  <w:style w:type="character" w:customStyle="1" w:styleId="WW8Num40z1">
    <w:name w:val="WW8Num40z1"/>
  </w:style>
  <w:style w:type="character" w:customStyle="1" w:styleId="WW8Num40z2">
    <w:name w:val="WW8Num40z2"/>
    <w:rPr>
      <w:rFonts w:ascii="Times New Roman" w:hAnsi="Times New Roman" w:cs="Times New Roman"/>
    </w:rPr>
  </w:style>
  <w:style w:type="character" w:customStyle="1" w:styleId="WW8Num40z3">
    <w:name w:val="WW8Num40z3"/>
    <w:rPr>
      <w:rFonts w:ascii="Symbol" w:hAnsi="Symbol" w:cs="Symbol" w:hint="default"/>
    </w:rPr>
  </w:style>
  <w:style w:type="character" w:customStyle="1" w:styleId="WW8Num40z4">
    <w:name w:val="WW8Num40z4"/>
  </w:style>
  <w:style w:type="character" w:customStyle="1" w:styleId="WW8Num40z5">
    <w:name w:val="WW8Num40z5"/>
  </w:style>
  <w:style w:type="character" w:customStyle="1" w:styleId="WW8Num40z6">
    <w:name w:val="WW8Num40z6"/>
  </w:style>
  <w:style w:type="character" w:customStyle="1" w:styleId="WW8Num40z7">
    <w:name w:val="WW8Num40z7"/>
  </w:style>
  <w:style w:type="character" w:customStyle="1" w:styleId="WW8Num40z8">
    <w:name w:val="WW8Num40z8"/>
  </w:style>
  <w:style w:type="character" w:customStyle="1" w:styleId="WW8Num42z1">
    <w:name w:val="WW8Num42z1"/>
    <w:rPr>
      <w:rFonts w:ascii="Courier New" w:hAnsi="Courier New" w:cs="Courier New" w:hint="default"/>
    </w:rPr>
  </w:style>
  <w:style w:type="character" w:customStyle="1" w:styleId="WW8Num42z2">
    <w:name w:val="WW8Num42z2"/>
    <w:rPr>
      <w:rFonts w:ascii="Wingdings" w:hAnsi="Wingdings" w:cs="Wingdings" w:hint="default"/>
    </w:rPr>
  </w:style>
  <w:style w:type="character" w:customStyle="1" w:styleId="WW8Num44z1">
    <w:name w:val="WW8Num44z1"/>
    <w:rPr>
      <w:rFonts w:ascii="Courier New" w:hAnsi="Courier New" w:cs="Courier New" w:hint="default"/>
    </w:rPr>
  </w:style>
  <w:style w:type="character" w:customStyle="1" w:styleId="WW8Num44z2">
    <w:name w:val="WW8Num44z2"/>
    <w:rPr>
      <w:rFonts w:ascii="Wingdings" w:hAnsi="Wingdings" w:cs="Wingdings" w:hint="default"/>
    </w:rPr>
  </w:style>
  <w:style w:type="character" w:customStyle="1" w:styleId="WW8Num46z1">
    <w:name w:val="WW8Num46z1"/>
    <w:rPr>
      <w:rFonts w:ascii="Times New Roman" w:eastAsia="Times New Roman" w:hAnsi="Times New Roman" w:cs="Times New Roman" w:hint="default"/>
    </w:rPr>
  </w:style>
  <w:style w:type="character" w:customStyle="1" w:styleId="WW8Num46z2">
    <w:name w:val="WW8Num46z2"/>
    <w:rPr>
      <w:rFonts w:ascii="Wingdings" w:hAnsi="Wingdings" w:cs="Wingdings" w:hint="default"/>
    </w:rPr>
  </w:style>
  <w:style w:type="character" w:customStyle="1" w:styleId="WW8Num46z4">
    <w:name w:val="WW8Num46z4"/>
    <w:rPr>
      <w:rFonts w:ascii="Courier New" w:hAnsi="Courier New" w:cs="Courier New" w:hint="default"/>
    </w:rPr>
  </w:style>
  <w:style w:type="character" w:customStyle="1" w:styleId="WW8Num47z1">
    <w:name w:val="WW8Num47z1"/>
    <w:rPr>
      <w:rFonts w:ascii="Courier New" w:hAnsi="Courier New" w:cs="Courier New" w:hint="default"/>
    </w:rPr>
  </w:style>
  <w:style w:type="character" w:customStyle="1" w:styleId="WW8Num47z2">
    <w:name w:val="WW8Num47z2"/>
    <w:rPr>
      <w:rFonts w:ascii="Wingdings" w:hAnsi="Wingdings" w:cs="Wingdings" w:hint="default"/>
    </w:rPr>
  </w:style>
  <w:style w:type="character" w:customStyle="1" w:styleId="WW8Num47z3">
    <w:name w:val="WW8Num47z3"/>
    <w:rPr>
      <w:rFonts w:ascii="Symbol" w:hAnsi="Symbol" w:cs="Symbol" w:hint="default"/>
    </w:rPr>
  </w:style>
  <w:style w:type="character" w:customStyle="1" w:styleId="WW8Num50z1">
    <w:name w:val="WW8Num50z1"/>
  </w:style>
  <w:style w:type="character" w:customStyle="1" w:styleId="WW8Num50z2">
    <w:name w:val="WW8Num50z2"/>
    <w:rPr>
      <w:rFonts w:ascii="Times New Roman" w:hAnsi="Times New Roman" w:cs="Times New Roman"/>
    </w:rPr>
  </w:style>
  <w:style w:type="character" w:customStyle="1" w:styleId="WW8Num50z3">
    <w:name w:val="WW8Num50z3"/>
    <w:rPr>
      <w:rFonts w:ascii="Symbol" w:hAnsi="Symbol" w:cs="Symbol" w:hint="default"/>
    </w:rPr>
  </w:style>
  <w:style w:type="character" w:customStyle="1" w:styleId="WW8Num50z4">
    <w:name w:val="WW8Num50z4"/>
  </w:style>
  <w:style w:type="character" w:customStyle="1" w:styleId="WW8Num50z5">
    <w:name w:val="WW8Num50z5"/>
  </w:style>
  <w:style w:type="character" w:customStyle="1" w:styleId="WW8Num50z6">
    <w:name w:val="WW8Num50z6"/>
  </w:style>
  <w:style w:type="character" w:customStyle="1" w:styleId="WW8Num50z7">
    <w:name w:val="WW8Num50z7"/>
  </w:style>
  <w:style w:type="character" w:customStyle="1" w:styleId="WW8Num50z8">
    <w:name w:val="WW8Num50z8"/>
  </w:style>
  <w:style w:type="character" w:customStyle="1" w:styleId="WW8Num51z3">
    <w:name w:val="WW8Num51z3"/>
  </w:style>
  <w:style w:type="character" w:customStyle="1" w:styleId="WW8Num51z4">
    <w:name w:val="WW8Num51z4"/>
  </w:style>
  <w:style w:type="character" w:customStyle="1" w:styleId="WW8Num51z5">
    <w:name w:val="WW8Num51z5"/>
  </w:style>
  <w:style w:type="character" w:customStyle="1" w:styleId="WW8Num51z6">
    <w:name w:val="WW8Num51z6"/>
  </w:style>
  <w:style w:type="character" w:customStyle="1" w:styleId="WW8Num51z7">
    <w:name w:val="WW8Num51z7"/>
  </w:style>
  <w:style w:type="character" w:customStyle="1" w:styleId="WW8Num51z8">
    <w:name w:val="WW8Num51z8"/>
  </w:style>
  <w:style w:type="character" w:customStyle="1" w:styleId="WW8Num53z2">
    <w:name w:val="WW8Num53z2"/>
    <w:rPr>
      <w:rFonts w:ascii="Wingdings" w:hAnsi="Wingdings" w:cs="Wingdings" w:hint="default"/>
    </w:rPr>
  </w:style>
  <w:style w:type="character" w:customStyle="1" w:styleId="Funotenzeichen">
    <w:name w:val="Fußnotenzeichen"/>
    <w:rPr>
      <w:vertAlign w:val="superscript"/>
    </w:rPr>
  </w:style>
  <w:style w:type="character" w:customStyle="1" w:styleId="Marker">
    <w:name w:val="Marker"/>
    <w:rPr>
      <w:color w:val="0000FF"/>
    </w:rPr>
  </w:style>
  <w:style w:type="character" w:customStyle="1" w:styleId="Marker1">
    <w:name w:val="Marker1"/>
    <w:rPr>
      <w:color w:val="008000"/>
    </w:rPr>
  </w:style>
  <w:style w:type="character" w:customStyle="1" w:styleId="Marker2">
    <w:name w:val="Marker2"/>
    <w:rPr>
      <w:color w:val="FF0000"/>
    </w:rPr>
  </w:style>
  <w:style w:type="character" w:customStyle="1" w:styleId="Added">
    <w:name w:val="Added"/>
    <w:rPr>
      <w:b/>
      <w:u w:val="single"/>
    </w:rPr>
  </w:style>
  <w:style w:type="character" w:customStyle="1" w:styleId="Deleted">
    <w:name w:val="Deleted"/>
    <w:rPr>
      <w:strike/>
    </w:rPr>
  </w:style>
  <w:style w:type="character" w:customStyle="1" w:styleId="StatutChar">
    <w:name w:val="Statut Char"/>
    <w:rPr>
      <w:sz w:val="24"/>
      <w:szCs w:val="24"/>
      <w:lang w:val="en-GB" w:eastAsia="ar-SA" w:bidi="ar-SA"/>
    </w:rPr>
  </w:style>
  <w:style w:type="character" w:styleId="CommentReference">
    <w:name w:val="annotation reference"/>
    <w:rPr>
      <w:sz w:val="16"/>
      <w:szCs w:val="16"/>
    </w:rPr>
  </w:style>
  <w:style w:type="character" w:styleId="Hyperlink">
    <w:name w:val="Hyperlink"/>
    <w:uiPriority w:val="99"/>
    <w:rPr>
      <w:color w:val="0000FF"/>
      <w:u w:val="single"/>
    </w:rPr>
  </w:style>
  <w:style w:type="character" w:styleId="FollowedHyperlink">
    <w:name w:val="FollowedHyperlink"/>
    <w:uiPriority w:val="99"/>
    <w:rPr>
      <w:color w:val="800080"/>
      <w:u w:val="single"/>
    </w:rPr>
  </w:style>
  <w:style w:type="character" w:customStyle="1" w:styleId="CommentTextChar">
    <w:name w:val="Comment Text Char"/>
    <w:uiPriority w:val="99"/>
  </w:style>
  <w:style w:type="character" w:customStyle="1" w:styleId="BalloonTextChar">
    <w:name w:val="Balloon Text Char"/>
    <w:uiPriority w:val="99"/>
    <w:rPr>
      <w:rFonts w:ascii="Tahoma" w:hAnsi="Tahoma" w:cs="Tahoma"/>
      <w:sz w:val="16"/>
      <w:szCs w:val="16"/>
    </w:rPr>
  </w:style>
  <w:style w:type="character" w:customStyle="1" w:styleId="Style1Char">
    <w:name w:val="Style1 Char"/>
    <w:rPr>
      <w:rFonts w:ascii="Arial" w:hAnsi="Arial" w:cs="Arial"/>
    </w:rPr>
  </w:style>
  <w:style w:type="character" w:customStyle="1" w:styleId="CaptionChar">
    <w:name w:val="Caption Char"/>
    <w:aliases w:val="Legend Char,Figure reference Char,Tab_Überschrift Char,Caption Char1 Char,Caption Char Char Char,Caption Char1 Char Char Char Char,Caption Char Char Char Char Char Char,Caption Char1 Char Char Char Char Char Char,DNV-cap Char,Tasks Char"/>
    <w:rPr>
      <w:rFonts w:cs="Mangal"/>
      <w:i/>
      <w:iCs/>
      <w:sz w:val="24"/>
      <w:szCs w:val="24"/>
    </w:rPr>
  </w:style>
  <w:style w:type="character" w:customStyle="1" w:styleId="ListParagraphChar">
    <w:name w:val="List Paragraph Char"/>
    <w:aliases w:val="Bullet List Paragraph Char,List Paragraph1 Char,Heading 2_sj Char,Resume Title Char,Citation List Char,Ha Char,List Paragraph_Table bullets Char,Listes Char,1st level - Bullet List Paragraph Char,Lettre d'introduction Char"/>
    <w:link w:val="ListParagraph"/>
    <w:uiPriority w:val="34"/>
    <w:qFormat/>
    <w:locked/>
    <w:rPr>
      <w:rFonts w:ascii="Calibri" w:hAnsi="Calibri" w:cs="Calibri"/>
    </w:rPr>
  </w:style>
  <w:style w:type="character" w:customStyle="1" w:styleId="FootnoteTextChar">
    <w:name w:val="Footnote Text Char"/>
    <w:aliases w:val="Fußnotentextf Char,fn Char,Footnote Text Char Char Char,footnotes Char,Footnote Text Char2 Char Char,Footnote Text Char Char1 Char Char,Footnote Text Char2 Char Char Char Char,Footnote Text Char1 Char Char Char Char Char,RSK-F Char"/>
    <w:uiPriority w:val="99"/>
  </w:style>
  <w:style w:type="character" w:customStyle="1" w:styleId="HeaderChar">
    <w:name w:val="Header Char"/>
    <w:basedOn w:val="DefaultParagraphFont"/>
    <w:link w:val="Header"/>
    <w:uiPriority w:val="99"/>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character" w:styleId="FootnoteReference">
    <w:name w:val="footnote reference"/>
    <w:aliases w:val="Footnote symbol,number,SUPERS,Footnote Reference Superscript,stylish,BVI fnr,-E Fußnotenzeichen,Source Reference,Footnote reference number,note TESI,Times 10 Point,Exposant 3 Point,Ref,de nota al pie,EN Footnote Reference,BVI fn,cal,n"/>
    <w:qFormat/>
    <w:rPr>
      <w:vertAlign w:val="superscript"/>
    </w:rPr>
  </w:style>
  <w:style w:type="character" w:customStyle="1" w:styleId="Endnotenzeichen">
    <w:name w:val="Endnotenzeichen"/>
    <w:rPr>
      <w:vertAlign w:val="superscript"/>
    </w:rPr>
  </w:style>
  <w:style w:type="character" w:customStyle="1" w:styleId="WW-Endnotenzeichen">
    <w:name w:val="WW-Endnotenzeichen"/>
  </w:style>
  <w:style w:type="character" w:customStyle="1" w:styleId="Aufzhlungszeichen">
    <w:name w:val="Aufzählungszeichen"/>
    <w:rPr>
      <w:rFonts w:ascii="OpenSymbol" w:eastAsia="OpenSymbol" w:hAnsi="OpenSymbol" w:cs="OpenSymbol"/>
    </w:rPr>
  </w:style>
  <w:style w:type="character" w:customStyle="1" w:styleId="Nummerierungszeichen">
    <w:name w:val="Nummerierungszeichen"/>
  </w:style>
  <w:style w:type="character" w:customStyle="1" w:styleId="FootnoteReference1">
    <w:name w:val="Footnote Reference1"/>
    <w:rPr>
      <w:vertAlign w:val="superscript"/>
    </w:rPr>
  </w:style>
  <w:style w:type="character" w:customStyle="1" w:styleId="ListLabel7">
    <w:name w:val="ListLabel 7"/>
    <w:rPr>
      <w:rFonts w:cs="Courier New"/>
    </w:rPr>
  </w:style>
  <w:style w:type="character" w:customStyle="1" w:styleId="footnoteCar">
    <w:name w:val="footnote Car"/>
    <w:rPr>
      <w:rFonts w:ascii="Corbel" w:eastAsia="Times New Roman" w:hAnsi="Corbel" w:cs="Calibri"/>
      <w:sz w:val="18"/>
      <w:szCs w:val="18"/>
    </w:rPr>
  </w:style>
  <w:style w:type="character" w:customStyle="1" w:styleId="Style5footnoteBIOChar">
    <w:name w:val="Style5_footnote BIO Char"/>
    <w:rPr>
      <w:rFonts w:ascii="Arial" w:eastAsia="Times New Roman" w:hAnsi="Arial" w:cs="Arial"/>
      <w:sz w:val="16"/>
      <w:szCs w:val="16"/>
    </w:rPr>
  </w:style>
  <w:style w:type="character" w:styleId="EndnoteReference">
    <w:name w:val="endnote reference"/>
    <w:uiPriority w:val="99"/>
    <w:rPr>
      <w:vertAlign w:val="superscript"/>
    </w:rPr>
  </w:style>
  <w:style w:type="paragraph" w:customStyle="1" w:styleId="berschrift">
    <w:name w:val="Überschrift"/>
    <w:basedOn w:val="Normal"/>
    <w:next w:val="BodyText"/>
    <w:pPr>
      <w:keepNext/>
      <w:suppressAutoHyphens/>
      <w:spacing w:before="240" w:after="120" w:line="240" w:lineRule="auto"/>
      <w:jc w:val="both"/>
    </w:pPr>
    <w:rPr>
      <w:rFonts w:ascii="Arial" w:eastAsia="Microsoft YaHei" w:hAnsi="Arial" w:cs="Mangal"/>
      <w:sz w:val="28"/>
      <w:szCs w:val="28"/>
      <w:lang w:eastAsia="ar-SA"/>
    </w:rPr>
  </w:style>
  <w:style w:type="paragraph" w:styleId="BodyText">
    <w:name w:val="Body Text"/>
    <w:basedOn w:val="Normal"/>
    <w:link w:val="BodyTextChar"/>
    <w:pPr>
      <w:suppressAutoHyphens/>
      <w:spacing w:after="120" w:line="240" w:lineRule="auto"/>
      <w:jc w:val="both"/>
    </w:pPr>
    <w:rPr>
      <w:rFonts w:ascii="Times New Roman" w:eastAsia="Times New Roman" w:hAnsi="Times New Roman" w:cs="Times New Roman"/>
      <w:sz w:val="24"/>
      <w:szCs w:val="24"/>
      <w:lang w:eastAsia="ar-SA"/>
    </w:rPr>
  </w:style>
  <w:style w:type="character" w:customStyle="1" w:styleId="BodyTextChar">
    <w:name w:val="Body Text Char"/>
    <w:basedOn w:val="DefaultParagraphFont"/>
    <w:link w:val="BodyText"/>
    <w:rPr>
      <w:rFonts w:ascii="Times New Roman" w:eastAsia="Times New Roman" w:hAnsi="Times New Roman" w:cs="Times New Roman"/>
      <w:sz w:val="24"/>
      <w:szCs w:val="24"/>
      <w:lang w:eastAsia="ar-SA"/>
    </w:rPr>
  </w:style>
  <w:style w:type="paragraph" w:styleId="List">
    <w:name w:val="List"/>
    <w:basedOn w:val="BodyText"/>
    <w:rPr>
      <w:rFonts w:cs="Mangal"/>
    </w:rPr>
  </w:style>
  <w:style w:type="paragraph" w:customStyle="1" w:styleId="Beschriftung">
    <w:name w:val="Beschriftung"/>
    <w:basedOn w:val="Normal"/>
    <w:pPr>
      <w:suppressLineNumbers/>
      <w:suppressAutoHyphens/>
      <w:spacing w:before="120" w:after="120" w:line="240" w:lineRule="auto"/>
      <w:jc w:val="both"/>
    </w:pPr>
    <w:rPr>
      <w:rFonts w:ascii="Times New Roman" w:eastAsia="Times New Roman" w:hAnsi="Times New Roman" w:cs="Mangal"/>
      <w:i/>
      <w:iCs/>
      <w:sz w:val="24"/>
      <w:szCs w:val="24"/>
      <w:lang w:eastAsia="ar-SA"/>
    </w:rPr>
  </w:style>
  <w:style w:type="paragraph" w:customStyle="1" w:styleId="Verzeichnis">
    <w:name w:val="Verzeichnis"/>
    <w:basedOn w:val="Normal"/>
    <w:pPr>
      <w:suppressLineNumbers/>
      <w:suppressAutoHyphens/>
      <w:spacing w:before="120" w:after="120" w:line="240" w:lineRule="auto"/>
      <w:jc w:val="both"/>
    </w:pPr>
    <w:rPr>
      <w:rFonts w:ascii="Times New Roman" w:eastAsia="Times New Roman" w:hAnsi="Times New Roman" w:cs="Mangal"/>
      <w:sz w:val="24"/>
      <w:szCs w:val="24"/>
      <w:lang w:eastAsia="ar-SA"/>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1">
    <w:name w:val="Header Char1"/>
    <w:basedOn w:val="DefaultParagraphFont"/>
    <w:uiPriority w:val="99"/>
    <w:semiHidden/>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1">
    <w:name w:val="Footer Char1"/>
    <w:basedOn w:val="DefaultParagraphFont"/>
    <w:uiPriority w:val="99"/>
    <w:rPr>
      <w:rFonts w:ascii="Times New Roman" w:eastAsia="Times New Roman" w:hAnsi="Times New Roman" w:cs="Times New Roman"/>
      <w:sz w:val="24"/>
      <w:szCs w:val="24"/>
      <w:lang w:eastAsia="ar-SA"/>
    </w:rPr>
  </w:style>
  <w:style w:type="paragraph" w:styleId="FootnoteText">
    <w:name w:val="footnote text"/>
    <w:aliases w:val="Fußnotentextf,fn,Footnote Text Char Char,footnotes,Footnote Text Char2 Char,Footnote Text Char Char1 Char,Footnote Text Char2 Char Char Char,Footnote Text Char1 Char Char Char Char,Footnote Text Char Char Char Char Char Char,RSK-F,Fußnote"/>
    <w:basedOn w:val="Normal"/>
    <w:link w:val="FootnoteTextChar1"/>
    <w:qFormat/>
    <w:pPr>
      <w:suppressAutoHyphens/>
      <w:spacing w:after="0" w:line="240" w:lineRule="auto"/>
      <w:ind w:left="720" w:hanging="720"/>
      <w:jc w:val="both"/>
    </w:pPr>
    <w:rPr>
      <w:rFonts w:ascii="Times New Roman" w:eastAsia="Times New Roman" w:hAnsi="Times New Roman" w:cs="Times New Roman"/>
      <w:sz w:val="20"/>
      <w:szCs w:val="20"/>
      <w:lang w:eastAsia="ar-SA"/>
    </w:rPr>
  </w:style>
  <w:style w:type="character" w:customStyle="1" w:styleId="FootnoteTextChar1">
    <w:name w:val="Footnote Text Char1"/>
    <w:aliases w:val="Fußnotentextf Char1,fn Char1,Footnote Text Char Char Char1,footnotes Char1,Footnote Text Char2 Char Char1,Footnote Text Char Char1 Char Char1,Footnote Text Char2 Char Char Char Char1,Footnote Text Char1 Char Char Char Char Char1"/>
    <w:basedOn w:val="DefaultParagraphFont"/>
    <w:link w:val="FootnoteText"/>
    <w:uiPriority w:val="99"/>
    <w:rPr>
      <w:rFonts w:ascii="Times New Roman" w:eastAsia="Times New Roman" w:hAnsi="Times New Roman" w:cs="Times New Roman"/>
      <w:sz w:val="20"/>
      <w:szCs w:val="20"/>
      <w:lang w:eastAsia="ar-SA"/>
    </w:rPr>
  </w:style>
  <w:style w:type="paragraph" w:styleId="ListBullet">
    <w:name w:val="List Bullet"/>
    <w:basedOn w:val="Normal"/>
    <w:uiPriority w:val="4"/>
    <w:pPr>
      <w:numPr>
        <w:numId w:val="109"/>
      </w:numPr>
      <w:tabs>
        <w:tab w:val="clear" w:pos="360"/>
        <w:tab w:val="num" w:pos="567"/>
      </w:tabs>
      <w:spacing w:before="120" w:after="120" w:line="240" w:lineRule="auto"/>
      <w:ind w:left="567" w:hanging="283"/>
      <w:jc w:val="both"/>
    </w:pPr>
    <w:rPr>
      <w:rFonts w:ascii="Times New Roman" w:eastAsia="Times New Roman" w:hAnsi="Times New Roman" w:cs="Times New Roman"/>
      <w:sz w:val="24"/>
      <w:szCs w:val="24"/>
      <w:lang w:eastAsia="de-DE"/>
    </w:rPr>
  </w:style>
  <w:style w:type="paragraph" w:styleId="ListBullet2">
    <w:name w:val="List Bullet 2"/>
    <w:basedOn w:val="Normal"/>
    <w:uiPriority w:val="4"/>
    <w:pPr>
      <w:numPr>
        <w:numId w:val="5"/>
      </w:numPr>
      <w:spacing w:before="120" w:after="120" w:line="240" w:lineRule="auto"/>
      <w:jc w:val="both"/>
    </w:pPr>
    <w:rPr>
      <w:rFonts w:ascii="Times New Roman" w:eastAsia="Times New Roman" w:hAnsi="Times New Roman" w:cs="Times New Roman"/>
      <w:sz w:val="24"/>
      <w:szCs w:val="24"/>
      <w:lang w:eastAsia="de-DE"/>
    </w:rPr>
  </w:style>
  <w:style w:type="paragraph" w:styleId="ListBullet3">
    <w:name w:val="List Bullet 3"/>
    <w:basedOn w:val="Normal"/>
    <w:uiPriority w:val="4"/>
    <w:pPr>
      <w:numPr>
        <w:numId w:val="11"/>
      </w:numPr>
      <w:spacing w:before="120" w:after="120" w:line="240" w:lineRule="auto"/>
      <w:jc w:val="both"/>
    </w:pPr>
    <w:rPr>
      <w:rFonts w:ascii="Times New Roman" w:eastAsia="Times New Roman" w:hAnsi="Times New Roman" w:cs="Times New Roman"/>
      <w:sz w:val="24"/>
      <w:szCs w:val="24"/>
      <w:lang w:eastAsia="de-DE"/>
    </w:rPr>
  </w:style>
  <w:style w:type="paragraph" w:styleId="ListBullet4">
    <w:name w:val="List Bullet 4"/>
    <w:basedOn w:val="Normal"/>
    <w:uiPriority w:val="4"/>
    <w:pPr>
      <w:numPr>
        <w:numId w:val="25"/>
      </w:numPr>
      <w:spacing w:before="120" w:after="120" w:line="240" w:lineRule="auto"/>
      <w:jc w:val="both"/>
    </w:pPr>
    <w:rPr>
      <w:rFonts w:ascii="Times New Roman" w:eastAsia="Times New Roman" w:hAnsi="Times New Roman" w:cs="Times New Roman"/>
      <w:sz w:val="24"/>
      <w:szCs w:val="24"/>
      <w:lang w:eastAsia="de-DE"/>
    </w:rPr>
  </w:style>
  <w:style w:type="paragraph" w:styleId="ListNumber">
    <w:name w:val="List Number"/>
    <w:basedOn w:val="Normal"/>
    <w:pPr>
      <w:numPr>
        <w:numId w:val="18"/>
      </w:numPr>
      <w:spacing w:before="120" w:after="120" w:line="240" w:lineRule="auto"/>
      <w:jc w:val="both"/>
    </w:pPr>
    <w:rPr>
      <w:rFonts w:ascii="Times New Roman" w:eastAsia="Times New Roman" w:hAnsi="Times New Roman" w:cs="Times New Roman"/>
      <w:sz w:val="24"/>
      <w:szCs w:val="24"/>
      <w:lang w:eastAsia="de-DE"/>
    </w:rPr>
  </w:style>
  <w:style w:type="paragraph" w:styleId="ListNumber2">
    <w:name w:val="List Number 2"/>
    <w:basedOn w:val="Normal"/>
    <w:pPr>
      <w:numPr>
        <w:numId w:val="7"/>
      </w:numPr>
      <w:spacing w:before="120" w:after="120" w:line="240" w:lineRule="auto"/>
      <w:jc w:val="both"/>
    </w:pPr>
    <w:rPr>
      <w:rFonts w:ascii="Times New Roman" w:eastAsia="Times New Roman" w:hAnsi="Times New Roman" w:cs="Times New Roman"/>
      <w:sz w:val="24"/>
      <w:szCs w:val="24"/>
      <w:lang w:eastAsia="de-DE"/>
    </w:rPr>
  </w:style>
  <w:style w:type="paragraph" w:styleId="ListNumber3">
    <w:name w:val="List Number 3"/>
    <w:basedOn w:val="Normal"/>
    <w:pPr>
      <w:numPr>
        <w:numId w:val="4"/>
      </w:numPr>
      <w:spacing w:before="120" w:after="120" w:line="240" w:lineRule="auto"/>
      <w:jc w:val="both"/>
    </w:pPr>
    <w:rPr>
      <w:rFonts w:ascii="Times New Roman" w:eastAsia="Times New Roman" w:hAnsi="Times New Roman" w:cs="Times New Roman"/>
      <w:sz w:val="24"/>
      <w:szCs w:val="24"/>
      <w:lang w:eastAsia="de-DE"/>
    </w:rPr>
  </w:style>
  <w:style w:type="paragraph" w:styleId="ListNumber4">
    <w:name w:val="List Number 4"/>
    <w:basedOn w:val="Normal"/>
    <w:pPr>
      <w:numPr>
        <w:numId w:val="3"/>
      </w:numPr>
      <w:spacing w:before="120" w:after="120" w:line="240" w:lineRule="auto"/>
      <w:jc w:val="both"/>
    </w:pPr>
    <w:rPr>
      <w:rFonts w:ascii="Times New Roman" w:eastAsia="Times New Roman" w:hAnsi="Times New Roman" w:cs="Times New Roman"/>
      <w:sz w:val="24"/>
      <w:szCs w:val="24"/>
      <w:lang w:eastAsia="de-DE"/>
    </w:rPr>
  </w:style>
  <w:style w:type="paragraph" w:styleId="TOC1">
    <w:name w:val="toc 1"/>
    <w:basedOn w:val="Normal"/>
    <w:next w:val="Normal"/>
    <w:uiPriority w:val="39"/>
    <w:qFormat/>
    <w:pPr>
      <w:tabs>
        <w:tab w:val="right" w:leader="dot" w:pos="9071"/>
      </w:tabs>
      <w:suppressAutoHyphens/>
      <w:spacing w:before="60" w:after="120" w:line="240" w:lineRule="auto"/>
      <w:ind w:left="850" w:hanging="850"/>
    </w:pPr>
    <w:rPr>
      <w:rFonts w:ascii="Times New Roman" w:eastAsia="Times New Roman" w:hAnsi="Times New Roman" w:cs="Times New Roman"/>
      <w:sz w:val="24"/>
      <w:szCs w:val="24"/>
      <w:lang w:eastAsia="ar-SA"/>
    </w:rPr>
  </w:style>
  <w:style w:type="paragraph" w:styleId="TOC2">
    <w:name w:val="toc 2"/>
    <w:basedOn w:val="Normal"/>
    <w:next w:val="Normal"/>
    <w:uiPriority w:val="39"/>
    <w:qFormat/>
    <w:pPr>
      <w:tabs>
        <w:tab w:val="right" w:leader="dot" w:pos="9071"/>
      </w:tabs>
      <w:spacing w:before="60" w:after="120" w:line="240" w:lineRule="auto"/>
      <w:ind w:left="1559" w:hanging="850"/>
    </w:pPr>
    <w:rPr>
      <w:rFonts w:ascii="Times New Roman" w:eastAsia="Times New Roman" w:hAnsi="Times New Roman" w:cs="Times New Roman"/>
      <w:sz w:val="24"/>
      <w:szCs w:val="24"/>
      <w:lang w:eastAsia="de-DE"/>
    </w:rPr>
  </w:style>
  <w:style w:type="paragraph" w:styleId="TOC3">
    <w:name w:val="toc 3"/>
    <w:basedOn w:val="Normal"/>
    <w:next w:val="Normal"/>
    <w:uiPriority w:val="39"/>
    <w:qFormat/>
    <w:pPr>
      <w:tabs>
        <w:tab w:val="right" w:leader="dot" w:pos="9071"/>
      </w:tabs>
      <w:spacing w:before="60" w:after="120" w:line="240" w:lineRule="auto"/>
      <w:ind w:left="2269" w:hanging="851"/>
    </w:pPr>
    <w:rPr>
      <w:rFonts w:ascii="Times New Roman" w:eastAsia="Times New Roman" w:hAnsi="Times New Roman" w:cs="Times New Roman"/>
      <w:sz w:val="24"/>
      <w:szCs w:val="24"/>
      <w:lang w:eastAsia="de-DE"/>
    </w:rPr>
  </w:style>
  <w:style w:type="paragraph" w:styleId="TOC4">
    <w:name w:val="toc 4"/>
    <w:basedOn w:val="Normal"/>
    <w:next w:val="Normal"/>
    <w:uiPriority w:val="39"/>
    <w:pPr>
      <w:tabs>
        <w:tab w:val="right" w:leader="dot" w:pos="9071"/>
      </w:tabs>
      <w:spacing w:before="60" w:after="120" w:line="240" w:lineRule="auto"/>
      <w:ind w:left="2836" w:hanging="851"/>
    </w:pPr>
    <w:rPr>
      <w:rFonts w:ascii="Times New Roman" w:eastAsia="Times New Roman" w:hAnsi="Times New Roman" w:cs="Times New Roman"/>
      <w:sz w:val="24"/>
      <w:szCs w:val="24"/>
      <w:lang w:eastAsia="de-DE"/>
    </w:rPr>
  </w:style>
  <w:style w:type="paragraph" w:styleId="TOC5">
    <w:name w:val="toc 5"/>
    <w:basedOn w:val="Normal"/>
    <w:next w:val="Normal"/>
    <w:uiPriority w:val="39"/>
    <w:pPr>
      <w:tabs>
        <w:tab w:val="right" w:leader="dot" w:pos="9071"/>
      </w:tabs>
      <w:spacing w:before="300" w:after="120" w:line="240" w:lineRule="auto"/>
    </w:pPr>
    <w:rPr>
      <w:rFonts w:ascii="Times New Roman" w:eastAsia="Times New Roman" w:hAnsi="Times New Roman" w:cs="Times New Roman"/>
      <w:sz w:val="24"/>
      <w:szCs w:val="24"/>
      <w:lang w:eastAsia="de-DE"/>
    </w:rPr>
  </w:style>
  <w:style w:type="paragraph" w:styleId="TOC6">
    <w:name w:val="toc 6"/>
    <w:basedOn w:val="Normal"/>
    <w:next w:val="Normal"/>
    <w:uiPriority w:val="39"/>
    <w:pPr>
      <w:tabs>
        <w:tab w:val="right" w:leader="dot" w:pos="9071"/>
      </w:tabs>
      <w:spacing w:before="240" w:after="120" w:line="240" w:lineRule="auto"/>
    </w:pPr>
    <w:rPr>
      <w:rFonts w:ascii="Times New Roman" w:eastAsia="Times New Roman" w:hAnsi="Times New Roman" w:cs="Times New Roman"/>
      <w:sz w:val="24"/>
      <w:szCs w:val="24"/>
      <w:lang w:eastAsia="de-DE"/>
    </w:rPr>
  </w:style>
  <w:style w:type="paragraph" w:styleId="TOC7">
    <w:name w:val="toc 7"/>
    <w:basedOn w:val="Normal"/>
    <w:next w:val="Normal"/>
    <w:uiPriority w:val="39"/>
    <w:pPr>
      <w:tabs>
        <w:tab w:val="right" w:leader="dot" w:pos="9071"/>
      </w:tabs>
      <w:spacing w:before="180" w:after="120" w:line="240" w:lineRule="auto"/>
    </w:pPr>
    <w:rPr>
      <w:rFonts w:ascii="Times New Roman" w:eastAsia="Times New Roman" w:hAnsi="Times New Roman" w:cs="Times New Roman"/>
      <w:sz w:val="24"/>
      <w:szCs w:val="24"/>
      <w:lang w:eastAsia="de-DE"/>
    </w:rPr>
  </w:style>
  <w:style w:type="paragraph" w:styleId="TOC8">
    <w:name w:val="toc 8"/>
    <w:basedOn w:val="Normal"/>
    <w:next w:val="Normal"/>
    <w:uiPriority w:val="39"/>
    <w:pPr>
      <w:tabs>
        <w:tab w:val="right" w:leader="dot" w:pos="9071"/>
      </w:tabs>
      <w:spacing w:before="120" w:after="120" w:line="240" w:lineRule="auto"/>
    </w:pPr>
    <w:rPr>
      <w:rFonts w:ascii="Times New Roman" w:eastAsia="Times New Roman" w:hAnsi="Times New Roman" w:cs="Times New Roman"/>
      <w:sz w:val="24"/>
      <w:szCs w:val="24"/>
      <w:lang w:eastAsia="de-DE"/>
    </w:rPr>
  </w:style>
  <w:style w:type="paragraph" w:styleId="TOC9">
    <w:name w:val="toc 9"/>
    <w:basedOn w:val="Normal"/>
    <w:next w:val="Normal"/>
    <w:uiPriority w:val="39"/>
    <w:pPr>
      <w:tabs>
        <w:tab w:val="right" w:leader="dot" w:pos="9071"/>
      </w:tabs>
      <w:spacing w:before="120" w:after="120" w:line="240" w:lineRule="auto"/>
      <w:jc w:val="both"/>
    </w:pPr>
    <w:rPr>
      <w:rFonts w:ascii="Times New Roman" w:eastAsia="Times New Roman" w:hAnsi="Times New Roman" w:cs="Times New Roman"/>
      <w:sz w:val="24"/>
      <w:szCs w:val="24"/>
      <w:lang w:eastAsia="de-DE"/>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Text1">
    <w:name w:val="Text 1"/>
    <w:basedOn w:val="Normal"/>
    <w:pPr>
      <w:suppressAutoHyphens/>
      <w:spacing w:before="120" w:after="120" w:line="240" w:lineRule="auto"/>
      <w:ind w:left="850"/>
      <w:jc w:val="both"/>
    </w:pPr>
    <w:rPr>
      <w:rFonts w:ascii="Times New Roman" w:eastAsia="Times New Roman" w:hAnsi="Times New Roman" w:cs="Times New Roman"/>
      <w:sz w:val="24"/>
      <w:szCs w:val="24"/>
      <w:lang w:eastAsia="ar-SA"/>
    </w:rPr>
  </w:style>
  <w:style w:type="paragraph" w:customStyle="1" w:styleId="Text2">
    <w:name w:val="Text 2"/>
    <w:basedOn w:val="Normal"/>
    <w:pPr>
      <w:suppressAutoHyphens/>
      <w:spacing w:before="120" w:after="120" w:line="240" w:lineRule="auto"/>
      <w:ind w:left="850"/>
      <w:jc w:val="both"/>
    </w:pPr>
    <w:rPr>
      <w:rFonts w:ascii="Times New Roman" w:eastAsia="Times New Roman" w:hAnsi="Times New Roman" w:cs="Times New Roman"/>
      <w:sz w:val="24"/>
      <w:szCs w:val="24"/>
      <w:lang w:eastAsia="ar-SA"/>
    </w:rPr>
  </w:style>
  <w:style w:type="paragraph" w:customStyle="1" w:styleId="Text3">
    <w:name w:val="Text 3"/>
    <w:basedOn w:val="Normal"/>
    <w:pPr>
      <w:suppressAutoHyphens/>
      <w:spacing w:before="120" w:after="120" w:line="240" w:lineRule="auto"/>
      <w:ind w:left="850"/>
      <w:jc w:val="both"/>
    </w:pPr>
    <w:rPr>
      <w:rFonts w:ascii="Times New Roman" w:eastAsia="Times New Roman" w:hAnsi="Times New Roman" w:cs="Times New Roman"/>
      <w:sz w:val="24"/>
      <w:szCs w:val="24"/>
      <w:lang w:eastAsia="ar-SA"/>
    </w:rPr>
  </w:style>
  <w:style w:type="paragraph" w:customStyle="1" w:styleId="Text4">
    <w:name w:val="Text 4"/>
    <w:basedOn w:val="Normal"/>
    <w:pPr>
      <w:suppressAutoHyphens/>
      <w:spacing w:before="120" w:after="120" w:line="240" w:lineRule="auto"/>
      <w:ind w:left="850"/>
      <w:jc w:val="both"/>
    </w:pPr>
    <w:rPr>
      <w:rFonts w:ascii="Times New Roman" w:eastAsia="Times New Roman" w:hAnsi="Times New Roman" w:cs="Times New Roman"/>
      <w:sz w:val="24"/>
      <w:szCs w:val="24"/>
      <w:lang w:eastAsia="ar-SA"/>
    </w:rPr>
  </w:style>
  <w:style w:type="paragraph" w:customStyle="1" w:styleId="NormalCentered">
    <w:name w:val="Normal Centered"/>
    <w:basedOn w:val="Normal"/>
    <w:pPr>
      <w:suppressAutoHyphens/>
      <w:spacing w:before="120" w:after="120" w:line="240" w:lineRule="auto"/>
      <w:jc w:val="center"/>
    </w:pPr>
    <w:rPr>
      <w:rFonts w:ascii="Times New Roman" w:eastAsia="Times New Roman" w:hAnsi="Times New Roman" w:cs="Times New Roman"/>
      <w:sz w:val="24"/>
      <w:szCs w:val="24"/>
      <w:lang w:eastAsia="ar-SA"/>
    </w:rPr>
  </w:style>
  <w:style w:type="paragraph" w:customStyle="1" w:styleId="NormalLeft">
    <w:name w:val="Normal Left"/>
    <w:basedOn w:val="Normal"/>
    <w:pPr>
      <w:suppressAutoHyphens/>
      <w:spacing w:before="120" w:after="120" w:line="240" w:lineRule="auto"/>
    </w:pPr>
    <w:rPr>
      <w:rFonts w:ascii="Times New Roman" w:eastAsia="Times New Roman" w:hAnsi="Times New Roman" w:cs="Times New Roman"/>
      <w:sz w:val="24"/>
      <w:szCs w:val="24"/>
      <w:lang w:eastAsia="ar-SA"/>
    </w:rPr>
  </w:style>
  <w:style w:type="paragraph" w:customStyle="1" w:styleId="NormalRight">
    <w:name w:val="Normal Right"/>
    <w:basedOn w:val="Normal"/>
    <w:pPr>
      <w:suppressAutoHyphens/>
      <w:spacing w:before="120" w:after="120" w:line="240" w:lineRule="auto"/>
      <w:jc w:val="right"/>
    </w:pPr>
    <w:rPr>
      <w:rFonts w:ascii="Times New Roman" w:eastAsia="Times New Roman" w:hAnsi="Times New Roman" w:cs="Times New Roman"/>
      <w:sz w:val="24"/>
      <w:szCs w:val="24"/>
      <w:lang w:eastAsia="ar-SA"/>
    </w:rPr>
  </w:style>
  <w:style w:type="paragraph" w:customStyle="1" w:styleId="QuotedText">
    <w:name w:val="Quoted Text"/>
    <w:basedOn w:val="Normal"/>
    <w:pPr>
      <w:suppressAutoHyphens/>
      <w:spacing w:before="120" w:after="120" w:line="240" w:lineRule="auto"/>
      <w:ind w:left="1417"/>
      <w:jc w:val="both"/>
    </w:pPr>
    <w:rPr>
      <w:rFonts w:ascii="Times New Roman" w:eastAsia="Times New Roman" w:hAnsi="Times New Roman" w:cs="Times New Roman"/>
      <w:sz w:val="24"/>
      <w:szCs w:val="24"/>
      <w:lang w:eastAsia="ar-SA"/>
    </w:rPr>
  </w:style>
  <w:style w:type="paragraph" w:customStyle="1" w:styleId="Point0">
    <w:name w:val="Point 0"/>
    <w:basedOn w:val="Normal"/>
    <w:pPr>
      <w:suppressAutoHyphens/>
      <w:spacing w:before="120" w:after="120" w:line="240" w:lineRule="auto"/>
      <w:ind w:left="850" w:hanging="850"/>
      <w:jc w:val="both"/>
    </w:pPr>
    <w:rPr>
      <w:rFonts w:ascii="Times New Roman" w:eastAsia="Times New Roman" w:hAnsi="Times New Roman" w:cs="Times New Roman"/>
      <w:sz w:val="24"/>
      <w:szCs w:val="24"/>
      <w:lang w:eastAsia="ar-SA"/>
    </w:rPr>
  </w:style>
  <w:style w:type="paragraph" w:customStyle="1" w:styleId="Point1">
    <w:name w:val="Point 1"/>
    <w:basedOn w:val="Normal"/>
    <w:pPr>
      <w:suppressAutoHyphens/>
      <w:spacing w:before="120" w:after="120" w:line="240" w:lineRule="auto"/>
      <w:ind w:left="1417" w:hanging="567"/>
      <w:jc w:val="both"/>
    </w:pPr>
    <w:rPr>
      <w:rFonts w:ascii="Times New Roman" w:eastAsia="Times New Roman" w:hAnsi="Times New Roman" w:cs="Times New Roman"/>
      <w:sz w:val="24"/>
      <w:szCs w:val="24"/>
      <w:lang w:eastAsia="ar-SA"/>
    </w:rPr>
  </w:style>
  <w:style w:type="paragraph" w:customStyle="1" w:styleId="Point2">
    <w:name w:val="Point 2"/>
    <w:basedOn w:val="Normal"/>
    <w:pPr>
      <w:suppressAutoHyphens/>
      <w:spacing w:before="120" w:after="120" w:line="240" w:lineRule="auto"/>
      <w:ind w:left="1984" w:hanging="567"/>
      <w:jc w:val="both"/>
    </w:pPr>
    <w:rPr>
      <w:rFonts w:ascii="Times New Roman" w:eastAsia="Times New Roman" w:hAnsi="Times New Roman" w:cs="Times New Roman"/>
      <w:sz w:val="24"/>
      <w:szCs w:val="24"/>
      <w:lang w:eastAsia="ar-SA"/>
    </w:rPr>
  </w:style>
  <w:style w:type="paragraph" w:customStyle="1" w:styleId="Point3">
    <w:name w:val="Point 3"/>
    <w:basedOn w:val="Normal"/>
    <w:pPr>
      <w:suppressAutoHyphens/>
      <w:spacing w:before="120" w:after="120" w:line="240" w:lineRule="auto"/>
      <w:ind w:left="2551" w:hanging="567"/>
      <w:jc w:val="both"/>
    </w:pPr>
    <w:rPr>
      <w:rFonts w:ascii="Times New Roman" w:eastAsia="Times New Roman" w:hAnsi="Times New Roman" w:cs="Times New Roman"/>
      <w:sz w:val="24"/>
      <w:szCs w:val="24"/>
      <w:lang w:eastAsia="ar-SA"/>
    </w:rPr>
  </w:style>
  <w:style w:type="paragraph" w:customStyle="1" w:styleId="Point4">
    <w:name w:val="Point 4"/>
    <w:basedOn w:val="Normal"/>
    <w:pPr>
      <w:suppressAutoHyphens/>
      <w:spacing w:before="120" w:after="120" w:line="240" w:lineRule="auto"/>
      <w:ind w:left="3118" w:hanging="567"/>
      <w:jc w:val="both"/>
    </w:pPr>
    <w:rPr>
      <w:rFonts w:ascii="Times New Roman" w:eastAsia="Times New Roman" w:hAnsi="Times New Roman" w:cs="Times New Roman"/>
      <w:sz w:val="24"/>
      <w:szCs w:val="24"/>
      <w:lang w:eastAsia="ar-SA"/>
    </w:rPr>
  </w:style>
  <w:style w:type="paragraph" w:customStyle="1" w:styleId="Tiret0">
    <w:name w:val="Tiret 0"/>
    <w:basedOn w:val="Point0"/>
    <w:pPr>
      <w:numPr>
        <w:numId w:val="9"/>
      </w:numPr>
      <w:suppressAutoHyphens w:val="0"/>
    </w:pPr>
    <w:rPr>
      <w:lang w:eastAsia="de-DE"/>
    </w:rPr>
  </w:style>
  <w:style w:type="paragraph" w:customStyle="1" w:styleId="Tiret1">
    <w:name w:val="Tiret 1"/>
    <w:basedOn w:val="Point1"/>
    <w:pPr>
      <w:numPr>
        <w:numId w:val="15"/>
      </w:numPr>
      <w:suppressAutoHyphens w:val="0"/>
    </w:pPr>
    <w:rPr>
      <w:lang w:eastAsia="de-DE"/>
    </w:rPr>
  </w:style>
  <w:style w:type="paragraph" w:customStyle="1" w:styleId="Tiret2">
    <w:name w:val="Tiret 2"/>
    <w:basedOn w:val="Point2"/>
    <w:pPr>
      <w:numPr>
        <w:numId w:val="10"/>
      </w:numPr>
      <w:suppressAutoHyphens w:val="0"/>
    </w:pPr>
    <w:rPr>
      <w:lang w:eastAsia="de-DE"/>
    </w:rPr>
  </w:style>
  <w:style w:type="paragraph" w:customStyle="1" w:styleId="Tiret3">
    <w:name w:val="Tiret 3"/>
    <w:basedOn w:val="Point3"/>
    <w:pPr>
      <w:numPr>
        <w:numId w:val="13"/>
      </w:numPr>
      <w:suppressAutoHyphens w:val="0"/>
    </w:pPr>
    <w:rPr>
      <w:lang w:eastAsia="de-DE"/>
    </w:rPr>
  </w:style>
  <w:style w:type="paragraph" w:customStyle="1" w:styleId="Tiret4">
    <w:name w:val="Tiret 4"/>
    <w:basedOn w:val="Point4"/>
    <w:pPr>
      <w:numPr>
        <w:numId w:val="14"/>
      </w:numPr>
      <w:suppressAutoHyphens w:val="0"/>
    </w:pPr>
    <w:rPr>
      <w:lang w:eastAsia="de-DE"/>
    </w:rPr>
  </w:style>
  <w:style w:type="paragraph" w:customStyle="1" w:styleId="PointDouble0">
    <w:name w:val="PointDouble 0"/>
    <w:basedOn w:val="Normal"/>
    <w:pPr>
      <w:tabs>
        <w:tab w:val="left" w:pos="850"/>
      </w:tabs>
      <w:suppressAutoHyphens/>
      <w:spacing w:before="120" w:after="120" w:line="240" w:lineRule="auto"/>
      <w:ind w:left="1417" w:hanging="1417"/>
      <w:jc w:val="both"/>
    </w:pPr>
    <w:rPr>
      <w:rFonts w:ascii="Times New Roman" w:eastAsia="Times New Roman" w:hAnsi="Times New Roman" w:cs="Times New Roman"/>
      <w:sz w:val="24"/>
      <w:szCs w:val="24"/>
      <w:lang w:eastAsia="ar-SA"/>
    </w:rPr>
  </w:style>
  <w:style w:type="paragraph" w:customStyle="1" w:styleId="PointDouble1">
    <w:name w:val="PointDouble 1"/>
    <w:basedOn w:val="Normal"/>
    <w:pPr>
      <w:tabs>
        <w:tab w:val="left" w:pos="1417"/>
      </w:tabs>
      <w:suppressAutoHyphens/>
      <w:spacing w:before="120" w:after="120" w:line="240" w:lineRule="auto"/>
      <w:ind w:left="1984" w:hanging="1134"/>
      <w:jc w:val="both"/>
    </w:pPr>
    <w:rPr>
      <w:rFonts w:ascii="Times New Roman" w:eastAsia="Times New Roman" w:hAnsi="Times New Roman" w:cs="Times New Roman"/>
      <w:sz w:val="24"/>
      <w:szCs w:val="24"/>
      <w:lang w:eastAsia="ar-SA"/>
    </w:rPr>
  </w:style>
  <w:style w:type="paragraph" w:customStyle="1" w:styleId="PointDouble2">
    <w:name w:val="PointDouble 2"/>
    <w:basedOn w:val="Normal"/>
    <w:pPr>
      <w:tabs>
        <w:tab w:val="left" w:pos="1984"/>
      </w:tabs>
      <w:suppressAutoHyphens/>
      <w:spacing w:before="120" w:after="120" w:line="240" w:lineRule="auto"/>
      <w:ind w:left="2551" w:hanging="1134"/>
      <w:jc w:val="both"/>
    </w:pPr>
    <w:rPr>
      <w:rFonts w:ascii="Times New Roman" w:eastAsia="Times New Roman" w:hAnsi="Times New Roman" w:cs="Times New Roman"/>
      <w:sz w:val="24"/>
      <w:szCs w:val="24"/>
      <w:lang w:eastAsia="ar-SA"/>
    </w:rPr>
  </w:style>
  <w:style w:type="paragraph" w:customStyle="1" w:styleId="PointDouble3">
    <w:name w:val="PointDouble 3"/>
    <w:basedOn w:val="Normal"/>
    <w:pPr>
      <w:tabs>
        <w:tab w:val="left" w:pos="2551"/>
      </w:tabs>
      <w:suppressAutoHyphens/>
      <w:spacing w:before="120" w:after="120" w:line="240" w:lineRule="auto"/>
      <w:ind w:left="3118" w:hanging="1134"/>
      <w:jc w:val="both"/>
    </w:pPr>
    <w:rPr>
      <w:rFonts w:ascii="Times New Roman" w:eastAsia="Times New Roman" w:hAnsi="Times New Roman" w:cs="Times New Roman"/>
      <w:sz w:val="24"/>
      <w:szCs w:val="24"/>
      <w:lang w:eastAsia="ar-SA"/>
    </w:rPr>
  </w:style>
  <w:style w:type="paragraph" w:customStyle="1" w:styleId="PointDouble4">
    <w:name w:val="PointDouble 4"/>
    <w:basedOn w:val="Normal"/>
    <w:pPr>
      <w:tabs>
        <w:tab w:val="left" w:pos="3118"/>
      </w:tabs>
      <w:suppressAutoHyphens/>
      <w:spacing w:before="120" w:after="120" w:line="240" w:lineRule="auto"/>
      <w:ind w:left="3685" w:hanging="1134"/>
      <w:jc w:val="both"/>
    </w:pPr>
    <w:rPr>
      <w:rFonts w:ascii="Times New Roman" w:eastAsia="Times New Roman" w:hAnsi="Times New Roman" w:cs="Times New Roman"/>
      <w:sz w:val="24"/>
      <w:szCs w:val="24"/>
      <w:lang w:eastAsia="ar-SA"/>
    </w:rPr>
  </w:style>
  <w:style w:type="paragraph" w:customStyle="1" w:styleId="PointTriple0">
    <w:name w:val="PointTriple 0"/>
    <w:basedOn w:val="Normal"/>
    <w:pPr>
      <w:tabs>
        <w:tab w:val="left" w:pos="850"/>
        <w:tab w:val="left" w:pos="1417"/>
      </w:tabs>
      <w:suppressAutoHyphens/>
      <w:spacing w:before="120" w:after="120" w:line="240" w:lineRule="auto"/>
      <w:ind w:left="1984" w:hanging="1984"/>
      <w:jc w:val="both"/>
    </w:pPr>
    <w:rPr>
      <w:rFonts w:ascii="Times New Roman" w:eastAsia="Times New Roman" w:hAnsi="Times New Roman" w:cs="Times New Roman"/>
      <w:sz w:val="24"/>
      <w:szCs w:val="24"/>
      <w:lang w:eastAsia="ar-SA"/>
    </w:rPr>
  </w:style>
  <w:style w:type="paragraph" w:customStyle="1" w:styleId="PointTriple1">
    <w:name w:val="PointTriple 1"/>
    <w:basedOn w:val="Normal"/>
    <w:pPr>
      <w:tabs>
        <w:tab w:val="left" w:pos="1417"/>
        <w:tab w:val="left" w:pos="1984"/>
      </w:tabs>
      <w:suppressAutoHyphens/>
      <w:spacing w:before="120" w:after="120" w:line="240" w:lineRule="auto"/>
      <w:ind w:left="2551" w:hanging="1701"/>
      <w:jc w:val="both"/>
    </w:pPr>
    <w:rPr>
      <w:rFonts w:ascii="Times New Roman" w:eastAsia="Times New Roman" w:hAnsi="Times New Roman" w:cs="Times New Roman"/>
      <w:sz w:val="24"/>
      <w:szCs w:val="24"/>
      <w:lang w:eastAsia="ar-SA"/>
    </w:rPr>
  </w:style>
  <w:style w:type="paragraph" w:customStyle="1" w:styleId="PointTriple2">
    <w:name w:val="PointTriple 2"/>
    <w:basedOn w:val="Normal"/>
    <w:pPr>
      <w:tabs>
        <w:tab w:val="left" w:pos="1984"/>
        <w:tab w:val="left" w:pos="2551"/>
      </w:tabs>
      <w:suppressAutoHyphens/>
      <w:spacing w:before="120" w:after="120" w:line="240" w:lineRule="auto"/>
      <w:ind w:left="3118" w:hanging="1701"/>
      <w:jc w:val="both"/>
    </w:pPr>
    <w:rPr>
      <w:rFonts w:ascii="Times New Roman" w:eastAsia="Times New Roman" w:hAnsi="Times New Roman" w:cs="Times New Roman"/>
      <w:sz w:val="24"/>
      <w:szCs w:val="24"/>
      <w:lang w:eastAsia="ar-SA"/>
    </w:rPr>
  </w:style>
  <w:style w:type="paragraph" w:customStyle="1" w:styleId="PointTriple3">
    <w:name w:val="PointTriple 3"/>
    <w:basedOn w:val="Normal"/>
    <w:pPr>
      <w:tabs>
        <w:tab w:val="left" w:pos="2551"/>
        <w:tab w:val="left" w:pos="3118"/>
      </w:tabs>
      <w:suppressAutoHyphens/>
      <w:spacing w:before="120" w:after="120" w:line="240" w:lineRule="auto"/>
      <w:ind w:left="3685" w:hanging="1701"/>
      <w:jc w:val="both"/>
    </w:pPr>
    <w:rPr>
      <w:rFonts w:ascii="Times New Roman" w:eastAsia="Times New Roman" w:hAnsi="Times New Roman" w:cs="Times New Roman"/>
      <w:sz w:val="24"/>
      <w:szCs w:val="24"/>
      <w:lang w:eastAsia="ar-SA"/>
    </w:rPr>
  </w:style>
  <w:style w:type="paragraph" w:customStyle="1" w:styleId="PointTriple4">
    <w:name w:val="PointTriple 4"/>
    <w:basedOn w:val="Normal"/>
    <w:pPr>
      <w:tabs>
        <w:tab w:val="left" w:pos="3118"/>
        <w:tab w:val="left" w:pos="3685"/>
      </w:tabs>
      <w:suppressAutoHyphens/>
      <w:spacing w:before="120" w:after="120" w:line="240" w:lineRule="auto"/>
      <w:ind w:left="4252" w:hanging="1701"/>
      <w:jc w:val="both"/>
    </w:pPr>
    <w:rPr>
      <w:rFonts w:ascii="Times New Roman" w:eastAsia="Times New Roman" w:hAnsi="Times New Roman" w:cs="Times New Roman"/>
      <w:sz w:val="24"/>
      <w:szCs w:val="24"/>
      <w:lang w:eastAsia="ar-SA"/>
    </w:rPr>
  </w:style>
  <w:style w:type="paragraph" w:customStyle="1" w:styleId="NumPar1">
    <w:name w:val="NumPar 1"/>
    <w:basedOn w:val="Normal"/>
    <w:next w:val="Text1"/>
    <w:pPr>
      <w:numPr>
        <w:numId w:val="23"/>
      </w:numPr>
      <w:spacing w:before="120" w:after="120" w:line="240" w:lineRule="auto"/>
      <w:jc w:val="both"/>
    </w:pPr>
    <w:rPr>
      <w:rFonts w:ascii="Times New Roman" w:eastAsia="Times New Roman" w:hAnsi="Times New Roman" w:cs="Times New Roman"/>
      <w:sz w:val="24"/>
      <w:szCs w:val="24"/>
      <w:lang w:eastAsia="de-DE"/>
    </w:rPr>
  </w:style>
  <w:style w:type="paragraph" w:customStyle="1" w:styleId="NumPar2">
    <w:name w:val="NumPar 2"/>
    <w:basedOn w:val="Normal"/>
    <w:next w:val="Text2"/>
    <w:pPr>
      <w:tabs>
        <w:tab w:val="num" w:pos="850"/>
      </w:tabs>
      <w:spacing w:before="120" w:after="120" w:line="240" w:lineRule="auto"/>
      <w:ind w:left="850" w:hanging="850"/>
      <w:jc w:val="both"/>
    </w:pPr>
    <w:rPr>
      <w:rFonts w:ascii="Times New Roman" w:eastAsia="Times New Roman" w:hAnsi="Times New Roman" w:cs="Times New Roman"/>
      <w:sz w:val="24"/>
      <w:szCs w:val="24"/>
      <w:lang w:eastAsia="de-DE"/>
    </w:rPr>
  </w:style>
  <w:style w:type="paragraph" w:customStyle="1" w:styleId="NumPar3">
    <w:name w:val="NumPar 3"/>
    <w:basedOn w:val="Normal"/>
    <w:next w:val="Text3"/>
    <w:pPr>
      <w:tabs>
        <w:tab w:val="num" w:pos="850"/>
      </w:tabs>
      <w:spacing w:before="120" w:after="120" w:line="240" w:lineRule="auto"/>
      <w:ind w:left="850" w:hanging="850"/>
      <w:jc w:val="both"/>
    </w:pPr>
    <w:rPr>
      <w:rFonts w:ascii="Times New Roman" w:eastAsia="Times New Roman" w:hAnsi="Times New Roman" w:cs="Times New Roman"/>
      <w:sz w:val="24"/>
      <w:szCs w:val="24"/>
      <w:lang w:eastAsia="de-DE"/>
    </w:rPr>
  </w:style>
  <w:style w:type="paragraph" w:customStyle="1" w:styleId="NumPar4">
    <w:name w:val="NumPar 4"/>
    <w:basedOn w:val="Normal"/>
    <w:next w:val="Text4"/>
    <w:pPr>
      <w:tabs>
        <w:tab w:val="num" w:pos="850"/>
      </w:tabs>
      <w:spacing w:before="120" w:after="120" w:line="240" w:lineRule="auto"/>
      <w:ind w:left="850" w:hanging="850"/>
      <w:jc w:val="both"/>
    </w:pPr>
    <w:rPr>
      <w:rFonts w:ascii="Times New Roman" w:eastAsia="Times New Roman" w:hAnsi="Times New Roman" w:cs="Times New Roman"/>
      <w:sz w:val="24"/>
      <w:szCs w:val="24"/>
      <w:lang w:eastAsia="de-DE"/>
    </w:rPr>
  </w:style>
  <w:style w:type="paragraph" w:customStyle="1" w:styleId="ManualNumPar1">
    <w:name w:val="Manual NumPar 1"/>
    <w:basedOn w:val="Normal"/>
    <w:next w:val="Text1"/>
    <w:pPr>
      <w:suppressAutoHyphens/>
      <w:spacing w:before="120" w:after="120" w:line="240" w:lineRule="auto"/>
      <w:ind w:left="850" w:hanging="850"/>
      <w:jc w:val="both"/>
    </w:pPr>
    <w:rPr>
      <w:rFonts w:ascii="Times New Roman" w:eastAsia="Times New Roman" w:hAnsi="Times New Roman" w:cs="Times New Roman"/>
      <w:sz w:val="24"/>
      <w:szCs w:val="24"/>
      <w:lang w:eastAsia="ar-SA"/>
    </w:rPr>
  </w:style>
  <w:style w:type="paragraph" w:customStyle="1" w:styleId="ManualNumPar2">
    <w:name w:val="Manual NumPar 2"/>
    <w:basedOn w:val="Normal"/>
    <w:next w:val="Text2"/>
    <w:pPr>
      <w:suppressAutoHyphens/>
      <w:spacing w:before="120" w:after="120" w:line="240" w:lineRule="auto"/>
      <w:ind w:left="850" w:hanging="850"/>
      <w:jc w:val="both"/>
    </w:pPr>
    <w:rPr>
      <w:rFonts w:ascii="Times New Roman" w:eastAsia="Times New Roman" w:hAnsi="Times New Roman" w:cs="Times New Roman"/>
      <w:sz w:val="24"/>
      <w:szCs w:val="24"/>
      <w:lang w:eastAsia="ar-SA"/>
    </w:rPr>
  </w:style>
  <w:style w:type="paragraph" w:customStyle="1" w:styleId="ManualNumPar3">
    <w:name w:val="Manual NumPar 3"/>
    <w:basedOn w:val="Normal"/>
    <w:next w:val="Text3"/>
    <w:pPr>
      <w:suppressAutoHyphens/>
      <w:spacing w:before="120" w:after="120" w:line="240" w:lineRule="auto"/>
      <w:ind w:left="850" w:hanging="850"/>
      <w:jc w:val="both"/>
    </w:pPr>
    <w:rPr>
      <w:rFonts w:ascii="Times New Roman" w:eastAsia="Times New Roman" w:hAnsi="Times New Roman" w:cs="Times New Roman"/>
      <w:sz w:val="24"/>
      <w:szCs w:val="24"/>
      <w:lang w:eastAsia="ar-SA"/>
    </w:rPr>
  </w:style>
  <w:style w:type="paragraph" w:customStyle="1" w:styleId="ManualNumPar4">
    <w:name w:val="Manual NumPar 4"/>
    <w:basedOn w:val="Normal"/>
    <w:next w:val="Text4"/>
    <w:pPr>
      <w:suppressAutoHyphens/>
      <w:spacing w:before="120" w:after="120" w:line="240" w:lineRule="auto"/>
      <w:ind w:left="850" w:hanging="850"/>
      <w:jc w:val="both"/>
    </w:pPr>
    <w:rPr>
      <w:rFonts w:ascii="Times New Roman" w:eastAsia="Times New Roman" w:hAnsi="Times New Roman" w:cs="Times New Roman"/>
      <w:sz w:val="24"/>
      <w:szCs w:val="24"/>
      <w:lang w:eastAsia="ar-SA"/>
    </w:rPr>
  </w:style>
  <w:style w:type="paragraph" w:customStyle="1" w:styleId="QuotedNumPar">
    <w:name w:val="Quoted NumPar"/>
    <w:basedOn w:val="Normal"/>
    <w:pPr>
      <w:suppressAutoHyphens/>
      <w:spacing w:before="120" w:after="120" w:line="240" w:lineRule="auto"/>
      <w:ind w:left="1417" w:hanging="567"/>
      <w:jc w:val="both"/>
    </w:pPr>
    <w:rPr>
      <w:rFonts w:ascii="Times New Roman" w:eastAsia="Times New Roman" w:hAnsi="Times New Roman" w:cs="Times New Roman"/>
      <w:sz w:val="24"/>
      <w:szCs w:val="24"/>
      <w:lang w:eastAsia="ar-SA"/>
    </w:rPr>
  </w:style>
  <w:style w:type="paragraph" w:customStyle="1" w:styleId="ManualHeading1">
    <w:name w:val="Manual Heading 1"/>
    <w:basedOn w:val="Normal"/>
    <w:next w:val="Text1"/>
    <w:pPr>
      <w:keepNext/>
      <w:tabs>
        <w:tab w:val="left" w:pos="850"/>
      </w:tabs>
      <w:spacing w:before="360" w:after="120" w:line="240" w:lineRule="auto"/>
      <w:ind w:left="850" w:hanging="850"/>
      <w:jc w:val="both"/>
    </w:pPr>
    <w:rPr>
      <w:rFonts w:ascii="Times New Roman" w:eastAsia="Times New Roman" w:hAnsi="Times New Roman" w:cs="Times New Roman"/>
      <w:b/>
      <w:smallCaps/>
      <w:sz w:val="24"/>
      <w:szCs w:val="24"/>
      <w:lang w:eastAsia="de-DE"/>
    </w:rPr>
  </w:style>
  <w:style w:type="paragraph" w:customStyle="1" w:styleId="ManualHeading2">
    <w:name w:val="Manual Heading 2"/>
    <w:basedOn w:val="Normal"/>
    <w:next w:val="Text2"/>
    <w:pPr>
      <w:keepNext/>
      <w:tabs>
        <w:tab w:val="left" w:pos="850"/>
      </w:tabs>
      <w:spacing w:before="120" w:after="120" w:line="240" w:lineRule="auto"/>
      <w:ind w:left="850" w:hanging="850"/>
      <w:jc w:val="both"/>
    </w:pPr>
    <w:rPr>
      <w:rFonts w:ascii="Times New Roman" w:eastAsia="Times New Roman" w:hAnsi="Times New Roman" w:cs="Times New Roman"/>
      <w:b/>
      <w:sz w:val="24"/>
      <w:szCs w:val="24"/>
      <w:lang w:eastAsia="de-DE"/>
    </w:rPr>
  </w:style>
  <w:style w:type="paragraph" w:customStyle="1" w:styleId="ManualHeading3">
    <w:name w:val="Manual Heading 3"/>
    <w:basedOn w:val="Normal"/>
    <w:next w:val="Text3"/>
    <w:pPr>
      <w:keepNext/>
      <w:tabs>
        <w:tab w:val="left" w:pos="850"/>
      </w:tabs>
      <w:spacing w:before="120" w:after="120" w:line="240" w:lineRule="auto"/>
      <w:ind w:left="850" w:hanging="850"/>
      <w:jc w:val="both"/>
    </w:pPr>
    <w:rPr>
      <w:rFonts w:ascii="Times New Roman" w:eastAsia="Times New Roman" w:hAnsi="Times New Roman" w:cs="Times New Roman"/>
      <w:i/>
      <w:sz w:val="24"/>
      <w:szCs w:val="24"/>
      <w:lang w:eastAsia="de-DE"/>
    </w:rPr>
  </w:style>
  <w:style w:type="paragraph" w:customStyle="1" w:styleId="ManualHeading4">
    <w:name w:val="Manual Heading 4"/>
    <w:basedOn w:val="Normal"/>
    <w:next w:val="Text4"/>
    <w:pPr>
      <w:keepNext/>
      <w:tabs>
        <w:tab w:val="left" w:pos="850"/>
      </w:tabs>
      <w:spacing w:before="120" w:after="120" w:line="240" w:lineRule="auto"/>
      <w:ind w:left="850" w:hanging="850"/>
      <w:jc w:val="both"/>
    </w:pPr>
    <w:rPr>
      <w:rFonts w:ascii="Times New Roman" w:eastAsia="Times New Roman" w:hAnsi="Times New Roman" w:cs="Times New Roman"/>
      <w:sz w:val="24"/>
      <w:szCs w:val="24"/>
      <w:lang w:eastAsia="de-DE"/>
    </w:rPr>
  </w:style>
  <w:style w:type="paragraph" w:customStyle="1" w:styleId="ChapterTitle">
    <w:name w:val="ChapterTitle"/>
    <w:basedOn w:val="Normal"/>
    <w:next w:val="Normal"/>
    <w:pPr>
      <w:keepNext/>
      <w:suppressAutoHyphens/>
      <w:spacing w:before="120" w:after="360" w:line="240" w:lineRule="auto"/>
      <w:jc w:val="center"/>
    </w:pPr>
    <w:rPr>
      <w:rFonts w:ascii="Times New Roman" w:eastAsia="Times New Roman" w:hAnsi="Times New Roman" w:cs="Times New Roman"/>
      <w:b/>
      <w:sz w:val="32"/>
      <w:szCs w:val="24"/>
      <w:lang w:eastAsia="ar-SA"/>
    </w:rPr>
  </w:style>
  <w:style w:type="paragraph" w:customStyle="1" w:styleId="PartTitle">
    <w:name w:val="PartTitle"/>
    <w:basedOn w:val="Normal"/>
    <w:next w:val="ChapterTitle"/>
    <w:pPr>
      <w:keepNext/>
      <w:pageBreakBefore/>
      <w:suppressAutoHyphens/>
      <w:spacing w:before="120" w:after="360" w:line="240" w:lineRule="auto"/>
      <w:jc w:val="center"/>
    </w:pPr>
    <w:rPr>
      <w:rFonts w:ascii="Times New Roman" w:eastAsia="Times New Roman" w:hAnsi="Times New Roman" w:cs="Times New Roman"/>
      <w:b/>
      <w:sz w:val="36"/>
      <w:szCs w:val="24"/>
      <w:lang w:eastAsia="ar-SA"/>
    </w:rPr>
  </w:style>
  <w:style w:type="paragraph" w:customStyle="1" w:styleId="SectionTitle">
    <w:name w:val="SectionTitle"/>
    <w:basedOn w:val="Normal"/>
    <w:next w:val="Heading1"/>
    <w:pPr>
      <w:keepNext/>
      <w:suppressAutoHyphens/>
      <w:spacing w:before="120" w:after="360" w:line="240" w:lineRule="auto"/>
      <w:jc w:val="center"/>
    </w:pPr>
    <w:rPr>
      <w:rFonts w:ascii="Times New Roman" w:eastAsia="Times New Roman" w:hAnsi="Times New Roman" w:cs="Times New Roman"/>
      <w:b/>
      <w:smallCaps/>
      <w:sz w:val="28"/>
      <w:szCs w:val="24"/>
      <w:lang w:eastAsia="ar-SA"/>
    </w:rPr>
  </w:style>
  <w:style w:type="paragraph" w:customStyle="1" w:styleId="ListBullet1">
    <w:name w:val="List Bullet 1"/>
    <w:basedOn w:val="Normal"/>
    <w:pPr>
      <w:numPr>
        <w:numId w:val="20"/>
      </w:numPr>
      <w:spacing w:before="120" w:after="120" w:line="240" w:lineRule="auto"/>
      <w:jc w:val="both"/>
    </w:pPr>
    <w:rPr>
      <w:rFonts w:ascii="Times New Roman" w:eastAsia="Times New Roman" w:hAnsi="Times New Roman" w:cs="Times New Roman"/>
      <w:sz w:val="24"/>
      <w:szCs w:val="24"/>
      <w:lang w:eastAsia="de-DE"/>
    </w:rPr>
  </w:style>
  <w:style w:type="paragraph" w:customStyle="1" w:styleId="ListDash">
    <w:name w:val="List Dash"/>
    <w:basedOn w:val="Normal"/>
    <w:pPr>
      <w:numPr>
        <w:numId w:val="12"/>
      </w:numPr>
      <w:spacing w:before="120" w:after="120" w:line="240" w:lineRule="auto"/>
      <w:jc w:val="both"/>
    </w:pPr>
    <w:rPr>
      <w:rFonts w:ascii="Times New Roman" w:eastAsia="Times New Roman" w:hAnsi="Times New Roman" w:cs="Times New Roman"/>
      <w:sz w:val="24"/>
      <w:szCs w:val="24"/>
      <w:lang w:eastAsia="de-DE"/>
    </w:rPr>
  </w:style>
  <w:style w:type="paragraph" w:customStyle="1" w:styleId="ListDash1">
    <w:name w:val="List Dash 1"/>
    <w:basedOn w:val="Normal"/>
    <w:pPr>
      <w:numPr>
        <w:numId w:val="19"/>
      </w:numPr>
      <w:spacing w:before="120" w:after="120" w:line="240" w:lineRule="auto"/>
      <w:jc w:val="both"/>
    </w:pPr>
    <w:rPr>
      <w:rFonts w:ascii="Times New Roman" w:eastAsia="Times New Roman" w:hAnsi="Times New Roman" w:cs="Times New Roman"/>
      <w:sz w:val="24"/>
      <w:szCs w:val="24"/>
      <w:lang w:eastAsia="de-DE"/>
    </w:rPr>
  </w:style>
  <w:style w:type="paragraph" w:customStyle="1" w:styleId="ListDash2">
    <w:name w:val="List Dash 2"/>
    <w:basedOn w:val="Normal"/>
    <w:pPr>
      <w:numPr>
        <w:numId w:val="16"/>
      </w:numPr>
      <w:spacing w:before="120" w:after="120" w:line="240" w:lineRule="auto"/>
      <w:jc w:val="both"/>
    </w:pPr>
    <w:rPr>
      <w:rFonts w:ascii="Times New Roman" w:eastAsia="Times New Roman" w:hAnsi="Times New Roman" w:cs="Times New Roman"/>
      <w:sz w:val="24"/>
      <w:szCs w:val="24"/>
      <w:lang w:eastAsia="de-DE"/>
    </w:rPr>
  </w:style>
  <w:style w:type="paragraph" w:customStyle="1" w:styleId="ListDash3">
    <w:name w:val="List Dash 3"/>
    <w:basedOn w:val="Normal"/>
    <w:pPr>
      <w:numPr>
        <w:numId w:val="21"/>
      </w:numPr>
      <w:spacing w:before="120" w:after="120" w:line="240" w:lineRule="auto"/>
      <w:jc w:val="both"/>
    </w:pPr>
    <w:rPr>
      <w:rFonts w:ascii="Times New Roman" w:eastAsia="Times New Roman" w:hAnsi="Times New Roman" w:cs="Times New Roman"/>
      <w:sz w:val="24"/>
      <w:szCs w:val="24"/>
      <w:lang w:eastAsia="de-DE"/>
    </w:rPr>
  </w:style>
  <w:style w:type="paragraph" w:customStyle="1" w:styleId="ListDash4">
    <w:name w:val="List Dash 4"/>
    <w:basedOn w:val="Normal"/>
    <w:pPr>
      <w:numPr>
        <w:numId w:val="24"/>
      </w:numPr>
      <w:spacing w:before="120" w:after="120" w:line="240" w:lineRule="auto"/>
      <w:jc w:val="both"/>
    </w:pPr>
    <w:rPr>
      <w:rFonts w:ascii="Times New Roman" w:eastAsia="Times New Roman" w:hAnsi="Times New Roman" w:cs="Times New Roman"/>
      <w:sz w:val="24"/>
      <w:szCs w:val="24"/>
      <w:lang w:eastAsia="de-DE"/>
    </w:rPr>
  </w:style>
  <w:style w:type="paragraph" w:customStyle="1" w:styleId="ListNumber1">
    <w:name w:val="List Number 1"/>
    <w:basedOn w:val="Text1"/>
    <w:pPr>
      <w:numPr>
        <w:numId w:val="22"/>
      </w:numPr>
      <w:suppressAutoHyphens w:val="0"/>
    </w:pPr>
    <w:rPr>
      <w:lang w:eastAsia="de-DE"/>
    </w:rPr>
  </w:style>
  <w:style w:type="paragraph" w:customStyle="1" w:styleId="ListNumberLevel2">
    <w:name w:val="List Number (Level 2)"/>
    <w:basedOn w:val="Normal"/>
    <w:pPr>
      <w:tabs>
        <w:tab w:val="num" w:pos="709"/>
      </w:tabs>
      <w:spacing w:before="120" w:after="120" w:line="240" w:lineRule="auto"/>
      <w:ind w:left="709" w:hanging="709"/>
      <w:jc w:val="both"/>
    </w:pPr>
    <w:rPr>
      <w:rFonts w:ascii="Times New Roman" w:eastAsia="Times New Roman" w:hAnsi="Times New Roman" w:cs="Times New Roman"/>
      <w:sz w:val="24"/>
      <w:szCs w:val="24"/>
      <w:lang w:eastAsia="de-DE"/>
    </w:rPr>
  </w:style>
  <w:style w:type="paragraph" w:customStyle="1" w:styleId="ListNumber1Level2">
    <w:name w:val="List Number 1 (Level 2)"/>
    <w:basedOn w:val="Text1"/>
    <w:pPr>
      <w:tabs>
        <w:tab w:val="num" w:pos="1560"/>
      </w:tabs>
      <w:suppressAutoHyphens w:val="0"/>
      <w:ind w:left="1560" w:hanging="709"/>
    </w:pPr>
    <w:rPr>
      <w:lang w:eastAsia="de-DE"/>
    </w:rPr>
  </w:style>
  <w:style w:type="paragraph" w:customStyle="1" w:styleId="ListNumber2Level2">
    <w:name w:val="List Number 2 (Level 2)"/>
    <w:basedOn w:val="Text2"/>
    <w:pPr>
      <w:tabs>
        <w:tab w:val="num" w:pos="1560"/>
      </w:tabs>
      <w:suppressAutoHyphens w:val="0"/>
      <w:ind w:left="1560" w:hanging="709"/>
    </w:pPr>
    <w:rPr>
      <w:lang w:eastAsia="de-DE"/>
    </w:rPr>
  </w:style>
  <w:style w:type="paragraph" w:customStyle="1" w:styleId="ListNumber3Level2">
    <w:name w:val="List Number 3 (Level 2)"/>
    <w:basedOn w:val="Text3"/>
    <w:pPr>
      <w:tabs>
        <w:tab w:val="num" w:pos="1560"/>
      </w:tabs>
      <w:suppressAutoHyphens w:val="0"/>
      <w:ind w:left="1560" w:hanging="709"/>
    </w:pPr>
    <w:rPr>
      <w:lang w:eastAsia="de-DE"/>
    </w:rPr>
  </w:style>
  <w:style w:type="paragraph" w:customStyle="1" w:styleId="ListNumber4Level2">
    <w:name w:val="List Number 4 (Level 2)"/>
    <w:basedOn w:val="Text4"/>
    <w:pPr>
      <w:tabs>
        <w:tab w:val="num" w:pos="1560"/>
      </w:tabs>
      <w:suppressAutoHyphens w:val="0"/>
      <w:ind w:left="1560" w:hanging="709"/>
    </w:pPr>
    <w:rPr>
      <w:lang w:eastAsia="de-DE"/>
    </w:rPr>
  </w:style>
  <w:style w:type="paragraph" w:customStyle="1" w:styleId="ListNumberLevel3">
    <w:name w:val="List Number (Level 3)"/>
    <w:basedOn w:val="Normal"/>
    <w:pPr>
      <w:tabs>
        <w:tab w:val="num" w:pos="709"/>
      </w:tabs>
      <w:spacing w:before="120" w:after="120" w:line="240" w:lineRule="auto"/>
      <w:ind w:left="709" w:hanging="709"/>
      <w:jc w:val="both"/>
    </w:pPr>
    <w:rPr>
      <w:rFonts w:ascii="Times New Roman" w:eastAsia="Times New Roman" w:hAnsi="Times New Roman" w:cs="Times New Roman"/>
      <w:sz w:val="24"/>
      <w:szCs w:val="24"/>
      <w:lang w:eastAsia="de-DE"/>
    </w:rPr>
  </w:style>
  <w:style w:type="paragraph" w:customStyle="1" w:styleId="ListNumber1Level3">
    <w:name w:val="List Number 1 (Level 3)"/>
    <w:basedOn w:val="Text1"/>
    <w:pPr>
      <w:tabs>
        <w:tab w:val="num" w:pos="1560"/>
      </w:tabs>
      <w:suppressAutoHyphens w:val="0"/>
      <w:ind w:left="1560" w:hanging="709"/>
    </w:pPr>
    <w:rPr>
      <w:lang w:eastAsia="de-DE"/>
    </w:rPr>
  </w:style>
  <w:style w:type="paragraph" w:customStyle="1" w:styleId="ListNumber2Level3">
    <w:name w:val="List Number 2 (Level 3)"/>
    <w:basedOn w:val="Text2"/>
    <w:pPr>
      <w:tabs>
        <w:tab w:val="num" w:pos="1560"/>
      </w:tabs>
      <w:suppressAutoHyphens w:val="0"/>
      <w:ind w:left="1560" w:hanging="709"/>
    </w:pPr>
    <w:rPr>
      <w:lang w:eastAsia="de-DE"/>
    </w:rPr>
  </w:style>
  <w:style w:type="paragraph" w:customStyle="1" w:styleId="ListNumber3Level3">
    <w:name w:val="List Number 3 (Level 3)"/>
    <w:basedOn w:val="Text3"/>
    <w:pPr>
      <w:tabs>
        <w:tab w:val="num" w:pos="1560"/>
      </w:tabs>
      <w:suppressAutoHyphens w:val="0"/>
      <w:ind w:left="1560" w:hanging="709"/>
    </w:pPr>
    <w:rPr>
      <w:lang w:eastAsia="de-DE"/>
    </w:rPr>
  </w:style>
  <w:style w:type="paragraph" w:customStyle="1" w:styleId="ListNumber4Level3">
    <w:name w:val="List Number 4 (Level 3)"/>
    <w:basedOn w:val="Text4"/>
    <w:pPr>
      <w:tabs>
        <w:tab w:val="num" w:pos="1560"/>
      </w:tabs>
      <w:suppressAutoHyphens w:val="0"/>
      <w:ind w:left="1560" w:hanging="709"/>
    </w:pPr>
    <w:rPr>
      <w:lang w:eastAsia="de-DE"/>
    </w:rPr>
  </w:style>
  <w:style w:type="paragraph" w:customStyle="1" w:styleId="ListNumberLevel4">
    <w:name w:val="List Number (Level 4)"/>
    <w:basedOn w:val="Normal"/>
    <w:pPr>
      <w:tabs>
        <w:tab w:val="num" w:pos="709"/>
      </w:tabs>
      <w:spacing w:before="120" w:after="120" w:line="240" w:lineRule="auto"/>
      <w:ind w:left="709" w:hanging="709"/>
      <w:jc w:val="both"/>
    </w:pPr>
    <w:rPr>
      <w:rFonts w:ascii="Times New Roman" w:eastAsia="Times New Roman" w:hAnsi="Times New Roman" w:cs="Times New Roman"/>
      <w:sz w:val="24"/>
      <w:szCs w:val="24"/>
      <w:lang w:eastAsia="de-DE"/>
    </w:rPr>
  </w:style>
  <w:style w:type="paragraph" w:customStyle="1" w:styleId="ListNumber1Level4">
    <w:name w:val="List Number 1 (Level 4)"/>
    <w:basedOn w:val="Text1"/>
    <w:pPr>
      <w:tabs>
        <w:tab w:val="num" w:pos="1560"/>
      </w:tabs>
      <w:suppressAutoHyphens w:val="0"/>
      <w:ind w:left="1560" w:hanging="709"/>
    </w:pPr>
    <w:rPr>
      <w:lang w:eastAsia="de-DE"/>
    </w:rPr>
  </w:style>
  <w:style w:type="paragraph" w:customStyle="1" w:styleId="ListNumber2Level4">
    <w:name w:val="List Number 2 (Level 4)"/>
    <w:basedOn w:val="Text2"/>
    <w:pPr>
      <w:tabs>
        <w:tab w:val="num" w:pos="1560"/>
      </w:tabs>
      <w:suppressAutoHyphens w:val="0"/>
      <w:ind w:left="1560" w:hanging="709"/>
    </w:pPr>
    <w:rPr>
      <w:lang w:eastAsia="de-DE"/>
    </w:rPr>
  </w:style>
  <w:style w:type="paragraph" w:customStyle="1" w:styleId="ListNumber3Level4">
    <w:name w:val="List Number 3 (Level 4)"/>
    <w:basedOn w:val="Text3"/>
    <w:pPr>
      <w:tabs>
        <w:tab w:val="num" w:pos="1560"/>
      </w:tabs>
      <w:suppressAutoHyphens w:val="0"/>
      <w:ind w:left="1560" w:hanging="709"/>
    </w:pPr>
    <w:rPr>
      <w:lang w:eastAsia="de-DE"/>
    </w:rPr>
  </w:style>
  <w:style w:type="paragraph" w:customStyle="1" w:styleId="ListNumber4Level4">
    <w:name w:val="List Number 4 (Level 4)"/>
    <w:basedOn w:val="Text4"/>
    <w:pPr>
      <w:tabs>
        <w:tab w:val="num" w:pos="1560"/>
      </w:tabs>
      <w:suppressAutoHyphens w:val="0"/>
      <w:ind w:left="1560" w:hanging="709"/>
    </w:pPr>
    <w:rPr>
      <w:lang w:eastAsia="de-DE"/>
    </w:rPr>
  </w:style>
  <w:style w:type="paragraph" w:customStyle="1" w:styleId="TableTitle">
    <w:name w:val="Table Title"/>
    <w:basedOn w:val="Normal"/>
    <w:next w:val="Normal"/>
    <w:pPr>
      <w:suppressAutoHyphens/>
      <w:spacing w:before="120" w:after="120" w:line="240" w:lineRule="auto"/>
      <w:jc w:val="center"/>
    </w:pPr>
    <w:rPr>
      <w:rFonts w:ascii="Times New Roman" w:eastAsia="Times New Roman" w:hAnsi="Times New Roman" w:cs="Times New Roman"/>
      <w:b/>
      <w:sz w:val="24"/>
      <w:szCs w:val="24"/>
      <w:lang w:eastAsia="ar-SA"/>
    </w:rPr>
  </w:style>
  <w:style w:type="paragraph" w:styleId="TOCHeading">
    <w:name w:val="TOC Heading"/>
    <w:basedOn w:val="Normal"/>
    <w:next w:val="Normal"/>
    <w:uiPriority w:val="39"/>
    <w:qFormat/>
    <w:pPr>
      <w:suppressAutoHyphens/>
      <w:spacing w:before="120" w:after="240" w:line="240" w:lineRule="auto"/>
      <w:jc w:val="center"/>
    </w:pPr>
    <w:rPr>
      <w:rFonts w:ascii="Times New Roman" w:eastAsia="Times New Roman" w:hAnsi="Times New Roman" w:cs="Times New Roman"/>
      <w:b/>
      <w:sz w:val="28"/>
      <w:szCs w:val="24"/>
      <w:lang w:eastAsia="ar-SA"/>
    </w:rPr>
  </w:style>
  <w:style w:type="paragraph" w:customStyle="1" w:styleId="Annexetitreacte">
    <w:name w:val="Annexe titre (acte)"/>
    <w:basedOn w:val="Normal"/>
    <w:next w:val="Normal"/>
    <w:pPr>
      <w:suppressAutoHyphens/>
      <w:spacing w:before="120" w:after="120" w:line="240" w:lineRule="auto"/>
      <w:jc w:val="center"/>
    </w:pPr>
    <w:rPr>
      <w:rFonts w:ascii="Times New Roman" w:eastAsia="Times New Roman" w:hAnsi="Times New Roman" w:cs="Times New Roman"/>
      <w:b/>
      <w:sz w:val="24"/>
      <w:szCs w:val="24"/>
      <w:u w:val="single"/>
      <w:lang w:eastAsia="ar-SA"/>
    </w:rPr>
  </w:style>
  <w:style w:type="paragraph" w:customStyle="1" w:styleId="Annexetitreexposglobal">
    <w:name w:val="Annexe titre (exposé global)"/>
    <w:basedOn w:val="Normal"/>
    <w:next w:val="Normal"/>
    <w:pPr>
      <w:suppressAutoHyphens/>
      <w:spacing w:before="120" w:after="120" w:line="240" w:lineRule="auto"/>
      <w:jc w:val="center"/>
    </w:pPr>
    <w:rPr>
      <w:rFonts w:ascii="Times New Roman" w:eastAsia="Times New Roman" w:hAnsi="Times New Roman" w:cs="Times New Roman"/>
      <w:b/>
      <w:sz w:val="24"/>
      <w:szCs w:val="24"/>
      <w:u w:val="single"/>
      <w:lang w:eastAsia="ar-SA"/>
    </w:rPr>
  </w:style>
  <w:style w:type="paragraph" w:customStyle="1" w:styleId="Annexetitreexpos">
    <w:name w:val="Annexe titre (exposé)"/>
    <w:basedOn w:val="Normal"/>
    <w:next w:val="Normal"/>
    <w:pPr>
      <w:suppressAutoHyphens/>
      <w:spacing w:before="120" w:after="120" w:line="240" w:lineRule="auto"/>
      <w:jc w:val="center"/>
    </w:pPr>
    <w:rPr>
      <w:rFonts w:ascii="Times New Roman" w:eastAsia="Times New Roman" w:hAnsi="Times New Roman" w:cs="Times New Roman"/>
      <w:b/>
      <w:sz w:val="24"/>
      <w:szCs w:val="24"/>
      <w:u w:val="single"/>
      <w:lang w:eastAsia="ar-SA"/>
    </w:rPr>
  </w:style>
  <w:style w:type="paragraph" w:customStyle="1" w:styleId="Annexetitrefichefinacte">
    <w:name w:val="Annexe titre (fiche fin. acte)"/>
    <w:basedOn w:val="Normal"/>
    <w:next w:val="Normal"/>
    <w:pPr>
      <w:suppressAutoHyphens/>
      <w:spacing w:before="120" w:after="120" w:line="240" w:lineRule="auto"/>
      <w:jc w:val="center"/>
    </w:pPr>
    <w:rPr>
      <w:rFonts w:ascii="Times New Roman" w:eastAsia="Times New Roman" w:hAnsi="Times New Roman" w:cs="Times New Roman"/>
      <w:b/>
      <w:sz w:val="24"/>
      <w:szCs w:val="24"/>
      <w:u w:val="single"/>
      <w:lang w:eastAsia="ar-SA"/>
    </w:rPr>
  </w:style>
  <w:style w:type="paragraph" w:customStyle="1" w:styleId="Annexetitrefichefinglobale">
    <w:name w:val="Annexe titre (fiche fin. globale)"/>
    <w:basedOn w:val="Normal"/>
    <w:next w:val="Normal"/>
    <w:pPr>
      <w:suppressAutoHyphens/>
      <w:spacing w:before="120" w:after="120" w:line="240" w:lineRule="auto"/>
      <w:jc w:val="center"/>
    </w:pPr>
    <w:rPr>
      <w:rFonts w:ascii="Times New Roman" w:eastAsia="Times New Roman" w:hAnsi="Times New Roman" w:cs="Times New Roman"/>
      <w:b/>
      <w:sz w:val="24"/>
      <w:szCs w:val="24"/>
      <w:u w:val="single"/>
      <w:lang w:eastAsia="ar-SA"/>
    </w:rPr>
  </w:style>
  <w:style w:type="paragraph" w:customStyle="1" w:styleId="Annexetitreglobale">
    <w:name w:val="Annexe titre (globale)"/>
    <w:basedOn w:val="Normal"/>
    <w:next w:val="Normal"/>
    <w:pPr>
      <w:suppressAutoHyphens/>
      <w:spacing w:before="120" w:after="120" w:line="240" w:lineRule="auto"/>
      <w:jc w:val="center"/>
    </w:pPr>
    <w:rPr>
      <w:rFonts w:ascii="Times New Roman" w:eastAsia="Times New Roman" w:hAnsi="Times New Roman" w:cs="Times New Roman"/>
      <w:b/>
      <w:sz w:val="24"/>
      <w:szCs w:val="24"/>
      <w:u w:val="single"/>
      <w:lang w:eastAsia="ar-SA"/>
    </w:rPr>
  </w:style>
  <w:style w:type="paragraph" w:customStyle="1" w:styleId="Applicationdirecte">
    <w:name w:val="Application directe"/>
    <w:basedOn w:val="Normal"/>
    <w:next w:val="Fait"/>
    <w:pPr>
      <w:suppressAutoHyphens/>
      <w:spacing w:before="480" w:after="120" w:line="240" w:lineRule="auto"/>
      <w:jc w:val="both"/>
    </w:pPr>
    <w:rPr>
      <w:rFonts w:ascii="Times New Roman" w:eastAsia="Times New Roman" w:hAnsi="Times New Roman" w:cs="Times New Roman"/>
      <w:sz w:val="24"/>
      <w:szCs w:val="24"/>
      <w:lang w:eastAsia="ar-SA"/>
    </w:rPr>
  </w:style>
  <w:style w:type="paragraph" w:customStyle="1" w:styleId="Avertissementtitre">
    <w:name w:val="Avertissement titre"/>
    <w:basedOn w:val="Normal"/>
    <w:next w:val="Normal"/>
    <w:pPr>
      <w:keepNext/>
      <w:suppressAutoHyphens/>
      <w:spacing w:before="480" w:after="120" w:line="240" w:lineRule="auto"/>
      <w:jc w:val="both"/>
    </w:pPr>
    <w:rPr>
      <w:rFonts w:ascii="Times New Roman" w:eastAsia="Times New Roman" w:hAnsi="Times New Roman" w:cs="Times New Roman"/>
      <w:sz w:val="24"/>
      <w:szCs w:val="24"/>
      <w:u w:val="single"/>
      <w:lang w:eastAsia="ar-SA"/>
    </w:rPr>
  </w:style>
  <w:style w:type="paragraph" w:customStyle="1" w:styleId="Confidence">
    <w:name w:val="Confidence"/>
    <w:basedOn w:val="Normal"/>
    <w:next w:val="Normal"/>
    <w:pPr>
      <w:suppressAutoHyphens/>
      <w:spacing w:before="360" w:after="120" w:line="240" w:lineRule="auto"/>
      <w:jc w:val="center"/>
    </w:pPr>
    <w:rPr>
      <w:rFonts w:ascii="Times New Roman" w:eastAsia="Times New Roman" w:hAnsi="Times New Roman" w:cs="Times New Roman"/>
      <w:sz w:val="24"/>
      <w:szCs w:val="24"/>
      <w:lang w:eastAsia="ar-SA"/>
    </w:rPr>
  </w:style>
  <w:style w:type="paragraph" w:customStyle="1" w:styleId="Confidentialit">
    <w:name w:val="Confidentialité"/>
    <w:basedOn w:val="Normal"/>
    <w:next w:val="Statut"/>
    <w:pPr>
      <w:suppressAutoHyphens/>
      <w:spacing w:before="240" w:after="240" w:line="240" w:lineRule="auto"/>
      <w:ind w:left="5103"/>
      <w:jc w:val="both"/>
    </w:pPr>
    <w:rPr>
      <w:rFonts w:ascii="Times New Roman" w:eastAsia="Times New Roman" w:hAnsi="Times New Roman" w:cs="Times New Roman"/>
      <w:sz w:val="24"/>
      <w:szCs w:val="24"/>
      <w:u w:val="single"/>
      <w:lang w:eastAsia="ar-SA"/>
    </w:rPr>
  </w:style>
  <w:style w:type="paragraph" w:customStyle="1" w:styleId="Considrant">
    <w:name w:val="Considérant"/>
    <w:basedOn w:val="Normal"/>
    <w:pPr>
      <w:numPr>
        <w:numId w:val="17"/>
      </w:numPr>
      <w:spacing w:before="120" w:after="120" w:line="240" w:lineRule="auto"/>
      <w:jc w:val="both"/>
    </w:pPr>
    <w:rPr>
      <w:rFonts w:ascii="Times New Roman" w:eastAsia="Times New Roman" w:hAnsi="Times New Roman" w:cs="Times New Roman"/>
      <w:sz w:val="24"/>
      <w:szCs w:val="24"/>
      <w:lang w:eastAsia="de-DE"/>
    </w:rPr>
  </w:style>
  <w:style w:type="paragraph" w:customStyle="1" w:styleId="Corrigendum">
    <w:name w:val="Corrigendum"/>
    <w:basedOn w:val="Normal"/>
    <w:next w:val="Normal"/>
    <w:pPr>
      <w:suppressAutoHyphens/>
      <w:spacing w:after="240" w:line="240" w:lineRule="auto"/>
    </w:pPr>
    <w:rPr>
      <w:rFonts w:ascii="Times New Roman" w:eastAsia="Times New Roman" w:hAnsi="Times New Roman" w:cs="Times New Roman"/>
      <w:sz w:val="24"/>
      <w:szCs w:val="24"/>
      <w:lang w:eastAsia="ar-SA"/>
    </w:rPr>
  </w:style>
  <w:style w:type="paragraph" w:customStyle="1" w:styleId="Datedadoption">
    <w:name w:val="Date d'adoption"/>
    <w:basedOn w:val="Normal"/>
    <w:next w:val="Titreobjet"/>
    <w:pPr>
      <w:suppressAutoHyphens/>
      <w:spacing w:before="360" w:after="0" w:line="240" w:lineRule="auto"/>
      <w:jc w:val="center"/>
    </w:pPr>
    <w:rPr>
      <w:rFonts w:ascii="Times New Roman" w:eastAsia="Times New Roman" w:hAnsi="Times New Roman" w:cs="Times New Roman"/>
      <w:b/>
      <w:sz w:val="24"/>
      <w:szCs w:val="24"/>
      <w:lang w:eastAsia="ar-SA"/>
    </w:rPr>
  </w:style>
  <w:style w:type="paragraph" w:customStyle="1" w:styleId="Emission">
    <w:name w:val="Emission"/>
    <w:basedOn w:val="Normal"/>
    <w:next w:val="Rfrenceinstitutionelle"/>
    <w:pPr>
      <w:suppressAutoHyphens/>
      <w:spacing w:after="0" w:line="240" w:lineRule="auto"/>
      <w:ind w:left="5103"/>
    </w:pPr>
    <w:rPr>
      <w:rFonts w:ascii="Times New Roman" w:eastAsia="Times New Roman" w:hAnsi="Times New Roman" w:cs="Times New Roman"/>
      <w:sz w:val="24"/>
      <w:szCs w:val="24"/>
      <w:lang w:eastAsia="ar-SA"/>
    </w:rPr>
  </w:style>
  <w:style w:type="paragraph" w:customStyle="1" w:styleId="Exposdesmotifstitre">
    <w:name w:val="Exposé des motifs titre"/>
    <w:basedOn w:val="Normal"/>
    <w:next w:val="Normal"/>
    <w:pPr>
      <w:suppressAutoHyphens/>
      <w:spacing w:before="120" w:after="120" w:line="240" w:lineRule="auto"/>
      <w:jc w:val="center"/>
    </w:pPr>
    <w:rPr>
      <w:rFonts w:ascii="Times New Roman" w:eastAsia="Times New Roman" w:hAnsi="Times New Roman" w:cs="Times New Roman"/>
      <w:b/>
      <w:sz w:val="24"/>
      <w:szCs w:val="24"/>
      <w:u w:val="single"/>
      <w:lang w:eastAsia="ar-SA"/>
    </w:rPr>
  </w:style>
  <w:style w:type="paragraph" w:customStyle="1" w:styleId="Exposdesmotifstitreglobal">
    <w:name w:val="Exposé des motifs titre (global)"/>
    <w:basedOn w:val="Normal"/>
    <w:next w:val="Normal"/>
    <w:pPr>
      <w:suppressAutoHyphens/>
      <w:spacing w:before="120" w:after="120" w:line="240" w:lineRule="auto"/>
      <w:jc w:val="center"/>
    </w:pPr>
    <w:rPr>
      <w:rFonts w:ascii="Times New Roman" w:eastAsia="Times New Roman" w:hAnsi="Times New Roman" w:cs="Times New Roman"/>
      <w:b/>
      <w:sz w:val="24"/>
      <w:szCs w:val="24"/>
      <w:u w:val="single"/>
      <w:lang w:eastAsia="ar-SA"/>
    </w:rPr>
  </w:style>
  <w:style w:type="paragraph" w:customStyle="1" w:styleId="Fait">
    <w:name w:val="Fait à"/>
    <w:basedOn w:val="Normal"/>
    <w:next w:val="Institutionquisigne"/>
    <w:pPr>
      <w:keepNext/>
      <w:suppressAutoHyphens/>
      <w:spacing w:before="120" w:after="0" w:line="240" w:lineRule="auto"/>
      <w:jc w:val="both"/>
    </w:pPr>
    <w:rPr>
      <w:rFonts w:ascii="Times New Roman" w:eastAsia="Times New Roman" w:hAnsi="Times New Roman" w:cs="Times New Roman"/>
      <w:sz w:val="24"/>
      <w:szCs w:val="24"/>
      <w:lang w:eastAsia="ar-SA"/>
    </w:rPr>
  </w:style>
  <w:style w:type="paragraph" w:customStyle="1" w:styleId="Formuledadoption">
    <w:name w:val="Formule d'adoption"/>
    <w:basedOn w:val="Normal"/>
    <w:next w:val="Titrearticle"/>
    <w:pPr>
      <w:keepNext/>
      <w:suppressAutoHyphens/>
      <w:spacing w:before="120" w:after="120" w:line="240" w:lineRule="auto"/>
      <w:jc w:val="both"/>
    </w:pPr>
    <w:rPr>
      <w:rFonts w:ascii="Times New Roman" w:eastAsia="Times New Roman" w:hAnsi="Times New Roman" w:cs="Times New Roman"/>
      <w:sz w:val="24"/>
      <w:szCs w:val="24"/>
      <w:lang w:eastAsia="ar-SA"/>
    </w:rPr>
  </w:style>
  <w:style w:type="paragraph" w:customStyle="1" w:styleId="Institutionquiagit">
    <w:name w:val="Institution qui agit"/>
    <w:basedOn w:val="Normal"/>
    <w:next w:val="Normal"/>
    <w:pPr>
      <w:keepNext/>
      <w:suppressAutoHyphens/>
      <w:spacing w:before="600" w:after="120" w:line="240" w:lineRule="auto"/>
      <w:jc w:val="both"/>
    </w:pPr>
    <w:rPr>
      <w:rFonts w:ascii="Times New Roman" w:eastAsia="Times New Roman" w:hAnsi="Times New Roman" w:cs="Times New Roman"/>
      <w:sz w:val="24"/>
      <w:szCs w:val="24"/>
      <w:lang w:eastAsia="ar-SA"/>
    </w:rPr>
  </w:style>
  <w:style w:type="paragraph" w:customStyle="1" w:styleId="Institutionquisigne">
    <w:name w:val="Institution qui signe"/>
    <w:basedOn w:val="Normal"/>
    <w:next w:val="Personnequisigne"/>
    <w:pPr>
      <w:keepNext/>
      <w:tabs>
        <w:tab w:val="left" w:pos="4252"/>
      </w:tabs>
      <w:suppressAutoHyphens/>
      <w:spacing w:before="720" w:after="0" w:line="240" w:lineRule="auto"/>
      <w:jc w:val="both"/>
    </w:pPr>
    <w:rPr>
      <w:rFonts w:ascii="Times New Roman" w:eastAsia="Times New Roman" w:hAnsi="Times New Roman" w:cs="Times New Roman"/>
      <w:i/>
      <w:sz w:val="24"/>
      <w:szCs w:val="24"/>
      <w:lang w:eastAsia="ar-SA"/>
    </w:rPr>
  </w:style>
  <w:style w:type="paragraph" w:customStyle="1" w:styleId="Langue">
    <w:name w:val="Langue"/>
    <w:basedOn w:val="Normal"/>
    <w:next w:val="Rfrenceinterne"/>
    <w:pPr>
      <w:suppressAutoHyphens/>
      <w:spacing w:after="600" w:line="240" w:lineRule="auto"/>
      <w:jc w:val="center"/>
    </w:pPr>
    <w:rPr>
      <w:rFonts w:ascii="Times New Roman" w:eastAsia="Times New Roman" w:hAnsi="Times New Roman" w:cs="Times New Roman"/>
      <w:b/>
      <w:caps/>
      <w:sz w:val="24"/>
      <w:szCs w:val="24"/>
      <w:lang w:eastAsia="ar-SA"/>
    </w:rPr>
  </w:style>
  <w:style w:type="paragraph" w:customStyle="1" w:styleId="Langueoriginale">
    <w:name w:val="Langue originale"/>
    <w:basedOn w:val="Normal"/>
    <w:next w:val="Phrasefinale"/>
    <w:pPr>
      <w:suppressAutoHyphens/>
      <w:spacing w:before="360" w:after="120" w:line="240" w:lineRule="auto"/>
      <w:jc w:val="center"/>
    </w:pPr>
    <w:rPr>
      <w:rFonts w:ascii="Times New Roman" w:eastAsia="Times New Roman" w:hAnsi="Times New Roman" w:cs="Times New Roman"/>
      <w:caps/>
      <w:sz w:val="24"/>
      <w:szCs w:val="24"/>
      <w:lang w:eastAsia="ar-SA"/>
    </w:rPr>
  </w:style>
  <w:style w:type="paragraph" w:customStyle="1" w:styleId="ManualConsidrant">
    <w:name w:val="Manual Considérant"/>
    <w:basedOn w:val="Normal"/>
    <w:pPr>
      <w:suppressAutoHyphens/>
      <w:spacing w:before="120" w:after="120" w:line="240" w:lineRule="auto"/>
      <w:ind w:left="709" w:hanging="709"/>
      <w:jc w:val="both"/>
    </w:pPr>
    <w:rPr>
      <w:rFonts w:ascii="Times New Roman" w:eastAsia="Times New Roman" w:hAnsi="Times New Roman" w:cs="Times New Roman"/>
      <w:sz w:val="24"/>
      <w:szCs w:val="24"/>
      <w:lang w:eastAsia="ar-SA"/>
    </w:rPr>
  </w:style>
  <w:style w:type="paragraph" w:customStyle="1" w:styleId="Nomdelinstitution">
    <w:name w:val="Nom de l'institution"/>
    <w:basedOn w:val="Normal"/>
    <w:next w:val="Emission"/>
    <w:pPr>
      <w:suppressAutoHyphens/>
      <w:spacing w:after="0" w:line="240" w:lineRule="auto"/>
    </w:pPr>
    <w:rPr>
      <w:rFonts w:ascii="Arial" w:eastAsia="Times New Roman" w:hAnsi="Arial" w:cs="Arial"/>
      <w:sz w:val="24"/>
      <w:szCs w:val="24"/>
      <w:lang w:eastAsia="ar-SA"/>
    </w:rPr>
  </w:style>
  <w:style w:type="paragraph" w:customStyle="1" w:styleId="Personnequisigne">
    <w:name w:val="Personne qui signe"/>
    <w:basedOn w:val="Normal"/>
    <w:next w:val="Institutionquisigne"/>
    <w:pPr>
      <w:tabs>
        <w:tab w:val="left" w:pos="4252"/>
      </w:tabs>
      <w:suppressAutoHyphens/>
      <w:spacing w:after="0" w:line="240" w:lineRule="auto"/>
    </w:pPr>
    <w:rPr>
      <w:rFonts w:ascii="Times New Roman" w:eastAsia="Times New Roman" w:hAnsi="Times New Roman" w:cs="Times New Roman"/>
      <w:i/>
      <w:sz w:val="24"/>
      <w:szCs w:val="24"/>
      <w:lang w:eastAsia="ar-SA"/>
    </w:rPr>
  </w:style>
  <w:style w:type="paragraph" w:customStyle="1" w:styleId="Phrasefinale">
    <w:name w:val="Phrase finale"/>
    <w:basedOn w:val="Normal"/>
    <w:next w:val="Normal"/>
    <w:pPr>
      <w:suppressAutoHyphens/>
      <w:spacing w:before="360" w:after="0" w:line="240" w:lineRule="auto"/>
      <w:jc w:val="center"/>
    </w:pPr>
    <w:rPr>
      <w:rFonts w:ascii="Times New Roman" w:eastAsia="Times New Roman" w:hAnsi="Times New Roman" w:cs="Times New Roman"/>
      <w:sz w:val="24"/>
      <w:szCs w:val="24"/>
      <w:lang w:eastAsia="ar-SA"/>
    </w:rPr>
  </w:style>
  <w:style w:type="paragraph" w:customStyle="1" w:styleId="Prliminairetitre">
    <w:name w:val="Préliminaire titre"/>
    <w:basedOn w:val="Normal"/>
    <w:next w:val="Normal"/>
    <w:pPr>
      <w:suppressAutoHyphens/>
      <w:spacing w:before="360" w:after="360" w:line="240" w:lineRule="auto"/>
      <w:jc w:val="center"/>
    </w:pPr>
    <w:rPr>
      <w:rFonts w:ascii="Times New Roman" w:eastAsia="Times New Roman" w:hAnsi="Times New Roman" w:cs="Times New Roman"/>
      <w:b/>
      <w:sz w:val="24"/>
      <w:szCs w:val="24"/>
      <w:lang w:eastAsia="ar-SA"/>
    </w:rPr>
  </w:style>
  <w:style w:type="paragraph" w:customStyle="1" w:styleId="Prliminairetype">
    <w:name w:val="Préliminaire type"/>
    <w:basedOn w:val="Normal"/>
    <w:next w:val="Normal"/>
    <w:pPr>
      <w:suppressAutoHyphens/>
      <w:spacing w:before="360" w:after="0" w:line="240" w:lineRule="auto"/>
      <w:jc w:val="center"/>
    </w:pPr>
    <w:rPr>
      <w:rFonts w:ascii="Times New Roman" w:eastAsia="Times New Roman" w:hAnsi="Times New Roman" w:cs="Times New Roman"/>
      <w:b/>
      <w:sz w:val="24"/>
      <w:szCs w:val="24"/>
      <w:lang w:eastAsia="ar-SA"/>
    </w:rPr>
  </w:style>
  <w:style w:type="paragraph" w:customStyle="1" w:styleId="Rfrenceinstitutionelle">
    <w:name w:val="Référence institutionelle"/>
    <w:basedOn w:val="Normal"/>
    <w:next w:val="Statut"/>
    <w:pPr>
      <w:suppressAutoHyphens/>
      <w:spacing w:after="240" w:line="240" w:lineRule="auto"/>
      <w:ind w:left="5103"/>
    </w:pPr>
    <w:rPr>
      <w:rFonts w:ascii="Times New Roman" w:eastAsia="Times New Roman" w:hAnsi="Times New Roman" w:cs="Times New Roman"/>
      <w:sz w:val="24"/>
      <w:szCs w:val="24"/>
      <w:lang w:eastAsia="ar-SA"/>
    </w:rPr>
  </w:style>
  <w:style w:type="paragraph" w:customStyle="1" w:styleId="Rfrenceinterinstitutionelle">
    <w:name w:val="Référence interinstitutionelle"/>
    <w:basedOn w:val="Normal"/>
    <w:next w:val="Statut"/>
    <w:pPr>
      <w:suppressAutoHyphens/>
      <w:spacing w:after="0" w:line="240" w:lineRule="auto"/>
      <w:ind w:left="5103"/>
    </w:pPr>
    <w:rPr>
      <w:rFonts w:ascii="Times New Roman" w:eastAsia="Times New Roman" w:hAnsi="Times New Roman" w:cs="Times New Roman"/>
      <w:sz w:val="24"/>
      <w:szCs w:val="24"/>
      <w:lang w:eastAsia="ar-SA"/>
    </w:rPr>
  </w:style>
  <w:style w:type="paragraph" w:customStyle="1" w:styleId="Rfrenceinterinstitutionelleprliminaire">
    <w:name w:val="Référence interinstitutionelle (préliminaire)"/>
    <w:basedOn w:val="Normal"/>
    <w:next w:val="Normal"/>
    <w:pPr>
      <w:suppressAutoHyphens/>
      <w:spacing w:after="0" w:line="240" w:lineRule="auto"/>
      <w:ind w:left="5103"/>
    </w:pPr>
    <w:rPr>
      <w:rFonts w:ascii="Times New Roman" w:eastAsia="Times New Roman" w:hAnsi="Times New Roman" w:cs="Times New Roman"/>
      <w:sz w:val="24"/>
      <w:szCs w:val="24"/>
      <w:lang w:eastAsia="ar-SA"/>
    </w:rPr>
  </w:style>
  <w:style w:type="paragraph" w:customStyle="1" w:styleId="Rfrenceinterne">
    <w:name w:val="Référence interne"/>
    <w:basedOn w:val="Normal"/>
    <w:next w:val="Nomdelinstitution"/>
    <w:pPr>
      <w:suppressAutoHyphens/>
      <w:spacing w:after="600" w:line="240" w:lineRule="auto"/>
      <w:jc w:val="center"/>
    </w:pPr>
    <w:rPr>
      <w:rFonts w:ascii="Times New Roman" w:eastAsia="Times New Roman" w:hAnsi="Times New Roman" w:cs="Times New Roman"/>
      <w:b/>
      <w:sz w:val="24"/>
      <w:szCs w:val="24"/>
      <w:lang w:eastAsia="ar-SA"/>
    </w:rPr>
  </w:style>
  <w:style w:type="paragraph" w:customStyle="1" w:styleId="Sous-titreobjet">
    <w:name w:val="Sous-titre objet"/>
    <w:basedOn w:val="Normal"/>
    <w:pPr>
      <w:suppressAutoHyphens/>
      <w:spacing w:after="0" w:line="240" w:lineRule="auto"/>
      <w:jc w:val="center"/>
    </w:pPr>
    <w:rPr>
      <w:rFonts w:ascii="Times New Roman" w:eastAsia="Times New Roman" w:hAnsi="Times New Roman" w:cs="Times New Roman"/>
      <w:b/>
      <w:sz w:val="24"/>
      <w:szCs w:val="24"/>
      <w:lang w:eastAsia="ar-SA"/>
    </w:rPr>
  </w:style>
  <w:style w:type="paragraph" w:customStyle="1" w:styleId="Sous-titreobjetprliminaire">
    <w:name w:val="Sous-titre objet (préliminaire)"/>
    <w:basedOn w:val="Normal"/>
    <w:pPr>
      <w:suppressAutoHyphens/>
      <w:spacing w:after="0" w:line="240" w:lineRule="auto"/>
      <w:jc w:val="center"/>
    </w:pPr>
    <w:rPr>
      <w:rFonts w:ascii="Times New Roman" w:eastAsia="Times New Roman" w:hAnsi="Times New Roman" w:cs="Times New Roman"/>
      <w:b/>
      <w:sz w:val="24"/>
      <w:szCs w:val="24"/>
      <w:lang w:eastAsia="ar-SA"/>
    </w:rPr>
  </w:style>
  <w:style w:type="paragraph" w:customStyle="1" w:styleId="Statut">
    <w:name w:val="Statut"/>
    <w:basedOn w:val="Normal"/>
    <w:next w:val="Typedudocument"/>
    <w:pPr>
      <w:suppressAutoHyphens/>
      <w:spacing w:before="360" w:after="0" w:line="240" w:lineRule="auto"/>
      <w:jc w:val="center"/>
    </w:pPr>
    <w:rPr>
      <w:rFonts w:ascii="Times New Roman" w:eastAsia="Times New Roman" w:hAnsi="Times New Roman" w:cs="Times New Roman"/>
      <w:sz w:val="24"/>
      <w:szCs w:val="24"/>
      <w:lang w:eastAsia="ar-SA"/>
    </w:rPr>
  </w:style>
  <w:style w:type="paragraph" w:customStyle="1" w:styleId="Statutprliminaire">
    <w:name w:val="Statut (préliminaire)"/>
    <w:basedOn w:val="Normal"/>
    <w:next w:val="Normal"/>
    <w:pPr>
      <w:suppressAutoHyphens/>
      <w:spacing w:before="360" w:after="0" w:line="240" w:lineRule="auto"/>
      <w:jc w:val="center"/>
    </w:pPr>
    <w:rPr>
      <w:rFonts w:ascii="Times New Roman" w:eastAsia="Times New Roman" w:hAnsi="Times New Roman" w:cs="Times New Roman"/>
      <w:sz w:val="24"/>
      <w:szCs w:val="24"/>
      <w:lang w:eastAsia="ar-SA"/>
    </w:rPr>
  </w:style>
  <w:style w:type="paragraph" w:customStyle="1" w:styleId="Titrearticle">
    <w:name w:val="Titre article"/>
    <w:basedOn w:val="Normal"/>
    <w:next w:val="Normal"/>
    <w:pPr>
      <w:keepNext/>
      <w:suppressAutoHyphens/>
      <w:spacing w:before="360" w:after="120" w:line="240" w:lineRule="auto"/>
      <w:jc w:val="center"/>
    </w:pPr>
    <w:rPr>
      <w:rFonts w:ascii="Times New Roman" w:eastAsia="Times New Roman" w:hAnsi="Times New Roman" w:cs="Times New Roman"/>
      <w:i/>
      <w:sz w:val="24"/>
      <w:szCs w:val="24"/>
      <w:lang w:eastAsia="ar-SA"/>
    </w:rPr>
  </w:style>
  <w:style w:type="paragraph" w:customStyle="1" w:styleId="Titreobjet">
    <w:name w:val="Titre objet"/>
    <w:basedOn w:val="Normal"/>
    <w:next w:val="Sous-titreobjet"/>
    <w:pPr>
      <w:suppressAutoHyphens/>
      <w:spacing w:before="360" w:after="360" w:line="240" w:lineRule="auto"/>
      <w:jc w:val="center"/>
    </w:pPr>
    <w:rPr>
      <w:rFonts w:ascii="Times New Roman" w:eastAsia="Times New Roman" w:hAnsi="Times New Roman" w:cs="Times New Roman"/>
      <w:b/>
      <w:sz w:val="24"/>
      <w:szCs w:val="24"/>
      <w:lang w:eastAsia="ar-SA"/>
    </w:rPr>
  </w:style>
  <w:style w:type="paragraph" w:customStyle="1" w:styleId="Titreobjetprliminaire">
    <w:name w:val="Titre objet (préliminaire)"/>
    <w:basedOn w:val="Normal"/>
    <w:next w:val="Normal"/>
    <w:pPr>
      <w:suppressAutoHyphens/>
      <w:spacing w:before="360" w:after="360" w:line="240" w:lineRule="auto"/>
      <w:jc w:val="center"/>
    </w:pPr>
    <w:rPr>
      <w:rFonts w:ascii="Times New Roman" w:eastAsia="Times New Roman" w:hAnsi="Times New Roman" w:cs="Times New Roman"/>
      <w:b/>
      <w:sz w:val="24"/>
      <w:szCs w:val="24"/>
      <w:lang w:eastAsia="ar-SA"/>
    </w:rPr>
  </w:style>
  <w:style w:type="paragraph" w:customStyle="1" w:styleId="Typedudocument">
    <w:name w:val="Type du document"/>
    <w:basedOn w:val="Normal"/>
    <w:next w:val="Datedadoption"/>
    <w:pPr>
      <w:suppressAutoHyphens/>
      <w:spacing w:before="360" w:after="0" w:line="240" w:lineRule="auto"/>
      <w:jc w:val="center"/>
    </w:pPr>
    <w:rPr>
      <w:rFonts w:ascii="Times New Roman" w:eastAsia="Times New Roman" w:hAnsi="Times New Roman" w:cs="Times New Roman"/>
      <w:b/>
      <w:sz w:val="24"/>
      <w:szCs w:val="24"/>
      <w:lang w:eastAsia="ar-SA"/>
    </w:rPr>
  </w:style>
  <w:style w:type="paragraph" w:customStyle="1" w:styleId="Typedudocumentprliminaire">
    <w:name w:val="Type du document (préliminaire)"/>
    <w:basedOn w:val="Normal"/>
    <w:next w:val="Normal"/>
    <w:pPr>
      <w:suppressAutoHyphens/>
      <w:spacing w:before="360" w:after="0" w:line="240" w:lineRule="auto"/>
      <w:jc w:val="center"/>
    </w:pPr>
    <w:rPr>
      <w:rFonts w:ascii="Times New Roman" w:eastAsia="Times New Roman" w:hAnsi="Times New Roman" w:cs="Times New Roman"/>
      <w:b/>
      <w:sz w:val="24"/>
      <w:szCs w:val="24"/>
      <w:lang w:eastAsia="ar-SA"/>
    </w:rPr>
  </w:style>
  <w:style w:type="paragraph" w:customStyle="1" w:styleId="Address">
    <w:name w:val="Address"/>
    <w:basedOn w:val="Normal"/>
    <w:next w:val="Normal"/>
    <w:pPr>
      <w:keepLines/>
      <w:suppressAutoHyphens/>
      <w:spacing w:before="120" w:after="120" w:line="360" w:lineRule="auto"/>
      <w:ind w:left="3402"/>
    </w:pPr>
    <w:rPr>
      <w:rFonts w:ascii="Times New Roman" w:eastAsia="Times New Roman" w:hAnsi="Times New Roman" w:cs="Times New Roman"/>
      <w:sz w:val="24"/>
      <w:szCs w:val="24"/>
      <w:lang w:eastAsia="ar-SA"/>
    </w:rPr>
  </w:style>
  <w:style w:type="paragraph" w:customStyle="1" w:styleId="Fichefinancirestandardtitre">
    <w:name w:val="Fiche financière (standard) titre"/>
    <w:basedOn w:val="Normal"/>
    <w:next w:val="Normal"/>
    <w:pPr>
      <w:suppressAutoHyphens/>
      <w:spacing w:before="120" w:after="120" w:line="240" w:lineRule="auto"/>
      <w:jc w:val="center"/>
    </w:pPr>
    <w:rPr>
      <w:rFonts w:ascii="Times New Roman" w:eastAsia="Times New Roman" w:hAnsi="Times New Roman" w:cs="Times New Roman"/>
      <w:b/>
      <w:sz w:val="24"/>
      <w:szCs w:val="24"/>
      <w:u w:val="single"/>
      <w:lang w:eastAsia="ar-SA"/>
    </w:rPr>
  </w:style>
  <w:style w:type="paragraph" w:customStyle="1" w:styleId="Fichefinancirestandardtitreacte">
    <w:name w:val="Fiche financière (standard) titre (acte)"/>
    <w:basedOn w:val="Normal"/>
    <w:next w:val="Normal"/>
    <w:pPr>
      <w:suppressAutoHyphens/>
      <w:spacing w:before="120" w:after="120" w:line="240" w:lineRule="auto"/>
      <w:jc w:val="center"/>
    </w:pPr>
    <w:rPr>
      <w:rFonts w:ascii="Times New Roman" w:eastAsia="Times New Roman" w:hAnsi="Times New Roman" w:cs="Times New Roman"/>
      <w:b/>
      <w:sz w:val="24"/>
      <w:szCs w:val="24"/>
      <w:u w:val="single"/>
      <w:lang w:eastAsia="ar-SA"/>
    </w:rPr>
  </w:style>
  <w:style w:type="paragraph" w:customStyle="1" w:styleId="Fichefinanciretravailtitre">
    <w:name w:val="Fiche financière (travail) titre"/>
    <w:basedOn w:val="Normal"/>
    <w:next w:val="Normal"/>
    <w:pPr>
      <w:suppressAutoHyphens/>
      <w:spacing w:before="120" w:after="120" w:line="240" w:lineRule="auto"/>
      <w:jc w:val="center"/>
    </w:pPr>
    <w:rPr>
      <w:rFonts w:ascii="Times New Roman" w:eastAsia="Times New Roman" w:hAnsi="Times New Roman" w:cs="Times New Roman"/>
      <w:b/>
      <w:sz w:val="24"/>
      <w:szCs w:val="24"/>
      <w:u w:val="single"/>
      <w:lang w:eastAsia="ar-SA"/>
    </w:rPr>
  </w:style>
  <w:style w:type="paragraph" w:customStyle="1" w:styleId="Fichefinanciretravailtitreacte">
    <w:name w:val="Fiche financière (travail) titre (acte)"/>
    <w:basedOn w:val="Normal"/>
    <w:next w:val="Normal"/>
    <w:pPr>
      <w:suppressAutoHyphens/>
      <w:spacing w:before="120" w:after="120" w:line="240" w:lineRule="auto"/>
      <w:jc w:val="center"/>
    </w:pPr>
    <w:rPr>
      <w:rFonts w:ascii="Times New Roman" w:eastAsia="Times New Roman" w:hAnsi="Times New Roman" w:cs="Times New Roman"/>
      <w:b/>
      <w:sz w:val="24"/>
      <w:szCs w:val="24"/>
      <w:u w:val="single"/>
      <w:lang w:eastAsia="ar-SA"/>
    </w:rPr>
  </w:style>
  <w:style w:type="paragraph" w:customStyle="1" w:styleId="Fichefinancireattributiontitre">
    <w:name w:val="Fiche financière (attribution) titre"/>
    <w:basedOn w:val="Normal"/>
    <w:next w:val="Normal"/>
    <w:pPr>
      <w:suppressAutoHyphens/>
      <w:spacing w:before="120" w:after="120" w:line="240" w:lineRule="auto"/>
      <w:jc w:val="center"/>
    </w:pPr>
    <w:rPr>
      <w:rFonts w:ascii="Times New Roman" w:eastAsia="Times New Roman" w:hAnsi="Times New Roman" w:cs="Times New Roman"/>
      <w:b/>
      <w:sz w:val="24"/>
      <w:szCs w:val="24"/>
      <w:u w:val="single"/>
      <w:lang w:eastAsia="ar-SA"/>
    </w:rPr>
  </w:style>
  <w:style w:type="paragraph" w:customStyle="1" w:styleId="Fichefinancireattributiontitreacte">
    <w:name w:val="Fiche financière (attribution) titre (acte)"/>
    <w:basedOn w:val="Normal"/>
    <w:next w:val="Normal"/>
    <w:pPr>
      <w:suppressAutoHyphens/>
      <w:spacing w:before="120" w:after="120" w:line="240" w:lineRule="auto"/>
      <w:jc w:val="center"/>
    </w:pPr>
    <w:rPr>
      <w:rFonts w:ascii="Times New Roman" w:eastAsia="Times New Roman" w:hAnsi="Times New Roman" w:cs="Times New Roman"/>
      <w:b/>
      <w:sz w:val="24"/>
      <w:szCs w:val="24"/>
      <w:u w:val="single"/>
      <w:lang w:eastAsia="ar-SA"/>
    </w:rPr>
  </w:style>
  <w:style w:type="paragraph" w:customStyle="1" w:styleId="Objetexterne">
    <w:name w:val="Objet externe"/>
    <w:basedOn w:val="Normal"/>
    <w:next w:val="Normal"/>
    <w:pPr>
      <w:suppressAutoHyphens/>
      <w:spacing w:before="120" w:after="120" w:line="240" w:lineRule="auto"/>
      <w:jc w:val="both"/>
    </w:pPr>
    <w:rPr>
      <w:rFonts w:ascii="Times New Roman" w:eastAsia="Times New Roman" w:hAnsi="Times New Roman" w:cs="Times New Roman"/>
      <w:i/>
      <w:caps/>
      <w:sz w:val="24"/>
      <w:szCs w:val="24"/>
      <w:lang w:eastAsia="ar-SA"/>
    </w:rPr>
  </w:style>
  <w:style w:type="paragraph" w:styleId="CommentText">
    <w:name w:val="annotation text"/>
    <w:basedOn w:val="Normal"/>
    <w:link w:val="CommentTextChar1"/>
    <w:uiPriority w:val="99"/>
    <w:pPr>
      <w:suppressAutoHyphens/>
      <w:spacing w:before="120" w:after="120" w:line="240" w:lineRule="auto"/>
      <w:jc w:val="both"/>
    </w:pPr>
    <w:rPr>
      <w:rFonts w:ascii="Times New Roman" w:eastAsia="Times New Roman" w:hAnsi="Times New Roman" w:cs="Times New Roman"/>
      <w:sz w:val="20"/>
      <w:szCs w:val="20"/>
      <w:lang w:eastAsia="ar-SA"/>
    </w:rPr>
  </w:style>
  <w:style w:type="character" w:customStyle="1" w:styleId="CommentTextChar1">
    <w:name w:val="Comment Text Char1"/>
    <w:basedOn w:val="DefaultParagraphFont"/>
    <w:link w:val="CommentText"/>
    <w:uiPriority w:val="99"/>
    <w:rPr>
      <w:rFonts w:ascii="Times New Roman" w:eastAsia="Times New Roman" w:hAnsi="Times New Roman" w:cs="Times New Roman"/>
      <w:sz w:val="20"/>
      <w:szCs w:val="20"/>
      <w:lang w:eastAsia="ar-SA"/>
    </w:rPr>
  </w:style>
  <w:style w:type="paragraph" w:styleId="CommentSubject">
    <w:name w:val="annotation subject"/>
    <w:basedOn w:val="CommentText"/>
    <w:next w:val="CommentText"/>
    <w:link w:val="CommentSubjectChar"/>
    <w:uiPriority w:val="99"/>
    <w:semiHidden/>
    <w:pPr>
      <w:suppressAutoHyphens w:val="0"/>
    </w:pPr>
    <w:rPr>
      <w:b/>
      <w:bCs/>
      <w:lang w:eastAsia="de-DE"/>
    </w:rPr>
  </w:style>
  <w:style w:type="character" w:customStyle="1" w:styleId="CommentSubjectChar">
    <w:name w:val="Comment Subject Char"/>
    <w:basedOn w:val="CommentTextChar1"/>
    <w:link w:val="CommentSubject"/>
    <w:uiPriority w:val="99"/>
    <w:semiHidden/>
    <w:rPr>
      <w:rFonts w:ascii="Times New Roman" w:eastAsia="Times New Roman" w:hAnsi="Times New Roman" w:cs="Times New Roman"/>
      <w:b/>
      <w:bCs/>
      <w:sz w:val="20"/>
      <w:szCs w:val="20"/>
      <w:lang w:eastAsia="de-DE"/>
    </w:rPr>
  </w:style>
  <w:style w:type="paragraph" w:styleId="ListParagraph">
    <w:name w:val="List Paragraph"/>
    <w:aliases w:val="Bullet List Paragraph,List Paragraph1,Heading 2_sj,Resume Title,Citation List,Ha,List Paragraph_Table bullets,Listes,1st level - Bullet List Paragraph,Lettre d'introduction,Paragrafo elenco,Medium Grid 1 - Accent 21,Normal bullet 2"/>
    <w:basedOn w:val="Normal"/>
    <w:link w:val="ListParagraphChar"/>
    <w:uiPriority w:val="34"/>
    <w:qFormat/>
    <w:pPr>
      <w:suppressAutoHyphens/>
      <w:spacing w:after="0" w:line="240" w:lineRule="auto"/>
      <w:ind w:left="720"/>
    </w:pPr>
    <w:rPr>
      <w:rFonts w:ascii="Calibri" w:hAnsi="Calibri" w:cs="Calibri"/>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1"/>
    <w:uiPriority w:val="99"/>
    <w:pPr>
      <w:suppressAutoHyphens/>
      <w:spacing w:after="0" w:line="240" w:lineRule="auto"/>
      <w:jc w:val="both"/>
    </w:pPr>
    <w:rPr>
      <w:rFonts w:ascii="Tahoma" w:eastAsia="Times New Roman" w:hAnsi="Tahoma" w:cs="Tahoma"/>
      <w:sz w:val="16"/>
      <w:szCs w:val="16"/>
      <w:lang w:eastAsia="ar-SA"/>
    </w:rPr>
  </w:style>
  <w:style w:type="character" w:customStyle="1" w:styleId="BalloonTextChar1">
    <w:name w:val="Balloon Text Char1"/>
    <w:basedOn w:val="DefaultParagraphFont"/>
    <w:link w:val="BalloonText"/>
    <w:uiPriority w:val="99"/>
    <w:rPr>
      <w:rFonts w:ascii="Tahoma" w:eastAsia="Times New Roman" w:hAnsi="Tahoma" w:cs="Tahoma"/>
      <w:sz w:val="16"/>
      <w:szCs w:val="16"/>
      <w:lang w:eastAsia="ar-SA"/>
    </w:rPr>
  </w:style>
  <w:style w:type="paragraph" w:styleId="Caption">
    <w:name w:val="caption"/>
    <w:aliases w:val="Legend,Figure reference,Tab_Überschrift,Caption Char1,Caption Char Char,Caption Char1 Char Char Char,Caption Char Char Char Char Char,Caption Char1 Char Char Char Char Char,Caption Char Char Char Char Char Char Char,DNV-cap,Tasks,Leg,Caption Cha"/>
    <w:basedOn w:val="Normal"/>
    <w:uiPriority w:val="35"/>
    <w:qFormat/>
    <w:pPr>
      <w:suppressLineNumbers/>
      <w:suppressAutoHyphens/>
      <w:spacing w:before="120" w:after="120" w:line="240" w:lineRule="auto"/>
      <w:jc w:val="both"/>
    </w:pPr>
    <w:rPr>
      <w:rFonts w:ascii="Times New Roman" w:eastAsia="Times New Roman" w:hAnsi="Times New Roman" w:cs="Mangal"/>
      <w:i/>
      <w:iCs/>
      <w:sz w:val="24"/>
      <w:szCs w:val="24"/>
      <w:lang w:eastAsia="ar-SA"/>
    </w:rPr>
  </w:style>
  <w:style w:type="paragraph" w:customStyle="1" w:styleId="Style1">
    <w:name w:val="Style1"/>
    <w:basedOn w:val="Normal"/>
    <w:qFormat/>
    <w:pPr>
      <w:suppressAutoHyphens/>
      <w:spacing w:after="120" w:line="280" w:lineRule="atLeast"/>
    </w:pPr>
    <w:rPr>
      <w:rFonts w:ascii="Arial" w:eastAsia="Times New Roman" w:hAnsi="Arial" w:cs="Arial"/>
      <w:sz w:val="20"/>
      <w:szCs w:val="20"/>
      <w:lang w:eastAsia="ar-SA"/>
    </w:rPr>
  </w:style>
  <w:style w:type="paragraph" w:customStyle="1" w:styleId="AFWBody">
    <w:name w:val="AFW Body"/>
    <w:aliases w:val="Body,AFW Memo Body,Normal Arial"/>
    <w:qFormat/>
    <w:pPr>
      <w:suppressAutoHyphens/>
      <w:spacing w:after="160" w:line="240" w:lineRule="atLeast"/>
    </w:pPr>
    <w:rPr>
      <w:rFonts w:ascii="Arial" w:eastAsia="Calibri" w:hAnsi="Arial" w:cs="Arial"/>
      <w:color w:val="000000"/>
      <w:sz w:val="20"/>
      <w:lang w:eastAsia="ar-SA"/>
    </w:rPr>
  </w:style>
  <w:style w:type="paragraph" w:customStyle="1" w:styleId="AFWBullets">
    <w:name w:val="AFW Bullets"/>
    <w:aliases w:val="Bullets 1"/>
    <w:basedOn w:val="AFWBody"/>
    <w:qFormat/>
    <w:pPr>
      <w:numPr>
        <w:numId w:val="6"/>
      </w:numPr>
      <w:tabs>
        <w:tab w:val="left" w:pos="1134"/>
      </w:tabs>
      <w:suppressAutoHyphens w:val="0"/>
      <w:ind w:left="1135" w:hanging="284"/>
    </w:pPr>
    <w:rPr>
      <w:rFonts w:cs="Times New Roman"/>
      <w:lang w:eastAsia="en-US"/>
    </w:rPr>
  </w:style>
  <w:style w:type="paragraph" w:customStyle="1" w:styleId="AFWBodySmall">
    <w:name w:val="AFW Body Small"/>
    <w:aliases w:val="Body Small"/>
    <w:basedOn w:val="AFWBody"/>
    <w:qFormat/>
    <w:pPr>
      <w:spacing w:after="0" w:line="240" w:lineRule="auto"/>
    </w:pPr>
    <w:rPr>
      <w:rFonts w:cs="Times New Roman"/>
      <w:sz w:val="16"/>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uiPriority w:val="99"/>
    <w:pPr>
      <w:suppressAutoHyphens/>
      <w:spacing w:after="160" w:line="240" w:lineRule="exact"/>
    </w:pPr>
    <w:rPr>
      <w:rFonts w:ascii="Times New Roman" w:eastAsia="Times New Roman" w:hAnsi="Times New Roman" w:cs="Times New Roman"/>
      <w:sz w:val="20"/>
      <w:szCs w:val="20"/>
      <w:vertAlign w:val="superscript"/>
      <w:lang w:eastAsia="ar-SA"/>
    </w:rPr>
  </w:style>
  <w:style w:type="paragraph" w:customStyle="1" w:styleId="AFWTable">
    <w:name w:val="AFW Table"/>
    <w:aliases w:val="Table Content"/>
    <w:basedOn w:val="AFWBody"/>
    <w:qFormat/>
    <w:pPr>
      <w:spacing w:after="0" w:line="240" w:lineRule="auto"/>
    </w:pPr>
    <w:rPr>
      <w:rFonts w:cs="Times New Roman"/>
      <w:sz w:val="16"/>
    </w:rPr>
  </w:style>
  <w:style w:type="paragraph" w:customStyle="1" w:styleId="Style7bulletpoint">
    <w:name w:val="Style7_bullet point"/>
    <w:basedOn w:val="Style1"/>
    <w:qFormat/>
    <w:pPr>
      <w:numPr>
        <w:numId w:val="8"/>
      </w:numPr>
      <w:tabs>
        <w:tab w:val="left" w:pos="1134"/>
      </w:tabs>
      <w:suppressAutoHyphens w:val="0"/>
      <w:ind w:left="714" w:right="357" w:hanging="357"/>
    </w:pPr>
    <w:rPr>
      <w:lang w:eastAsia="de-DE"/>
    </w:rPr>
  </w:style>
  <w:style w:type="paragraph" w:styleId="Revision">
    <w:name w:val="Revision"/>
    <w:hidden/>
    <w:uiPriority w:val="99"/>
    <w:semiHidden/>
    <w:pPr>
      <w:suppressAutoHyphens/>
      <w:autoSpaceDN w:val="0"/>
      <w:spacing w:after="0" w:line="240" w:lineRule="auto"/>
      <w:textAlignment w:val="baseline"/>
    </w:pPr>
    <w:rPr>
      <w:rFonts w:ascii="Times New Roman" w:eastAsia="Times New Roman" w:hAnsi="Times New Roman" w:cs="Times New Roman"/>
      <w:sz w:val="24"/>
      <w:szCs w:val="24"/>
      <w:lang w:eastAsia="de-DE"/>
    </w:rPr>
  </w:style>
  <w:style w:type="paragraph" w:customStyle="1" w:styleId="TabellenInhalt">
    <w:name w:val="Tabellen Inhalt"/>
    <w:basedOn w:val="Normal"/>
    <w:pPr>
      <w:suppressLineNumbers/>
      <w:suppressAutoHyphens/>
      <w:spacing w:before="120" w:after="120" w:line="240" w:lineRule="auto"/>
      <w:jc w:val="both"/>
    </w:pPr>
    <w:rPr>
      <w:rFonts w:ascii="Times New Roman" w:eastAsia="Times New Roman" w:hAnsi="Times New Roman" w:cs="Times New Roman"/>
      <w:sz w:val="24"/>
      <w:szCs w:val="24"/>
      <w:lang w:eastAsia="ar-SA"/>
    </w:rPr>
  </w:style>
  <w:style w:type="paragraph" w:customStyle="1" w:styleId="Tabellenberschrift">
    <w:name w:val="Tabellen Überschrift"/>
    <w:basedOn w:val="TabellenInhalt"/>
    <w:pPr>
      <w:jc w:val="center"/>
    </w:pPr>
    <w:rPr>
      <w:b/>
      <w:bCs/>
    </w:rPr>
  </w:style>
  <w:style w:type="paragraph" w:customStyle="1" w:styleId="Inhaltsverzeichnis10">
    <w:name w:val="Inhaltsverzeichnis 10"/>
    <w:basedOn w:val="Verzeichnis"/>
    <w:pPr>
      <w:tabs>
        <w:tab w:val="right" w:leader="dot" w:pos="7091"/>
      </w:tabs>
      <w:ind w:left="2547"/>
    </w:pPr>
  </w:style>
  <w:style w:type="paragraph" w:customStyle="1" w:styleId="Rahmeninhalt">
    <w:name w:val="Rahmeninhalt"/>
    <w:basedOn w:val="BodyText"/>
  </w:style>
  <w:style w:type="paragraph" w:customStyle="1" w:styleId="Default">
    <w:name w:val="Default"/>
    <w:basedOn w:val="Normal"/>
    <w:pPr>
      <w:suppressAutoHyphens/>
      <w:autoSpaceDE w:val="0"/>
      <w:spacing w:after="0" w:line="240" w:lineRule="auto"/>
    </w:pPr>
    <w:rPr>
      <w:rFonts w:ascii="Times New Roman" w:eastAsia="Times New Roman" w:hAnsi="Times New Roman" w:cs="Times New Roman"/>
      <w:color w:val="000000"/>
      <w:sz w:val="24"/>
      <w:szCs w:val="24"/>
      <w:lang w:eastAsia="hi-IN" w:bidi="hi-IN"/>
    </w:rPr>
  </w:style>
  <w:style w:type="paragraph" w:customStyle="1" w:styleId="BIOblueheading">
    <w:name w:val="BIO_blue heading"/>
    <w:basedOn w:val="Style1"/>
    <w:pPr>
      <w:spacing w:before="240" w:after="240"/>
    </w:pPr>
    <w:rPr>
      <w:sz w:val="24"/>
      <w:szCs w:val="24"/>
    </w:rPr>
  </w:style>
  <w:style w:type="paragraph" w:customStyle="1" w:styleId="Style2">
    <w:name w:val="Style2"/>
    <w:basedOn w:val="BIOblueheading"/>
    <w:qFormat/>
    <w:rPr>
      <w:b/>
      <w:i/>
      <w:color w:val="002776"/>
    </w:rPr>
  </w:style>
  <w:style w:type="paragraph" w:customStyle="1" w:styleId="Caption1">
    <w:name w:val="Caption1"/>
    <w:basedOn w:val="Normal"/>
    <w:pPr>
      <w:keepNext/>
      <w:suppressAutoHyphens/>
      <w:spacing w:before="240" w:after="120" w:line="240" w:lineRule="auto"/>
      <w:jc w:val="both"/>
    </w:pPr>
    <w:rPr>
      <w:rFonts w:ascii="Arial" w:eastAsia="Times New Roman" w:hAnsi="Arial" w:cs="Arial"/>
      <w:bCs/>
      <w:i/>
      <w:sz w:val="18"/>
      <w:szCs w:val="18"/>
      <w:lang w:eastAsia="ar-SA"/>
    </w:rPr>
  </w:style>
  <w:style w:type="paragraph" w:customStyle="1" w:styleId="bulletspointslvl1">
    <w:name w:val="bullets points lvl1"/>
    <w:basedOn w:val="Normal"/>
    <w:pPr>
      <w:tabs>
        <w:tab w:val="left" w:pos="993"/>
      </w:tabs>
      <w:suppressAutoHyphens/>
      <w:spacing w:after="120" w:line="240" w:lineRule="auto"/>
      <w:ind w:left="851" w:right="567"/>
      <w:jc w:val="both"/>
    </w:pPr>
    <w:rPr>
      <w:rFonts w:ascii="Times New Roman" w:eastAsia="Times New Roman" w:hAnsi="Times New Roman" w:cs="Arial"/>
      <w:sz w:val="24"/>
      <w:szCs w:val="20"/>
      <w:lang w:val="en-US" w:eastAsia="ar-SA"/>
    </w:rPr>
  </w:style>
  <w:style w:type="paragraph" w:customStyle="1" w:styleId="CSubheading">
    <w:name w:val="C Subheading"/>
    <w:basedOn w:val="Heading3"/>
    <w:pPr>
      <w:numPr>
        <w:ilvl w:val="0"/>
        <w:numId w:val="2"/>
      </w:numPr>
    </w:pPr>
    <w:rPr>
      <w:color w:val="000000"/>
      <w:szCs w:val="24"/>
    </w:rPr>
  </w:style>
  <w:style w:type="paragraph" w:customStyle="1" w:styleId="Style4">
    <w:name w:val="Style4"/>
    <w:basedOn w:val="CSubheading"/>
    <w:pPr>
      <w:numPr>
        <w:numId w:val="0"/>
      </w:numPr>
    </w:pPr>
  </w:style>
  <w:style w:type="paragraph" w:customStyle="1" w:styleId="FootnoteText1">
    <w:name w:val="Footnote Text1"/>
    <w:basedOn w:val="Normal"/>
    <w:pPr>
      <w:suppressAutoHyphens/>
      <w:spacing w:before="120" w:after="120" w:line="240" w:lineRule="auto"/>
      <w:jc w:val="both"/>
    </w:pPr>
    <w:rPr>
      <w:rFonts w:ascii="Times New Roman" w:eastAsia="Times New Roman" w:hAnsi="Times New Roman" w:cs="Times New Roman"/>
      <w:sz w:val="20"/>
      <w:szCs w:val="20"/>
      <w:lang w:eastAsia="ar-SA"/>
    </w:rPr>
  </w:style>
  <w:style w:type="paragraph" w:customStyle="1" w:styleId="footnote">
    <w:name w:val="footnote"/>
    <w:basedOn w:val="Normal"/>
    <w:pPr>
      <w:suppressAutoHyphens/>
      <w:spacing w:after="120" w:line="240" w:lineRule="auto"/>
      <w:jc w:val="both"/>
    </w:pPr>
    <w:rPr>
      <w:rFonts w:ascii="Times New Roman" w:eastAsia="Times New Roman" w:hAnsi="Times New Roman" w:cs="Times New Roman"/>
      <w:sz w:val="18"/>
      <w:szCs w:val="18"/>
      <w:lang w:eastAsia="ar-SA"/>
    </w:rPr>
  </w:style>
  <w:style w:type="paragraph" w:customStyle="1" w:styleId="BIO1stbulletpoint">
    <w:name w:val="BIO 1st bullet point"/>
    <w:basedOn w:val="Style1"/>
  </w:style>
  <w:style w:type="table" w:customStyle="1" w:styleId="AmecFosterWheelerReportTable">
    <w:name w:val="Amec Foster Wheeler Report Table"/>
    <w:basedOn w:val="TableNormal"/>
    <w:uiPriority w:val="99"/>
    <w:qFormat/>
    <w:pPr>
      <w:spacing w:after="0" w:line="240" w:lineRule="auto"/>
    </w:pPr>
    <w:rPr>
      <w:rFonts w:ascii="Arial" w:eastAsia="Calibri" w:hAnsi="Arial" w:cs="Times New Roman"/>
      <w:color w:val="000000"/>
      <w:sz w:val="20"/>
    </w:rPr>
    <w:tblPr>
      <w:tblStyleRowBandSize w:val="1"/>
      <w:tblStyleColBandSize w:val="1"/>
      <w:tblInd w:w="113" w:type="dxa"/>
      <w:tblBorders>
        <w:bottom w:val="single" w:sz="6" w:space="0" w:color="C0504D"/>
      </w:tblBorders>
      <w:tblCellMar>
        <w:top w:w="113" w:type="dxa"/>
        <w:bottom w:w="113" w:type="dxa"/>
      </w:tblCellMar>
    </w:tblPr>
    <w:tblStylePr w:type="firstRow">
      <w:pPr>
        <w:spacing w:before="0" w:after="0" w:line="240" w:lineRule="auto"/>
      </w:pPr>
      <w:rPr>
        <w:rFonts w:ascii="Arial" w:hAnsi="Arial"/>
        <w:b/>
        <w:bCs/>
        <w:color w:val="262626"/>
        <w:sz w:val="20"/>
      </w:rPr>
      <w:tblPr/>
      <w:tcPr>
        <w:tcBorders>
          <w:top w:val="single" w:sz="4" w:space="0" w:color="C0504D"/>
          <w:left w:val="nil"/>
          <w:bottom w:val="single" w:sz="4" w:space="0" w:color="C0504D"/>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2Vert">
      <w:tblPr/>
      <w:tcPr>
        <w:shd w:val="clear" w:color="auto" w:fill="FFFFFF"/>
      </w:tcPr>
    </w:tblStylePr>
    <w:tblStylePr w:type="band1Horz">
      <w:tblPr/>
      <w:tcPr>
        <w:tcBorders>
          <w:left w:val="nil"/>
          <w:right w:val="nil"/>
          <w:insideH w:val="nil"/>
          <w:insideV w:val="nil"/>
        </w:tcBorders>
        <w:shd w:val="clear" w:color="auto" w:fill="E5DFEC"/>
      </w:tcPr>
    </w:tblStylePr>
    <w:tblStylePr w:type="band2Horz">
      <w:tblPr/>
      <w:tcPr>
        <w:shd w:val="clear" w:color="auto" w:fill="F8F8F8"/>
      </w:tcPr>
    </w:tblStylePr>
  </w:style>
  <w:style w:type="table" w:styleId="TableGrid">
    <w:name w:val="Table Grid"/>
    <w:basedOn w:val="TableNormal"/>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OutlineListStyle">
    <w:name w:val="WW_OutlineListStyle"/>
    <w:basedOn w:val="NoList"/>
    <w:pPr>
      <w:numPr>
        <w:numId w:val="36"/>
      </w:numPr>
    </w:pPr>
  </w:style>
  <w:style w:type="numbering" w:customStyle="1" w:styleId="LFO1">
    <w:name w:val="LFO1"/>
    <w:basedOn w:val="NoList"/>
    <w:pPr>
      <w:numPr>
        <w:numId w:val="37"/>
      </w:numPr>
    </w:pPr>
  </w:style>
  <w:style w:type="numbering" w:customStyle="1" w:styleId="LFO2">
    <w:name w:val="LFO2"/>
    <w:basedOn w:val="NoList"/>
    <w:pPr>
      <w:numPr>
        <w:numId w:val="38"/>
      </w:numPr>
    </w:pPr>
  </w:style>
  <w:style w:type="numbering" w:customStyle="1" w:styleId="LFO3">
    <w:name w:val="LFO3"/>
    <w:basedOn w:val="NoList"/>
    <w:pPr>
      <w:numPr>
        <w:numId w:val="39"/>
      </w:numPr>
    </w:pPr>
  </w:style>
  <w:style w:type="numbering" w:customStyle="1" w:styleId="LFO4">
    <w:name w:val="LFO4"/>
    <w:basedOn w:val="NoList"/>
    <w:pPr>
      <w:numPr>
        <w:numId w:val="40"/>
      </w:numPr>
    </w:pPr>
  </w:style>
  <w:style w:type="numbering" w:customStyle="1" w:styleId="LFO5">
    <w:name w:val="LFO5"/>
    <w:basedOn w:val="NoList"/>
    <w:pPr>
      <w:numPr>
        <w:numId w:val="41"/>
      </w:numPr>
    </w:pPr>
  </w:style>
  <w:style w:type="numbering" w:customStyle="1" w:styleId="LFO6">
    <w:name w:val="LFO6"/>
    <w:basedOn w:val="NoList"/>
    <w:pPr>
      <w:numPr>
        <w:numId w:val="42"/>
      </w:numPr>
    </w:pPr>
  </w:style>
  <w:style w:type="numbering" w:customStyle="1" w:styleId="LFO8">
    <w:name w:val="LFO8"/>
    <w:basedOn w:val="NoList"/>
    <w:pPr>
      <w:numPr>
        <w:numId w:val="43"/>
      </w:numPr>
    </w:pPr>
  </w:style>
  <w:style w:type="numbering" w:customStyle="1" w:styleId="LFO9">
    <w:name w:val="LFO9"/>
    <w:basedOn w:val="NoList"/>
    <w:pPr>
      <w:numPr>
        <w:numId w:val="44"/>
      </w:numPr>
    </w:pPr>
  </w:style>
  <w:style w:type="numbering" w:customStyle="1" w:styleId="LFO10">
    <w:name w:val="LFO10"/>
    <w:basedOn w:val="NoList"/>
    <w:pPr>
      <w:numPr>
        <w:numId w:val="45"/>
      </w:numPr>
    </w:pPr>
  </w:style>
  <w:style w:type="numbering" w:customStyle="1" w:styleId="LFO11">
    <w:name w:val="LFO11"/>
    <w:basedOn w:val="NoList"/>
    <w:pPr>
      <w:numPr>
        <w:numId w:val="46"/>
      </w:numPr>
    </w:pPr>
  </w:style>
  <w:style w:type="numbering" w:customStyle="1" w:styleId="LFO12">
    <w:name w:val="LFO12"/>
    <w:basedOn w:val="NoList"/>
    <w:pPr>
      <w:numPr>
        <w:numId w:val="47"/>
      </w:numPr>
    </w:pPr>
  </w:style>
  <w:style w:type="numbering" w:customStyle="1" w:styleId="LFO13">
    <w:name w:val="LFO13"/>
    <w:basedOn w:val="NoList"/>
    <w:pPr>
      <w:numPr>
        <w:numId w:val="48"/>
      </w:numPr>
    </w:pPr>
  </w:style>
  <w:style w:type="numbering" w:customStyle="1" w:styleId="LFO14">
    <w:name w:val="LFO14"/>
    <w:basedOn w:val="NoList"/>
    <w:pPr>
      <w:numPr>
        <w:numId w:val="49"/>
      </w:numPr>
    </w:pPr>
  </w:style>
  <w:style w:type="numbering" w:customStyle="1" w:styleId="LFO15">
    <w:name w:val="LFO15"/>
    <w:basedOn w:val="NoList"/>
    <w:pPr>
      <w:numPr>
        <w:numId w:val="50"/>
      </w:numPr>
    </w:pPr>
  </w:style>
  <w:style w:type="numbering" w:customStyle="1" w:styleId="LFO16">
    <w:name w:val="LFO16"/>
    <w:basedOn w:val="NoList"/>
    <w:pPr>
      <w:numPr>
        <w:numId w:val="51"/>
      </w:numPr>
    </w:pPr>
  </w:style>
  <w:style w:type="numbering" w:customStyle="1" w:styleId="LFO17">
    <w:name w:val="LFO17"/>
    <w:basedOn w:val="NoList"/>
    <w:pPr>
      <w:numPr>
        <w:numId w:val="52"/>
      </w:numPr>
    </w:pPr>
  </w:style>
  <w:style w:type="numbering" w:customStyle="1" w:styleId="LFO18">
    <w:name w:val="LFO18"/>
    <w:basedOn w:val="NoList"/>
    <w:pPr>
      <w:numPr>
        <w:numId w:val="53"/>
      </w:numPr>
    </w:pPr>
  </w:style>
  <w:style w:type="numbering" w:customStyle="1" w:styleId="LFO19">
    <w:name w:val="LFO19"/>
    <w:basedOn w:val="NoList"/>
    <w:pPr>
      <w:numPr>
        <w:numId w:val="54"/>
      </w:numPr>
    </w:pPr>
  </w:style>
  <w:style w:type="numbering" w:customStyle="1" w:styleId="LFO20">
    <w:name w:val="LFO20"/>
    <w:basedOn w:val="NoList"/>
    <w:pPr>
      <w:numPr>
        <w:numId w:val="55"/>
      </w:numPr>
    </w:pPr>
  </w:style>
  <w:style w:type="numbering" w:customStyle="1" w:styleId="LFO21">
    <w:name w:val="LFO21"/>
    <w:basedOn w:val="NoList"/>
    <w:pPr>
      <w:numPr>
        <w:numId w:val="56"/>
      </w:numPr>
    </w:pPr>
  </w:style>
  <w:style w:type="numbering" w:customStyle="1" w:styleId="LFO22">
    <w:name w:val="LFO22"/>
    <w:basedOn w:val="NoList"/>
    <w:pPr>
      <w:numPr>
        <w:numId w:val="57"/>
      </w:numPr>
    </w:pPr>
  </w:style>
  <w:style w:type="numbering" w:customStyle="1" w:styleId="LFO23">
    <w:name w:val="LFO23"/>
    <w:basedOn w:val="NoList"/>
    <w:pPr>
      <w:numPr>
        <w:numId w:val="58"/>
      </w:numPr>
    </w:pPr>
  </w:style>
  <w:style w:type="numbering" w:customStyle="1" w:styleId="LFO28">
    <w:name w:val="LFO28"/>
    <w:basedOn w:val="NoList"/>
    <w:pPr>
      <w:numPr>
        <w:numId w:val="59"/>
      </w:numPr>
    </w:pPr>
  </w:style>
  <w:style w:type="numbering" w:customStyle="1" w:styleId="LFO29">
    <w:name w:val="LFO29"/>
    <w:basedOn w:val="NoList"/>
    <w:pPr>
      <w:numPr>
        <w:numId w:val="60"/>
      </w:numPr>
    </w:pPr>
  </w:style>
  <w:style w:type="paragraph" w:customStyle="1" w:styleId="he">
    <w:name w:val="he"/>
    <w:basedOn w:val="ListBullet"/>
    <w:pPr>
      <w:numPr>
        <w:numId w:val="0"/>
      </w:numPr>
    </w:pPr>
    <w:rPr>
      <w:u w:val="single"/>
    </w:rPr>
  </w:style>
  <w:style w:type="paragraph" w:customStyle="1" w:styleId="norm">
    <w:name w:val="norm"/>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Heading">
    <w:name w:val="Heading"/>
    <w:basedOn w:val="Heading4"/>
    <w:pPr>
      <w:numPr>
        <w:ilvl w:val="0"/>
        <w:numId w:val="0"/>
      </w:numPr>
      <w:ind w:left="850"/>
    </w:pPr>
    <w:rPr>
      <w:i/>
    </w:rPr>
  </w:style>
  <w:style w:type="paragraph" w:customStyle="1" w:styleId="norma">
    <w:name w:val="norma"/>
    <w:basedOn w:val="norm"/>
  </w:style>
  <w:style w:type="numbering" w:customStyle="1" w:styleId="ImportedStyle2">
    <w:name w:val="Imported Style 2"/>
    <w:pPr>
      <w:numPr>
        <w:numId w:val="66"/>
      </w:numPr>
    </w:pPr>
  </w:style>
  <w:style w:type="numbering" w:customStyle="1" w:styleId="ImportedStyle3">
    <w:name w:val="Imported Style 3"/>
    <w:pPr>
      <w:numPr>
        <w:numId w:val="68"/>
      </w:numPr>
    </w:pPr>
  </w:style>
  <w:style w:type="character" w:customStyle="1" w:styleId="Hyperlink0">
    <w:name w:val="Hyperlink.0"/>
    <w:basedOn w:val="Hyperlink"/>
    <w:rPr>
      <w:color w:val="0000FF"/>
      <w:u w:val="single" w:color="0000FF"/>
    </w:rPr>
  </w:style>
  <w:style w:type="character" w:customStyle="1" w:styleId="Hyperlink1">
    <w:name w:val="Hyperlink.1"/>
    <w:basedOn w:val="Hyperlink0"/>
    <w:rPr>
      <w:rFonts w:ascii="Times New Roman" w:eastAsia="Times New Roman" w:hAnsi="Times New Roman" w:cs="Times New Roman"/>
      <w:color w:val="0000FF"/>
      <w:sz w:val="24"/>
      <w:szCs w:val="24"/>
      <w:u w:val="single" w:color="0000FF"/>
    </w:rPr>
  </w:style>
  <w:style w:type="numbering" w:customStyle="1" w:styleId="ImportedStyle4">
    <w:name w:val="Imported Style 4"/>
    <w:pPr>
      <w:numPr>
        <w:numId w:val="70"/>
      </w:numPr>
    </w:pPr>
  </w:style>
  <w:style w:type="numbering" w:customStyle="1" w:styleId="ImportedStyle5">
    <w:name w:val="Imported Style 5"/>
    <w:pPr>
      <w:numPr>
        <w:numId w:val="72"/>
      </w:numPr>
    </w:pPr>
  </w:style>
  <w:style w:type="numbering" w:customStyle="1" w:styleId="ImportedStyle6">
    <w:name w:val="Imported Style 6"/>
    <w:pPr>
      <w:numPr>
        <w:numId w:val="74"/>
      </w:numPr>
    </w:pPr>
  </w:style>
  <w:style w:type="numbering" w:customStyle="1" w:styleId="ImportedStyle7">
    <w:name w:val="Imported Style 7"/>
    <w:pPr>
      <w:numPr>
        <w:numId w:val="76"/>
      </w:numPr>
    </w:pPr>
  </w:style>
  <w:style w:type="numbering" w:customStyle="1" w:styleId="ImportedStyle8">
    <w:name w:val="Imported Style 8"/>
    <w:pPr>
      <w:numPr>
        <w:numId w:val="78"/>
      </w:numPr>
    </w:pPr>
  </w:style>
  <w:style w:type="numbering" w:customStyle="1" w:styleId="ImportedStyle9">
    <w:name w:val="Imported Style 9"/>
    <w:pPr>
      <w:numPr>
        <w:numId w:val="80"/>
      </w:numPr>
    </w:pPr>
  </w:style>
  <w:style w:type="paragraph" w:customStyle="1" w:styleId="JRCText">
    <w:name w:val="JRC_Text"/>
    <w:basedOn w:val="Normal"/>
    <w:qFormat/>
    <w:pPr>
      <w:spacing w:before="120" w:after="120" w:line="240" w:lineRule="auto"/>
      <w:jc w:val="both"/>
    </w:pPr>
    <w:rPr>
      <w:rFonts w:ascii="Verdana" w:eastAsia="Calibri" w:hAnsi="Verdana" w:cs="Times New Roman"/>
      <w:sz w:val="20"/>
    </w:rPr>
  </w:style>
  <w:style w:type="paragraph" w:customStyle="1" w:styleId="JRCLevel-2title">
    <w:name w:val="JRC_Level-2_title"/>
    <w:basedOn w:val="Heading2"/>
    <w:next w:val="JRCText"/>
    <w:qFormat/>
    <w:pPr>
      <w:keepLines/>
      <w:numPr>
        <w:numId w:val="82"/>
      </w:numPr>
      <w:spacing w:before="240"/>
    </w:pPr>
    <w:rPr>
      <w:rFonts w:ascii="Verdana" w:hAnsi="Verdana"/>
      <w:szCs w:val="26"/>
      <w:lang w:eastAsia="en-US"/>
    </w:rPr>
  </w:style>
  <w:style w:type="paragraph" w:customStyle="1" w:styleId="JRCLevel-1title">
    <w:name w:val="JRC_Level-1_title"/>
    <w:basedOn w:val="Heading1"/>
    <w:next w:val="JRCText"/>
    <w:qFormat/>
    <w:pPr>
      <w:pageBreakBefore/>
      <w:numPr>
        <w:numId w:val="82"/>
      </w:numPr>
      <w:spacing w:before="0"/>
      <w:jc w:val="left"/>
    </w:pPr>
    <w:rPr>
      <w:rFonts w:ascii="Verdana" w:eastAsia="Calibri" w:hAnsi="Verdana"/>
      <w:bCs w:val="0"/>
      <w:smallCaps w:val="0"/>
      <w:sz w:val="26"/>
      <w:szCs w:val="24"/>
      <w:lang w:eastAsia="en-US"/>
    </w:rPr>
  </w:style>
  <w:style w:type="paragraph" w:customStyle="1" w:styleId="JRCLevel-4title">
    <w:name w:val="JRC_Level-4_title"/>
    <w:basedOn w:val="Normal"/>
    <w:next w:val="JRCText"/>
    <w:qFormat/>
    <w:pPr>
      <w:keepNext/>
      <w:numPr>
        <w:ilvl w:val="3"/>
        <w:numId w:val="82"/>
      </w:numPr>
      <w:spacing w:before="240" w:after="120" w:line="240" w:lineRule="auto"/>
    </w:pPr>
    <w:rPr>
      <w:rFonts w:ascii="Verdana" w:eastAsia="Times New Roman" w:hAnsi="Verdana" w:cs="Times New Roman"/>
      <w:b/>
      <w:i/>
      <w:sz w:val="20"/>
      <w:lang w:eastAsia="en-GB"/>
    </w:rPr>
  </w:style>
  <w:style w:type="paragraph" w:customStyle="1" w:styleId="JRCLevel-3title">
    <w:name w:val="JRC_Level-3_title"/>
    <w:basedOn w:val="Heading3"/>
    <w:next w:val="JRCText"/>
    <w:qFormat/>
    <w:pPr>
      <w:keepLines/>
      <w:numPr>
        <w:numId w:val="82"/>
      </w:numPr>
      <w:spacing w:before="240"/>
    </w:pPr>
    <w:rPr>
      <w:rFonts w:ascii="Verdana" w:hAnsi="Verdana"/>
      <w:b/>
      <w:i w:val="0"/>
      <w:sz w:val="22"/>
      <w:szCs w:val="24"/>
      <w:lang w:eastAsia="en-US"/>
    </w:rPr>
  </w:style>
  <w:style w:type="paragraph" w:customStyle="1" w:styleId="JRCLevel-5title">
    <w:name w:val="JRC_Level-5_title"/>
    <w:basedOn w:val="Normal"/>
    <w:next w:val="JRCText"/>
    <w:qFormat/>
    <w:pPr>
      <w:keepNext/>
      <w:numPr>
        <w:ilvl w:val="4"/>
        <w:numId w:val="82"/>
      </w:numPr>
      <w:spacing w:before="200" w:after="0" w:line="240" w:lineRule="auto"/>
      <w:ind w:left="1134" w:hanging="1134"/>
      <w:outlineLvl w:val="4"/>
    </w:pPr>
    <w:rPr>
      <w:rFonts w:ascii="Verdana" w:eastAsia="Times New Roman" w:hAnsi="Verdana" w:cs="Times New Roman"/>
      <w:sz w:val="20"/>
      <w:lang w:eastAsia="en-GB"/>
    </w:rPr>
  </w:style>
  <w:style w:type="character" w:customStyle="1" w:styleId="Ninguno">
    <w:name w:val="Ninguno"/>
    <w:rPr>
      <w:lang w:val="en-US"/>
    </w:rPr>
  </w:style>
  <w:style w:type="paragraph" w:customStyle="1" w:styleId="JRCAbbreviations">
    <w:name w:val="JRC_Abbreviations"/>
    <w:basedOn w:val="Normal"/>
    <w:qFormat/>
    <w:pPr>
      <w:tabs>
        <w:tab w:val="left" w:pos="851"/>
      </w:tabs>
      <w:spacing w:before="120" w:after="120" w:line="240" w:lineRule="auto"/>
      <w:ind w:left="851" w:hanging="851"/>
      <w:jc w:val="both"/>
    </w:pPr>
    <w:rPr>
      <w:rFonts w:ascii="Verdana" w:eastAsia="Calibri" w:hAnsi="Verdana" w:cs="Times New Roman"/>
      <w:sz w:val="20"/>
    </w:rPr>
  </w:style>
  <w:style w:type="paragraph" w:customStyle="1" w:styleId="JRCCoversubtitle">
    <w:name w:val="JRC_Cover_subtitle"/>
    <w:basedOn w:val="Normal"/>
    <w:qFormat/>
    <w:pPr>
      <w:spacing w:before="120" w:after="120" w:line="400" w:lineRule="exact"/>
      <w:ind w:left="5103"/>
    </w:pPr>
    <w:rPr>
      <w:rFonts w:ascii="Verdana" w:eastAsia="Calibri" w:hAnsi="Verdana" w:cs="Times New Roman"/>
      <w:i/>
      <w:color w:val="646464"/>
      <w:sz w:val="32"/>
      <w:szCs w:val="32"/>
    </w:rPr>
  </w:style>
  <w:style w:type="paragraph" w:customStyle="1" w:styleId="JRCCovertitle">
    <w:name w:val="JRC_Cover_title"/>
    <w:basedOn w:val="Normal"/>
    <w:qFormat/>
    <w:pPr>
      <w:spacing w:before="600" w:after="600" w:line="640" w:lineRule="exact"/>
      <w:ind w:left="-567"/>
    </w:pPr>
    <w:rPr>
      <w:rFonts w:ascii="Verdana" w:eastAsia="Calibri" w:hAnsi="Verdana" w:cs="Times New Roman"/>
      <w:noProof/>
      <w:sz w:val="56"/>
      <w:szCs w:val="56"/>
      <w:lang w:eastAsia="en-GB"/>
    </w:rPr>
  </w:style>
  <w:style w:type="paragraph" w:customStyle="1" w:styleId="JRCEquation">
    <w:name w:val="JRC_Equation"/>
    <w:basedOn w:val="Normal"/>
    <w:next w:val="Normal"/>
    <w:qFormat/>
    <w:pPr>
      <w:spacing w:before="360" w:after="360" w:line="240" w:lineRule="auto"/>
      <w:jc w:val="center"/>
    </w:pPr>
    <w:rPr>
      <w:rFonts w:ascii="Verdana" w:eastAsia="Calibri" w:hAnsi="Verdana" w:cs="Times New Roman"/>
      <w:sz w:val="20"/>
    </w:rPr>
  </w:style>
  <w:style w:type="paragraph" w:customStyle="1" w:styleId="JRCFigurecaption">
    <w:name w:val="JRC_Figure_caption"/>
    <w:basedOn w:val="Normal"/>
    <w:next w:val="JRCText"/>
    <w:qFormat/>
    <w:pPr>
      <w:spacing w:before="360" w:after="120" w:line="240" w:lineRule="auto"/>
      <w:jc w:val="center"/>
    </w:pPr>
    <w:rPr>
      <w:rFonts w:ascii="Verdana" w:eastAsia="Calibri" w:hAnsi="Verdana" w:cs="Times New Roman"/>
      <w:sz w:val="18"/>
    </w:rPr>
  </w:style>
  <w:style w:type="paragraph" w:customStyle="1" w:styleId="JRCLevel-1Fronttitle">
    <w:name w:val="JRC_Level-1_Front_title"/>
    <w:basedOn w:val="Normal"/>
    <w:next w:val="Normal"/>
    <w:link w:val="JRCLevel-1FronttitleChar"/>
    <w:autoRedefine/>
    <w:qFormat/>
    <w:pPr>
      <w:keepNext/>
      <w:pageBreakBefore/>
      <w:spacing w:after="120" w:line="240" w:lineRule="auto"/>
    </w:pPr>
    <w:rPr>
      <w:rFonts w:ascii="Verdana" w:eastAsia="Times New Roman" w:hAnsi="Verdana" w:cs="Times New Roman"/>
      <w:b/>
      <w:sz w:val="24"/>
      <w:lang w:val="pt-PT" w:eastAsia="en-GB"/>
    </w:rPr>
  </w:style>
  <w:style w:type="character" w:customStyle="1" w:styleId="JRCLevel-1FronttitleChar">
    <w:name w:val="JRC_Level-1_Front_title Char"/>
    <w:link w:val="JRCLevel-1Fronttitle"/>
    <w:rPr>
      <w:rFonts w:ascii="Verdana" w:eastAsia="Times New Roman" w:hAnsi="Verdana" w:cs="Times New Roman"/>
      <w:b/>
      <w:sz w:val="24"/>
      <w:lang w:val="pt-PT" w:eastAsia="en-GB"/>
    </w:rPr>
  </w:style>
  <w:style w:type="paragraph" w:customStyle="1" w:styleId="JRCLevel-2Backtitle">
    <w:name w:val="JRC_Level-2_Back_title"/>
    <w:basedOn w:val="Normal"/>
    <w:next w:val="JRCText"/>
    <w:link w:val="JRCLevel-2BacktitleChar"/>
    <w:qFormat/>
    <w:pPr>
      <w:keepNext/>
      <w:spacing w:before="120" w:after="120" w:line="240" w:lineRule="auto"/>
      <w:outlineLvl w:val="1"/>
    </w:pPr>
    <w:rPr>
      <w:rFonts w:ascii="Verdana" w:eastAsia="Calibri" w:hAnsi="Verdana" w:cs="Times New Roman"/>
      <w:b/>
      <w:sz w:val="20"/>
    </w:rPr>
  </w:style>
  <w:style w:type="character" w:customStyle="1" w:styleId="JRCLevel-2BacktitleChar">
    <w:name w:val="JRC_Level-2_Back_title Char"/>
    <w:link w:val="JRCLevel-2Backtitle"/>
    <w:rPr>
      <w:rFonts w:ascii="Verdana" w:eastAsia="Calibri" w:hAnsi="Verdana" w:cs="Times New Roman"/>
      <w:b/>
      <w:sz w:val="20"/>
    </w:rPr>
  </w:style>
  <w:style w:type="paragraph" w:customStyle="1" w:styleId="JRCLevel-2Frontsmalltitle">
    <w:name w:val="JRC_Level-2_Front_small_title"/>
    <w:basedOn w:val="Normal"/>
    <w:next w:val="JRCText"/>
    <w:autoRedefine/>
    <w:qFormat/>
    <w:pPr>
      <w:keepNext/>
      <w:spacing w:before="240" w:after="120" w:line="240" w:lineRule="auto"/>
    </w:pPr>
    <w:rPr>
      <w:rFonts w:ascii="Verdana" w:eastAsia="Calibri" w:hAnsi="Verdana" w:cs="Times New Roman"/>
      <w:b/>
      <w:i/>
      <w:sz w:val="20"/>
    </w:rPr>
  </w:style>
  <w:style w:type="paragraph" w:customStyle="1" w:styleId="JRCTabletitle">
    <w:name w:val="JRC_Table_title"/>
    <w:basedOn w:val="Normal"/>
    <w:autoRedefine/>
    <w:qFormat/>
    <w:pPr>
      <w:keepNext/>
      <w:spacing w:before="240" w:after="120" w:line="240" w:lineRule="auto"/>
    </w:pPr>
    <w:rPr>
      <w:rFonts w:ascii="Verdana" w:eastAsia="Calibri" w:hAnsi="Verdana" w:cs="Times New Roman"/>
      <w:color w:val="000000"/>
      <w:sz w:val="18"/>
    </w:rPr>
  </w:style>
  <w:style w:type="paragraph" w:styleId="TableofFigures">
    <w:name w:val="table of figures"/>
    <w:basedOn w:val="Normal"/>
    <w:next w:val="Normal"/>
    <w:uiPriority w:val="99"/>
    <w:unhideWhenUsed/>
    <w:pPr>
      <w:spacing w:before="120" w:after="120" w:line="240" w:lineRule="auto"/>
    </w:pPr>
    <w:rPr>
      <w:rFonts w:ascii="Verdana" w:eastAsia="Calibri" w:hAnsi="Verdana" w:cs="Times New Roman"/>
      <w:sz w:val="20"/>
    </w:rPr>
  </w:style>
  <w:style w:type="paragraph" w:customStyle="1" w:styleId="JRCTextbulletedlist1">
    <w:name w:val="JRC_Text_bulleted_list1"/>
    <w:basedOn w:val="Normal"/>
    <w:qFormat/>
    <w:pPr>
      <w:numPr>
        <w:numId w:val="83"/>
      </w:numPr>
      <w:spacing w:before="120" w:after="120" w:line="240" w:lineRule="auto"/>
      <w:ind w:left="357" w:hanging="357"/>
      <w:jc w:val="both"/>
    </w:pPr>
    <w:rPr>
      <w:rFonts w:ascii="Verdana" w:eastAsia="Times New Roman" w:hAnsi="Verdana" w:cs="Times New Roman"/>
      <w:sz w:val="20"/>
      <w:lang w:eastAsia="en-GB"/>
    </w:rPr>
  </w:style>
  <w:style w:type="paragraph" w:customStyle="1" w:styleId="JRCTextbulletedlist2">
    <w:name w:val="JRC_Text_bulleted_list2"/>
    <w:basedOn w:val="Normal"/>
    <w:autoRedefine/>
    <w:qFormat/>
    <w:pPr>
      <w:numPr>
        <w:ilvl w:val="1"/>
        <w:numId w:val="84"/>
      </w:numPr>
      <w:spacing w:before="120" w:after="120" w:line="240" w:lineRule="auto"/>
      <w:ind w:left="714" w:hanging="357"/>
      <w:jc w:val="both"/>
    </w:pPr>
    <w:rPr>
      <w:rFonts w:ascii="Verdana" w:eastAsia="Times New Roman" w:hAnsi="Verdana" w:cs="Times New Roman"/>
      <w:sz w:val="20"/>
      <w:lang w:eastAsia="en-GB"/>
    </w:rPr>
  </w:style>
  <w:style w:type="paragraph" w:customStyle="1" w:styleId="JRCLevel-1Backtitle">
    <w:name w:val="JRC_Level-1_Back_title"/>
    <w:basedOn w:val="Normal"/>
    <w:next w:val="JRCText"/>
    <w:qFormat/>
    <w:pPr>
      <w:keepNext/>
      <w:pageBreakBefore/>
      <w:spacing w:after="120" w:line="240" w:lineRule="auto"/>
      <w:outlineLvl w:val="0"/>
    </w:pPr>
    <w:rPr>
      <w:rFonts w:ascii="Verdana" w:eastAsia="Times New Roman" w:hAnsi="Verdana" w:cs="Times New Roman"/>
      <w:b/>
      <w:sz w:val="24"/>
      <w:lang w:eastAsia="en-GB"/>
    </w:rPr>
  </w:style>
  <w:style w:type="paragraph" w:customStyle="1" w:styleId="JRCBoxtitle">
    <w:name w:val="JRC_Box_title"/>
    <w:basedOn w:val="Normal"/>
    <w:qFormat/>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before="240" w:after="0" w:line="240" w:lineRule="auto"/>
      <w:jc w:val="both"/>
    </w:pPr>
    <w:rPr>
      <w:rFonts w:ascii="Verdana" w:eastAsia="Times New Roman" w:hAnsi="Verdana" w:cs="Times New Roman"/>
      <w:sz w:val="18"/>
      <w:lang w:eastAsia="en-GB"/>
    </w:rPr>
  </w:style>
  <w:style w:type="paragraph" w:customStyle="1" w:styleId="JRCBoxtext">
    <w:name w:val="JRC_Box_text"/>
    <w:basedOn w:val="Normal"/>
    <w:qFormat/>
    <w:pPr>
      <w:keepLines/>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jc w:val="both"/>
    </w:pPr>
    <w:rPr>
      <w:rFonts w:ascii="Verdana" w:eastAsia="Times New Roman" w:hAnsi="Verdana" w:cs="Times New Roman"/>
      <w:sz w:val="20"/>
      <w:lang w:eastAsia="en-GB"/>
    </w:rPr>
  </w:style>
  <w:style w:type="paragraph" w:customStyle="1" w:styleId="JRCBoxbulletlist">
    <w:name w:val="JRC_Box_bullet_list"/>
    <w:basedOn w:val="Normal"/>
    <w:qFormat/>
    <w:pPr>
      <w:numPr>
        <w:numId w:val="85"/>
      </w:num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ind w:left="357" w:hanging="357"/>
      <w:jc w:val="both"/>
    </w:pPr>
    <w:rPr>
      <w:rFonts w:ascii="Verdana" w:eastAsia="Times New Roman" w:hAnsi="Verdana" w:cs="Times New Roman"/>
      <w:sz w:val="20"/>
      <w:lang w:eastAsia="en-GB"/>
    </w:rPr>
  </w:style>
  <w:style w:type="paragraph" w:customStyle="1" w:styleId="JRCTextnumberedlist1">
    <w:name w:val="JRC_Text_numbered_list1"/>
    <w:basedOn w:val="Normal"/>
    <w:autoRedefine/>
    <w:qFormat/>
    <w:pPr>
      <w:numPr>
        <w:numId w:val="86"/>
      </w:numPr>
      <w:spacing w:before="120" w:after="120" w:line="240" w:lineRule="auto"/>
      <w:ind w:left="357" w:hanging="357"/>
      <w:jc w:val="both"/>
    </w:pPr>
    <w:rPr>
      <w:rFonts w:ascii="Verdana" w:eastAsia="Times New Roman" w:hAnsi="Verdana" w:cs="Times New Roman"/>
      <w:sz w:val="20"/>
      <w:lang w:eastAsia="en-GB"/>
    </w:rPr>
  </w:style>
  <w:style w:type="paragraph" w:customStyle="1" w:styleId="JRCCoverauthor">
    <w:name w:val="JRC_Cover_author"/>
    <w:basedOn w:val="Normal"/>
    <w:qFormat/>
    <w:pPr>
      <w:spacing w:before="120" w:after="120" w:line="240" w:lineRule="auto"/>
    </w:pPr>
    <w:rPr>
      <w:rFonts w:ascii="Verdana" w:eastAsia="Times New Roman" w:hAnsi="Verdana" w:cs="Times New Roman"/>
      <w:sz w:val="20"/>
      <w:lang w:eastAsia="en-GB"/>
    </w:rPr>
  </w:style>
  <w:style w:type="paragraph" w:customStyle="1" w:styleId="JRCCoveryear">
    <w:name w:val="JRC_Cover_year"/>
    <w:basedOn w:val="Normal"/>
    <w:pPr>
      <w:spacing w:after="0" w:line="240" w:lineRule="auto"/>
    </w:pPr>
    <w:rPr>
      <w:rFonts w:ascii="Verdana" w:eastAsia="Times New Roman" w:hAnsi="Verdana" w:cs="Times New Roman"/>
      <w:sz w:val="20"/>
      <w:lang w:eastAsia="en-GB"/>
    </w:rPr>
  </w:style>
  <w:style w:type="paragraph" w:customStyle="1" w:styleId="JRCCoverclass">
    <w:name w:val="JRC_Cover_class"/>
    <w:basedOn w:val="Normal"/>
    <w:next w:val="JRCCoveryear"/>
    <w:pPr>
      <w:spacing w:before="120" w:after="120" w:line="240" w:lineRule="auto"/>
      <w:jc w:val="both"/>
    </w:pPr>
    <w:rPr>
      <w:rFonts w:ascii="Verdana" w:eastAsia="Times New Roman" w:hAnsi="Verdana" w:cs="Times New Roman"/>
      <w:color w:val="FF0000"/>
      <w:sz w:val="20"/>
      <w:lang w:eastAsia="en-GB"/>
    </w:rPr>
  </w:style>
  <w:style w:type="paragraph" w:customStyle="1" w:styleId="JRCCoverEUR">
    <w:name w:val="JRC_Cover_EUR"/>
    <w:basedOn w:val="Normal"/>
    <w:pPr>
      <w:spacing w:after="0" w:line="240" w:lineRule="auto"/>
      <w:jc w:val="right"/>
    </w:pPr>
    <w:rPr>
      <w:rFonts w:ascii="Verdana" w:eastAsia="Times New Roman" w:hAnsi="Verdana" w:cs="Times New Roman"/>
      <w:sz w:val="18"/>
      <w:lang w:eastAsia="en-GB"/>
    </w:rPr>
  </w:style>
  <w:style w:type="paragraph" w:customStyle="1" w:styleId="JRCCovertext">
    <w:name w:val="JRC_Cover_text"/>
    <w:basedOn w:val="Normal"/>
    <w:qFormat/>
    <w:pPr>
      <w:widowControl w:val="0"/>
      <w:spacing w:after="0" w:line="200" w:lineRule="exact"/>
    </w:pPr>
    <w:rPr>
      <w:rFonts w:ascii="Verdana" w:eastAsia="Times New Roman" w:hAnsi="Verdana" w:cs="Times New Roman"/>
      <w:sz w:val="16"/>
      <w:szCs w:val="14"/>
      <w:lang w:eastAsia="en-GB"/>
    </w:rPr>
  </w:style>
  <w:style w:type="paragraph" w:customStyle="1" w:styleId="JRCTablesource">
    <w:name w:val="JRC_Table_source"/>
    <w:basedOn w:val="Normal"/>
    <w:next w:val="JRCText"/>
    <w:qFormat/>
    <w:pPr>
      <w:spacing w:after="120" w:line="240" w:lineRule="auto"/>
      <w:jc w:val="both"/>
    </w:pPr>
    <w:rPr>
      <w:rFonts w:ascii="Verdana" w:eastAsia="Times New Roman" w:hAnsi="Verdana" w:cs="Times New Roman"/>
      <w:sz w:val="16"/>
      <w:lang w:eastAsia="en-GB"/>
    </w:rPr>
  </w:style>
  <w:style w:type="paragraph" w:customStyle="1" w:styleId="JRCFiguresource">
    <w:name w:val="JRC_Figure_source"/>
    <w:basedOn w:val="Normal"/>
    <w:next w:val="JRCText"/>
    <w:qFormat/>
    <w:pPr>
      <w:spacing w:after="360" w:line="240" w:lineRule="auto"/>
      <w:jc w:val="center"/>
    </w:pPr>
    <w:rPr>
      <w:rFonts w:ascii="Verdana" w:eastAsia="Times New Roman" w:hAnsi="Verdana" w:cs="Times New Roman"/>
      <w:sz w:val="16"/>
      <w:lang w:eastAsia="en-GB"/>
    </w:rPr>
  </w:style>
  <w:style w:type="paragraph" w:customStyle="1" w:styleId="JRCTablenote">
    <w:name w:val="JRC_Table_note"/>
    <w:basedOn w:val="Normal"/>
    <w:qFormat/>
    <w:pPr>
      <w:spacing w:after="120" w:line="240" w:lineRule="auto"/>
      <w:ind w:left="357" w:hanging="357"/>
      <w:contextualSpacing/>
      <w:jc w:val="both"/>
    </w:pPr>
    <w:rPr>
      <w:rFonts w:ascii="Verdana" w:eastAsia="Times New Roman" w:hAnsi="Verdana" w:cs="Times New Roman"/>
      <w:sz w:val="16"/>
      <w:lang w:eastAsia="en-GB"/>
    </w:rPr>
  </w:style>
  <w:style w:type="paragraph" w:customStyle="1" w:styleId="JRCTextnumberedlist2">
    <w:name w:val="JRC_Text_numbered_list2"/>
    <w:basedOn w:val="Normal"/>
    <w:qFormat/>
    <w:pPr>
      <w:numPr>
        <w:ilvl w:val="1"/>
        <w:numId w:val="86"/>
      </w:numPr>
      <w:spacing w:before="120" w:after="120" w:line="240" w:lineRule="auto"/>
      <w:ind w:left="714" w:hanging="357"/>
      <w:jc w:val="both"/>
    </w:pPr>
    <w:rPr>
      <w:rFonts w:ascii="Verdana" w:eastAsia="Times New Roman" w:hAnsi="Verdana" w:cs="Times New Roman"/>
      <w:sz w:val="20"/>
      <w:lang w:eastAsia="en-GB"/>
    </w:rPr>
  </w:style>
  <w:style w:type="character" w:styleId="PlaceholderText">
    <w:name w:val="Placeholder Text"/>
    <w:basedOn w:val="DefaultParagraphFont"/>
    <w:uiPriority w:val="99"/>
    <w:semiHidden/>
    <w:rPr>
      <w:color w:val="808080"/>
    </w:rPr>
  </w:style>
  <w:style w:type="character" w:styleId="Emphasis">
    <w:name w:val="Emphasis"/>
    <w:aliases w:val="E Italic"/>
    <w:basedOn w:val="DefaultParagraphFont"/>
    <w:uiPriority w:val="20"/>
    <w:qFormat/>
    <w:rPr>
      <w:i/>
      <w:iCs/>
    </w:rPr>
  </w:style>
  <w:style w:type="character" w:customStyle="1" w:styleId="apple-converted-space">
    <w:name w:val="apple-converted-space"/>
    <w:basedOn w:val="DefaultParagraphFont"/>
  </w:style>
  <w:style w:type="paragraph" w:customStyle="1" w:styleId="Cuerpo">
    <w:name w:val="Cuerpo"/>
    <w:pPr>
      <w:pBdr>
        <w:top w:val="nil"/>
        <w:left w:val="nil"/>
        <w:bottom w:val="nil"/>
        <w:right w:val="nil"/>
        <w:between w:val="nil"/>
        <w:bar w:val="nil"/>
      </w:pBdr>
      <w:spacing w:after="160" w:line="259" w:lineRule="auto"/>
    </w:pPr>
    <w:rPr>
      <w:rFonts w:ascii="Calibri" w:eastAsia="Calibri" w:hAnsi="Calibri" w:cs="Calibri"/>
      <w:color w:val="000000"/>
      <w:u w:color="000000"/>
      <w:bdr w:val="nil"/>
      <w:lang w:val="en-US" w:eastAsia="en-GB"/>
    </w:rPr>
  </w:style>
  <w:style w:type="paragraph" w:customStyle="1" w:styleId="Encabezamiento2">
    <w:name w:val="Encabezamiento 2"/>
    <w:next w:val="Cuerpo"/>
    <w:pPr>
      <w:keepNext/>
      <w:keepLines/>
      <w:pBdr>
        <w:top w:val="nil"/>
        <w:left w:val="nil"/>
        <w:bottom w:val="nil"/>
        <w:right w:val="nil"/>
        <w:between w:val="nil"/>
        <w:bar w:val="nil"/>
      </w:pBdr>
      <w:spacing w:before="40" w:after="0" w:line="259" w:lineRule="auto"/>
      <w:outlineLvl w:val="1"/>
    </w:pPr>
    <w:rPr>
      <w:rFonts w:ascii="Calibri Light" w:eastAsia="Calibri Light" w:hAnsi="Calibri Light" w:cs="Calibri Light"/>
      <w:color w:val="2E74B5"/>
      <w:sz w:val="26"/>
      <w:szCs w:val="26"/>
      <w:u w:color="2E74B5"/>
      <w:bdr w:val="nil"/>
      <w:lang w:val="en-US" w:eastAsia="en-GB"/>
    </w:rPr>
  </w:style>
  <w:style w:type="numbering" w:customStyle="1" w:styleId="Estiloimportado1">
    <w:name w:val="Estilo importado 1"/>
    <w:pPr>
      <w:numPr>
        <w:numId w:val="87"/>
      </w:numPr>
    </w:pPr>
  </w:style>
  <w:style w:type="paragraph" w:customStyle="1" w:styleId="AddressTL">
    <w:name w:val="AddressTL"/>
    <w:basedOn w:val="Normal"/>
    <w:next w:val="Normal"/>
    <w:pPr>
      <w:spacing w:after="720" w:line="240" w:lineRule="auto"/>
    </w:pPr>
    <w:rPr>
      <w:rFonts w:ascii="Times New Roman" w:eastAsia="Times New Roman" w:hAnsi="Times New Roman" w:cs="Times New Roman"/>
      <w:sz w:val="24"/>
      <w:szCs w:val="20"/>
    </w:rPr>
  </w:style>
  <w:style w:type="paragraph" w:customStyle="1" w:styleId="AddressTR">
    <w:name w:val="AddressTR"/>
    <w:basedOn w:val="Normal"/>
    <w:next w:val="Normal"/>
    <w:pPr>
      <w:spacing w:after="720" w:line="240" w:lineRule="auto"/>
      <w:ind w:left="5103"/>
    </w:pPr>
    <w:rPr>
      <w:rFonts w:ascii="Times New Roman" w:eastAsia="Times New Roman" w:hAnsi="Times New Roman" w:cs="Times New Roman"/>
      <w:sz w:val="24"/>
      <w:szCs w:val="20"/>
    </w:rPr>
  </w:style>
  <w:style w:type="paragraph" w:styleId="BlockText">
    <w:name w:val="Block Text"/>
    <w:basedOn w:val="Normal"/>
    <w:pPr>
      <w:spacing w:after="120" w:line="240" w:lineRule="auto"/>
      <w:ind w:left="1440" w:right="1440"/>
      <w:jc w:val="both"/>
    </w:pPr>
    <w:rPr>
      <w:rFonts w:ascii="Times New Roman" w:eastAsia="Times New Roman" w:hAnsi="Times New Roman" w:cs="Times New Roman"/>
      <w:sz w:val="24"/>
      <w:szCs w:val="20"/>
    </w:rPr>
  </w:style>
  <w:style w:type="paragraph" w:styleId="BodyText2">
    <w:name w:val="Body Text 2"/>
    <w:basedOn w:val="Normal"/>
    <w:link w:val="BodyText2Char"/>
    <w:pPr>
      <w:spacing w:after="120" w:line="480" w:lineRule="auto"/>
      <w:jc w:val="both"/>
    </w:pPr>
    <w:rPr>
      <w:rFonts w:ascii="Times New Roman" w:eastAsia="Times New Roman" w:hAnsi="Times New Roman" w:cs="Times New Roman"/>
      <w:sz w:val="24"/>
      <w:szCs w:val="20"/>
    </w:rPr>
  </w:style>
  <w:style w:type="character" w:customStyle="1" w:styleId="BodyText2Char">
    <w:name w:val="Body Text 2 Char"/>
    <w:basedOn w:val="DefaultParagraphFont"/>
    <w:link w:val="BodyText2"/>
    <w:rPr>
      <w:rFonts w:ascii="Times New Roman" w:eastAsia="Times New Roman" w:hAnsi="Times New Roman" w:cs="Times New Roman"/>
      <w:sz w:val="24"/>
      <w:szCs w:val="20"/>
    </w:rPr>
  </w:style>
  <w:style w:type="paragraph" w:styleId="BodyText3">
    <w:name w:val="Body Text 3"/>
    <w:basedOn w:val="Normal"/>
    <w:link w:val="BodyText3Char"/>
    <w:pPr>
      <w:spacing w:after="120" w:line="240" w:lineRule="auto"/>
      <w:jc w:val="both"/>
    </w:pPr>
    <w:rPr>
      <w:rFonts w:ascii="Times New Roman" w:eastAsia="Times New Roman" w:hAnsi="Times New Roman" w:cs="Times New Roman"/>
      <w:sz w:val="16"/>
      <w:szCs w:val="20"/>
    </w:rPr>
  </w:style>
  <w:style w:type="character" w:customStyle="1" w:styleId="BodyText3Char">
    <w:name w:val="Body Text 3 Char"/>
    <w:basedOn w:val="DefaultParagraphFont"/>
    <w:link w:val="BodyText3"/>
    <w:rPr>
      <w:rFonts w:ascii="Times New Roman" w:eastAsia="Times New Roman" w:hAnsi="Times New Roman" w:cs="Times New Roman"/>
      <w:sz w:val="16"/>
      <w:szCs w:val="20"/>
    </w:rPr>
  </w:style>
  <w:style w:type="paragraph" w:styleId="BodyTextFirstIndent">
    <w:name w:val="Body Text First Indent"/>
    <w:basedOn w:val="BodyText"/>
    <w:link w:val="BodyTextFirstIndentChar"/>
    <w:pPr>
      <w:suppressAutoHyphens w:val="0"/>
      <w:ind w:firstLine="210"/>
    </w:pPr>
    <w:rPr>
      <w:szCs w:val="20"/>
      <w:lang w:eastAsia="en-US"/>
    </w:rPr>
  </w:style>
  <w:style w:type="character" w:customStyle="1" w:styleId="BodyTextFirstIndentChar">
    <w:name w:val="Body Text First Indent Char"/>
    <w:basedOn w:val="BodyTextChar"/>
    <w:link w:val="BodyTextFirstIndent"/>
    <w:rPr>
      <w:rFonts w:ascii="Times New Roman" w:eastAsia="Times New Roman" w:hAnsi="Times New Roman" w:cs="Times New Roman"/>
      <w:sz w:val="24"/>
      <w:szCs w:val="20"/>
      <w:lang w:eastAsia="ar-SA"/>
    </w:rPr>
  </w:style>
  <w:style w:type="paragraph" w:styleId="BodyTextIndent">
    <w:name w:val="Body Text Indent"/>
    <w:basedOn w:val="Normal"/>
    <w:link w:val="BodyTextIndentChar"/>
    <w:pPr>
      <w:spacing w:after="120" w:line="240" w:lineRule="auto"/>
      <w:ind w:left="283"/>
      <w:jc w:val="both"/>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Pr>
      <w:rFonts w:ascii="Times New Roman" w:eastAsia="Times New Roman" w:hAnsi="Times New Roman" w:cs="Times New Roman"/>
      <w:sz w:val="24"/>
      <w:szCs w:val="20"/>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rFonts w:ascii="Times New Roman" w:eastAsia="Times New Roman" w:hAnsi="Times New Roman" w:cs="Times New Roman"/>
      <w:sz w:val="24"/>
      <w:szCs w:val="20"/>
    </w:rPr>
  </w:style>
  <w:style w:type="paragraph" w:styleId="BodyTextIndent2">
    <w:name w:val="Body Text Indent 2"/>
    <w:basedOn w:val="Normal"/>
    <w:link w:val="BodyTextIndent2Char"/>
    <w:pPr>
      <w:spacing w:after="120" w:line="480" w:lineRule="auto"/>
      <w:ind w:left="283"/>
      <w:jc w:val="both"/>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rPr>
      <w:rFonts w:ascii="Times New Roman" w:eastAsia="Times New Roman" w:hAnsi="Times New Roman" w:cs="Times New Roman"/>
      <w:sz w:val="24"/>
      <w:szCs w:val="20"/>
    </w:rPr>
  </w:style>
  <w:style w:type="paragraph" w:styleId="BodyTextIndent3">
    <w:name w:val="Body Text Indent 3"/>
    <w:basedOn w:val="Normal"/>
    <w:link w:val="BodyTextIndent3Char"/>
    <w:pPr>
      <w:spacing w:after="120" w:line="240" w:lineRule="auto"/>
      <w:ind w:left="283"/>
      <w:jc w:val="both"/>
    </w:pPr>
    <w:rPr>
      <w:rFonts w:ascii="Times New Roman" w:eastAsia="Times New Roman" w:hAnsi="Times New Roman" w:cs="Times New Roman"/>
      <w:sz w:val="16"/>
      <w:szCs w:val="20"/>
    </w:rPr>
  </w:style>
  <w:style w:type="character" w:customStyle="1" w:styleId="BodyTextIndent3Char">
    <w:name w:val="Body Text Indent 3 Char"/>
    <w:basedOn w:val="DefaultParagraphFont"/>
    <w:link w:val="BodyTextIndent3"/>
    <w:rPr>
      <w:rFonts w:ascii="Times New Roman" w:eastAsia="Times New Roman" w:hAnsi="Times New Roman" w:cs="Times New Roman"/>
      <w:sz w:val="16"/>
      <w:szCs w:val="20"/>
    </w:rPr>
  </w:style>
  <w:style w:type="paragraph" w:styleId="Closing">
    <w:name w:val="Closing"/>
    <w:basedOn w:val="Normal"/>
    <w:next w:val="Signature"/>
    <w:link w:val="ClosingChar"/>
    <w:pPr>
      <w:tabs>
        <w:tab w:val="left" w:pos="5103"/>
      </w:tabs>
      <w:spacing w:before="240" w:after="240" w:line="240" w:lineRule="auto"/>
      <w:ind w:left="5103"/>
    </w:pPr>
    <w:rPr>
      <w:rFonts w:ascii="Times New Roman" w:eastAsia="Times New Roman" w:hAnsi="Times New Roman" w:cs="Times New Roman"/>
      <w:sz w:val="24"/>
      <w:szCs w:val="20"/>
    </w:rPr>
  </w:style>
  <w:style w:type="character" w:customStyle="1" w:styleId="ClosingChar">
    <w:name w:val="Closing Char"/>
    <w:basedOn w:val="DefaultParagraphFont"/>
    <w:link w:val="Closing"/>
    <w:rPr>
      <w:rFonts w:ascii="Times New Roman" w:eastAsia="Times New Roman" w:hAnsi="Times New Roman" w:cs="Times New Roman"/>
      <w:sz w:val="24"/>
      <w:szCs w:val="20"/>
    </w:rPr>
  </w:style>
  <w:style w:type="paragraph" w:styleId="Signature">
    <w:name w:val="Signature"/>
    <w:basedOn w:val="Normal"/>
    <w:next w:val="Contact"/>
    <w:link w:val="SignatureChar"/>
    <w:uiPriority w:val="99"/>
    <w:pPr>
      <w:tabs>
        <w:tab w:val="left" w:pos="5103"/>
      </w:tabs>
      <w:spacing w:before="1200" w:after="0" w:line="240" w:lineRule="auto"/>
      <w:ind w:left="5103"/>
      <w:jc w:val="center"/>
    </w:pPr>
    <w:rPr>
      <w:rFonts w:ascii="Times New Roman" w:eastAsia="Times New Roman" w:hAnsi="Times New Roman" w:cs="Times New Roman"/>
      <w:sz w:val="24"/>
      <w:szCs w:val="20"/>
    </w:rPr>
  </w:style>
  <w:style w:type="character" w:customStyle="1" w:styleId="SignatureChar">
    <w:name w:val="Signature Char"/>
    <w:basedOn w:val="DefaultParagraphFont"/>
    <w:link w:val="Signature"/>
    <w:uiPriority w:val="99"/>
    <w:rPr>
      <w:rFonts w:ascii="Times New Roman" w:eastAsia="Times New Roman" w:hAnsi="Times New Roman" w:cs="Times New Roman"/>
      <w:sz w:val="24"/>
      <w:szCs w:val="20"/>
    </w:rPr>
  </w:style>
  <w:style w:type="paragraph" w:customStyle="1" w:styleId="Enclosures">
    <w:name w:val="Enclosures"/>
    <w:basedOn w:val="Normal"/>
    <w:next w:val="Participants"/>
    <w:pPr>
      <w:keepNext/>
      <w:keepLines/>
      <w:tabs>
        <w:tab w:val="left" w:pos="5670"/>
      </w:tabs>
      <w:spacing w:before="480" w:after="0" w:line="240" w:lineRule="auto"/>
      <w:ind w:left="1985" w:hanging="1985"/>
    </w:pPr>
    <w:rPr>
      <w:rFonts w:ascii="Times New Roman" w:eastAsia="Times New Roman" w:hAnsi="Times New Roman" w:cs="Times New Roman"/>
      <w:sz w:val="24"/>
      <w:szCs w:val="20"/>
    </w:rPr>
  </w:style>
  <w:style w:type="paragraph" w:customStyle="1" w:styleId="Participants">
    <w:name w:val="Participants"/>
    <w:basedOn w:val="Normal"/>
    <w:next w:val="Copies"/>
    <w:pPr>
      <w:tabs>
        <w:tab w:val="left" w:pos="2552"/>
        <w:tab w:val="left" w:pos="2835"/>
        <w:tab w:val="left" w:pos="5670"/>
        <w:tab w:val="left" w:pos="6379"/>
        <w:tab w:val="left" w:pos="6804"/>
      </w:tabs>
      <w:spacing w:before="480" w:after="0" w:line="240" w:lineRule="auto"/>
      <w:ind w:left="1985" w:hanging="1985"/>
    </w:pPr>
    <w:rPr>
      <w:rFonts w:ascii="Times New Roman" w:eastAsia="Times New Roman" w:hAnsi="Times New Roman" w:cs="Times New Roman"/>
      <w:sz w:val="24"/>
      <w:szCs w:val="20"/>
    </w:rPr>
  </w:style>
  <w:style w:type="paragraph" w:customStyle="1" w:styleId="Copies">
    <w:name w:val="Copies"/>
    <w:basedOn w:val="Normal"/>
    <w:next w:val="Normal"/>
    <w:pPr>
      <w:tabs>
        <w:tab w:val="left" w:pos="2552"/>
        <w:tab w:val="left" w:pos="2835"/>
        <w:tab w:val="left" w:pos="5670"/>
        <w:tab w:val="left" w:pos="6379"/>
        <w:tab w:val="left" w:pos="6804"/>
      </w:tabs>
      <w:spacing w:before="480" w:after="0" w:line="240" w:lineRule="auto"/>
      <w:ind w:left="1985" w:hanging="1985"/>
    </w:pPr>
    <w:rPr>
      <w:rFonts w:ascii="Times New Roman" w:eastAsia="Times New Roman" w:hAnsi="Times New Roman" w:cs="Times New Roman"/>
      <w:sz w:val="24"/>
      <w:szCs w:val="20"/>
    </w:rPr>
  </w:style>
  <w:style w:type="paragraph" w:styleId="Date">
    <w:name w:val="Date"/>
    <w:basedOn w:val="Normal"/>
    <w:next w:val="References"/>
    <w:link w:val="DateChar"/>
    <w:uiPriority w:val="99"/>
    <w:pPr>
      <w:spacing w:after="0" w:line="240" w:lineRule="auto"/>
      <w:ind w:left="5103" w:right="-567"/>
    </w:pPr>
    <w:rPr>
      <w:rFonts w:ascii="Times New Roman" w:eastAsia="Times New Roman" w:hAnsi="Times New Roman" w:cs="Times New Roman"/>
      <w:sz w:val="24"/>
      <w:szCs w:val="20"/>
    </w:rPr>
  </w:style>
  <w:style w:type="character" w:customStyle="1" w:styleId="DateChar">
    <w:name w:val="Date Char"/>
    <w:basedOn w:val="DefaultParagraphFont"/>
    <w:link w:val="Date"/>
    <w:uiPriority w:val="99"/>
    <w:rPr>
      <w:rFonts w:ascii="Times New Roman" w:eastAsia="Times New Roman" w:hAnsi="Times New Roman" w:cs="Times New Roman"/>
      <w:sz w:val="24"/>
      <w:szCs w:val="20"/>
    </w:rPr>
  </w:style>
  <w:style w:type="paragraph" w:customStyle="1" w:styleId="References">
    <w:name w:val="References"/>
    <w:basedOn w:val="Normal"/>
    <w:next w:val="AddressTR"/>
    <w:uiPriority w:val="99"/>
    <w:pPr>
      <w:spacing w:after="240" w:line="240" w:lineRule="auto"/>
      <w:ind w:left="5103"/>
    </w:pPr>
    <w:rPr>
      <w:rFonts w:ascii="Times New Roman" w:eastAsia="Times New Roman" w:hAnsi="Times New Roman" w:cs="Times New Roman"/>
      <w:sz w:val="20"/>
      <w:szCs w:val="20"/>
    </w:rPr>
  </w:style>
  <w:style w:type="paragraph" w:styleId="DocumentMap">
    <w:name w:val="Document Map"/>
    <w:basedOn w:val="Normal"/>
    <w:link w:val="DocumentMapChar"/>
    <w:semiHidden/>
    <w:pPr>
      <w:shd w:val="clear" w:color="auto" w:fill="000080"/>
      <w:spacing w:after="240" w:line="240" w:lineRule="auto"/>
      <w:jc w:val="both"/>
    </w:pPr>
    <w:rPr>
      <w:rFonts w:ascii="Tahoma" w:eastAsia="Times New Roman" w:hAnsi="Tahoma" w:cs="Times New Roman"/>
      <w:sz w:val="24"/>
      <w:szCs w:val="20"/>
    </w:rPr>
  </w:style>
  <w:style w:type="character" w:customStyle="1" w:styleId="DocumentMapChar">
    <w:name w:val="Document Map Char"/>
    <w:basedOn w:val="DefaultParagraphFont"/>
    <w:link w:val="DocumentMap"/>
    <w:semiHidden/>
    <w:rPr>
      <w:rFonts w:ascii="Tahoma" w:eastAsia="Times New Roman" w:hAnsi="Tahoma" w:cs="Times New Roman"/>
      <w:sz w:val="24"/>
      <w:szCs w:val="20"/>
      <w:shd w:val="clear" w:color="auto" w:fill="000080"/>
    </w:rPr>
  </w:style>
  <w:style w:type="paragraph" w:customStyle="1" w:styleId="DoubSign">
    <w:name w:val="DoubSign"/>
    <w:basedOn w:val="Normal"/>
    <w:next w:val="Contact"/>
    <w:pPr>
      <w:tabs>
        <w:tab w:val="left" w:pos="5103"/>
      </w:tabs>
      <w:spacing w:before="1200" w:after="0" w:line="240" w:lineRule="auto"/>
    </w:pPr>
    <w:rPr>
      <w:rFonts w:ascii="Times New Roman" w:eastAsia="Times New Roman" w:hAnsi="Times New Roman" w:cs="Times New Roman"/>
      <w:sz w:val="24"/>
      <w:szCs w:val="20"/>
    </w:rPr>
  </w:style>
  <w:style w:type="paragraph" w:styleId="EndnoteText">
    <w:name w:val="endnote text"/>
    <w:basedOn w:val="Normal"/>
    <w:link w:val="EndnoteTextChar"/>
    <w:uiPriority w:val="99"/>
    <w:qFormat/>
    <w:pPr>
      <w:spacing w:after="240" w:line="240" w:lineRule="auto"/>
      <w:jc w:val="both"/>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rPr>
      <w:rFonts w:ascii="Times New Roman" w:eastAsia="Times New Roman" w:hAnsi="Times New Roman" w:cs="Times New Roman"/>
      <w:sz w:val="20"/>
      <w:szCs w:val="20"/>
    </w:rPr>
  </w:style>
  <w:style w:type="paragraph" w:styleId="EnvelopeAddress">
    <w:name w:val="envelope address"/>
    <w:basedOn w:val="Normal"/>
    <w:pPr>
      <w:framePr w:w="7920" w:h="1980" w:hRule="exact" w:hSpace="180" w:wrap="auto" w:hAnchor="page" w:xAlign="center" w:yAlign="bottom"/>
      <w:spacing w:after="0" w:line="240" w:lineRule="auto"/>
      <w:jc w:val="both"/>
    </w:pPr>
    <w:rPr>
      <w:rFonts w:ascii="Times New Roman" w:eastAsia="Times New Roman" w:hAnsi="Times New Roman" w:cs="Times New Roman"/>
      <w:sz w:val="24"/>
      <w:szCs w:val="20"/>
    </w:rPr>
  </w:style>
  <w:style w:type="paragraph" w:styleId="EnvelopeReturn">
    <w:name w:val="envelope return"/>
    <w:basedOn w:val="Normal"/>
    <w:pPr>
      <w:spacing w:after="0" w:line="240" w:lineRule="auto"/>
      <w:jc w:val="both"/>
    </w:pPr>
    <w:rPr>
      <w:rFonts w:ascii="Times New Roman" w:eastAsia="Times New Roman" w:hAnsi="Times New Roman" w:cs="Times New Roman"/>
      <w:sz w:val="20"/>
      <w:szCs w:val="20"/>
    </w:rPr>
  </w:style>
  <w:style w:type="paragraph" w:styleId="Index1">
    <w:name w:val="index 1"/>
    <w:basedOn w:val="Normal"/>
    <w:next w:val="Normal"/>
    <w:autoRedefine/>
    <w:semiHidden/>
    <w:pPr>
      <w:spacing w:after="240" w:line="240" w:lineRule="auto"/>
      <w:ind w:left="240" w:hanging="240"/>
      <w:jc w:val="both"/>
    </w:pPr>
    <w:rPr>
      <w:rFonts w:ascii="Times New Roman" w:eastAsia="Times New Roman" w:hAnsi="Times New Roman" w:cs="Times New Roman"/>
      <w:sz w:val="24"/>
      <w:szCs w:val="20"/>
    </w:rPr>
  </w:style>
  <w:style w:type="paragraph" w:styleId="Index2">
    <w:name w:val="index 2"/>
    <w:basedOn w:val="Normal"/>
    <w:next w:val="Normal"/>
    <w:autoRedefine/>
    <w:semiHidden/>
    <w:pPr>
      <w:spacing w:after="240" w:line="240" w:lineRule="auto"/>
      <w:ind w:left="480" w:hanging="240"/>
      <w:jc w:val="both"/>
    </w:pPr>
    <w:rPr>
      <w:rFonts w:ascii="Times New Roman" w:eastAsia="Times New Roman" w:hAnsi="Times New Roman" w:cs="Times New Roman"/>
      <w:sz w:val="24"/>
      <w:szCs w:val="20"/>
    </w:rPr>
  </w:style>
  <w:style w:type="paragraph" w:styleId="Index3">
    <w:name w:val="index 3"/>
    <w:basedOn w:val="Normal"/>
    <w:next w:val="Normal"/>
    <w:autoRedefine/>
    <w:semiHidden/>
    <w:pPr>
      <w:spacing w:after="240" w:line="240" w:lineRule="auto"/>
      <w:ind w:left="720" w:hanging="240"/>
      <w:jc w:val="both"/>
    </w:pPr>
    <w:rPr>
      <w:rFonts w:ascii="Times New Roman" w:eastAsia="Times New Roman" w:hAnsi="Times New Roman" w:cs="Times New Roman"/>
      <w:sz w:val="24"/>
      <w:szCs w:val="20"/>
    </w:rPr>
  </w:style>
  <w:style w:type="paragraph" w:styleId="Index4">
    <w:name w:val="index 4"/>
    <w:basedOn w:val="Normal"/>
    <w:next w:val="Normal"/>
    <w:autoRedefine/>
    <w:semiHidden/>
    <w:pPr>
      <w:spacing w:after="240" w:line="240" w:lineRule="auto"/>
      <w:ind w:left="960" w:hanging="240"/>
      <w:jc w:val="both"/>
    </w:pPr>
    <w:rPr>
      <w:rFonts w:ascii="Times New Roman" w:eastAsia="Times New Roman" w:hAnsi="Times New Roman" w:cs="Times New Roman"/>
      <w:sz w:val="24"/>
      <w:szCs w:val="20"/>
    </w:rPr>
  </w:style>
  <w:style w:type="paragraph" w:styleId="Index5">
    <w:name w:val="index 5"/>
    <w:basedOn w:val="Normal"/>
    <w:next w:val="Normal"/>
    <w:autoRedefine/>
    <w:semiHidden/>
    <w:pPr>
      <w:spacing w:after="240" w:line="240" w:lineRule="auto"/>
      <w:ind w:left="1200" w:hanging="240"/>
      <w:jc w:val="both"/>
    </w:pPr>
    <w:rPr>
      <w:rFonts w:ascii="Times New Roman" w:eastAsia="Times New Roman" w:hAnsi="Times New Roman" w:cs="Times New Roman"/>
      <w:sz w:val="24"/>
      <w:szCs w:val="20"/>
    </w:rPr>
  </w:style>
  <w:style w:type="paragraph" w:styleId="Index6">
    <w:name w:val="index 6"/>
    <w:basedOn w:val="Normal"/>
    <w:next w:val="Normal"/>
    <w:autoRedefine/>
    <w:semiHidden/>
    <w:pPr>
      <w:spacing w:after="240" w:line="240" w:lineRule="auto"/>
      <w:ind w:left="1440" w:hanging="240"/>
      <w:jc w:val="both"/>
    </w:pPr>
    <w:rPr>
      <w:rFonts w:ascii="Times New Roman" w:eastAsia="Times New Roman" w:hAnsi="Times New Roman" w:cs="Times New Roman"/>
      <w:sz w:val="24"/>
      <w:szCs w:val="20"/>
    </w:rPr>
  </w:style>
  <w:style w:type="paragraph" w:styleId="Index7">
    <w:name w:val="index 7"/>
    <w:basedOn w:val="Normal"/>
    <w:next w:val="Normal"/>
    <w:autoRedefine/>
    <w:semiHidden/>
    <w:pPr>
      <w:spacing w:after="240" w:line="240" w:lineRule="auto"/>
      <w:ind w:left="1680" w:hanging="240"/>
      <w:jc w:val="both"/>
    </w:pPr>
    <w:rPr>
      <w:rFonts w:ascii="Times New Roman" w:eastAsia="Times New Roman" w:hAnsi="Times New Roman" w:cs="Times New Roman"/>
      <w:sz w:val="24"/>
      <w:szCs w:val="20"/>
    </w:rPr>
  </w:style>
  <w:style w:type="paragraph" w:styleId="Index8">
    <w:name w:val="index 8"/>
    <w:basedOn w:val="Normal"/>
    <w:next w:val="Normal"/>
    <w:autoRedefine/>
    <w:semiHidden/>
    <w:pPr>
      <w:spacing w:after="240" w:line="240" w:lineRule="auto"/>
      <w:ind w:left="1920" w:hanging="240"/>
      <w:jc w:val="both"/>
    </w:pPr>
    <w:rPr>
      <w:rFonts w:ascii="Times New Roman" w:eastAsia="Times New Roman" w:hAnsi="Times New Roman" w:cs="Times New Roman"/>
      <w:sz w:val="24"/>
      <w:szCs w:val="20"/>
    </w:rPr>
  </w:style>
  <w:style w:type="paragraph" w:styleId="Index9">
    <w:name w:val="index 9"/>
    <w:basedOn w:val="Normal"/>
    <w:next w:val="Normal"/>
    <w:autoRedefine/>
    <w:semiHidden/>
    <w:pPr>
      <w:spacing w:after="240" w:line="240" w:lineRule="auto"/>
      <w:ind w:left="2160" w:hanging="240"/>
      <w:jc w:val="both"/>
    </w:pPr>
    <w:rPr>
      <w:rFonts w:ascii="Times New Roman" w:eastAsia="Times New Roman" w:hAnsi="Times New Roman" w:cs="Times New Roman"/>
      <w:sz w:val="24"/>
      <w:szCs w:val="20"/>
    </w:rPr>
  </w:style>
  <w:style w:type="paragraph" w:styleId="IndexHeading">
    <w:name w:val="index heading"/>
    <w:basedOn w:val="Normal"/>
    <w:next w:val="Index1"/>
    <w:semiHidden/>
    <w:pPr>
      <w:spacing w:after="240" w:line="240" w:lineRule="auto"/>
      <w:jc w:val="both"/>
    </w:pPr>
    <w:rPr>
      <w:rFonts w:ascii="Arial" w:eastAsia="Times New Roman" w:hAnsi="Arial" w:cs="Times New Roman"/>
      <w:b/>
      <w:sz w:val="24"/>
      <w:szCs w:val="20"/>
    </w:rPr>
  </w:style>
  <w:style w:type="paragraph" w:styleId="List2">
    <w:name w:val="List 2"/>
    <w:basedOn w:val="Normal"/>
    <w:pPr>
      <w:spacing w:after="240" w:line="240" w:lineRule="auto"/>
      <w:ind w:left="566" w:hanging="283"/>
      <w:jc w:val="both"/>
    </w:pPr>
    <w:rPr>
      <w:rFonts w:ascii="Times New Roman" w:eastAsia="Times New Roman" w:hAnsi="Times New Roman" w:cs="Times New Roman"/>
      <w:sz w:val="24"/>
      <w:szCs w:val="20"/>
    </w:rPr>
  </w:style>
  <w:style w:type="paragraph" w:styleId="List3">
    <w:name w:val="List 3"/>
    <w:basedOn w:val="Normal"/>
    <w:pPr>
      <w:spacing w:after="240" w:line="240" w:lineRule="auto"/>
      <w:ind w:left="849" w:hanging="283"/>
      <w:jc w:val="both"/>
    </w:pPr>
    <w:rPr>
      <w:rFonts w:ascii="Times New Roman" w:eastAsia="Times New Roman" w:hAnsi="Times New Roman" w:cs="Times New Roman"/>
      <w:sz w:val="24"/>
      <w:szCs w:val="20"/>
    </w:rPr>
  </w:style>
  <w:style w:type="paragraph" w:styleId="List4">
    <w:name w:val="List 4"/>
    <w:basedOn w:val="Normal"/>
    <w:pPr>
      <w:spacing w:after="240" w:line="240" w:lineRule="auto"/>
      <w:ind w:left="1132" w:hanging="283"/>
      <w:jc w:val="both"/>
    </w:pPr>
    <w:rPr>
      <w:rFonts w:ascii="Times New Roman" w:eastAsia="Times New Roman" w:hAnsi="Times New Roman" w:cs="Times New Roman"/>
      <w:sz w:val="24"/>
      <w:szCs w:val="20"/>
    </w:rPr>
  </w:style>
  <w:style w:type="paragraph" w:styleId="List5">
    <w:name w:val="List 5"/>
    <w:basedOn w:val="Normal"/>
    <w:pPr>
      <w:spacing w:after="240" w:line="240" w:lineRule="auto"/>
      <w:ind w:left="1415" w:hanging="283"/>
      <w:jc w:val="both"/>
    </w:pPr>
    <w:rPr>
      <w:rFonts w:ascii="Times New Roman" w:eastAsia="Times New Roman" w:hAnsi="Times New Roman" w:cs="Times New Roman"/>
      <w:sz w:val="24"/>
      <w:szCs w:val="20"/>
    </w:rPr>
  </w:style>
  <w:style w:type="paragraph" w:styleId="ListBullet5">
    <w:name w:val="List Bullet 5"/>
    <w:basedOn w:val="Normal"/>
    <w:autoRedefine/>
    <w:pPr>
      <w:tabs>
        <w:tab w:val="num" w:pos="1492"/>
      </w:tabs>
      <w:spacing w:after="240" w:line="240" w:lineRule="auto"/>
      <w:ind w:left="1492" w:hanging="360"/>
      <w:jc w:val="both"/>
    </w:pPr>
    <w:rPr>
      <w:rFonts w:ascii="Times New Roman" w:eastAsia="Times New Roman" w:hAnsi="Times New Roman" w:cs="Times New Roman"/>
      <w:sz w:val="24"/>
      <w:szCs w:val="20"/>
    </w:rPr>
  </w:style>
  <w:style w:type="paragraph" w:styleId="ListContinue">
    <w:name w:val="List Continue"/>
    <w:basedOn w:val="Normal"/>
    <w:pPr>
      <w:spacing w:after="120" w:line="240" w:lineRule="auto"/>
      <w:ind w:left="283"/>
      <w:jc w:val="both"/>
    </w:pPr>
    <w:rPr>
      <w:rFonts w:ascii="Times New Roman" w:eastAsia="Times New Roman" w:hAnsi="Times New Roman" w:cs="Times New Roman"/>
      <w:sz w:val="24"/>
      <w:szCs w:val="20"/>
    </w:rPr>
  </w:style>
  <w:style w:type="paragraph" w:styleId="ListContinue2">
    <w:name w:val="List Continue 2"/>
    <w:basedOn w:val="Normal"/>
    <w:pPr>
      <w:spacing w:after="120" w:line="240" w:lineRule="auto"/>
      <w:ind w:left="566"/>
      <w:jc w:val="both"/>
    </w:pPr>
    <w:rPr>
      <w:rFonts w:ascii="Times New Roman" w:eastAsia="Times New Roman" w:hAnsi="Times New Roman" w:cs="Times New Roman"/>
      <w:sz w:val="24"/>
      <w:szCs w:val="20"/>
    </w:rPr>
  </w:style>
  <w:style w:type="paragraph" w:styleId="ListContinue3">
    <w:name w:val="List Continue 3"/>
    <w:basedOn w:val="Normal"/>
    <w:pPr>
      <w:spacing w:after="120" w:line="240" w:lineRule="auto"/>
      <w:ind w:left="849"/>
      <w:jc w:val="both"/>
    </w:pPr>
    <w:rPr>
      <w:rFonts w:ascii="Times New Roman" w:eastAsia="Times New Roman" w:hAnsi="Times New Roman" w:cs="Times New Roman"/>
      <w:sz w:val="24"/>
      <w:szCs w:val="20"/>
    </w:rPr>
  </w:style>
  <w:style w:type="paragraph" w:styleId="ListContinue4">
    <w:name w:val="List Continue 4"/>
    <w:basedOn w:val="Normal"/>
    <w:pPr>
      <w:spacing w:after="120" w:line="240" w:lineRule="auto"/>
      <w:ind w:left="1132"/>
      <w:jc w:val="both"/>
    </w:pPr>
    <w:rPr>
      <w:rFonts w:ascii="Times New Roman" w:eastAsia="Times New Roman" w:hAnsi="Times New Roman" w:cs="Times New Roman"/>
      <w:sz w:val="24"/>
      <w:szCs w:val="20"/>
    </w:rPr>
  </w:style>
  <w:style w:type="paragraph" w:styleId="ListContinue5">
    <w:name w:val="List Continue 5"/>
    <w:basedOn w:val="Normal"/>
    <w:pPr>
      <w:spacing w:after="120" w:line="240" w:lineRule="auto"/>
      <w:ind w:left="1415"/>
      <w:jc w:val="both"/>
    </w:pPr>
    <w:rPr>
      <w:rFonts w:ascii="Times New Roman" w:eastAsia="Times New Roman" w:hAnsi="Times New Roman" w:cs="Times New Roman"/>
      <w:sz w:val="24"/>
      <w:szCs w:val="20"/>
    </w:rPr>
  </w:style>
  <w:style w:type="paragraph" w:styleId="ListNumber5">
    <w:name w:val="List Number 5"/>
    <w:basedOn w:val="Normal"/>
    <w:pPr>
      <w:tabs>
        <w:tab w:val="num" w:pos="1492"/>
      </w:tabs>
      <w:spacing w:after="240" w:line="240" w:lineRule="auto"/>
      <w:ind w:left="1492" w:hanging="360"/>
      <w:jc w:val="both"/>
    </w:pPr>
    <w:rPr>
      <w:rFonts w:ascii="Times New Roman" w:eastAsia="Times New Roman" w:hAnsi="Times New Roman" w:cs="Times New Roman"/>
      <w:sz w:val="24"/>
      <w:szCs w:val="20"/>
    </w:r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rPr>
  </w:style>
  <w:style w:type="character" w:customStyle="1" w:styleId="MacroTextChar">
    <w:name w:val="Macro Text Char"/>
    <w:basedOn w:val="DefaultParagraphFont"/>
    <w:link w:val="MacroText"/>
    <w:semiHidden/>
    <w:rPr>
      <w:rFonts w:ascii="Courier New" w:eastAsia="Times New Roman" w:hAnsi="Courier New" w:cs="Times New Roman"/>
      <w:sz w:val="20"/>
      <w:szCs w:val="20"/>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spacing w:after="240" w:line="240" w:lineRule="auto"/>
      <w:ind w:left="1134" w:hanging="1134"/>
      <w:jc w:val="both"/>
    </w:pPr>
    <w:rPr>
      <w:rFonts w:ascii="Arial" w:eastAsia="Times New Roman" w:hAnsi="Arial" w:cs="Times New Roman"/>
      <w:sz w:val="24"/>
      <w:szCs w:val="20"/>
    </w:rPr>
  </w:style>
  <w:style w:type="character" w:customStyle="1" w:styleId="MessageHeaderChar">
    <w:name w:val="Message Header Char"/>
    <w:basedOn w:val="DefaultParagraphFont"/>
    <w:link w:val="MessageHeader"/>
    <w:rPr>
      <w:rFonts w:ascii="Arial" w:eastAsia="Times New Roman" w:hAnsi="Arial" w:cs="Times New Roman"/>
      <w:sz w:val="24"/>
      <w:szCs w:val="20"/>
      <w:shd w:val="pct20" w:color="auto" w:fill="auto"/>
    </w:rPr>
  </w:style>
  <w:style w:type="paragraph" w:styleId="NormalIndent">
    <w:name w:val="Normal Indent"/>
    <w:basedOn w:val="Normal"/>
    <w:pPr>
      <w:spacing w:after="240" w:line="240" w:lineRule="auto"/>
      <w:ind w:left="720"/>
      <w:jc w:val="both"/>
    </w:pPr>
    <w:rPr>
      <w:rFonts w:ascii="Times New Roman" w:eastAsia="Times New Roman" w:hAnsi="Times New Roman" w:cs="Times New Roman"/>
      <w:sz w:val="24"/>
      <w:szCs w:val="20"/>
    </w:rPr>
  </w:style>
  <w:style w:type="paragraph" w:styleId="NoteHeading">
    <w:name w:val="Note Heading"/>
    <w:basedOn w:val="Normal"/>
    <w:next w:val="Normal"/>
    <w:link w:val="NoteHeadingChar"/>
    <w:pPr>
      <w:spacing w:after="240" w:line="240" w:lineRule="auto"/>
      <w:jc w:val="both"/>
    </w:pPr>
    <w:rPr>
      <w:rFonts w:ascii="Times New Roman" w:eastAsia="Times New Roman" w:hAnsi="Times New Roman" w:cs="Times New Roman"/>
      <w:sz w:val="24"/>
      <w:szCs w:val="20"/>
    </w:rPr>
  </w:style>
  <w:style w:type="character" w:customStyle="1" w:styleId="NoteHeadingChar">
    <w:name w:val="Note Heading Char"/>
    <w:basedOn w:val="DefaultParagraphFont"/>
    <w:link w:val="NoteHeading"/>
    <w:rPr>
      <w:rFonts w:ascii="Times New Roman" w:eastAsia="Times New Roman" w:hAnsi="Times New Roman" w:cs="Times New Roman"/>
      <w:sz w:val="24"/>
      <w:szCs w:val="20"/>
    </w:rPr>
  </w:style>
  <w:style w:type="paragraph" w:customStyle="1" w:styleId="NoteHead">
    <w:name w:val="NoteHead"/>
    <w:basedOn w:val="Normal"/>
    <w:next w:val="Subject"/>
    <w:pPr>
      <w:spacing w:before="720" w:after="720" w:line="240" w:lineRule="auto"/>
      <w:jc w:val="center"/>
    </w:pPr>
    <w:rPr>
      <w:rFonts w:ascii="Times New Roman" w:eastAsia="Times New Roman" w:hAnsi="Times New Roman" w:cs="Times New Roman"/>
      <w:b/>
      <w:smallCaps/>
      <w:sz w:val="24"/>
      <w:szCs w:val="20"/>
    </w:rPr>
  </w:style>
  <w:style w:type="paragraph" w:customStyle="1" w:styleId="Subject">
    <w:name w:val="Subject"/>
    <w:basedOn w:val="Normal"/>
    <w:next w:val="Normal"/>
    <w:pPr>
      <w:spacing w:after="480" w:line="240" w:lineRule="auto"/>
      <w:ind w:left="1531" w:hanging="1531"/>
    </w:pPr>
    <w:rPr>
      <w:rFonts w:ascii="Times New Roman" w:eastAsia="Times New Roman" w:hAnsi="Times New Roman" w:cs="Times New Roman"/>
      <w:b/>
      <w:sz w:val="24"/>
      <w:szCs w:val="20"/>
    </w:rPr>
  </w:style>
  <w:style w:type="paragraph" w:customStyle="1" w:styleId="NoteList">
    <w:name w:val="NoteList"/>
    <w:basedOn w:val="Normal"/>
    <w:next w:val="Subject"/>
    <w:pPr>
      <w:tabs>
        <w:tab w:val="left" w:pos="5823"/>
      </w:tabs>
      <w:spacing w:before="720" w:after="720" w:line="240" w:lineRule="auto"/>
      <w:ind w:left="5104" w:hanging="3119"/>
    </w:pPr>
    <w:rPr>
      <w:rFonts w:ascii="Times New Roman" w:eastAsia="Times New Roman" w:hAnsi="Times New Roman" w:cs="Times New Roman"/>
      <w:b/>
      <w:smallCaps/>
      <w:sz w:val="24"/>
      <w:szCs w:val="20"/>
    </w:rPr>
  </w:style>
  <w:style w:type="paragraph" w:styleId="PlainText">
    <w:name w:val="Plain Text"/>
    <w:basedOn w:val="Normal"/>
    <w:link w:val="PlainTextChar"/>
    <w:uiPriority w:val="99"/>
    <w:pPr>
      <w:spacing w:after="240" w:line="240" w:lineRule="auto"/>
      <w:jc w:val="both"/>
    </w:pPr>
    <w:rPr>
      <w:rFonts w:ascii="Courier New" w:eastAsia="Times New Roman" w:hAnsi="Courier New" w:cs="Times New Roman"/>
      <w:sz w:val="20"/>
      <w:szCs w:val="20"/>
    </w:rPr>
  </w:style>
  <w:style w:type="character" w:customStyle="1" w:styleId="PlainTextChar">
    <w:name w:val="Plain Text Char"/>
    <w:basedOn w:val="DefaultParagraphFont"/>
    <w:link w:val="PlainText"/>
    <w:uiPriority w:val="99"/>
    <w:rPr>
      <w:rFonts w:ascii="Courier New" w:eastAsia="Times New Roman" w:hAnsi="Courier New" w:cs="Times New Roman"/>
      <w:sz w:val="20"/>
      <w:szCs w:val="20"/>
    </w:rPr>
  </w:style>
  <w:style w:type="paragraph" w:styleId="Salutation">
    <w:name w:val="Salutation"/>
    <w:basedOn w:val="Normal"/>
    <w:next w:val="Normal"/>
    <w:link w:val="SalutationChar"/>
    <w:pPr>
      <w:spacing w:after="240" w:line="240" w:lineRule="auto"/>
      <w:jc w:val="both"/>
    </w:pPr>
    <w:rPr>
      <w:rFonts w:ascii="Times New Roman" w:eastAsia="Times New Roman" w:hAnsi="Times New Roman" w:cs="Times New Roman"/>
      <w:sz w:val="24"/>
      <w:szCs w:val="20"/>
    </w:rPr>
  </w:style>
  <w:style w:type="character" w:customStyle="1" w:styleId="SalutationChar">
    <w:name w:val="Salutation Char"/>
    <w:basedOn w:val="DefaultParagraphFont"/>
    <w:link w:val="Salutation"/>
    <w:rPr>
      <w:rFonts w:ascii="Times New Roman" w:eastAsia="Times New Roman" w:hAnsi="Times New Roman" w:cs="Times New Roman"/>
      <w:sz w:val="24"/>
      <w:szCs w:val="20"/>
    </w:rPr>
  </w:style>
  <w:style w:type="paragraph" w:styleId="Subtitle">
    <w:name w:val="Subtitle"/>
    <w:basedOn w:val="Normal"/>
    <w:link w:val="SubtitleChar"/>
    <w:qFormat/>
    <w:pPr>
      <w:spacing w:after="60" w:line="240" w:lineRule="auto"/>
      <w:jc w:val="center"/>
      <w:outlineLvl w:val="1"/>
    </w:pPr>
    <w:rPr>
      <w:rFonts w:ascii="Arial" w:eastAsia="Times New Roman" w:hAnsi="Arial" w:cs="Times New Roman"/>
      <w:sz w:val="24"/>
      <w:szCs w:val="20"/>
    </w:rPr>
  </w:style>
  <w:style w:type="character" w:customStyle="1" w:styleId="SubtitleChar">
    <w:name w:val="Subtitle Char"/>
    <w:basedOn w:val="DefaultParagraphFont"/>
    <w:link w:val="Subtitle"/>
    <w:rPr>
      <w:rFonts w:ascii="Arial" w:eastAsia="Times New Roman" w:hAnsi="Arial" w:cs="Times New Roman"/>
      <w:sz w:val="24"/>
      <w:szCs w:val="20"/>
    </w:rPr>
  </w:style>
  <w:style w:type="paragraph" w:styleId="TableofAuthorities">
    <w:name w:val="table of authorities"/>
    <w:basedOn w:val="Normal"/>
    <w:next w:val="Normal"/>
    <w:semiHidden/>
    <w:pPr>
      <w:spacing w:after="240" w:line="240" w:lineRule="auto"/>
      <w:ind w:left="240" w:hanging="240"/>
      <w:jc w:val="both"/>
    </w:pPr>
    <w:rPr>
      <w:rFonts w:ascii="Times New Roman" w:eastAsia="Times New Roman" w:hAnsi="Times New Roman" w:cs="Times New Roman"/>
      <w:sz w:val="24"/>
      <w:szCs w:val="20"/>
    </w:rPr>
  </w:style>
  <w:style w:type="paragraph" w:styleId="Title">
    <w:name w:val="Title"/>
    <w:basedOn w:val="Normal"/>
    <w:link w:val="TitleChar"/>
    <w:qFormat/>
    <w:pPr>
      <w:spacing w:before="240" w:after="60" w:line="240" w:lineRule="auto"/>
      <w:jc w:val="center"/>
      <w:outlineLvl w:val="0"/>
    </w:pPr>
    <w:rPr>
      <w:rFonts w:ascii="Arial" w:eastAsia="Times New Roman" w:hAnsi="Arial" w:cs="Times New Roman"/>
      <w:b/>
      <w:kern w:val="28"/>
      <w:sz w:val="32"/>
      <w:szCs w:val="20"/>
    </w:rPr>
  </w:style>
  <w:style w:type="character" w:customStyle="1" w:styleId="TitleChar">
    <w:name w:val="Title Char"/>
    <w:basedOn w:val="DefaultParagraphFont"/>
    <w:link w:val="Title"/>
    <w:rPr>
      <w:rFonts w:ascii="Arial" w:eastAsia="Times New Roman" w:hAnsi="Arial" w:cs="Times New Roman"/>
      <w:b/>
      <w:kern w:val="28"/>
      <w:sz w:val="32"/>
      <w:szCs w:val="20"/>
    </w:rPr>
  </w:style>
  <w:style w:type="paragraph" w:styleId="TOAHeading">
    <w:name w:val="toa heading"/>
    <w:basedOn w:val="Normal"/>
    <w:next w:val="Normal"/>
    <w:semiHidden/>
    <w:pPr>
      <w:spacing w:before="120" w:after="240" w:line="240" w:lineRule="auto"/>
      <w:jc w:val="both"/>
    </w:pPr>
    <w:rPr>
      <w:rFonts w:ascii="Arial" w:eastAsia="Times New Roman" w:hAnsi="Arial" w:cs="Times New Roman"/>
      <w:b/>
      <w:sz w:val="24"/>
      <w:szCs w:val="20"/>
    </w:rPr>
  </w:style>
  <w:style w:type="paragraph" w:customStyle="1" w:styleId="YReferences">
    <w:name w:val="YReferences"/>
    <w:basedOn w:val="Normal"/>
    <w:next w:val="Normal"/>
    <w:pPr>
      <w:spacing w:after="480" w:line="240" w:lineRule="auto"/>
      <w:ind w:left="1531" w:hanging="1531"/>
      <w:jc w:val="both"/>
    </w:pPr>
    <w:rPr>
      <w:rFonts w:ascii="Times New Roman" w:eastAsia="Times New Roman" w:hAnsi="Times New Roman" w:cs="Times New Roman"/>
      <w:sz w:val="24"/>
      <w:szCs w:val="20"/>
    </w:rPr>
  </w:style>
  <w:style w:type="paragraph" w:customStyle="1" w:styleId="Contact">
    <w:name w:val="Contact"/>
    <w:basedOn w:val="Normal"/>
    <w:next w:val="Normal"/>
    <w:uiPriority w:val="99"/>
    <w:pPr>
      <w:spacing w:before="480" w:after="0" w:line="240" w:lineRule="auto"/>
      <w:ind w:left="567" w:hanging="567"/>
    </w:pPr>
    <w:rPr>
      <w:rFonts w:ascii="Times New Roman" w:eastAsia="Times New Roman" w:hAnsi="Times New Roman" w:cs="Times New Roman"/>
      <w:sz w:val="24"/>
      <w:szCs w:val="20"/>
    </w:rPr>
  </w:style>
  <w:style w:type="paragraph" w:customStyle="1" w:styleId="DisclaimerNotice">
    <w:name w:val="Disclaimer Notice"/>
    <w:basedOn w:val="Normal"/>
    <w:next w:val="AddressTR"/>
    <w:pPr>
      <w:spacing w:after="240" w:line="240" w:lineRule="auto"/>
      <w:ind w:left="5103"/>
    </w:pPr>
    <w:rPr>
      <w:rFonts w:ascii="Times New Roman" w:eastAsia="Times New Roman" w:hAnsi="Times New Roman" w:cs="Times New Roman"/>
      <w:i/>
      <w:sz w:val="20"/>
      <w:szCs w:val="20"/>
    </w:rPr>
  </w:style>
  <w:style w:type="paragraph" w:customStyle="1" w:styleId="Disclaimer">
    <w:name w:val="Disclaimer"/>
    <w:basedOn w:val="Normal"/>
    <w:pPr>
      <w:keepLines/>
      <w:pBdr>
        <w:top w:val="single" w:sz="4" w:space="1" w:color="auto"/>
      </w:pBdr>
      <w:spacing w:before="480" w:after="0" w:line="240" w:lineRule="auto"/>
      <w:jc w:val="both"/>
    </w:pPr>
    <w:rPr>
      <w:rFonts w:ascii="Times New Roman" w:eastAsia="Times New Roman" w:hAnsi="Times New Roman" w:cs="Times New Roman"/>
      <w:i/>
      <w:sz w:val="24"/>
      <w:szCs w:val="20"/>
    </w:rPr>
  </w:style>
  <w:style w:type="paragraph" w:customStyle="1" w:styleId="DisclaimerSJ">
    <w:name w:val="Disclaimer_SJ"/>
    <w:basedOn w:val="Normal"/>
    <w:next w:val="Normal"/>
    <w:pPr>
      <w:spacing w:after="0" w:line="240" w:lineRule="auto"/>
      <w:jc w:val="both"/>
    </w:pPr>
    <w:rPr>
      <w:rFonts w:ascii="Arial" w:eastAsia="Times New Roman" w:hAnsi="Arial" w:cs="Times New Roman"/>
      <w:b/>
      <w:sz w:val="16"/>
      <w:szCs w:val="20"/>
    </w:rPr>
  </w:style>
  <w:style w:type="paragraph" w:customStyle="1" w:styleId="Designator">
    <w:name w:val="Designator"/>
    <w:basedOn w:val="Normal"/>
    <w:pPr>
      <w:spacing w:after="0" w:line="240" w:lineRule="auto"/>
      <w:jc w:val="center"/>
    </w:pPr>
    <w:rPr>
      <w:rFonts w:ascii="Times New Roman" w:eastAsia="Times New Roman" w:hAnsi="Times New Roman" w:cs="Times New Roman"/>
      <w:b/>
      <w:caps/>
      <w:sz w:val="32"/>
      <w:szCs w:val="20"/>
    </w:rPr>
  </w:style>
  <w:style w:type="paragraph" w:customStyle="1" w:styleId="Releasable">
    <w:name w:val="Releasable"/>
    <w:basedOn w:val="Normal"/>
    <w:qFormat/>
    <w:pPr>
      <w:spacing w:after="0" w:line="240" w:lineRule="auto"/>
      <w:jc w:val="center"/>
    </w:pPr>
    <w:rPr>
      <w:rFonts w:ascii="Times New Roman" w:eastAsia="Times New Roman" w:hAnsi="Times New Roman" w:cs="Times New Roman"/>
      <w:b/>
      <w:caps/>
      <w:sz w:val="32"/>
      <w:szCs w:val="20"/>
      <w:lang w:val="de-DE"/>
    </w:rPr>
  </w:style>
  <w:style w:type="paragraph" w:customStyle="1" w:styleId="RUE">
    <w:name w:val="RUE"/>
    <w:basedOn w:val="Normal"/>
    <w:pPr>
      <w:spacing w:after="0" w:line="240" w:lineRule="auto"/>
      <w:jc w:val="center"/>
    </w:pPr>
    <w:rPr>
      <w:rFonts w:ascii="Times New Roman" w:eastAsia="Times New Roman" w:hAnsi="Times New Roman" w:cs="Times New Roman"/>
      <w:b/>
      <w:caps/>
      <w:sz w:val="32"/>
      <w:szCs w:val="20"/>
      <w:bdr w:val="single" w:sz="18" w:space="0" w:color="auto"/>
      <w:lang w:val="de-DE"/>
    </w:rPr>
  </w:style>
  <w:style w:type="paragraph" w:customStyle="1" w:styleId="ConfidentialUE">
    <w:name w:val="Confidential UE"/>
    <w:basedOn w:val="Normal"/>
    <w:pPr>
      <w:spacing w:after="0" w:line="240" w:lineRule="auto"/>
      <w:jc w:val="center"/>
    </w:pPr>
    <w:rPr>
      <w:rFonts w:ascii="Times New Roman" w:eastAsia="Times New Roman" w:hAnsi="Times New Roman" w:cs="Times New Roman"/>
      <w:b/>
      <w:caps/>
      <w:sz w:val="32"/>
      <w:szCs w:val="20"/>
      <w:bdr w:val="single" w:sz="18" w:space="0" w:color="auto"/>
    </w:rPr>
  </w:style>
  <w:style w:type="paragraph" w:customStyle="1" w:styleId="TrsSecretUE">
    <w:name w:val="Très Secret UE"/>
    <w:basedOn w:val="Normal"/>
    <w:pPr>
      <w:spacing w:after="0" w:line="240" w:lineRule="auto"/>
      <w:jc w:val="center"/>
    </w:pPr>
    <w:rPr>
      <w:rFonts w:ascii="Times New Roman" w:eastAsia="Times New Roman" w:hAnsi="Times New Roman" w:cs="Times New Roman"/>
      <w:b/>
      <w:caps/>
      <w:color w:val="FF0000"/>
      <w:sz w:val="32"/>
      <w:szCs w:val="20"/>
      <w:bdr w:val="single" w:sz="18" w:space="0" w:color="FF0000"/>
    </w:rPr>
  </w:style>
  <w:style w:type="paragraph" w:customStyle="1" w:styleId="SecretUE">
    <w:name w:val="Secret UE"/>
    <w:basedOn w:val="Normal"/>
    <w:pPr>
      <w:spacing w:after="0" w:line="240" w:lineRule="auto"/>
      <w:jc w:val="center"/>
    </w:pPr>
    <w:rPr>
      <w:rFonts w:ascii="Times New Roman" w:eastAsia="Times New Roman" w:hAnsi="Times New Roman" w:cs="Times New Roman"/>
      <w:b/>
      <w:caps/>
      <w:color w:val="FF0000"/>
      <w:sz w:val="32"/>
      <w:szCs w:val="20"/>
      <w:bdr w:val="single" w:sz="18" w:space="0" w:color="FF0000"/>
    </w:rPr>
  </w:style>
  <w:style w:type="paragraph" w:customStyle="1" w:styleId="LegalNumPar">
    <w:name w:val="LegalNumPar"/>
    <w:basedOn w:val="Normal"/>
    <w:pPr>
      <w:numPr>
        <w:numId w:val="90"/>
      </w:numPr>
      <w:spacing w:after="240" w:line="360" w:lineRule="auto"/>
    </w:pPr>
    <w:rPr>
      <w:rFonts w:ascii="Times New Roman" w:eastAsia="Calibri" w:hAnsi="Times New Roman" w:cs="Times New Roman"/>
      <w:sz w:val="24"/>
    </w:rPr>
  </w:style>
  <w:style w:type="paragraph" w:customStyle="1" w:styleId="LegalNumPar2">
    <w:name w:val="LegalNumPar2"/>
    <w:basedOn w:val="Normal"/>
    <w:pPr>
      <w:numPr>
        <w:ilvl w:val="1"/>
        <w:numId w:val="90"/>
      </w:numPr>
      <w:spacing w:after="240" w:line="360" w:lineRule="auto"/>
    </w:pPr>
    <w:rPr>
      <w:rFonts w:ascii="Times New Roman" w:eastAsia="Calibri" w:hAnsi="Times New Roman" w:cs="Times New Roman"/>
      <w:sz w:val="24"/>
    </w:rPr>
  </w:style>
  <w:style w:type="paragraph" w:customStyle="1" w:styleId="LegalNumPar3">
    <w:name w:val="LegalNumPar3"/>
    <w:basedOn w:val="Normal"/>
    <w:pPr>
      <w:numPr>
        <w:ilvl w:val="2"/>
        <w:numId w:val="90"/>
      </w:numPr>
      <w:spacing w:after="240" w:line="360" w:lineRule="auto"/>
    </w:pPr>
    <w:rPr>
      <w:rFonts w:ascii="Times New Roman" w:eastAsia="Calibri" w:hAnsi="Times New Roman" w:cs="Times New Roman"/>
      <w:sz w:val="24"/>
    </w:rPr>
  </w:style>
  <w:style w:type="paragraph" w:customStyle="1" w:styleId="ZCom">
    <w:name w:val="Z_Com"/>
    <w:basedOn w:val="Normal"/>
    <w:next w:val="ZDGName"/>
    <w:uiPriority w:val="99"/>
    <w:pPr>
      <w:widowControl w:val="0"/>
      <w:autoSpaceDE w:val="0"/>
      <w:autoSpaceDN w:val="0"/>
      <w:spacing w:after="0" w:line="240" w:lineRule="auto"/>
      <w:ind w:right="85"/>
      <w:jc w:val="both"/>
    </w:pPr>
    <w:rPr>
      <w:rFonts w:ascii="Arial" w:eastAsia="Times New Roman" w:hAnsi="Arial" w:cs="Arial"/>
      <w:sz w:val="24"/>
      <w:szCs w:val="24"/>
      <w:lang w:eastAsia="en-GB"/>
    </w:rPr>
  </w:style>
  <w:style w:type="paragraph" w:customStyle="1" w:styleId="ZDGName">
    <w:name w:val="Z_DGName"/>
    <w:basedOn w:val="Normal"/>
    <w:uiPriority w:val="99"/>
    <w:pPr>
      <w:widowControl w:val="0"/>
      <w:autoSpaceDE w:val="0"/>
      <w:autoSpaceDN w:val="0"/>
      <w:spacing w:after="0" w:line="240" w:lineRule="auto"/>
      <w:ind w:right="85"/>
    </w:pPr>
    <w:rPr>
      <w:rFonts w:ascii="Arial" w:eastAsia="Times New Roman" w:hAnsi="Arial" w:cs="Arial"/>
      <w:sz w:val="16"/>
      <w:szCs w:val="16"/>
      <w:lang w:eastAsia="en-GB"/>
    </w:rPr>
  </w:style>
  <w:style w:type="paragraph" w:customStyle="1" w:styleId="Table-ContentsCT">
    <w:name w:val="Table - Contents (CT)"/>
    <w:link w:val="Table-ContentsCTChar"/>
    <w:qFormat/>
    <w:pPr>
      <w:spacing w:before="80" w:after="80" w:line="240" w:lineRule="auto"/>
    </w:pPr>
    <w:rPr>
      <w:rFonts w:ascii="Arial" w:eastAsia="Times New Roman" w:hAnsi="Arial" w:cs="Times New Roman"/>
      <w:sz w:val="16"/>
      <w:szCs w:val="20"/>
    </w:rPr>
  </w:style>
  <w:style w:type="character" w:customStyle="1" w:styleId="Table-ContentsCTChar">
    <w:name w:val="Table - Contents (CT) Char"/>
    <w:link w:val="Table-ContentsCT"/>
    <w:rPr>
      <w:rFonts w:ascii="Arial" w:eastAsia="Times New Roman" w:hAnsi="Arial" w:cs="Times New Roman"/>
      <w:sz w:val="16"/>
      <w:szCs w:val="20"/>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uppressAutoHyphen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uppressAutoHyphen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numbering" w:customStyle="1" w:styleId="AMECHeadings">
    <w:name w:val="AMEC_Headings"/>
    <w:uiPriority w:val="99"/>
    <w:pPr>
      <w:numPr>
        <w:numId w:val="114"/>
      </w:numPr>
    </w:pPr>
  </w:style>
  <w:style w:type="paragraph" w:customStyle="1" w:styleId="AFWBodyNumbered">
    <w:name w:val="AFW Body Numbered"/>
    <w:aliases w:val="Paranums"/>
    <w:basedOn w:val="AFWBody"/>
    <w:qFormat/>
    <w:pPr>
      <w:keepNext/>
      <w:suppressAutoHyphens w:val="0"/>
      <w:spacing w:before="240" w:after="240"/>
      <w:ind w:left="851" w:hanging="851"/>
    </w:pPr>
    <w:rPr>
      <w:rFonts w:eastAsiaTheme="minorHAnsi" w:cstheme="minorBidi"/>
      <w:b/>
      <w:bCs/>
      <w:color w:val="5F2167"/>
      <w:sz w:val="22"/>
      <w:szCs w:val="24"/>
      <w:lang w:eastAsia="en-US"/>
    </w:rPr>
  </w:style>
  <w:style w:type="paragraph" w:customStyle="1" w:styleId="AFWTableTitle">
    <w:name w:val="AFW Table Title"/>
    <w:basedOn w:val="Heading4"/>
    <w:pPr>
      <w:keepLines/>
      <w:numPr>
        <w:numId w:val="0"/>
      </w:numPr>
      <w:tabs>
        <w:tab w:val="left" w:pos="1134"/>
      </w:tabs>
      <w:spacing w:before="360" w:after="160"/>
      <w:jc w:val="left"/>
    </w:pPr>
    <w:rPr>
      <w:rFonts w:ascii="Arial" w:hAnsi="Arial" w:cstheme="majorBidi"/>
      <w:bCs w:val="0"/>
      <w:iCs/>
      <w:color w:val="5F2167"/>
      <w:sz w:val="20"/>
      <w:szCs w:val="26"/>
      <w:lang w:eastAsia="en-GB"/>
    </w:rPr>
  </w:style>
  <w:style w:type="table" w:customStyle="1" w:styleId="TableGridLight4">
    <w:name w:val="Table Grid Light4"/>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enhypertexte1">
    <w:name w:val="Lien hypertexte1"/>
    <w:basedOn w:val="DefaultParagraphFont"/>
    <w:uiPriority w:val="99"/>
    <w:unhideWhenUsed/>
    <w:rPr>
      <w:color w:val="00B0B9"/>
      <w:u w:val="single"/>
    </w:rPr>
  </w:style>
  <w:style w:type="character" w:styleId="PageNumber">
    <w:name w:val="page number"/>
    <w:basedOn w:val="DefaultParagraphFont"/>
    <w:rPr>
      <w:rFonts w:ascii="Arial" w:hAnsi="Arial"/>
      <w:b/>
      <w:color w:val="auto"/>
      <w:sz w:val="20"/>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paragraph" w:customStyle="1" w:styleId="Calibr">
    <w:name w:val="Calibr"/>
    <w:basedOn w:val="Text1"/>
    <w:pPr>
      <w:suppressAutoHyphens w:val="0"/>
      <w:ind w:left="0"/>
    </w:pPr>
    <w:rPr>
      <w:noProof/>
      <w:lang w:eastAsia="en-US"/>
    </w:rPr>
  </w:style>
  <w:style w:type="table" w:customStyle="1" w:styleId="MediumShading1-Accent111">
    <w:name w:val="Medium Shading 1 - Accent 111"/>
    <w:basedOn w:val="TableNormal"/>
    <w:next w:val="MediumShading1-Accent1"/>
    <w:uiPriority w:val="63"/>
    <w:pPr>
      <w:spacing w:after="0" w:line="240" w:lineRule="auto"/>
    </w:pPr>
    <w:rPr>
      <w:rFonts w:ascii="Arial" w:hAnsi="Arial" w:cs="Arial"/>
      <w:sz w:val="20"/>
      <w:szCs w:val="20"/>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EText">
    <w:name w:val="E Text"/>
    <w:qFormat/>
    <w:pPr>
      <w:spacing w:after="120" w:line="360" w:lineRule="auto"/>
      <w:jc w:val="both"/>
    </w:pPr>
    <w:rPr>
      <w:rFonts w:ascii="Arial" w:eastAsia="Times New Roman" w:hAnsi="Arial" w:cs="Times New Roman"/>
      <w:sz w:val="20"/>
      <w:szCs w:val="20"/>
      <w:lang w:eastAsia="de-DE"/>
    </w:rPr>
  </w:style>
  <w:style w:type="paragraph" w:customStyle="1" w:styleId="TEMPLATEColophonBold">
    <w:name w:val="TEMPLATE Colophon Bold"/>
    <w:basedOn w:val="TEMPLATEColophon"/>
    <w:rPr>
      <w:b/>
      <w:bCs/>
    </w:rPr>
  </w:style>
  <w:style w:type="paragraph" w:customStyle="1" w:styleId="Etabletext">
    <w:name w:val="E table text"/>
    <w:link w:val="EtabletextChar"/>
    <w:qFormat/>
    <w:pPr>
      <w:spacing w:before="40" w:after="40" w:line="240" w:lineRule="auto"/>
    </w:pPr>
    <w:rPr>
      <w:rFonts w:ascii="Verdana" w:eastAsia="Times New Roman" w:hAnsi="Verdana" w:cs="Times New Roman"/>
      <w:sz w:val="16"/>
      <w:szCs w:val="20"/>
      <w:lang w:eastAsia="de-DE"/>
    </w:rPr>
  </w:style>
  <w:style w:type="paragraph" w:customStyle="1" w:styleId="TEMPLATENameofInstitutions">
    <w:name w:val="TEMPLATE Name of Institutions"/>
    <w:pPr>
      <w:keepLines/>
      <w:framePr w:wrap="around" w:hAnchor="text" w:yAlign="bottom"/>
      <w:spacing w:after="0" w:line="320" w:lineRule="atLeast"/>
    </w:pPr>
    <w:rPr>
      <w:rFonts w:ascii="Arial" w:eastAsia="Times New Roman" w:hAnsi="Arial" w:cs="Times New Roman"/>
      <w:szCs w:val="20"/>
      <w:lang w:eastAsia="de-DE"/>
    </w:rPr>
  </w:style>
  <w:style w:type="paragraph" w:customStyle="1" w:styleId="TEMPLATEVersuchTextbox">
    <w:name w:val="TEMPLATE Versuch Textbox"/>
    <w:basedOn w:val="EText"/>
    <w:pPr>
      <w:pBdr>
        <w:top w:val="dotted" w:sz="4" w:space="1" w:color="auto"/>
        <w:left w:val="dotted" w:sz="4" w:space="4" w:color="auto"/>
        <w:bottom w:val="dotted" w:sz="4" w:space="1" w:color="auto"/>
        <w:right w:val="dotted" w:sz="4" w:space="4" w:color="auto"/>
      </w:pBdr>
      <w:shd w:val="clear" w:color="auto" w:fill="C6D9F1" w:themeFill="text2" w:themeFillTint="33"/>
      <w:spacing w:after="0" w:line="288" w:lineRule="auto"/>
    </w:pPr>
  </w:style>
  <w:style w:type="paragraph" w:customStyle="1" w:styleId="TEMPLATEColophon">
    <w:name w:val="TEMPLATE Colophon"/>
    <w:pPr>
      <w:spacing w:after="0" w:line="240" w:lineRule="atLeast"/>
      <w:jc w:val="both"/>
    </w:pPr>
    <w:rPr>
      <w:rFonts w:ascii="Arial" w:eastAsia="Times New Roman" w:hAnsi="Arial" w:cs="Times New Roman"/>
      <w:noProof/>
      <w:sz w:val="18"/>
      <w:szCs w:val="20"/>
    </w:rPr>
  </w:style>
  <w:style w:type="paragraph" w:customStyle="1" w:styleId="TEMPLATEHeadingPartsnotinTOC">
    <w:name w:val="TEMPLATE Heading Parts (not in TOC)"/>
    <w:next w:val="EText"/>
    <w:pPr>
      <w:pageBreakBefore/>
      <w:widowControl w:val="0"/>
      <w:spacing w:after="160" w:line="240" w:lineRule="auto"/>
    </w:pPr>
    <w:rPr>
      <w:rFonts w:ascii="Arial" w:eastAsia="Times New Roman" w:hAnsi="Arial" w:cs="Times New Roman"/>
      <w:b/>
      <w:sz w:val="28"/>
      <w:szCs w:val="20"/>
      <w:lang w:eastAsia="de-DE"/>
    </w:rPr>
  </w:style>
  <w:style w:type="paragraph" w:customStyle="1" w:styleId="TEMPLATEHeadingforAnnexesandAfterword">
    <w:name w:val="TEMPLATE Heading for Annexes and Afterword"/>
    <w:next w:val="EText"/>
    <w:pPr>
      <w:pageBreakBefore/>
      <w:spacing w:after="160" w:line="240" w:lineRule="auto"/>
      <w:outlineLvl w:val="0"/>
    </w:pPr>
    <w:rPr>
      <w:rFonts w:ascii="Arial" w:eastAsia="Times New Roman" w:hAnsi="Arial" w:cs="Times New Roman"/>
      <w:b/>
      <w:sz w:val="28"/>
      <w:szCs w:val="20"/>
      <w:lang w:eastAsia="de-DE"/>
    </w:rPr>
  </w:style>
  <w:style w:type="paragraph" w:customStyle="1" w:styleId="TEMPLATEColophonSpacing">
    <w:name w:val="TEMPLATE Colophon Spacing"/>
    <w:pPr>
      <w:spacing w:after="0" w:line="240" w:lineRule="auto"/>
    </w:pPr>
    <w:rPr>
      <w:rFonts w:ascii="Arial" w:eastAsia="Times New Roman" w:hAnsi="Arial" w:cs="Times New Roman"/>
      <w:szCs w:val="24"/>
    </w:rPr>
  </w:style>
  <w:style w:type="paragraph" w:customStyle="1" w:styleId="TEMPLATECreatenewpage">
    <w:name w:val="TEMPLATE Create new page"/>
    <w:pPr>
      <w:pageBreakBefore/>
      <w:widowControl w:val="0"/>
      <w:spacing w:after="0" w:line="240" w:lineRule="auto"/>
    </w:pPr>
    <w:rPr>
      <w:rFonts w:ascii="Arial" w:eastAsia="Times New Roman" w:hAnsi="Arial" w:cs="Times New Roman"/>
      <w:noProof/>
      <w:color w:val="FFFFFF" w:themeColor="background1"/>
      <w:sz w:val="20"/>
      <w:szCs w:val="20"/>
      <w:lang w:eastAsia="de-DE"/>
    </w:rPr>
  </w:style>
  <w:style w:type="paragraph" w:customStyle="1" w:styleId="TEMPLATEHeadingListsandExSummary">
    <w:name w:val="TEMPLATE Heading Lists and ExSummary"/>
    <w:next w:val="EText"/>
    <w:pPr>
      <w:widowControl w:val="0"/>
      <w:spacing w:after="160" w:line="240" w:lineRule="auto"/>
    </w:pPr>
    <w:rPr>
      <w:rFonts w:ascii="Arial" w:eastAsia="Times New Roman" w:hAnsi="Arial" w:cs="Times New Roman"/>
      <w:b/>
      <w:sz w:val="28"/>
      <w:szCs w:val="20"/>
      <w:lang w:eastAsia="de-DE"/>
    </w:rPr>
  </w:style>
  <w:style w:type="paragraph" w:customStyle="1" w:styleId="TEMPLATELastPage">
    <w:name w:val="TEMPLATE Last Page"/>
    <w:pPr>
      <w:spacing w:after="0" w:line="240" w:lineRule="auto"/>
      <w:jc w:val="both"/>
    </w:pPr>
    <w:rPr>
      <w:rFonts w:ascii="Arial" w:eastAsia="Times New Roman" w:hAnsi="Arial" w:cs="Arial"/>
      <w:sz w:val="18"/>
      <w:szCs w:val="20"/>
    </w:rPr>
  </w:style>
  <w:style w:type="paragraph" w:customStyle="1" w:styleId="TEMPLATEAbbreviations">
    <w:name w:val="TEMPLATE Abbreviations"/>
    <w:pPr>
      <w:spacing w:after="0" w:line="240" w:lineRule="auto"/>
    </w:pPr>
    <w:rPr>
      <w:rFonts w:ascii="Arial" w:eastAsia="Times New Roman" w:hAnsi="Arial" w:cs="Times New Roman"/>
      <w:noProof/>
      <w:sz w:val="20"/>
      <w:szCs w:val="20"/>
      <w:lang w:eastAsia="de-DE"/>
    </w:rPr>
  </w:style>
  <w:style w:type="paragraph" w:customStyle="1" w:styleId="EBP2">
    <w:name w:val="E BP2"/>
    <w:next w:val="EText"/>
    <w:qFormat/>
    <w:pPr>
      <w:numPr>
        <w:numId w:val="134"/>
      </w:numPr>
      <w:spacing w:after="120" w:line="288" w:lineRule="auto"/>
      <w:ind w:left="454" w:hanging="227"/>
      <w:contextualSpacing/>
      <w:jc w:val="both"/>
    </w:pPr>
    <w:rPr>
      <w:rFonts w:ascii="Arial" w:eastAsia="Times New Roman" w:hAnsi="Arial" w:cs="Times New Roman"/>
      <w:sz w:val="18"/>
      <w:szCs w:val="20"/>
      <w:lang w:eastAsia="de-DE"/>
    </w:rPr>
  </w:style>
  <w:style w:type="character" w:styleId="Strong">
    <w:name w:val="Strong"/>
    <w:aliases w:val="E Bold"/>
    <w:basedOn w:val="DefaultParagraphFont"/>
    <w:uiPriority w:val="22"/>
    <w:qFormat/>
    <w:rPr>
      <w:b/>
      <w:bCs/>
    </w:rPr>
  </w:style>
  <w:style w:type="paragraph" w:customStyle="1" w:styleId="EBP1">
    <w:name w:val="E BP1"/>
    <w:basedOn w:val="EBP2"/>
    <w:next w:val="EText"/>
    <w:qFormat/>
    <w:pPr>
      <w:ind w:left="5334" w:hanging="360"/>
    </w:pPr>
    <w:rPr>
      <w:sz w:val="20"/>
      <w:lang w:eastAsia="en-US"/>
    </w:rPr>
  </w:style>
  <w:style w:type="paragraph" w:customStyle="1" w:styleId="ECaptionBelowSource">
    <w:name w:val="E Caption Below (Source)"/>
    <w:next w:val="EText"/>
    <w:qFormat/>
    <w:pPr>
      <w:spacing w:before="40" w:after="240" w:line="240" w:lineRule="auto"/>
    </w:pPr>
    <w:rPr>
      <w:rFonts w:ascii="Arial" w:eastAsia="Times New Roman" w:hAnsi="Arial" w:cs="Times New Roman"/>
      <w:bCs/>
      <w:i/>
      <w:sz w:val="18"/>
      <w:szCs w:val="18"/>
    </w:rPr>
  </w:style>
  <w:style w:type="paragraph" w:customStyle="1" w:styleId="TEMPLATEFrontpagetitle">
    <w:name w:val="TEMPLATE Frontpage title"/>
    <w:pPr>
      <w:spacing w:after="0" w:line="240" w:lineRule="auto"/>
      <w:jc w:val="center"/>
    </w:pPr>
    <w:rPr>
      <w:rFonts w:ascii="Arial" w:eastAsia="Times New Roman" w:hAnsi="Arial" w:cs="Times New Roman"/>
      <w:sz w:val="60"/>
      <w:szCs w:val="24"/>
    </w:rPr>
  </w:style>
  <w:style w:type="paragraph" w:customStyle="1" w:styleId="TEMPLATETitlethirdpage">
    <w:name w:val="TEMPLATE Title third page"/>
    <w:pPr>
      <w:spacing w:after="0" w:line="240" w:lineRule="auto"/>
      <w:jc w:val="center"/>
    </w:pPr>
    <w:rPr>
      <w:rFonts w:ascii="Arial" w:eastAsia="Times New Roman" w:hAnsi="Arial" w:cs="Times New Roman"/>
      <w:sz w:val="52"/>
      <w:szCs w:val="20"/>
      <w:lang w:val="en-US" w:eastAsia="de-DE"/>
    </w:rPr>
  </w:style>
  <w:style w:type="paragraph" w:customStyle="1" w:styleId="TEMPLATEFrontpageothertext">
    <w:name w:val="TEMPLATE Frontpage other text"/>
    <w:pPr>
      <w:spacing w:after="0" w:line="240" w:lineRule="auto"/>
      <w:jc w:val="center"/>
    </w:pPr>
    <w:rPr>
      <w:rFonts w:ascii="Arial" w:eastAsia="Times New Roman" w:hAnsi="Arial" w:cs="Times New Roman"/>
      <w:sz w:val="36"/>
      <w:szCs w:val="20"/>
      <w:lang w:eastAsia="de-DE"/>
    </w:rPr>
  </w:style>
  <w:style w:type="paragraph" w:customStyle="1" w:styleId="ETextNoSpacing">
    <w:name w:val="E Text No Spacing"/>
    <w:basedOn w:val="EText"/>
    <w:qFormat/>
    <w:pPr>
      <w:keepNext/>
      <w:spacing w:after="0"/>
    </w:pPr>
  </w:style>
  <w:style w:type="table" w:customStyle="1" w:styleId="LightShading1">
    <w:name w:val="Light Shading1"/>
    <w:basedOn w:val="TableNormal"/>
    <w:uiPriority w:val="60"/>
    <w:pPr>
      <w:spacing w:after="0" w:line="240" w:lineRule="auto"/>
    </w:pPr>
    <w:rPr>
      <w:rFonts w:ascii="Times New Roman" w:eastAsia="Times New Roman"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EReferenceList">
    <w:name w:val="E Reference List"/>
    <w:qFormat/>
    <w:pPr>
      <w:spacing w:after="120" w:line="240" w:lineRule="auto"/>
    </w:pPr>
    <w:rPr>
      <w:rFonts w:ascii="Arial" w:eastAsia="Times New Roman" w:hAnsi="Arial" w:cs="Times New Roman"/>
      <w:iCs/>
      <w:sz w:val="18"/>
      <w:szCs w:val="20"/>
    </w:rPr>
  </w:style>
  <w:style w:type="paragraph" w:customStyle="1" w:styleId="Etableheader">
    <w:name w:val="E table header"/>
    <w:basedOn w:val="Etabletext"/>
    <w:link w:val="EtableheaderChar1"/>
    <w:qFormat/>
    <w:rPr>
      <w:b/>
    </w:rPr>
  </w:style>
  <w:style w:type="character" w:customStyle="1" w:styleId="EtableheaderChar1">
    <w:name w:val="E table header Char1"/>
    <w:basedOn w:val="EtabletextChar"/>
    <w:link w:val="Etableheader"/>
    <w:rPr>
      <w:rFonts w:ascii="Verdana" w:eastAsia="Times New Roman" w:hAnsi="Verdana" w:cs="Times New Roman"/>
      <w:b/>
      <w:sz w:val="16"/>
      <w:szCs w:val="20"/>
      <w:lang w:eastAsia="de-DE"/>
    </w:rPr>
  </w:style>
  <w:style w:type="character" w:customStyle="1" w:styleId="EtabletextChar">
    <w:name w:val="E table text Char"/>
    <w:basedOn w:val="DefaultParagraphFont"/>
    <w:link w:val="Etabletext"/>
    <w:rPr>
      <w:rFonts w:ascii="Verdana" w:eastAsia="Times New Roman" w:hAnsi="Verdana" w:cs="Times New Roman"/>
      <w:sz w:val="16"/>
      <w:szCs w:val="20"/>
      <w:lang w:eastAsia="de-DE"/>
    </w:rPr>
  </w:style>
  <w:style w:type="character" w:customStyle="1" w:styleId="EtableheaderChar">
    <w:name w:val="E table header Char"/>
    <w:basedOn w:val="EtabletextChar"/>
    <w:rPr>
      <w:rFonts w:ascii="Verdana" w:eastAsia="Times New Roman" w:hAnsi="Verdana" w:cs="Times New Roman"/>
      <w:sz w:val="16"/>
      <w:szCs w:val="20"/>
      <w:lang w:eastAsia="de-DE"/>
    </w:rPr>
  </w:style>
  <w:style w:type="paragraph" w:customStyle="1" w:styleId="EH5">
    <w:name w:val="E H5"/>
    <w:next w:val="EText"/>
    <w:qFormat/>
    <w:pPr>
      <w:spacing w:before="60" w:after="120" w:line="240" w:lineRule="auto"/>
    </w:pPr>
    <w:rPr>
      <w:rFonts w:ascii="Arial" w:eastAsia="Times New Roman" w:hAnsi="Arial" w:cs="Times New Roman"/>
      <w:b/>
      <w:bCs/>
      <w:sz w:val="21"/>
      <w:szCs w:val="20"/>
      <w:lang w:eastAsia="de-DE"/>
    </w:rPr>
  </w:style>
  <w:style w:type="paragraph" w:customStyle="1" w:styleId="Abbildung">
    <w:name w:val="Abbildung"/>
    <w:basedOn w:val="Normal"/>
    <w:qFormat/>
    <w:pPr>
      <w:spacing w:after="0" w:line="240" w:lineRule="auto"/>
    </w:pPr>
    <w:rPr>
      <w:rFonts w:ascii="Arial" w:eastAsia="Times New Roman" w:hAnsi="Arial" w:cs="Times New Roman"/>
      <w:noProof/>
      <w:szCs w:val="24"/>
      <w:lang w:eastAsia="it-IT"/>
    </w:rPr>
  </w:style>
  <w:style w:type="paragraph" w:customStyle="1" w:styleId="Tabelle">
    <w:name w:val="Tabelle"/>
    <w:basedOn w:val="Normal"/>
    <w:qFormat/>
    <w:pPr>
      <w:spacing w:before="40" w:after="40" w:line="240" w:lineRule="auto"/>
    </w:pPr>
    <w:rPr>
      <w:rFonts w:ascii="Arial" w:eastAsia="Times New Roman" w:hAnsi="Arial" w:cs="Times New Roman"/>
      <w:bCs/>
      <w:sz w:val="18"/>
      <w:szCs w:val="18"/>
      <w:lang w:eastAsia="de-DE"/>
    </w:rPr>
  </w:style>
  <w:style w:type="paragraph" w:customStyle="1" w:styleId="Quelle">
    <w:name w:val="Quelle"/>
    <w:basedOn w:val="Normal"/>
    <w:next w:val="Normal"/>
    <w:qFormat/>
    <w:pPr>
      <w:spacing w:before="80" w:after="240" w:line="240" w:lineRule="auto"/>
    </w:pPr>
    <w:rPr>
      <w:rFonts w:ascii="Arial" w:eastAsia="Times New Roman" w:hAnsi="Arial" w:cs="Times New Roman"/>
      <w:bCs/>
      <w:iCs/>
      <w:sz w:val="18"/>
      <w:szCs w:val="20"/>
      <w:lang w:eastAsia="de-DE"/>
    </w:rPr>
  </w:style>
  <w:style w:type="paragraph" w:customStyle="1" w:styleId="Enumbering">
    <w:name w:val="E numbering"/>
    <w:basedOn w:val="EBP1"/>
    <w:pPr>
      <w:numPr>
        <w:numId w:val="135"/>
      </w:numPr>
      <w:ind w:left="567" w:hanging="340"/>
    </w:pPr>
  </w:style>
  <w:style w:type="character" w:customStyle="1" w:styleId="st">
    <w:name w:val="st"/>
    <w:basedOn w:val="DefaultParagraphFont"/>
  </w:style>
  <w:style w:type="character" w:customStyle="1" w:styleId="tgc">
    <w:name w:val="_tgc"/>
    <w:basedOn w:val="DefaultParagraphFont"/>
  </w:style>
  <w:style w:type="numbering" w:customStyle="1" w:styleId="KeineListe1">
    <w:name w:val="Keine Liste1"/>
    <w:next w:val="NoList"/>
    <w:uiPriority w:val="99"/>
    <w:semiHidden/>
    <w:unhideWhenUsed/>
  </w:style>
  <w:style w:type="paragraph" w:customStyle="1" w:styleId="ESPONText">
    <w:name w:val="ESPON Text"/>
    <w:basedOn w:val="Normal"/>
    <w:pPr>
      <w:spacing w:after="120" w:line="300" w:lineRule="atLeast"/>
      <w:jc w:val="both"/>
    </w:pPr>
    <w:rPr>
      <w:rFonts w:ascii="Arial" w:eastAsia="Times New Roman" w:hAnsi="Arial" w:cs="Times New Roman"/>
      <w:szCs w:val="20"/>
      <w:lang w:eastAsia="de-DE"/>
    </w:rPr>
  </w:style>
  <w:style w:type="paragraph" w:customStyle="1" w:styleId="ESPONSubtitle">
    <w:name w:val="ESPON Subtitle"/>
    <w:basedOn w:val="Normal"/>
    <w:next w:val="ESPONText"/>
    <w:pPr>
      <w:keepNext/>
      <w:numPr>
        <w:numId w:val="137"/>
      </w:numPr>
      <w:autoSpaceDE w:val="0"/>
      <w:autoSpaceDN w:val="0"/>
      <w:adjustRightInd w:val="0"/>
      <w:spacing w:before="360" w:after="240" w:line="300" w:lineRule="atLeast"/>
      <w:ind w:left="567" w:hanging="567"/>
    </w:pPr>
    <w:rPr>
      <w:rFonts w:ascii="Arial" w:eastAsia="Times New Roman" w:hAnsi="Arial" w:cs="Times New Roman"/>
      <w:b/>
      <w:color w:val="365F91"/>
      <w:szCs w:val="20"/>
    </w:rPr>
  </w:style>
  <w:style w:type="paragraph" w:customStyle="1" w:styleId="ESPONTableHeading">
    <w:name w:val="ESPON Table Heading"/>
    <w:basedOn w:val="ESPONFigureHeading"/>
    <w:next w:val="ESPONText"/>
  </w:style>
  <w:style w:type="paragraph" w:customStyle="1" w:styleId="ESPONFigureHeading">
    <w:name w:val="ESPON Figure Heading"/>
    <w:basedOn w:val="Caption"/>
    <w:next w:val="ESPONText"/>
    <w:pPr>
      <w:keepNext/>
      <w:suppressLineNumbers w:val="0"/>
      <w:suppressAutoHyphens w:val="0"/>
      <w:spacing w:before="240"/>
      <w:ind w:left="851" w:hanging="851"/>
      <w:jc w:val="left"/>
    </w:pPr>
    <w:rPr>
      <w:rFonts w:ascii="Arial" w:hAnsi="Arial" w:cs="Times New Roman"/>
      <w:b/>
      <w:bCs/>
      <w:i w:val="0"/>
      <w:iCs w:val="0"/>
      <w:color w:val="365F91"/>
      <w:sz w:val="18"/>
      <w:szCs w:val="20"/>
      <w:lang w:eastAsia="en-US"/>
    </w:rPr>
  </w:style>
  <w:style w:type="paragraph" w:customStyle="1" w:styleId="ESPONMapHeading">
    <w:name w:val="ESPON Map Heading"/>
    <w:basedOn w:val="ESPONFigureHeading"/>
    <w:next w:val="ESPONText"/>
  </w:style>
  <w:style w:type="paragraph" w:customStyle="1" w:styleId="Aufzhlung">
    <w:name w:val="Aufzählung"/>
    <w:basedOn w:val="AufzhlungEnde"/>
    <w:qFormat/>
    <w:pPr>
      <w:tabs>
        <w:tab w:val="left" w:pos="426"/>
      </w:tabs>
      <w:spacing w:after="60"/>
    </w:pPr>
  </w:style>
  <w:style w:type="paragraph" w:customStyle="1" w:styleId="AufzhlungEnde">
    <w:name w:val="Aufzählung_Ende"/>
    <w:basedOn w:val="ESPONText"/>
    <w:qFormat/>
    <w:pPr>
      <w:numPr>
        <w:numId w:val="136"/>
      </w:numPr>
    </w:pPr>
  </w:style>
  <w:style w:type="character" w:customStyle="1" w:styleId="CharChar7">
    <w:name w:val="Char Char7"/>
    <w:rPr>
      <w:rFonts w:ascii="Times" w:hAnsi="Times"/>
      <w:b/>
      <w:noProof/>
      <w:lang w:val="it-IT" w:eastAsia="it-IT"/>
    </w:rPr>
  </w:style>
  <w:style w:type="paragraph" w:styleId="NoSpacing">
    <w:name w:val="No Spacing"/>
    <w:link w:val="NoSpacingChar"/>
    <w:uiPriority w:val="1"/>
    <w:qFormat/>
    <w:pPr>
      <w:spacing w:after="0" w:line="240" w:lineRule="auto"/>
    </w:pPr>
    <w:rPr>
      <w:rFonts w:ascii="Calibri" w:eastAsia="Times New Roman" w:hAnsi="Calibri" w:cs="Arial"/>
      <w:lang w:val="de-DE"/>
    </w:rPr>
  </w:style>
  <w:style w:type="character" w:customStyle="1" w:styleId="NoSpacingChar">
    <w:name w:val="No Spacing Char"/>
    <w:link w:val="NoSpacing"/>
    <w:uiPriority w:val="1"/>
    <w:rPr>
      <w:rFonts w:ascii="Calibri" w:eastAsia="Times New Roman" w:hAnsi="Calibri" w:cs="Arial"/>
      <w:lang w:val="de-DE"/>
    </w:rPr>
  </w:style>
  <w:style w:type="table" w:customStyle="1" w:styleId="Tabellengitternetz1">
    <w:name w:val="Tabellengitternetz1"/>
    <w:basedOn w:val="TableNormal"/>
    <w:next w:val="TableGrid"/>
    <w:uiPriority w:val="59"/>
    <w:pPr>
      <w:spacing w:after="0" w:line="240" w:lineRule="auto"/>
    </w:pPr>
    <w:rPr>
      <w:rFonts w:ascii="Calibri" w:eastAsia="Calibri" w:hAnsi="Calibri" w:cs="Arial"/>
      <w:sz w:val="20"/>
      <w:szCs w:val="20"/>
      <w:lang w:val="fr-BE"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PONColophon">
    <w:name w:val="ESPON Colophon"/>
    <w:basedOn w:val="Normal"/>
    <w:pPr>
      <w:spacing w:after="0" w:line="240" w:lineRule="atLeast"/>
      <w:ind w:right="5103"/>
    </w:pPr>
    <w:rPr>
      <w:rFonts w:ascii="Arial" w:eastAsia="Times New Roman" w:hAnsi="Arial" w:cs="Times New Roman"/>
      <w:sz w:val="16"/>
      <w:szCs w:val="20"/>
    </w:rPr>
  </w:style>
  <w:style w:type="paragraph" w:customStyle="1" w:styleId="Impressum">
    <w:name w:val="Impressum"/>
    <w:basedOn w:val="Normal"/>
    <w:pPr>
      <w:spacing w:after="240" w:line="280" w:lineRule="atLeast"/>
    </w:pPr>
    <w:rPr>
      <w:rFonts w:ascii="Humnst777 Lt BT" w:eastAsia="Times New Roman" w:hAnsi="Humnst777 Lt BT" w:cs="Times New Roman"/>
      <w:sz w:val="20"/>
      <w:szCs w:val="20"/>
      <w:lang w:eastAsia="de-DE"/>
    </w:rPr>
  </w:style>
  <w:style w:type="table" w:customStyle="1" w:styleId="Tabellengitternetz11">
    <w:name w:val="Tabellengitternetz11"/>
    <w:basedOn w:val="TableNormal"/>
    <w:uiPriority w:val="59"/>
    <w:pPr>
      <w:spacing w:after="0" w:line="240" w:lineRule="auto"/>
    </w:pPr>
    <w:rPr>
      <w:rFonts w:ascii="Times New Roman" w:eastAsia="Times New Roman" w:hAnsi="Times New Roman" w:cs="Times New Roman"/>
      <w:sz w:val="20"/>
      <w:szCs w:val="20"/>
      <w:lang w:val="fr-BE"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wischenberschrift">
    <w:name w:val="Zwischenüberschrift"/>
    <w:basedOn w:val="Normal"/>
    <w:next w:val="Normal"/>
    <w:qFormat/>
    <w:pPr>
      <w:keepNext/>
      <w:spacing w:before="120" w:after="120" w:line="320" w:lineRule="atLeast"/>
    </w:pPr>
    <w:rPr>
      <w:rFonts w:ascii="Arial" w:eastAsia="Times New Roman" w:hAnsi="Arial" w:cs="Times New Roman"/>
      <w:b/>
      <w:szCs w:val="24"/>
    </w:rPr>
  </w:style>
  <w:style w:type="paragraph" w:customStyle="1" w:styleId="Judgement">
    <w:name w:val="Judgement"/>
    <w:basedOn w:val="Normal"/>
    <w:next w:val="Normal"/>
    <w:qFormat/>
    <w:pPr>
      <w:keepNext/>
      <w:spacing w:before="120" w:after="120" w:line="280" w:lineRule="atLeast"/>
    </w:pPr>
    <w:rPr>
      <w:rFonts w:ascii="Arial" w:eastAsia="Times New Roman" w:hAnsi="Arial" w:cs="Times New Roman"/>
      <w:i/>
      <w:color w:val="365F91"/>
      <w:sz w:val="19"/>
      <w:szCs w:val="19"/>
    </w:rPr>
  </w:style>
  <w:style w:type="paragraph" w:customStyle="1" w:styleId="RegularText">
    <w:name w:val="Regular_Text"/>
    <w:uiPriority w:val="99"/>
    <w:qFormat/>
    <w:pPr>
      <w:spacing w:after="120" w:line="240" w:lineRule="auto"/>
      <w:jc w:val="both"/>
    </w:pPr>
    <w:rPr>
      <w:rFonts w:ascii="Times New Roman" w:eastAsia="Calibri" w:hAnsi="Times New Roman" w:cs="Times New Roman"/>
      <w:sz w:val="28"/>
    </w:rPr>
  </w:style>
  <w:style w:type="table" w:customStyle="1" w:styleId="HelleSchattierung-Akzent51">
    <w:name w:val="Helle Schattierung - Akzent 51"/>
    <w:basedOn w:val="TableNormal"/>
    <w:next w:val="LightShading-Accent5"/>
    <w:uiPriority w:val="60"/>
    <w:pPr>
      <w:spacing w:after="0" w:line="240" w:lineRule="auto"/>
    </w:pPr>
    <w:rPr>
      <w:rFonts w:ascii="Calibri" w:eastAsia="Calibri" w:hAnsi="Calibri" w:cs="Arial"/>
      <w:color w:val="31849B"/>
      <w:sz w:val="20"/>
      <w:szCs w:val="20"/>
      <w:lang w:val="fr-BE" w:eastAsia="fr-BE"/>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Inhaltsverzeichnisberschrift1">
    <w:name w:val="Inhaltsverzeichnisüberschrift1"/>
    <w:basedOn w:val="Heading1"/>
    <w:next w:val="Normal"/>
    <w:uiPriority w:val="39"/>
    <w:unhideWhenUsed/>
    <w:qFormat/>
    <w:pPr>
      <w:keepLines/>
      <w:numPr>
        <w:numId w:val="0"/>
      </w:numPr>
      <w:spacing w:before="480" w:after="0" w:line="276" w:lineRule="auto"/>
      <w:jc w:val="left"/>
      <w:outlineLvl w:val="9"/>
    </w:pPr>
    <w:rPr>
      <w:rFonts w:ascii="Cambria" w:hAnsi="Cambria"/>
      <w:smallCaps w:val="0"/>
      <w:color w:val="365F91"/>
      <w:sz w:val="28"/>
      <w:szCs w:val="28"/>
      <w:lang w:val="en-US" w:eastAsia="ja-JP"/>
    </w:rPr>
  </w:style>
  <w:style w:type="table" w:styleId="LightShading-Accent5">
    <w:name w:val="Light Shading Accent 5"/>
    <w:basedOn w:val="TableNormal"/>
    <w:uiPriority w:val="60"/>
    <w:pPr>
      <w:spacing w:after="0" w:line="240" w:lineRule="auto"/>
    </w:pPr>
    <w:rPr>
      <w:rFonts w:ascii="Times New Roman" w:eastAsia="Times New Roman" w:hAnsi="Times New Roman" w:cs="Times New Roman"/>
      <w:color w:val="31849B" w:themeColor="accent5" w:themeShade="BF"/>
      <w:sz w:val="20"/>
      <w:szCs w:val="20"/>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E-mailSignature">
    <w:name w:val="E-mail Signature"/>
    <w:basedOn w:val="Normal"/>
    <w:link w:val="E-mailSignatureChar"/>
    <w:uiPriority w:val="99"/>
    <w:unhideWhenUsed/>
    <w:pPr>
      <w:spacing w:after="0" w:line="240" w:lineRule="auto"/>
      <w:jc w:val="both"/>
    </w:pPr>
    <w:rPr>
      <w:rFonts w:ascii="Arial" w:eastAsia="Times New Roman" w:hAnsi="Arial" w:cs="Times New Roman"/>
      <w:sz w:val="20"/>
      <w:szCs w:val="20"/>
      <w:lang w:eastAsia="de-DE"/>
    </w:rPr>
  </w:style>
  <w:style w:type="character" w:customStyle="1" w:styleId="E-mailSignatureChar">
    <w:name w:val="E-mail Signature Char"/>
    <w:basedOn w:val="DefaultParagraphFont"/>
    <w:link w:val="E-mailSignature"/>
    <w:uiPriority w:val="99"/>
    <w:rPr>
      <w:rFonts w:ascii="Arial" w:eastAsia="Times New Roman" w:hAnsi="Arial" w:cs="Times New Roman"/>
      <w:sz w:val="20"/>
      <w:szCs w:val="20"/>
      <w:lang w:eastAsia="de-DE"/>
    </w:rPr>
  </w:style>
  <w:style w:type="paragraph" w:customStyle="1" w:styleId="TableTextNoSpace">
    <w:name w:val="Table Text NoSpace"/>
    <w:basedOn w:val="Normal"/>
    <w:uiPriority w:val="7"/>
    <w:qFormat/>
    <w:pPr>
      <w:spacing w:after="0" w:line="220" w:lineRule="atLeast"/>
    </w:pPr>
    <w:rPr>
      <w:rFonts w:ascii="Verdana" w:eastAsia="Times New Roman" w:hAnsi="Verdana" w:cs="Arial"/>
      <w:sz w:val="16"/>
      <w:szCs w:val="23"/>
      <w:lang w:eastAsia="da-DK"/>
    </w:rPr>
  </w:style>
  <w:style w:type="table" w:customStyle="1" w:styleId="CowiTableLines">
    <w:name w:val="Cowi Table Lines"/>
    <w:basedOn w:val="TableGrid6"/>
    <w:uiPriority w:val="99"/>
    <w:pPr>
      <w:spacing w:after="0" w:line="270" w:lineRule="atLeast"/>
      <w:jc w:val="left"/>
    </w:pPr>
    <w:rPr>
      <w:sz w:val="23"/>
      <w:szCs w:val="23"/>
      <w:lang w:val="da-DK" w:eastAsia="da-DK"/>
    </w:rPr>
    <w:tblPr>
      <w:tblBorders>
        <w:top w:val="single" w:sz="4" w:space="0" w:color="auto"/>
        <w:left w:val="single" w:sz="4" w:space="0" w:color="auto"/>
        <w:bottom w:val="single" w:sz="4" w:space="0" w:color="auto"/>
        <w:right w:val="single" w:sz="4" w:space="0" w:color="auto"/>
        <w:insideV w:val="single" w:sz="4" w:space="0" w:color="808080"/>
      </w:tblBorders>
      <w:tblCellMar>
        <w:top w:w="108" w:type="dxa"/>
        <w:bottom w:w="108" w:type="dxa"/>
      </w:tblCellMar>
    </w:tblPr>
    <w:tcPr>
      <w:shd w:val="clear" w:color="auto" w:fill="auto"/>
    </w:tcPr>
    <w:tblStylePr w:type="firstRow">
      <w:rPr>
        <w:b w:val="0"/>
        <w:bCs w:val="0"/>
        <w:color w:val="F04E23"/>
      </w:rPr>
      <w:tblPr/>
      <w:tcPr>
        <w:tcBorders>
          <w:bottom w:val="single" w:sz="8" w:space="0" w:color="808080"/>
          <w:tl2br w:val="none" w:sz="0" w:space="0" w:color="auto"/>
          <w:tr2bl w:val="none" w:sz="0" w:space="0" w:color="auto"/>
        </w:tcBorders>
      </w:tcPr>
    </w:tblStylePr>
    <w:tblStylePr w:type="lastRow">
      <w:rPr>
        <w:color w:val="auto"/>
      </w:rPr>
      <w:tblPr/>
      <w:tcPr>
        <w:tcBorders>
          <w:top w:val="nil"/>
          <w:tl2br w:val="none" w:sz="0" w:space="0" w:color="auto"/>
          <w:tr2bl w:val="none" w:sz="0" w:space="0" w:color="auto"/>
        </w:tcBorders>
      </w:tcPr>
    </w:tblStylePr>
    <w:tblStylePr w:type="firstCol">
      <w:rPr>
        <w:b w:val="0"/>
        <w:bCs/>
        <w:i w:val="0"/>
        <w:color w:val="F04E23"/>
      </w:rPr>
      <w:tblPr/>
      <w:tcPr>
        <w:tcBorders>
          <w:tl2br w:val="none" w:sz="0" w:space="0" w:color="auto"/>
          <w:tr2bl w:val="none" w:sz="0" w:space="0" w:color="auto"/>
        </w:tcBorders>
      </w:tcPr>
    </w:tblStylePr>
    <w:tblStylePr w:type="nwCell">
      <w:tblPr/>
      <w:tcPr>
        <w:tcBorders>
          <w:tl2br w:val="nil"/>
          <w:tr2bl w:val="none" w:sz="0" w:space="0" w:color="auto"/>
        </w:tcBorders>
      </w:tcPr>
    </w:tblStylePr>
  </w:style>
  <w:style w:type="table" w:styleId="TableGrid6">
    <w:name w:val="Table Grid 6"/>
    <w:basedOn w:val="TableNormal"/>
    <w:uiPriority w:val="99"/>
    <w:semiHidden/>
    <w:unhideWhenUsed/>
    <w:pPr>
      <w:spacing w:after="120" w:line="360" w:lineRule="auto"/>
      <w:jc w:val="both"/>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CowiBulletList">
    <w:name w:val="CowiBulletList"/>
    <w:pPr>
      <w:numPr>
        <w:numId w:val="138"/>
      </w:numPr>
    </w:pPr>
  </w:style>
  <w:style w:type="table" w:customStyle="1" w:styleId="LightList-Accent11">
    <w:name w:val="Light List - Accent 11"/>
    <w:basedOn w:val="TableNormal"/>
    <w:next w:val="LightList-Accent1"/>
    <w:uiPriority w:val="61"/>
    <w:pPr>
      <w:spacing w:after="0" w:line="240" w:lineRule="auto"/>
      <w:jc w:val="both"/>
    </w:pPr>
    <w:rPr>
      <w:rFonts w:ascii="Calibri" w:eastAsia="Calibri" w:hAnsi="Calibri" w:cs="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styleId="LightList-Accent1">
    <w:name w:val="Light List Accent 1"/>
    <w:basedOn w:val="TableNormal"/>
    <w:uiPriority w:val="61"/>
    <w:unhideWhenUsed/>
    <w:pPr>
      <w:spacing w:after="0" w:line="240" w:lineRule="auto"/>
    </w:pPr>
    <w:rPr>
      <w:rFonts w:ascii="Calibri" w:eastAsia="Times New Roman" w:hAnsi="Calibri" w:cs="Times New Roman"/>
      <w:sz w:val="20"/>
      <w:szCs w:val="20"/>
      <w:lang w:eastAsia="en-GB"/>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GridTable4-Accent13">
    <w:name w:val="Grid Table 4 - Accent 13"/>
    <w:basedOn w:val="TableNormal"/>
    <w:uiPriority w:val="49"/>
    <w:pPr>
      <w:spacing w:after="0" w:line="240" w:lineRule="auto"/>
    </w:pPr>
    <w:rPr>
      <w:rFonts w:ascii="Calibri" w:eastAsia="Calibri" w:hAnsi="Calibri" w:cs="Times New Roman"/>
      <w:lang w:val="it-IT"/>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2">
    <w:name w:val="Grid Table 4 - Accent 12"/>
    <w:basedOn w:val="TableNormal"/>
    <w:uiPriority w:val="49"/>
    <w:pPr>
      <w:spacing w:after="0" w:line="240" w:lineRule="auto"/>
    </w:pPr>
    <w:rPr>
      <w:rFonts w:ascii="Calibri" w:eastAsia="Calibri" w:hAnsi="Calibri" w:cs="Times New Roman"/>
      <w:lang w:val="it-IT"/>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21">
    <w:name w:val="Grid Table 4 - Accent 121"/>
    <w:basedOn w:val="TableNormal"/>
    <w:uiPriority w:val="49"/>
    <w:pPr>
      <w:spacing w:after="0" w:line="240" w:lineRule="auto"/>
    </w:pPr>
    <w:rPr>
      <w:rFonts w:ascii="Calibri" w:eastAsia="Calibri" w:hAnsi="Calibri" w:cs="Times New Roman"/>
      <w:lang w:val="it-IT"/>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22">
    <w:name w:val="Grid Table 4 - Accent 122"/>
    <w:basedOn w:val="TableNormal"/>
    <w:uiPriority w:val="49"/>
    <w:pPr>
      <w:spacing w:after="0" w:line="240" w:lineRule="auto"/>
    </w:pPr>
    <w:rPr>
      <w:rFonts w:ascii="Calibri" w:eastAsia="Calibri" w:hAnsi="Calibri" w:cs="Times New Roman"/>
      <w:lang w:val="it-IT"/>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Annexes">
    <w:name w:val="Annexes"/>
    <w:basedOn w:val="Heading2"/>
    <w:qFormat/>
    <w:pPr>
      <w:numPr>
        <w:ilvl w:val="0"/>
        <w:numId w:val="0"/>
      </w:numPr>
    </w:pPr>
    <w:rPr>
      <w:bCs w:val="0"/>
      <w:iCs w:val="0"/>
      <w:noProof/>
      <w:lang w:val="e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qFormat="1"/>
    <w:lsdException w:name="index heading" w:uiPriority="0"/>
    <w:lsdException w:name="caption" w:uiPriority="35" w:qFormat="1"/>
    <w:lsdException w:name="envelope address" w:uiPriority="0"/>
    <w:lsdException w:name="envelope return" w:uiPriority="0"/>
    <w:lsdException w:name="footnote reference" w:uiPriority="0" w:qFormat="1"/>
    <w:lsdException w:name="annotation reference" w:uiPriority="0"/>
    <w:lsdException w:name="page number" w:uiPriority="0"/>
    <w:lsdException w:name="endnote text" w:qFormat="1"/>
    <w:lsdException w:name="table of authorities" w:uiPriority="0"/>
    <w:lsdException w:name="macro" w:uiPriority="0"/>
    <w:lsdException w:name="toa heading" w:uiPriority="0"/>
    <w:lsdException w:name="List" w:uiPriority="0"/>
    <w:lsdException w:name="List Bullet" w:uiPriority="4"/>
    <w:lsdException w:name="List Number" w:uiPriority="0"/>
    <w:lsdException w:name="List 2" w:uiPriority="0"/>
    <w:lsdException w:name="List 3" w:uiPriority="0"/>
    <w:lsdException w:name="List 4" w:uiPriority="0"/>
    <w:lsdException w:name="List 5" w:uiPriority="0"/>
    <w:lsdException w:name="List Bullet 2" w:uiPriority="4"/>
    <w:lsdException w:name="List Bullet 3" w:uiPriority="4"/>
    <w:lsdException w:name="List Bullet 4" w:uiPriority="4"/>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Lev 1,E H1"/>
    <w:basedOn w:val="Normal"/>
    <w:next w:val="Text1"/>
    <w:link w:val="Heading1Char"/>
    <w:uiPriority w:val="9"/>
    <w:qFormat/>
    <w:pPr>
      <w:keepNext/>
      <w:numPr>
        <w:numId w:val="1"/>
      </w:numPr>
      <w:spacing w:before="360" w:after="120" w:line="240" w:lineRule="auto"/>
      <w:jc w:val="both"/>
      <w:outlineLvl w:val="0"/>
    </w:pPr>
    <w:rPr>
      <w:rFonts w:ascii="Times New Roman" w:eastAsia="Times New Roman" w:hAnsi="Times New Roman" w:cs="Times New Roman"/>
      <w:b/>
      <w:bCs/>
      <w:smallCaps/>
      <w:sz w:val="24"/>
      <w:szCs w:val="32"/>
      <w:lang w:eastAsia="de-DE"/>
    </w:rPr>
  </w:style>
  <w:style w:type="paragraph" w:styleId="Heading2">
    <w:name w:val="heading 2"/>
    <w:aliases w:val="Lev 2,E H2,Heading 2 Char1,Heading 2 Char Char Char"/>
    <w:basedOn w:val="Normal"/>
    <w:next w:val="Text2"/>
    <w:link w:val="Heading2Char"/>
    <w:uiPriority w:val="9"/>
    <w:qFormat/>
    <w:pPr>
      <w:keepNext/>
      <w:numPr>
        <w:ilvl w:val="1"/>
        <w:numId w:val="1"/>
      </w:numPr>
      <w:spacing w:before="120" w:after="120" w:line="240" w:lineRule="auto"/>
      <w:jc w:val="both"/>
      <w:outlineLvl w:val="1"/>
    </w:pPr>
    <w:rPr>
      <w:rFonts w:ascii="Times New Roman" w:eastAsia="Times New Roman" w:hAnsi="Times New Roman" w:cs="Times New Roman"/>
      <w:b/>
      <w:bCs/>
      <w:iCs/>
      <w:sz w:val="24"/>
      <w:szCs w:val="28"/>
      <w:lang w:eastAsia="de-DE"/>
    </w:rPr>
  </w:style>
  <w:style w:type="paragraph" w:styleId="Heading3">
    <w:name w:val="heading 3"/>
    <w:aliases w:val="E H3"/>
    <w:basedOn w:val="Normal"/>
    <w:next w:val="Text3"/>
    <w:link w:val="Heading3Char"/>
    <w:uiPriority w:val="9"/>
    <w:qFormat/>
    <w:pPr>
      <w:keepNext/>
      <w:numPr>
        <w:ilvl w:val="2"/>
        <w:numId w:val="1"/>
      </w:numPr>
      <w:spacing w:before="120" w:after="120" w:line="240" w:lineRule="auto"/>
      <w:jc w:val="both"/>
      <w:outlineLvl w:val="2"/>
    </w:pPr>
    <w:rPr>
      <w:rFonts w:ascii="Times New Roman" w:eastAsia="Times New Roman" w:hAnsi="Times New Roman" w:cs="Times New Roman"/>
      <w:bCs/>
      <w:i/>
      <w:sz w:val="24"/>
      <w:szCs w:val="26"/>
      <w:lang w:eastAsia="de-DE"/>
    </w:rPr>
  </w:style>
  <w:style w:type="paragraph" w:styleId="Heading4">
    <w:name w:val="heading 4"/>
    <w:aliases w:val="E H4"/>
    <w:basedOn w:val="Normal"/>
    <w:next w:val="Text4"/>
    <w:link w:val="Heading4Char"/>
    <w:uiPriority w:val="9"/>
    <w:qFormat/>
    <w:pPr>
      <w:keepNext/>
      <w:numPr>
        <w:ilvl w:val="3"/>
        <w:numId w:val="1"/>
      </w:numPr>
      <w:spacing w:before="120" w:after="120" w:line="240" w:lineRule="auto"/>
      <w:jc w:val="both"/>
      <w:outlineLvl w:val="3"/>
    </w:pPr>
    <w:rPr>
      <w:rFonts w:ascii="Times New Roman" w:eastAsia="Times New Roman" w:hAnsi="Times New Roman" w:cs="Times New Roman"/>
      <w:bCs/>
      <w:sz w:val="24"/>
      <w:szCs w:val="28"/>
      <w:lang w:eastAsia="de-DE"/>
    </w:rPr>
  </w:style>
  <w:style w:type="paragraph" w:styleId="Heading5">
    <w:name w:val="heading 5"/>
    <w:basedOn w:val="Normal"/>
    <w:next w:val="Normal"/>
    <w:link w:val="Heading5Char"/>
    <w:uiPriority w:val="9"/>
    <w:qFormat/>
    <w:pPr>
      <w:keepNext/>
      <w:keepLines/>
      <w:spacing w:before="200" w:after="0" w:line="240" w:lineRule="auto"/>
      <w:jc w:val="both"/>
      <w:outlineLvl w:val="4"/>
    </w:pPr>
    <w:rPr>
      <w:rFonts w:ascii="Verdana" w:eastAsia="Times New Roman" w:hAnsi="Verdana" w:cs="Times New Roman"/>
      <w:sz w:val="20"/>
      <w:szCs w:val="24"/>
    </w:rPr>
  </w:style>
  <w:style w:type="paragraph" w:styleId="Heading6">
    <w:name w:val="heading 6"/>
    <w:aliases w:val="Figure,H6"/>
    <w:basedOn w:val="Normal"/>
    <w:next w:val="Normal"/>
    <w:link w:val="Heading6Char"/>
    <w:unhideWhenUsed/>
    <w:qFormat/>
    <w:pPr>
      <w:keepNext/>
      <w:keepLines/>
      <w:suppressAutoHyphens/>
      <w:spacing w:before="200" w:after="0" w:line="240" w:lineRule="auto"/>
      <w:jc w:val="both"/>
      <w:outlineLvl w:val="5"/>
    </w:pPr>
    <w:rPr>
      <w:rFonts w:asciiTheme="majorHAnsi" w:eastAsiaTheme="majorEastAsia" w:hAnsiTheme="majorHAnsi" w:cstheme="majorBidi"/>
      <w:i/>
      <w:iCs/>
      <w:color w:val="243F60" w:themeColor="accent1" w:themeShade="7F"/>
      <w:sz w:val="24"/>
      <w:szCs w:val="24"/>
      <w:lang w:eastAsia="ar-SA"/>
    </w:rPr>
  </w:style>
  <w:style w:type="paragraph" w:styleId="Heading7">
    <w:name w:val="heading 7"/>
    <w:basedOn w:val="Normal"/>
    <w:next w:val="Normal"/>
    <w:link w:val="Heading7Char"/>
    <w:qFormat/>
    <w:pPr>
      <w:spacing w:before="240" w:after="60" w:line="240" w:lineRule="auto"/>
      <w:ind w:left="4748" w:hanging="708"/>
      <w:jc w:val="both"/>
      <w:outlineLvl w:val="6"/>
    </w:pPr>
    <w:rPr>
      <w:rFonts w:ascii="Arial" w:eastAsia="Times New Roman" w:hAnsi="Arial" w:cs="Times New Roman"/>
      <w:sz w:val="20"/>
      <w:szCs w:val="20"/>
    </w:rPr>
  </w:style>
  <w:style w:type="paragraph" w:styleId="Heading8">
    <w:name w:val="heading 8"/>
    <w:basedOn w:val="Normal"/>
    <w:next w:val="Normal"/>
    <w:link w:val="Heading8Char"/>
    <w:qFormat/>
    <w:pPr>
      <w:spacing w:before="240" w:after="60" w:line="240" w:lineRule="auto"/>
      <w:ind w:left="5456" w:hanging="708"/>
      <w:jc w:val="both"/>
      <w:outlineLvl w:val="7"/>
    </w:pPr>
    <w:rPr>
      <w:rFonts w:ascii="Arial" w:eastAsia="Times New Roman" w:hAnsi="Arial" w:cs="Times New Roman"/>
      <w:i/>
      <w:sz w:val="20"/>
      <w:szCs w:val="20"/>
    </w:rPr>
  </w:style>
  <w:style w:type="paragraph" w:styleId="Heading9">
    <w:name w:val="heading 9"/>
    <w:basedOn w:val="Normal"/>
    <w:next w:val="Normal"/>
    <w:link w:val="Heading9Char"/>
    <w:qFormat/>
    <w:pPr>
      <w:spacing w:before="240" w:after="60" w:line="240" w:lineRule="auto"/>
      <w:ind w:left="6164" w:hanging="708"/>
      <w:jc w:val="both"/>
      <w:outlineLvl w:val="8"/>
    </w:pPr>
    <w:rPr>
      <w:rFonts w:ascii="Arial" w:eastAsia="Times New Roman" w:hAnsi="Arial" w:cs="Times New Roman"/>
      <w:i/>
      <w:sz w:val="18"/>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ev 1 Char,E H1 Char"/>
    <w:basedOn w:val="DefaultParagraphFont"/>
    <w:link w:val="Heading1"/>
    <w:uiPriority w:val="9"/>
    <w:rPr>
      <w:rFonts w:ascii="Times New Roman" w:eastAsia="Times New Roman" w:hAnsi="Times New Roman" w:cs="Times New Roman"/>
      <w:b/>
      <w:bCs/>
      <w:smallCaps/>
      <w:sz w:val="24"/>
      <w:szCs w:val="32"/>
      <w:lang w:eastAsia="de-DE"/>
    </w:rPr>
  </w:style>
  <w:style w:type="character" w:customStyle="1" w:styleId="Heading2Char">
    <w:name w:val="Heading 2 Char"/>
    <w:aliases w:val="Lev 2 Char,E H2 Char,Heading 2 Char1 Char,Heading 2 Char Char Char Char"/>
    <w:basedOn w:val="DefaultParagraphFont"/>
    <w:link w:val="Heading2"/>
    <w:uiPriority w:val="9"/>
    <w:rPr>
      <w:rFonts w:ascii="Times New Roman" w:eastAsia="Times New Roman" w:hAnsi="Times New Roman" w:cs="Times New Roman"/>
      <w:b/>
      <w:bCs/>
      <w:iCs/>
      <w:sz w:val="24"/>
      <w:szCs w:val="28"/>
      <w:lang w:eastAsia="de-DE"/>
    </w:rPr>
  </w:style>
  <w:style w:type="character" w:customStyle="1" w:styleId="Heading3Char">
    <w:name w:val="Heading 3 Char"/>
    <w:aliases w:val="E H3 Char"/>
    <w:basedOn w:val="DefaultParagraphFont"/>
    <w:link w:val="Heading3"/>
    <w:uiPriority w:val="9"/>
    <w:rPr>
      <w:rFonts w:ascii="Times New Roman" w:eastAsia="Times New Roman" w:hAnsi="Times New Roman" w:cs="Times New Roman"/>
      <w:bCs/>
      <w:i/>
      <w:sz w:val="24"/>
      <w:szCs w:val="26"/>
      <w:lang w:eastAsia="de-DE"/>
    </w:rPr>
  </w:style>
  <w:style w:type="character" w:customStyle="1" w:styleId="Heading4Char">
    <w:name w:val="Heading 4 Char"/>
    <w:aliases w:val="E H4 Char"/>
    <w:basedOn w:val="DefaultParagraphFont"/>
    <w:link w:val="Heading4"/>
    <w:uiPriority w:val="9"/>
    <w:rPr>
      <w:rFonts w:ascii="Times New Roman" w:eastAsia="Times New Roman" w:hAnsi="Times New Roman" w:cs="Times New Roman"/>
      <w:bCs/>
      <w:sz w:val="24"/>
      <w:szCs w:val="28"/>
      <w:lang w:eastAsia="de-DE"/>
    </w:rPr>
  </w:style>
  <w:style w:type="character" w:customStyle="1" w:styleId="Heading5Char">
    <w:name w:val="Heading 5 Char"/>
    <w:basedOn w:val="DefaultParagraphFont"/>
    <w:link w:val="Heading5"/>
    <w:uiPriority w:val="9"/>
    <w:rPr>
      <w:rFonts w:ascii="Verdana" w:eastAsia="Times New Roman" w:hAnsi="Verdana" w:cs="Times New Roman"/>
      <w:sz w:val="20"/>
      <w:szCs w:val="24"/>
    </w:rPr>
  </w:style>
  <w:style w:type="character" w:customStyle="1" w:styleId="Heading6Char">
    <w:name w:val="Heading 6 Char"/>
    <w:aliases w:val="Figure Char,H6 Char"/>
    <w:basedOn w:val="DefaultParagraphFont"/>
    <w:link w:val="Heading6"/>
    <w:rPr>
      <w:rFonts w:asciiTheme="majorHAnsi" w:eastAsiaTheme="majorEastAsia" w:hAnsiTheme="majorHAnsi" w:cstheme="majorBidi"/>
      <w:i/>
      <w:iCs/>
      <w:color w:val="243F60" w:themeColor="accent1" w:themeShade="7F"/>
      <w:sz w:val="24"/>
      <w:szCs w:val="24"/>
      <w:lang w:eastAsia="ar-SA"/>
    </w:rPr>
  </w:style>
  <w:style w:type="character" w:customStyle="1" w:styleId="Heading7Char">
    <w:name w:val="Heading 7 Char"/>
    <w:basedOn w:val="DefaultParagraphFont"/>
    <w:link w:val="Heading7"/>
    <w:rPr>
      <w:rFonts w:ascii="Arial" w:eastAsia="Times New Roman" w:hAnsi="Arial" w:cs="Times New Roman"/>
      <w:sz w:val="20"/>
      <w:szCs w:val="20"/>
    </w:rPr>
  </w:style>
  <w:style w:type="character" w:customStyle="1" w:styleId="Heading8Char">
    <w:name w:val="Heading 8 Char"/>
    <w:basedOn w:val="DefaultParagraphFont"/>
    <w:link w:val="Heading8"/>
    <w:rPr>
      <w:rFonts w:ascii="Arial" w:eastAsia="Times New Roman" w:hAnsi="Arial" w:cs="Times New Roman"/>
      <w:i/>
      <w:sz w:val="20"/>
      <w:szCs w:val="20"/>
    </w:rPr>
  </w:style>
  <w:style w:type="character" w:customStyle="1" w:styleId="Heading9Char">
    <w:name w:val="Heading 9 Char"/>
    <w:basedOn w:val="DefaultParagraphFont"/>
    <w:link w:val="Heading9"/>
    <w:rPr>
      <w:rFonts w:ascii="Arial" w:eastAsia="Times New Roman" w:hAnsi="Arial" w:cs="Times New Roman"/>
      <w:i/>
      <w:sz w:val="18"/>
      <w:szCs w:val="20"/>
    </w:rPr>
  </w:style>
  <w:style w:type="numbering" w:customStyle="1" w:styleId="NoList1">
    <w:name w:val="No List1"/>
    <w:next w:val="No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rPr>
      <w:rFonts w:ascii="Times New Roman" w:hAnsi="Times New Roman" w:cs="Times New Roman"/>
    </w:rPr>
  </w:style>
  <w:style w:type="character" w:customStyle="1" w:styleId="WW8Num1z3">
    <w:name w:val="WW8Num1z3"/>
    <w:rPr>
      <w:rFonts w:ascii="Symbol" w:hAnsi="Symbol" w:cs="Symbol" w:hint="default"/>
    </w:rPr>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Calibri" w:eastAsia="Calibri" w:hAnsi="Calibri" w:cs="Times New Roman" w:hint="default"/>
      <w:sz w:val="24"/>
      <w:szCs w:val="24"/>
    </w:rPr>
  </w:style>
  <w:style w:type="character" w:customStyle="1" w:styleId="WW8Num2z1">
    <w:name w:val="WW8Num2z1"/>
    <w:rPr>
      <w:rFonts w:ascii="Courier New" w:hAnsi="Courier New" w:cs="Courier New" w:hint="default"/>
    </w:rPr>
  </w:style>
  <w:style w:type="character" w:customStyle="1" w:styleId="WW8Num2z2">
    <w:name w:val="WW8Num2z2"/>
    <w:rPr>
      <w:rFonts w:ascii="Wingdings" w:hAnsi="Wingdings" w:cs="Wingdings" w:hint="default"/>
    </w:rPr>
  </w:style>
  <w:style w:type="character" w:customStyle="1" w:styleId="WW8Num2z3">
    <w:name w:val="WW8Num2z3"/>
    <w:rPr>
      <w:rFonts w:ascii="Symbol" w:hAnsi="Symbol" w:cs="Symbol" w:hint="default"/>
    </w:rPr>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cs="Times New Roman"/>
    </w:rPr>
  </w:style>
  <w:style w:type="character" w:customStyle="1" w:styleId="WW8Num4z0">
    <w:name w:val="WW8Num4z0"/>
    <w:rPr>
      <w:rFonts w:ascii="Symbol" w:hAnsi="Symbol" w:cs="Symbol" w:hint="default"/>
    </w:rPr>
  </w:style>
  <w:style w:type="character" w:customStyle="1" w:styleId="WW8Num4z1">
    <w:name w:val="WW8Num4z1"/>
    <w:rPr>
      <w:rFonts w:ascii="Courier New" w:hAnsi="Courier New" w:cs="Courier New" w:hint="default"/>
    </w:rPr>
  </w:style>
  <w:style w:type="character" w:customStyle="1" w:styleId="WW8Num4z2">
    <w:name w:val="WW8Num4z2"/>
    <w:rPr>
      <w:rFonts w:ascii="Wingdings" w:hAnsi="Wingdings" w:cs="Wingdings" w:hint="default"/>
    </w:rPr>
  </w:style>
  <w:style w:type="character" w:customStyle="1" w:styleId="WW8Num4z3">
    <w:name w:val="WW8Num4z3"/>
    <w:rPr>
      <w:rFonts w:ascii="Symbol" w:hAnsi="Symbol" w:cs="Symbol" w:hint="default"/>
    </w:rPr>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Symbol" w:hAnsi="Symbol" w:cs="Symbol" w:hint="default"/>
    </w:rPr>
  </w:style>
  <w:style w:type="character" w:customStyle="1" w:styleId="WW8Num6z0">
    <w:name w:val="WW8Num6z0"/>
    <w:rPr>
      <w:rFonts w:ascii="Symbol" w:hAnsi="Symbol" w:cs="Symbol" w:hint="default"/>
    </w:rPr>
  </w:style>
  <w:style w:type="character" w:customStyle="1" w:styleId="WW8Num7z0">
    <w:name w:val="WW8Num7z0"/>
    <w:rPr>
      <w:rFonts w:ascii="Symbol" w:hAnsi="Symbol" w:cs="Symbol" w:hint="default"/>
    </w:rPr>
  </w:style>
  <w:style w:type="character" w:customStyle="1" w:styleId="WW8Num8z0">
    <w:name w:val="WW8Num8z0"/>
    <w:rPr>
      <w:rFonts w:ascii="Symbol" w:hAnsi="Symbol" w:cs="Symbol" w:hint="default"/>
    </w:rPr>
  </w:style>
  <w:style w:type="character" w:customStyle="1" w:styleId="WW8Num9z0">
    <w:name w:val="WW8Num9z0"/>
    <w:rPr>
      <w:rFonts w:ascii="Symbol" w:hAnsi="Symbol" w:cs="Symbol" w:hint="default"/>
    </w:rPr>
  </w:style>
  <w:style w:type="character" w:customStyle="1" w:styleId="WW8Num10z0">
    <w:name w:val="WW8Num10z0"/>
    <w:rPr>
      <w:rFonts w:ascii="Symbol" w:hAnsi="Symbol" w:cs="Symbol" w:hint="default"/>
    </w:rPr>
  </w:style>
  <w:style w:type="character" w:customStyle="1" w:styleId="WW8Num11z0">
    <w:name w:val="WW8Num11z0"/>
    <w:rPr>
      <w:rFonts w:ascii="Calibri" w:eastAsia="Calibri" w:hAnsi="Calibri" w:cs="Times New Roman" w:hint="default"/>
      <w:sz w:val="24"/>
      <w:szCs w:val="24"/>
    </w:rPr>
  </w:style>
  <w:style w:type="character" w:customStyle="1" w:styleId="WW8Num12z0">
    <w:name w:val="WW8Num12z0"/>
    <w:rPr>
      <w:rFonts w:ascii="Symbol" w:hAnsi="Symbol" w:cs="Symbol" w:hint="default"/>
    </w:rPr>
  </w:style>
  <w:style w:type="character" w:customStyle="1" w:styleId="WW8Num13z0">
    <w:name w:val="WW8Num13z0"/>
    <w:rPr>
      <w:rFonts w:ascii="Symbol" w:hAnsi="Symbol" w:cs="Symbol" w:hint="default"/>
      <w:sz w:val="24"/>
      <w:szCs w:val="24"/>
    </w:rPr>
  </w:style>
  <w:style w:type="character" w:customStyle="1" w:styleId="WW8Num14z0">
    <w:name w:val="WW8Num14z0"/>
    <w:rPr>
      <w:rFonts w:ascii="Wingdings 3" w:hAnsi="Wingdings 3" w:cs="Wingdings 3" w:hint="default"/>
      <w:color w:val="C0504D"/>
      <w:sz w:val="20"/>
    </w:rPr>
  </w:style>
  <w:style w:type="character" w:customStyle="1" w:styleId="WW8Num15z0">
    <w:name w:val="WW8Num15z0"/>
    <w:rPr>
      <w:rFonts w:ascii="Calibri" w:eastAsia="Calibri" w:hAnsi="Calibri" w:cs="Times New Roman" w:hint="default"/>
    </w:rPr>
  </w:style>
  <w:style w:type="character" w:customStyle="1" w:styleId="WW8Num16z0">
    <w:name w:val="WW8Num16z0"/>
  </w:style>
  <w:style w:type="character" w:customStyle="1" w:styleId="WW8Num17z0">
    <w:name w:val="WW8Num17z0"/>
    <w:rPr>
      <w:rFonts w:ascii="Calibri" w:eastAsia="Calibri" w:hAnsi="Calibri" w:cs="Times New Roman" w:hint="default"/>
    </w:rPr>
  </w:style>
  <w:style w:type="character" w:customStyle="1" w:styleId="WW8Num17z1">
    <w:name w:val="WW8Num17z1"/>
    <w:rPr>
      <w:rFonts w:ascii="Courier New" w:hAnsi="Courier New" w:cs="Courier New" w:hint="default"/>
    </w:rPr>
  </w:style>
  <w:style w:type="character" w:customStyle="1" w:styleId="WW8Num17z2">
    <w:name w:val="WW8Num17z2"/>
    <w:rPr>
      <w:rFonts w:ascii="Wingdings" w:hAnsi="Wingdings" w:cs="Wingdings" w:hint="default"/>
    </w:rPr>
  </w:style>
  <w:style w:type="character" w:customStyle="1" w:styleId="WW8Num17z3">
    <w:name w:val="WW8Num17z3"/>
    <w:rPr>
      <w:rFonts w:ascii="Symbol" w:hAnsi="Symbol" w:cs="Symbol" w:hint="default"/>
    </w:rPr>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Symbol" w:hAnsi="Symbol" w:cs="Symbol" w:hint="default"/>
    </w:rPr>
  </w:style>
  <w:style w:type="character" w:customStyle="1" w:styleId="WW8Num19z0">
    <w:name w:val="WW8Num19z0"/>
    <w:rPr>
      <w:rFonts w:ascii="Symbol" w:hAnsi="Symbol" w:cs="Symbol" w:hint="default"/>
    </w:rPr>
  </w:style>
  <w:style w:type="character" w:customStyle="1" w:styleId="WW8Num20z0">
    <w:name w:val="WW8Num20z0"/>
  </w:style>
  <w:style w:type="character" w:customStyle="1" w:styleId="WW8Num21z0">
    <w:name w:val="WW8Num21z0"/>
  </w:style>
  <w:style w:type="character" w:customStyle="1" w:styleId="WW8Num22z0">
    <w:name w:val="WW8Num22z0"/>
  </w:style>
  <w:style w:type="character" w:customStyle="1" w:styleId="WW8Num23z0">
    <w:name w:val="WW8Num23z0"/>
    <w:rPr>
      <w:rFonts w:ascii="Symbol" w:hAnsi="Symbol" w:cs="Symbol" w:hint="default"/>
    </w:rPr>
  </w:style>
  <w:style w:type="character" w:customStyle="1" w:styleId="WW8Num24z0">
    <w:name w:val="WW8Num24z0"/>
    <w:rPr>
      <w:rFonts w:ascii="Symbol" w:hAnsi="Symbol" w:cs="Symbol" w:hint="default"/>
    </w:rPr>
  </w:style>
  <w:style w:type="character" w:customStyle="1" w:styleId="WW8Num25z0">
    <w:name w:val="WW8Num25z0"/>
    <w:rPr>
      <w:rFonts w:ascii="Times New Roman" w:hAnsi="Times New Roman" w:cs="Times New Roman"/>
    </w:rPr>
  </w:style>
  <w:style w:type="character" w:customStyle="1" w:styleId="WW8Num26z0">
    <w:name w:val="WW8Num26z0"/>
    <w:rPr>
      <w:rFonts w:ascii="Times New Roman" w:eastAsia="Times New Roman" w:hAnsi="Times New Roman" w:cs="Times New Roman" w:hint="default"/>
    </w:rPr>
  </w:style>
  <w:style w:type="character" w:customStyle="1" w:styleId="WW8Num27z0">
    <w:name w:val="WW8Num27z0"/>
    <w:rPr>
      <w:rFonts w:ascii="Symbol" w:hAnsi="Symbol" w:cs="Symbol" w:hint="default"/>
      <w:sz w:val="24"/>
      <w:szCs w:val="24"/>
    </w:rPr>
  </w:style>
  <w:style w:type="character" w:customStyle="1" w:styleId="WW8Num28z0">
    <w:name w:val="WW8Num28z0"/>
  </w:style>
  <w:style w:type="character" w:customStyle="1" w:styleId="WW8Num29z0">
    <w:name w:val="WW8Num29z0"/>
  </w:style>
  <w:style w:type="character" w:customStyle="1" w:styleId="WW8Num30z0">
    <w:name w:val="WW8Num30z0"/>
    <w:rPr>
      <w:rFonts w:ascii="Symbol" w:hAnsi="Symbol" w:cs="Symbol" w:hint="default"/>
    </w:rPr>
  </w:style>
  <w:style w:type="character" w:customStyle="1" w:styleId="WW8Num31z0">
    <w:name w:val="WW8Num31z0"/>
  </w:style>
  <w:style w:type="character" w:customStyle="1" w:styleId="WW8Num32z0">
    <w:name w:val="WW8Num32z0"/>
    <w:rPr>
      <w:rFonts w:eastAsia="Verdana"/>
    </w:rPr>
  </w:style>
  <w:style w:type="character" w:customStyle="1" w:styleId="WW8Num33z0">
    <w:name w:val="WW8Num33z0"/>
    <w:rPr>
      <w:rFonts w:ascii="Symbol" w:eastAsia="Verdana" w:hAnsi="Symbol" w:cs="Symbol" w:hint="default"/>
    </w:rPr>
  </w:style>
  <w:style w:type="character" w:customStyle="1" w:styleId="WW8Num34z0">
    <w:name w:val="WW8Num34z0"/>
    <w:rPr>
      <w:rFonts w:ascii="Symbol" w:hAnsi="Symbol" w:cs="Symbol" w:hint="default"/>
    </w:rPr>
  </w:style>
  <w:style w:type="character" w:customStyle="1" w:styleId="WW8Num35z0">
    <w:name w:val="WW8Num35z0"/>
    <w:rPr>
      <w:rFonts w:ascii="Calibri" w:eastAsia="Calibri" w:hAnsi="Calibri" w:cs="Times New Roman" w:hint="default"/>
    </w:rPr>
  </w:style>
  <w:style w:type="character" w:customStyle="1" w:styleId="WW8Num36z0">
    <w:name w:val="WW8Num36z0"/>
    <w:rPr>
      <w:rFonts w:ascii="Symbol" w:hAnsi="Symbol" w:cs="Symbol" w:hint="default"/>
    </w:rPr>
  </w:style>
  <w:style w:type="character" w:customStyle="1" w:styleId="WW8Num37z0">
    <w:name w:val="WW8Num37z0"/>
    <w:rPr>
      <w:rFonts w:ascii="Times New Roman" w:hAnsi="Times New Roman" w:cs="Times New Roman"/>
    </w:rPr>
  </w:style>
  <w:style w:type="character" w:customStyle="1" w:styleId="WW8Num38z0">
    <w:name w:val="WW8Num38z0"/>
  </w:style>
  <w:style w:type="character" w:customStyle="1" w:styleId="WW8Num38z1">
    <w:name w:val="WW8Num38z1"/>
  </w:style>
  <w:style w:type="character" w:customStyle="1" w:styleId="WW8Num38z2">
    <w:name w:val="WW8Num38z2"/>
  </w:style>
  <w:style w:type="character" w:customStyle="1" w:styleId="WW8Num38z3">
    <w:name w:val="WW8Num38z3"/>
  </w:style>
  <w:style w:type="character" w:customStyle="1" w:styleId="WW8Num38z4">
    <w:name w:val="WW8Num38z4"/>
  </w:style>
  <w:style w:type="character" w:customStyle="1" w:styleId="WW8Num38z5">
    <w:name w:val="WW8Num38z5"/>
  </w:style>
  <w:style w:type="character" w:customStyle="1" w:styleId="WW8Num38z6">
    <w:name w:val="WW8Num38z6"/>
  </w:style>
  <w:style w:type="character" w:customStyle="1" w:styleId="WW8Num38z7">
    <w:name w:val="WW8Num38z7"/>
  </w:style>
  <w:style w:type="character" w:customStyle="1" w:styleId="WW8Num38z8">
    <w:name w:val="WW8Num38z8"/>
  </w:style>
  <w:style w:type="character" w:customStyle="1" w:styleId="WW8Num39z0">
    <w:name w:val="WW8Num39z0"/>
  </w:style>
  <w:style w:type="character" w:customStyle="1" w:styleId="WW8Num40z0">
    <w:name w:val="WW8Num40z0"/>
  </w:style>
  <w:style w:type="character" w:customStyle="1" w:styleId="WW8Num41z0">
    <w:name w:val="WW8Num41z0"/>
    <w:rPr>
      <w:rFonts w:ascii="Times New Roman" w:hAnsi="Times New Roman" w:cs="Times New Roman"/>
    </w:rPr>
  </w:style>
  <w:style w:type="character" w:customStyle="1" w:styleId="WW8Num42z0">
    <w:name w:val="WW8Num42z0"/>
    <w:rPr>
      <w:rFonts w:ascii="Symbol" w:eastAsia="Verdana" w:hAnsi="Symbol" w:cs="Symbol" w:hint="default"/>
    </w:rPr>
  </w:style>
  <w:style w:type="character" w:customStyle="1" w:styleId="WW8Num43z0">
    <w:name w:val="WW8Num43z0"/>
    <w:rPr>
      <w:rFonts w:ascii="Symbol" w:hAnsi="Symbol" w:cs="Symbol" w:hint="default"/>
    </w:rPr>
  </w:style>
  <w:style w:type="character" w:customStyle="1" w:styleId="WW8Num44z0">
    <w:name w:val="WW8Num44z0"/>
    <w:rPr>
      <w:rFonts w:ascii="Symbol" w:eastAsia="Verdana" w:hAnsi="Symbol" w:cs="Symbol" w:hint="default"/>
    </w:rPr>
  </w:style>
  <w:style w:type="character" w:customStyle="1" w:styleId="WW8Num45z0">
    <w:name w:val="WW8Num45z0"/>
    <w:rPr>
      <w:rFonts w:ascii="Symbol" w:hAnsi="Symbol" w:cs="Symbol" w:hint="default"/>
    </w:rPr>
  </w:style>
  <w:style w:type="character" w:customStyle="1" w:styleId="WW8Num45z1">
    <w:name w:val="WW8Num45z1"/>
    <w:rPr>
      <w:rFonts w:ascii="Courier New" w:hAnsi="Courier New" w:cs="Courier New" w:hint="default"/>
    </w:rPr>
  </w:style>
  <w:style w:type="character" w:customStyle="1" w:styleId="WW8Num45z2">
    <w:name w:val="WW8Num45z2"/>
    <w:rPr>
      <w:rFonts w:ascii="Wingdings" w:hAnsi="Wingdings" w:cs="Wingdings" w:hint="default"/>
    </w:rPr>
  </w:style>
  <w:style w:type="character" w:customStyle="1" w:styleId="WW8Num45z3">
    <w:name w:val="WW8Num45z3"/>
    <w:rPr>
      <w:rFonts w:ascii="Symbol" w:hAnsi="Symbol" w:cs="Symbol" w:hint="default"/>
    </w:rPr>
  </w:style>
  <w:style w:type="character" w:customStyle="1" w:styleId="WW8Num46z0">
    <w:name w:val="WW8Num46z0"/>
    <w:rPr>
      <w:rFonts w:ascii="Symbol" w:eastAsia="Verdana" w:hAnsi="Symbol" w:cs="Symbol" w:hint="default"/>
      <w:sz w:val="24"/>
      <w:szCs w:val="24"/>
      <w:shd w:val="clear" w:color="auto" w:fill="FFFF00"/>
    </w:rPr>
  </w:style>
  <w:style w:type="character" w:customStyle="1" w:styleId="WW8Num47z0">
    <w:name w:val="WW8Num47z0"/>
    <w:rPr>
      <w:rFonts w:ascii="Calibri" w:eastAsia="Calibri" w:hAnsi="Calibri" w:cs="Times New Roman" w:hint="default"/>
    </w:rPr>
  </w:style>
  <w:style w:type="character" w:customStyle="1" w:styleId="WW8Num48z0">
    <w:name w:val="WW8Num48z0"/>
    <w:rPr>
      <w:rFonts w:ascii="Symbol" w:eastAsia="Verdana" w:hAnsi="Symbol" w:cs="Symbol" w:hint="default"/>
    </w:rPr>
  </w:style>
  <w:style w:type="character" w:customStyle="1" w:styleId="WW8Num48z1">
    <w:name w:val="WW8Num48z1"/>
    <w:rPr>
      <w:rFonts w:ascii="Courier New" w:hAnsi="Courier New" w:cs="Courier New" w:hint="default"/>
    </w:rPr>
  </w:style>
  <w:style w:type="character" w:customStyle="1" w:styleId="WW8Num48z2">
    <w:name w:val="WW8Num48z2"/>
    <w:rPr>
      <w:rFonts w:ascii="Wingdings" w:hAnsi="Wingdings" w:cs="Wingdings" w:hint="default"/>
    </w:rPr>
  </w:style>
  <w:style w:type="character" w:customStyle="1" w:styleId="WW8Num48z3">
    <w:name w:val="WW8Num48z3"/>
    <w:rPr>
      <w:rFonts w:ascii="Symbol" w:hAnsi="Symbol" w:cs="Symbol" w:hint="default"/>
    </w:rPr>
  </w:style>
  <w:style w:type="character" w:customStyle="1" w:styleId="WW8Num48z4">
    <w:name w:val="WW8Num48z4"/>
  </w:style>
  <w:style w:type="character" w:customStyle="1" w:styleId="WW8Num48z5">
    <w:name w:val="WW8Num48z5"/>
  </w:style>
  <w:style w:type="character" w:customStyle="1" w:styleId="WW8Num48z6">
    <w:name w:val="WW8Num48z6"/>
  </w:style>
  <w:style w:type="character" w:customStyle="1" w:styleId="WW8Num48z7">
    <w:name w:val="WW8Num48z7"/>
  </w:style>
  <w:style w:type="character" w:customStyle="1" w:styleId="WW8Num48z8">
    <w:name w:val="WW8Num48z8"/>
  </w:style>
  <w:style w:type="character" w:customStyle="1" w:styleId="WW8Num49z0">
    <w:name w:val="WW8Num49z0"/>
    <w:rPr>
      <w:rFonts w:ascii="Times New Roman" w:hAnsi="Times New Roman" w:cs="Times New Roman"/>
    </w:rPr>
  </w:style>
  <w:style w:type="character" w:customStyle="1" w:styleId="WW8Num49z1">
    <w:name w:val="WW8Num49z1"/>
  </w:style>
  <w:style w:type="character" w:customStyle="1" w:styleId="WW8Num49z2">
    <w:name w:val="WW8Num49z2"/>
  </w:style>
  <w:style w:type="character" w:customStyle="1" w:styleId="WW8Num49z3">
    <w:name w:val="WW8Num49z3"/>
  </w:style>
  <w:style w:type="character" w:customStyle="1" w:styleId="WW8Num49z4">
    <w:name w:val="WW8Num49z4"/>
  </w:style>
  <w:style w:type="character" w:customStyle="1" w:styleId="WW8Num49z5">
    <w:name w:val="WW8Num49z5"/>
  </w:style>
  <w:style w:type="character" w:customStyle="1" w:styleId="WW8Num49z6">
    <w:name w:val="WW8Num49z6"/>
  </w:style>
  <w:style w:type="character" w:customStyle="1" w:styleId="WW8Num49z7">
    <w:name w:val="WW8Num49z7"/>
  </w:style>
  <w:style w:type="character" w:customStyle="1" w:styleId="WW8Num49z8">
    <w:name w:val="WW8Num49z8"/>
  </w:style>
  <w:style w:type="character" w:customStyle="1" w:styleId="WW8Num50z0">
    <w:name w:val="WW8Num50z0"/>
  </w:style>
  <w:style w:type="character" w:customStyle="1" w:styleId="WW8Num51z0">
    <w:name w:val="WW8Num51z0"/>
  </w:style>
  <w:style w:type="character" w:customStyle="1" w:styleId="WW8Num51z1">
    <w:name w:val="WW8Num51z1"/>
  </w:style>
  <w:style w:type="character" w:customStyle="1" w:styleId="WW8Num51z2">
    <w:name w:val="WW8Num51z2"/>
  </w:style>
  <w:style w:type="character" w:customStyle="1" w:styleId="WW8Num52z0">
    <w:name w:val="WW8Num52z0"/>
    <w:rPr>
      <w:rFonts w:ascii="Times New Roman" w:hAnsi="Times New Roman" w:cs="Times New Roman"/>
    </w:rPr>
  </w:style>
  <w:style w:type="character" w:customStyle="1" w:styleId="WW8Num53z0">
    <w:name w:val="WW8Num53z0"/>
    <w:rPr>
      <w:rFonts w:ascii="Symbol" w:eastAsia="Times New Roman" w:hAnsi="Symbol" w:cs="Symbol" w:hint="default"/>
      <w:color w:val="000000"/>
      <w:sz w:val="23"/>
      <w:szCs w:val="23"/>
      <w:shd w:val="clear" w:color="auto" w:fill="auto"/>
    </w:rPr>
  </w:style>
  <w:style w:type="character" w:customStyle="1" w:styleId="WW8Num53z1">
    <w:name w:val="WW8Num53z1"/>
    <w:rPr>
      <w:rFonts w:ascii="Courier New" w:hAnsi="Courier New" w:cs="Courier New" w:hint="default"/>
    </w:rPr>
  </w:style>
  <w:style w:type="character" w:customStyle="1" w:styleId="WW8Num54z0">
    <w:name w:val="WW8Num54z0"/>
    <w:rPr>
      <w:rFonts w:ascii="Symbol" w:hAnsi="Symbol" w:cs="Symbol" w:hint="default"/>
    </w:rPr>
  </w:style>
  <w:style w:type="character" w:customStyle="1" w:styleId="WW8Num54z1">
    <w:name w:val="WW8Num54z1"/>
  </w:style>
  <w:style w:type="character" w:customStyle="1" w:styleId="WW8Num54z2">
    <w:name w:val="WW8Num54z2"/>
  </w:style>
  <w:style w:type="character" w:customStyle="1" w:styleId="WW8Num54z3">
    <w:name w:val="WW8Num54z3"/>
  </w:style>
  <w:style w:type="character" w:customStyle="1" w:styleId="WW8Num54z4">
    <w:name w:val="WW8Num54z4"/>
  </w:style>
  <w:style w:type="character" w:customStyle="1" w:styleId="WW8Num54z5">
    <w:name w:val="WW8Num54z5"/>
  </w:style>
  <w:style w:type="character" w:customStyle="1" w:styleId="WW8Num54z6">
    <w:name w:val="WW8Num54z6"/>
  </w:style>
  <w:style w:type="character" w:customStyle="1" w:styleId="WW8Num54z7">
    <w:name w:val="WW8Num54z7"/>
  </w:style>
  <w:style w:type="character" w:customStyle="1" w:styleId="WW8Num54z8">
    <w:name w:val="WW8Num54z8"/>
  </w:style>
  <w:style w:type="character" w:customStyle="1" w:styleId="WW8Num55z0">
    <w:name w:val="WW8Num55z0"/>
    <w:rPr>
      <w:rFonts w:ascii="Symbol" w:hAnsi="Symbol" w:cs="Symbol"/>
    </w:rPr>
  </w:style>
  <w:style w:type="character" w:customStyle="1" w:styleId="WW8Num55z1">
    <w:name w:val="WW8Num55z1"/>
    <w:rPr>
      <w:rFonts w:ascii="Courier New" w:hAnsi="Courier New" w:cs="Courier New"/>
    </w:rPr>
  </w:style>
  <w:style w:type="character" w:customStyle="1" w:styleId="WW8Num55z2">
    <w:name w:val="WW8Num55z2"/>
    <w:rPr>
      <w:rFonts w:ascii="Wingdings" w:hAnsi="Wingdings" w:cs="Wingdings"/>
    </w:rPr>
  </w:style>
  <w:style w:type="character" w:customStyle="1" w:styleId="WW8Num3z1">
    <w:name w:val="WW8Num3z1"/>
  </w:style>
  <w:style w:type="character" w:customStyle="1" w:styleId="WW8Num3z2">
    <w:name w:val="WW8Num3z2"/>
    <w:rPr>
      <w:rFonts w:ascii="Times New Roman" w:hAnsi="Times New Roman" w:cs="Times New Roman"/>
    </w:rPr>
  </w:style>
  <w:style w:type="character" w:customStyle="1" w:styleId="WW8Num3z3">
    <w:name w:val="WW8Num3z3"/>
    <w:rPr>
      <w:rFonts w:ascii="Symbol" w:hAnsi="Symbol" w:cs="Symbol" w:hint="default"/>
    </w:rPr>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8z1">
    <w:name w:val="WW8Num8z1"/>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9z1">
    <w:name w:val="WW8Num9z1"/>
    <w:rPr>
      <w:rFonts w:ascii="Courier New" w:hAnsi="Courier New" w:cs="Courier New" w:hint="default"/>
    </w:rPr>
  </w:style>
  <w:style w:type="character" w:customStyle="1" w:styleId="WW8Num9z2">
    <w:name w:val="WW8Num9z2"/>
    <w:rPr>
      <w:rFonts w:ascii="Wingdings" w:hAnsi="Wingdings" w:cs="Wingdings" w:hint="default"/>
    </w:rPr>
  </w:style>
  <w:style w:type="character" w:customStyle="1" w:styleId="WW8Num11z1">
    <w:name w:val="WW8Num11z1"/>
    <w:rPr>
      <w:rFonts w:ascii="Courier New" w:hAnsi="Courier New" w:cs="Courier New" w:hint="default"/>
    </w:rPr>
  </w:style>
  <w:style w:type="character" w:customStyle="1" w:styleId="WW8Num11z2">
    <w:name w:val="WW8Num11z2"/>
    <w:rPr>
      <w:rFonts w:ascii="Wingdings" w:hAnsi="Wingdings" w:cs="Wingdings" w:hint="default"/>
    </w:rPr>
  </w:style>
  <w:style w:type="character" w:customStyle="1" w:styleId="WW8Num11z3">
    <w:name w:val="WW8Num11z3"/>
    <w:rPr>
      <w:rFonts w:ascii="Symbol" w:hAnsi="Symbol" w:cs="Symbol" w:hint="default"/>
    </w:rPr>
  </w:style>
  <w:style w:type="character" w:customStyle="1" w:styleId="WW8Num12z1">
    <w:name w:val="WW8Num12z1"/>
    <w:rPr>
      <w:rFonts w:ascii="Courier New" w:hAnsi="Courier New" w:cs="Courier New" w:hint="default"/>
    </w:rPr>
  </w:style>
  <w:style w:type="character" w:customStyle="1" w:styleId="WW8Num12z2">
    <w:name w:val="WW8Num12z2"/>
    <w:rPr>
      <w:rFonts w:ascii="Wingdings" w:hAnsi="Wingdings" w:cs="Wingdings" w:hint="default"/>
    </w:rPr>
  </w:style>
  <w:style w:type="character" w:customStyle="1" w:styleId="WW8Num13z1">
    <w:name w:val="WW8Num13z1"/>
    <w:rPr>
      <w:rFonts w:ascii="Courier New" w:hAnsi="Courier New" w:cs="Courier New" w:hint="default"/>
    </w:rPr>
  </w:style>
  <w:style w:type="character" w:customStyle="1" w:styleId="WW8Num13z2">
    <w:name w:val="WW8Num13z2"/>
    <w:rPr>
      <w:rFonts w:ascii="Wingdings" w:hAnsi="Wingdings" w:cs="Wingdings" w:hint="default"/>
    </w:rPr>
  </w:style>
  <w:style w:type="character" w:customStyle="1" w:styleId="WW8Num14z1">
    <w:name w:val="WW8Num14z1"/>
    <w:rPr>
      <w:rFonts w:ascii="Courier New" w:hAnsi="Courier New" w:cs="Courier New" w:hint="default"/>
    </w:rPr>
  </w:style>
  <w:style w:type="character" w:customStyle="1" w:styleId="WW8Num14z2">
    <w:name w:val="WW8Num14z2"/>
    <w:rPr>
      <w:rFonts w:ascii="Wingdings" w:hAnsi="Wingdings" w:cs="Wingdings" w:hint="default"/>
    </w:rPr>
  </w:style>
  <w:style w:type="character" w:customStyle="1" w:styleId="WW8Num14z3">
    <w:name w:val="WW8Num14z3"/>
    <w:rPr>
      <w:rFonts w:ascii="Symbol" w:hAnsi="Symbol" w:cs="Symbol" w:hint="default"/>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5z3">
    <w:name w:val="WW8Num15z3"/>
    <w:rPr>
      <w:rFonts w:ascii="Symbol" w:hAnsi="Symbol" w:cs="Symbol" w:hint="default"/>
    </w:rPr>
  </w:style>
  <w:style w:type="character" w:customStyle="1" w:styleId="WW8Num16z1">
    <w:name w:val="WW8Num16z1"/>
  </w:style>
  <w:style w:type="character" w:customStyle="1" w:styleId="WW8Num16z2">
    <w:name w:val="WW8Num16z2"/>
    <w:rPr>
      <w:rFonts w:ascii="Times New Roman" w:hAnsi="Times New Roman" w:cs="Times New Roman"/>
    </w:rPr>
  </w:style>
  <w:style w:type="character" w:customStyle="1" w:styleId="WW8Num16z3">
    <w:name w:val="WW8Num16z3"/>
    <w:rPr>
      <w:rFonts w:ascii="Symbol" w:hAnsi="Symbol" w:cs="Symbol" w:hint="default"/>
    </w:rPr>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WW8Num19z1">
    <w:name w:val="WW8Num19z1"/>
    <w:rPr>
      <w:rFonts w:ascii="Courier New" w:hAnsi="Courier New" w:cs="Courier New" w:hint="default"/>
    </w:rPr>
  </w:style>
  <w:style w:type="character" w:customStyle="1" w:styleId="WW8Num19z2">
    <w:name w:val="WW8Num19z2"/>
    <w:rPr>
      <w:rFonts w:ascii="Wingdings" w:hAnsi="Wingdings" w:cs="Wingdings" w:hint="default"/>
    </w:rPr>
  </w:style>
  <w:style w:type="character" w:customStyle="1" w:styleId="WW8Num20z1">
    <w:name w:val="WW8Num20z1"/>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3z1">
    <w:name w:val="WW8Num23z1"/>
    <w:rPr>
      <w:rFonts w:ascii="Courier New" w:hAnsi="Courier New" w:cs="Courier New" w:hint="default"/>
    </w:rPr>
  </w:style>
  <w:style w:type="character" w:customStyle="1" w:styleId="WW8Num23z2">
    <w:name w:val="WW8Num23z2"/>
    <w:rPr>
      <w:rFonts w:ascii="Wingdings" w:hAnsi="Wingdings" w:cs="Wingdings" w:hint="default"/>
    </w:rPr>
  </w:style>
  <w:style w:type="character" w:customStyle="1" w:styleId="WW8Num26z1">
    <w:name w:val="WW8Num26z1"/>
    <w:rPr>
      <w:rFonts w:ascii="Courier New" w:hAnsi="Courier New" w:cs="Courier New" w:hint="default"/>
    </w:rPr>
  </w:style>
  <w:style w:type="character" w:customStyle="1" w:styleId="WW8Num26z2">
    <w:name w:val="WW8Num26z2"/>
    <w:rPr>
      <w:rFonts w:ascii="Wingdings" w:hAnsi="Wingdings" w:cs="Wingdings" w:hint="default"/>
    </w:rPr>
  </w:style>
  <w:style w:type="character" w:customStyle="1" w:styleId="WW8Num26z3">
    <w:name w:val="WW8Num26z3"/>
    <w:rPr>
      <w:rFonts w:ascii="Symbol" w:hAnsi="Symbol" w:cs="Symbol" w:hint="default"/>
    </w:rPr>
  </w:style>
  <w:style w:type="character" w:customStyle="1" w:styleId="WW8Num27z1">
    <w:name w:val="WW8Num27z1"/>
    <w:rPr>
      <w:rFonts w:ascii="Courier New" w:hAnsi="Courier New" w:cs="Courier New" w:hint="default"/>
    </w:rPr>
  </w:style>
  <w:style w:type="character" w:customStyle="1" w:styleId="WW8Num27z2">
    <w:name w:val="WW8Num27z2"/>
    <w:rPr>
      <w:rFonts w:ascii="Wingdings" w:hAnsi="Wingdings" w:cs="Wingdings" w:hint="default"/>
    </w:rPr>
  </w:style>
  <w:style w:type="character" w:customStyle="1" w:styleId="WW8Num30z1">
    <w:name w:val="WW8Num30z1"/>
    <w:rPr>
      <w:rFonts w:ascii="Courier New" w:hAnsi="Courier New" w:cs="Courier New" w:hint="default"/>
    </w:rPr>
  </w:style>
  <w:style w:type="character" w:customStyle="1" w:styleId="WW8Num30z2">
    <w:name w:val="WW8Num30z2"/>
    <w:rPr>
      <w:rFonts w:ascii="Wingdings" w:hAnsi="Wingdings" w:cs="Wingdings" w:hint="default"/>
    </w:rPr>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1">
    <w:name w:val="WW8Num33z1"/>
    <w:rPr>
      <w:rFonts w:ascii="Courier New" w:hAnsi="Courier New" w:cs="Courier New" w:hint="default"/>
    </w:rPr>
  </w:style>
  <w:style w:type="character" w:customStyle="1" w:styleId="WW8Num33z2">
    <w:name w:val="WW8Num33z2"/>
    <w:rPr>
      <w:rFonts w:ascii="Wingdings" w:hAnsi="Wingdings" w:cs="Wingdings" w:hint="default"/>
    </w:rPr>
  </w:style>
  <w:style w:type="character" w:customStyle="1" w:styleId="WW8Num34z1">
    <w:name w:val="WW8Num34z1"/>
    <w:rPr>
      <w:rFonts w:ascii="Courier New" w:hAnsi="Courier New" w:cs="Courier New" w:hint="default"/>
    </w:rPr>
  </w:style>
  <w:style w:type="character" w:customStyle="1" w:styleId="WW8Num34z2">
    <w:name w:val="WW8Num34z2"/>
    <w:rPr>
      <w:rFonts w:ascii="Wingdings" w:hAnsi="Wingdings" w:cs="Wingdings" w:hint="default"/>
    </w:rPr>
  </w:style>
  <w:style w:type="character" w:customStyle="1" w:styleId="WW8Num35z1">
    <w:name w:val="WW8Num35z1"/>
    <w:rPr>
      <w:rFonts w:ascii="Courier New" w:hAnsi="Courier New" w:cs="Courier New" w:hint="default"/>
    </w:rPr>
  </w:style>
  <w:style w:type="character" w:customStyle="1" w:styleId="WW8Num35z2">
    <w:name w:val="WW8Num35z2"/>
    <w:rPr>
      <w:rFonts w:ascii="Wingdings" w:hAnsi="Wingdings" w:cs="Wingdings" w:hint="default"/>
    </w:rPr>
  </w:style>
  <w:style w:type="character" w:customStyle="1" w:styleId="WW8Num35z3">
    <w:name w:val="WW8Num35z3"/>
    <w:rPr>
      <w:rFonts w:ascii="Symbol" w:hAnsi="Symbol" w:cs="Symbol" w:hint="default"/>
    </w:rPr>
  </w:style>
  <w:style w:type="character" w:customStyle="1" w:styleId="WW8Num36z1">
    <w:name w:val="WW8Num36z1"/>
    <w:rPr>
      <w:rFonts w:ascii="Courier New" w:hAnsi="Courier New" w:cs="Courier New" w:hint="default"/>
    </w:rPr>
  </w:style>
  <w:style w:type="character" w:customStyle="1" w:styleId="WW8Num36z2">
    <w:name w:val="WW8Num36z2"/>
    <w:rPr>
      <w:rFonts w:ascii="Wingdings" w:hAnsi="Wingdings" w:cs="Wingdings" w:hint="default"/>
    </w:rPr>
  </w:style>
  <w:style w:type="character" w:customStyle="1" w:styleId="WW8Num40z1">
    <w:name w:val="WW8Num40z1"/>
  </w:style>
  <w:style w:type="character" w:customStyle="1" w:styleId="WW8Num40z2">
    <w:name w:val="WW8Num40z2"/>
    <w:rPr>
      <w:rFonts w:ascii="Times New Roman" w:hAnsi="Times New Roman" w:cs="Times New Roman"/>
    </w:rPr>
  </w:style>
  <w:style w:type="character" w:customStyle="1" w:styleId="WW8Num40z3">
    <w:name w:val="WW8Num40z3"/>
    <w:rPr>
      <w:rFonts w:ascii="Symbol" w:hAnsi="Symbol" w:cs="Symbol" w:hint="default"/>
    </w:rPr>
  </w:style>
  <w:style w:type="character" w:customStyle="1" w:styleId="WW8Num40z4">
    <w:name w:val="WW8Num40z4"/>
  </w:style>
  <w:style w:type="character" w:customStyle="1" w:styleId="WW8Num40z5">
    <w:name w:val="WW8Num40z5"/>
  </w:style>
  <w:style w:type="character" w:customStyle="1" w:styleId="WW8Num40z6">
    <w:name w:val="WW8Num40z6"/>
  </w:style>
  <w:style w:type="character" w:customStyle="1" w:styleId="WW8Num40z7">
    <w:name w:val="WW8Num40z7"/>
  </w:style>
  <w:style w:type="character" w:customStyle="1" w:styleId="WW8Num40z8">
    <w:name w:val="WW8Num40z8"/>
  </w:style>
  <w:style w:type="character" w:customStyle="1" w:styleId="WW8Num42z1">
    <w:name w:val="WW8Num42z1"/>
    <w:rPr>
      <w:rFonts w:ascii="Courier New" w:hAnsi="Courier New" w:cs="Courier New" w:hint="default"/>
    </w:rPr>
  </w:style>
  <w:style w:type="character" w:customStyle="1" w:styleId="WW8Num42z2">
    <w:name w:val="WW8Num42z2"/>
    <w:rPr>
      <w:rFonts w:ascii="Wingdings" w:hAnsi="Wingdings" w:cs="Wingdings" w:hint="default"/>
    </w:rPr>
  </w:style>
  <w:style w:type="character" w:customStyle="1" w:styleId="WW8Num44z1">
    <w:name w:val="WW8Num44z1"/>
    <w:rPr>
      <w:rFonts w:ascii="Courier New" w:hAnsi="Courier New" w:cs="Courier New" w:hint="default"/>
    </w:rPr>
  </w:style>
  <w:style w:type="character" w:customStyle="1" w:styleId="WW8Num44z2">
    <w:name w:val="WW8Num44z2"/>
    <w:rPr>
      <w:rFonts w:ascii="Wingdings" w:hAnsi="Wingdings" w:cs="Wingdings" w:hint="default"/>
    </w:rPr>
  </w:style>
  <w:style w:type="character" w:customStyle="1" w:styleId="WW8Num46z1">
    <w:name w:val="WW8Num46z1"/>
    <w:rPr>
      <w:rFonts w:ascii="Times New Roman" w:eastAsia="Times New Roman" w:hAnsi="Times New Roman" w:cs="Times New Roman" w:hint="default"/>
    </w:rPr>
  </w:style>
  <w:style w:type="character" w:customStyle="1" w:styleId="WW8Num46z2">
    <w:name w:val="WW8Num46z2"/>
    <w:rPr>
      <w:rFonts w:ascii="Wingdings" w:hAnsi="Wingdings" w:cs="Wingdings" w:hint="default"/>
    </w:rPr>
  </w:style>
  <w:style w:type="character" w:customStyle="1" w:styleId="WW8Num46z4">
    <w:name w:val="WW8Num46z4"/>
    <w:rPr>
      <w:rFonts w:ascii="Courier New" w:hAnsi="Courier New" w:cs="Courier New" w:hint="default"/>
    </w:rPr>
  </w:style>
  <w:style w:type="character" w:customStyle="1" w:styleId="WW8Num47z1">
    <w:name w:val="WW8Num47z1"/>
    <w:rPr>
      <w:rFonts w:ascii="Courier New" w:hAnsi="Courier New" w:cs="Courier New" w:hint="default"/>
    </w:rPr>
  </w:style>
  <w:style w:type="character" w:customStyle="1" w:styleId="WW8Num47z2">
    <w:name w:val="WW8Num47z2"/>
    <w:rPr>
      <w:rFonts w:ascii="Wingdings" w:hAnsi="Wingdings" w:cs="Wingdings" w:hint="default"/>
    </w:rPr>
  </w:style>
  <w:style w:type="character" w:customStyle="1" w:styleId="WW8Num47z3">
    <w:name w:val="WW8Num47z3"/>
    <w:rPr>
      <w:rFonts w:ascii="Symbol" w:hAnsi="Symbol" w:cs="Symbol" w:hint="default"/>
    </w:rPr>
  </w:style>
  <w:style w:type="character" w:customStyle="1" w:styleId="WW8Num50z1">
    <w:name w:val="WW8Num50z1"/>
  </w:style>
  <w:style w:type="character" w:customStyle="1" w:styleId="WW8Num50z2">
    <w:name w:val="WW8Num50z2"/>
    <w:rPr>
      <w:rFonts w:ascii="Times New Roman" w:hAnsi="Times New Roman" w:cs="Times New Roman"/>
    </w:rPr>
  </w:style>
  <w:style w:type="character" w:customStyle="1" w:styleId="WW8Num50z3">
    <w:name w:val="WW8Num50z3"/>
    <w:rPr>
      <w:rFonts w:ascii="Symbol" w:hAnsi="Symbol" w:cs="Symbol" w:hint="default"/>
    </w:rPr>
  </w:style>
  <w:style w:type="character" w:customStyle="1" w:styleId="WW8Num50z4">
    <w:name w:val="WW8Num50z4"/>
  </w:style>
  <w:style w:type="character" w:customStyle="1" w:styleId="WW8Num50z5">
    <w:name w:val="WW8Num50z5"/>
  </w:style>
  <w:style w:type="character" w:customStyle="1" w:styleId="WW8Num50z6">
    <w:name w:val="WW8Num50z6"/>
  </w:style>
  <w:style w:type="character" w:customStyle="1" w:styleId="WW8Num50z7">
    <w:name w:val="WW8Num50z7"/>
  </w:style>
  <w:style w:type="character" w:customStyle="1" w:styleId="WW8Num50z8">
    <w:name w:val="WW8Num50z8"/>
  </w:style>
  <w:style w:type="character" w:customStyle="1" w:styleId="WW8Num51z3">
    <w:name w:val="WW8Num51z3"/>
  </w:style>
  <w:style w:type="character" w:customStyle="1" w:styleId="WW8Num51z4">
    <w:name w:val="WW8Num51z4"/>
  </w:style>
  <w:style w:type="character" w:customStyle="1" w:styleId="WW8Num51z5">
    <w:name w:val="WW8Num51z5"/>
  </w:style>
  <w:style w:type="character" w:customStyle="1" w:styleId="WW8Num51z6">
    <w:name w:val="WW8Num51z6"/>
  </w:style>
  <w:style w:type="character" w:customStyle="1" w:styleId="WW8Num51z7">
    <w:name w:val="WW8Num51z7"/>
  </w:style>
  <w:style w:type="character" w:customStyle="1" w:styleId="WW8Num51z8">
    <w:name w:val="WW8Num51z8"/>
  </w:style>
  <w:style w:type="character" w:customStyle="1" w:styleId="WW8Num53z2">
    <w:name w:val="WW8Num53z2"/>
    <w:rPr>
      <w:rFonts w:ascii="Wingdings" w:hAnsi="Wingdings" w:cs="Wingdings" w:hint="default"/>
    </w:rPr>
  </w:style>
  <w:style w:type="character" w:customStyle="1" w:styleId="Funotenzeichen">
    <w:name w:val="Fußnotenzeichen"/>
    <w:rPr>
      <w:vertAlign w:val="superscript"/>
    </w:rPr>
  </w:style>
  <w:style w:type="character" w:customStyle="1" w:styleId="Marker">
    <w:name w:val="Marker"/>
    <w:rPr>
      <w:color w:val="0000FF"/>
    </w:rPr>
  </w:style>
  <w:style w:type="character" w:customStyle="1" w:styleId="Marker1">
    <w:name w:val="Marker1"/>
    <w:rPr>
      <w:color w:val="008000"/>
    </w:rPr>
  </w:style>
  <w:style w:type="character" w:customStyle="1" w:styleId="Marker2">
    <w:name w:val="Marker2"/>
    <w:rPr>
      <w:color w:val="FF0000"/>
    </w:rPr>
  </w:style>
  <w:style w:type="character" w:customStyle="1" w:styleId="Added">
    <w:name w:val="Added"/>
    <w:rPr>
      <w:b/>
      <w:u w:val="single"/>
    </w:rPr>
  </w:style>
  <w:style w:type="character" w:customStyle="1" w:styleId="Deleted">
    <w:name w:val="Deleted"/>
    <w:rPr>
      <w:strike/>
    </w:rPr>
  </w:style>
  <w:style w:type="character" w:customStyle="1" w:styleId="StatutChar">
    <w:name w:val="Statut Char"/>
    <w:rPr>
      <w:sz w:val="24"/>
      <w:szCs w:val="24"/>
      <w:lang w:val="en-GB" w:eastAsia="ar-SA" w:bidi="ar-SA"/>
    </w:rPr>
  </w:style>
  <w:style w:type="character" w:styleId="CommentReference">
    <w:name w:val="annotation reference"/>
    <w:rPr>
      <w:sz w:val="16"/>
      <w:szCs w:val="16"/>
    </w:rPr>
  </w:style>
  <w:style w:type="character" w:styleId="Hyperlink">
    <w:name w:val="Hyperlink"/>
    <w:uiPriority w:val="99"/>
    <w:rPr>
      <w:color w:val="0000FF"/>
      <w:u w:val="single"/>
    </w:rPr>
  </w:style>
  <w:style w:type="character" w:styleId="FollowedHyperlink">
    <w:name w:val="FollowedHyperlink"/>
    <w:uiPriority w:val="99"/>
    <w:rPr>
      <w:color w:val="800080"/>
      <w:u w:val="single"/>
    </w:rPr>
  </w:style>
  <w:style w:type="character" w:customStyle="1" w:styleId="CommentTextChar">
    <w:name w:val="Comment Text Char"/>
    <w:uiPriority w:val="99"/>
  </w:style>
  <w:style w:type="character" w:customStyle="1" w:styleId="BalloonTextChar">
    <w:name w:val="Balloon Text Char"/>
    <w:uiPriority w:val="99"/>
    <w:rPr>
      <w:rFonts w:ascii="Tahoma" w:hAnsi="Tahoma" w:cs="Tahoma"/>
      <w:sz w:val="16"/>
      <w:szCs w:val="16"/>
    </w:rPr>
  </w:style>
  <w:style w:type="character" w:customStyle="1" w:styleId="Style1Char">
    <w:name w:val="Style1 Char"/>
    <w:rPr>
      <w:rFonts w:ascii="Arial" w:hAnsi="Arial" w:cs="Arial"/>
    </w:rPr>
  </w:style>
  <w:style w:type="character" w:customStyle="1" w:styleId="CaptionChar">
    <w:name w:val="Caption Char"/>
    <w:aliases w:val="Legend Char,Figure reference Char,Tab_Überschrift Char,Caption Char1 Char,Caption Char Char Char,Caption Char1 Char Char Char Char,Caption Char Char Char Char Char Char,Caption Char1 Char Char Char Char Char Char,DNV-cap Char,Tasks Char"/>
    <w:rPr>
      <w:rFonts w:cs="Mangal"/>
      <w:i/>
      <w:iCs/>
      <w:sz w:val="24"/>
      <w:szCs w:val="24"/>
    </w:rPr>
  </w:style>
  <w:style w:type="character" w:customStyle="1" w:styleId="ListParagraphChar">
    <w:name w:val="List Paragraph Char"/>
    <w:aliases w:val="Bullet List Paragraph Char,List Paragraph1 Char,Heading 2_sj Char,Resume Title Char,Citation List Char,Ha Char,List Paragraph_Table bullets Char,Listes Char,1st level - Bullet List Paragraph Char,Lettre d'introduction Char"/>
    <w:link w:val="ListParagraph"/>
    <w:uiPriority w:val="34"/>
    <w:qFormat/>
    <w:locked/>
    <w:rPr>
      <w:rFonts w:ascii="Calibri" w:hAnsi="Calibri" w:cs="Calibri"/>
    </w:rPr>
  </w:style>
  <w:style w:type="character" w:customStyle="1" w:styleId="FootnoteTextChar">
    <w:name w:val="Footnote Text Char"/>
    <w:aliases w:val="Fußnotentextf Char,fn Char,Footnote Text Char Char Char,footnotes Char,Footnote Text Char2 Char Char,Footnote Text Char Char1 Char Char,Footnote Text Char2 Char Char Char Char,Footnote Text Char1 Char Char Char Char Char,RSK-F Char"/>
    <w:uiPriority w:val="99"/>
  </w:style>
  <w:style w:type="character" w:customStyle="1" w:styleId="HeaderChar">
    <w:name w:val="Header Char"/>
    <w:basedOn w:val="DefaultParagraphFont"/>
    <w:link w:val="Header"/>
    <w:uiPriority w:val="99"/>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character" w:styleId="FootnoteReference">
    <w:name w:val="footnote reference"/>
    <w:aliases w:val="Footnote symbol,number,SUPERS,Footnote Reference Superscript,stylish,BVI fnr,-E Fußnotenzeichen,Source Reference,Footnote reference number,note TESI,Times 10 Point,Exposant 3 Point,Ref,de nota al pie,EN Footnote Reference,BVI fn,cal,n"/>
    <w:qFormat/>
    <w:rPr>
      <w:vertAlign w:val="superscript"/>
    </w:rPr>
  </w:style>
  <w:style w:type="character" w:customStyle="1" w:styleId="Endnotenzeichen">
    <w:name w:val="Endnotenzeichen"/>
    <w:rPr>
      <w:vertAlign w:val="superscript"/>
    </w:rPr>
  </w:style>
  <w:style w:type="character" w:customStyle="1" w:styleId="WW-Endnotenzeichen">
    <w:name w:val="WW-Endnotenzeichen"/>
  </w:style>
  <w:style w:type="character" w:customStyle="1" w:styleId="Aufzhlungszeichen">
    <w:name w:val="Aufzählungszeichen"/>
    <w:rPr>
      <w:rFonts w:ascii="OpenSymbol" w:eastAsia="OpenSymbol" w:hAnsi="OpenSymbol" w:cs="OpenSymbol"/>
    </w:rPr>
  </w:style>
  <w:style w:type="character" w:customStyle="1" w:styleId="Nummerierungszeichen">
    <w:name w:val="Nummerierungszeichen"/>
  </w:style>
  <w:style w:type="character" w:customStyle="1" w:styleId="FootnoteReference1">
    <w:name w:val="Footnote Reference1"/>
    <w:rPr>
      <w:vertAlign w:val="superscript"/>
    </w:rPr>
  </w:style>
  <w:style w:type="character" w:customStyle="1" w:styleId="ListLabel7">
    <w:name w:val="ListLabel 7"/>
    <w:rPr>
      <w:rFonts w:cs="Courier New"/>
    </w:rPr>
  </w:style>
  <w:style w:type="character" w:customStyle="1" w:styleId="footnoteCar">
    <w:name w:val="footnote Car"/>
    <w:rPr>
      <w:rFonts w:ascii="Corbel" w:eastAsia="Times New Roman" w:hAnsi="Corbel" w:cs="Calibri"/>
      <w:sz w:val="18"/>
      <w:szCs w:val="18"/>
    </w:rPr>
  </w:style>
  <w:style w:type="character" w:customStyle="1" w:styleId="Style5footnoteBIOChar">
    <w:name w:val="Style5_footnote BIO Char"/>
    <w:rPr>
      <w:rFonts w:ascii="Arial" w:eastAsia="Times New Roman" w:hAnsi="Arial" w:cs="Arial"/>
      <w:sz w:val="16"/>
      <w:szCs w:val="16"/>
    </w:rPr>
  </w:style>
  <w:style w:type="character" w:styleId="EndnoteReference">
    <w:name w:val="endnote reference"/>
    <w:uiPriority w:val="99"/>
    <w:rPr>
      <w:vertAlign w:val="superscript"/>
    </w:rPr>
  </w:style>
  <w:style w:type="paragraph" w:customStyle="1" w:styleId="berschrift">
    <w:name w:val="Überschrift"/>
    <w:basedOn w:val="Normal"/>
    <w:next w:val="BodyText"/>
    <w:pPr>
      <w:keepNext/>
      <w:suppressAutoHyphens/>
      <w:spacing w:before="240" w:after="120" w:line="240" w:lineRule="auto"/>
      <w:jc w:val="both"/>
    </w:pPr>
    <w:rPr>
      <w:rFonts w:ascii="Arial" w:eastAsia="Microsoft YaHei" w:hAnsi="Arial" w:cs="Mangal"/>
      <w:sz w:val="28"/>
      <w:szCs w:val="28"/>
      <w:lang w:eastAsia="ar-SA"/>
    </w:rPr>
  </w:style>
  <w:style w:type="paragraph" w:styleId="BodyText">
    <w:name w:val="Body Text"/>
    <w:basedOn w:val="Normal"/>
    <w:link w:val="BodyTextChar"/>
    <w:pPr>
      <w:suppressAutoHyphens/>
      <w:spacing w:after="120" w:line="240" w:lineRule="auto"/>
      <w:jc w:val="both"/>
    </w:pPr>
    <w:rPr>
      <w:rFonts w:ascii="Times New Roman" w:eastAsia="Times New Roman" w:hAnsi="Times New Roman" w:cs="Times New Roman"/>
      <w:sz w:val="24"/>
      <w:szCs w:val="24"/>
      <w:lang w:eastAsia="ar-SA"/>
    </w:rPr>
  </w:style>
  <w:style w:type="character" w:customStyle="1" w:styleId="BodyTextChar">
    <w:name w:val="Body Text Char"/>
    <w:basedOn w:val="DefaultParagraphFont"/>
    <w:link w:val="BodyText"/>
    <w:rPr>
      <w:rFonts w:ascii="Times New Roman" w:eastAsia="Times New Roman" w:hAnsi="Times New Roman" w:cs="Times New Roman"/>
      <w:sz w:val="24"/>
      <w:szCs w:val="24"/>
      <w:lang w:eastAsia="ar-SA"/>
    </w:rPr>
  </w:style>
  <w:style w:type="paragraph" w:styleId="List">
    <w:name w:val="List"/>
    <w:basedOn w:val="BodyText"/>
    <w:rPr>
      <w:rFonts w:cs="Mangal"/>
    </w:rPr>
  </w:style>
  <w:style w:type="paragraph" w:customStyle="1" w:styleId="Beschriftung">
    <w:name w:val="Beschriftung"/>
    <w:basedOn w:val="Normal"/>
    <w:pPr>
      <w:suppressLineNumbers/>
      <w:suppressAutoHyphens/>
      <w:spacing w:before="120" w:after="120" w:line="240" w:lineRule="auto"/>
      <w:jc w:val="both"/>
    </w:pPr>
    <w:rPr>
      <w:rFonts w:ascii="Times New Roman" w:eastAsia="Times New Roman" w:hAnsi="Times New Roman" w:cs="Mangal"/>
      <w:i/>
      <w:iCs/>
      <w:sz w:val="24"/>
      <w:szCs w:val="24"/>
      <w:lang w:eastAsia="ar-SA"/>
    </w:rPr>
  </w:style>
  <w:style w:type="paragraph" w:customStyle="1" w:styleId="Verzeichnis">
    <w:name w:val="Verzeichnis"/>
    <w:basedOn w:val="Normal"/>
    <w:pPr>
      <w:suppressLineNumbers/>
      <w:suppressAutoHyphens/>
      <w:spacing w:before="120" w:after="120" w:line="240" w:lineRule="auto"/>
      <w:jc w:val="both"/>
    </w:pPr>
    <w:rPr>
      <w:rFonts w:ascii="Times New Roman" w:eastAsia="Times New Roman" w:hAnsi="Times New Roman" w:cs="Mangal"/>
      <w:sz w:val="24"/>
      <w:szCs w:val="24"/>
      <w:lang w:eastAsia="ar-SA"/>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1">
    <w:name w:val="Header Char1"/>
    <w:basedOn w:val="DefaultParagraphFont"/>
    <w:uiPriority w:val="99"/>
    <w:semiHidden/>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1">
    <w:name w:val="Footer Char1"/>
    <w:basedOn w:val="DefaultParagraphFont"/>
    <w:uiPriority w:val="99"/>
    <w:rPr>
      <w:rFonts w:ascii="Times New Roman" w:eastAsia="Times New Roman" w:hAnsi="Times New Roman" w:cs="Times New Roman"/>
      <w:sz w:val="24"/>
      <w:szCs w:val="24"/>
      <w:lang w:eastAsia="ar-SA"/>
    </w:rPr>
  </w:style>
  <w:style w:type="paragraph" w:styleId="FootnoteText">
    <w:name w:val="footnote text"/>
    <w:aliases w:val="Fußnotentextf,fn,Footnote Text Char Char,footnotes,Footnote Text Char2 Char,Footnote Text Char Char1 Char,Footnote Text Char2 Char Char Char,Footnote Text Char1 Char Char Char Char,Footnote Text Char Char Char Char Char Char,RSK-F,Fußnote"/>
    <w:basedOn w:val="Normal"/>
    <w:link w:val="FootnoteTextChar1"/>
    <w:qFormat/>
    <w:pPr>
      <w:suppressAutoHyphens/>
      <w:spacing w:after="0" w:line="240" w:lineRule="auto"/>
      <w:ind w:left="720" w:hanging="720"/>
      <w:jc w:val="both"/>
    </w:pPr>
    <w:rPr>
      <w:rFonts w:ascii="Times New Roman" w:eastAsia="Times New Roman" w:hAnsi="Times New Roman" w:cs="Times New Roman"/>
      <w:sz w:val="20"/>
      <w:szCs w:val="20"/>
      <w:lang w:eastAsia="ar-SA"/>
    </w:rPr>
  </w:style>
  <w:style w:type="character" w:customStyle="1" w:styleId="FootnoteTextChar1">
    <w:name w:val="Footnote Text Char1"/>
    <w:aliases w:val="Fußnotentextf Char1,fn Char1,Footnote Text Char Char Char1,footnotes Char1,Footnote Text Char2 Char Char1,Footnote Text Char Char1 Char Char1,Footnote Text Char2 Char Char Char Char1,Footnote Text Char1 Char Char Char Char Char1"/>
    <w:basedOn w:val="DefaultParagraphFont"/>
    <w:link w:val="FootnoteText"/>
    <w:uiPriority w:val="99"/>
    <w:rPr>
      <w:rFonts w:ascii="Times New Roman" w:eastAsia="Times New Roman" w:hAnsi="Times New Roman" w:cs="Times New Roman"/>
      <w:sz w:val="20"/>
      <w:szCs w:val="20"/>
      <w:lang w:eastAsia="ar-SA"/>
    </w:rPr>
  </w:style>
  <w:style w:type="paragraph" w:styleId="ListBullet">
    <w:name w:val="List Bullet"/>
    <w:basedOn w:val="Normal"/>
    <w:uiPriority w:val="4"/>
    <w:pPr>
      <w:numPr>
        <w:numId w:val="109"/>
      </w:numPr>
      <w:tabs>
        <w:tab w:val="clear" w:pos="360"/>
        <w:tab w:val="num" w:pos="567"/>
      </w:tabs>
      <w:spacing w:before="120" w:after="120" w:line="240" w:lineRule="auto"/>
      <w:ind w:left="567" w:hanging="283"/>
      <w:jc w:val="both"/>
    </w:pPr>
    <w:rPr>
      <w:rFonts w:ascii="Times New Roman" w:eastAsia="Times New Roman" w:hAnsi="Times New Roman" w:cs="Times New Roman"/>
      <w:sz w:val="24"/>
      <w:szCs w:val="24"/>
      <w:lang w:eastAsia="de-DE"/>
    </w:rPr>
  </w:style>
  <w:style w:type="paragraph" w:styleId="ListBullet2">
    <w:name w:val="List Bullet 2"/>
    <w:basedOn w:val="Normal"/>
    <w:uiPriority w:val="4"/>
    <w:pPr>
      <w:numPr>
        <w:numId w:val="5"/>
      </w:numPr>
      <w:spacing w:before="120" w:after="120" w:line="240" w:lineRule="auto"/>
      <w:jc w:val="both"/>
    </w:pPr>
    <w:rPr>
      <w:rFonts w:ascii="Times New Roman" w:eastAsia="Times New Roman" w:hAnsi="Times New Roman" w:cs="Times New Roman"/>
      <w:sz w:val="24"/>
      <w:szCs w:val="24"/>
      <w:lang w:eastAsia="de-DE"/>
    </w:rPr>
  </w:style>
  <w:style w:type="paragraph" w:styleId="ListBullet3">
    <w:name w:val="List Bullet 3"/>
    <w:basedOn w:val="Normal"/>
    <w:uiPriority w:val="4"/>
    <w:pPr>
      <w:numPr>
        <w:numId w:val="11"/>
      </w:numPr>
      <w:spacing w:before="120" w:after="120" w:line="240" w:lineRule="auto"/>
      <w:jc w:val="both"/>
    </w:pPr>
    <w:rPr>
      <w:rFonts w:ascii="Times New Roman" w:eastAsia="Times New Roman" w:hAnsi="Times New Roman" w:cs="Times New Roman"/>
      <w:sz w:val="24"/>
      <w:szCs w:val="24"/>
      <w:lang w:eastAsia="de-DE"/>
    </w:rPr>
  </w:style>
  <w:style w:type="paragraph" w:styleId="ListBullet4">
    <w:name w:val="List Bullet 4"/>
    <w:basedOn w:val="Normal"/>
    <w:uiPriority w:val="4"/>
    <w:pPr>
      <w:numPr>
        <w:numId w:val="25"/>
      </w:numPr>
      <w:spacing w:before="120" w:after="120" w:line="240" w:lineRule="auto"/>
      <w:jc w:val="both"/>
    </w:pPr>
    <w:rPr>
      <w:rFonts w:ascii="Times New Roman" w:eastAsia="Times New Roman" w:hAnsi="Times New Roman" w:cs="Times New Roman"/>
      <w:sz w:val="24"/>
      <w:szCs w:val="24"/>
      <w:lang w:eastAsia="de-DE"/>
    </w:rPr>
  </w:style>
  <w:style w:type="paragraph" w:styleId="ListNumber">
    <w:name w:val="List Number"/>
    <w:basedOn w:val="Normal"/>
    <w:pPr>
      <w:numPr>
        <w:numId w:val="18"/>
      </w:numPr>
      <w:spacing w:before="120" w:after="120" w:line="240" w:lineRule="auto"/>
      <w:jc w:val="both"/>
    </w:pPr>
    <w:rPr>
      <w:rFonts w:ascii="Times New Roman" w:eastAsia="Times New Roman" w:hAnsi="Times New Roman" w:cs="Times New Roman"/>
      <w:sz w:val="24"/>
      <w:szCs w:val="24"/>
      <w:lang w:eastAsia="de-DE"/>
    </w:rPr>
  </w:style>
  <w:style w:type="paragraph" w:styleId="ListNumber2">
    <w:name w:val="List Number 2"/>
    <w:basedOn w:val="Normal"/>
    <w:pPr>
      <w:numPr>
        <w:numId w:val="7"/>
      </w:numPr>
      <w:spacing w:before="120" w:after="120" w:line="240" w:lineRule="auto"/>
      <w:jc w:val="both"/>
    </w:pPr>
    <w:rPr>
      <w:rFonts w:ascii="Times New Roman" w:eastAsia="Times New Roman" w:hAnsi="Times New Roman" w:cs="Times New Roman"/>
      <w:sz w:val="24"/>
      <w:szCs w:val="24"/>
      <w:lang w:eastAsia="de-DE"/>
    </w:rPr>
  </w:style>
  <w:style w:type="paragraph" w:styleId="ListNumber3">
    <w:name w:val="List Number 3"/>
    <w:basedOn w:val="Normal"/>
    <w:pPr>
      <w:numPr>
        <w:numId w:val="4"/>
      </w:numPr>
      <w:spacing w:before="120" w:after="120" w:line="240" w:lineRule="auto"/>
      <w:jc w:val="both"/>
    </w:pPr>
    <w:rPr>
      <w:rFonts w:ascii="Times New Roman" w:eastAsia="Times New Roman" w:hAnsi="Times New Roman" w:cs="Times New Roman"/>
      <w:sz w:val="24"/>
      <w:szCs w:val="24"/>
      <w:lang w:eastAsia="de-DE"/>
    </w:rPr>
  </w:style>
  <w:style w:type="paragraph" w:styleId="ListNumber4">
    <w:name w:val="List Number 4"/>
    <w:basedOn w:val="Normal"/>
    <w:pPr>
      <w:numPr>
        <w:numId w:val="3"/>
      </w:numPr>
      <w:spacing w:before="120" w:after="120" w:line="240" w:lineRule="auto"/>
      <w:jc w:val="both"/>
    </w:pPr>
    <w:rPr>
      <w:rFonts w:ascii="Times New Roman" w:eastAsia="Times New Roman" w:hAnsi="Times New Roman" w:cs="Times New Roman"/>
      <w:sz w:val="24"/>
      <w:szCs w:val="24"/>
      <w:lang w:eastAsia="de-DE"/>
    </w:rPr>
  </w:style>
  <w:style w:type="paragraph" w:styleId="TOC1">
    <w:name w:val="toc 1"/>
    <w:basedOn w:val="Normal"/>
    <w:next w:val="Normal"/>
    <w:uiPriority w:val="39"/>
    <w:qFormat/>
    <w:pPr>
      <w:tabs>
        <w:tab w:val="right" w:leader="dot" w:pos="9071"/>
      </w:tabs>
      <w:suppressAutoHyphens/>
      <w:spacing w:before="60" w:after="120" w:line="240" w:lineRule="auto"/>
      <w:ind w:left="850" w:hanging="850"/>
    </w:pPr>
    <w:rPr>
      <w:rFonts w:ascii="Times New Roman" w:eastAsia="Times New Roman" w:hAnsi="Times New Roman" w:cs="Times New Roman"/>
      <w:sz w:val="24"/>
      <w:szCs w:val="24"/>
      <w:lang w:eastAsia="ar-SA"/>
    </w:rPr>
  </w:style>
  <w:style w:type="paragraph" w:styleId="TOC2">
    <w:name w:val="toc 2"/>
    <w:basedOn w:val="Normal"/>
    <w:next w:val="Normal"/>
    <w:uiPriority w:val="39"/>
    <w:qFormat/>
    <w:pPr>
      <w:tabs>
        <w:tab w:val="right" w:leader="dot" w:pos="9071"/>
      </w:tabs>
      <w:spacing w:before="60" w:after="120" w:line="240" w:lineRule="auto"/>
      <w:ind w:left="1559" w:hanging="850"/>
    </w:pPr>
    <w:rPr>
      <w:rFonts w:ascii="Times New Roman" w:eastAsia="Times New Roman" w:hAnsi="Times New Roman" w:cs="Times New Roman"/>
      <w:sz w:val="24"/>
      <w:szCs w:val="24"/>
      <w:lang w:eastAsia="de-DE"/>
    </w:rPr>
  </w:style>
  <w:style w:type="paragraph" w:styleId="TOC3">
    <w:name w:val="toc 3"/>
    <w:basedOn w:val="Normal"/>
    <w:next w:val="Normal"/>
    <w:uiPriority w:val="39"/>
    <w:qFormat/>
    <w:pPr>
      <w:tabs>
        <w:tab w:val="right" w:leader="dot" w:pos="9071"/>
      </w:tabs>
      <w:spacing w:before="60" w:after="120" w:line="240" w:lineRule="auto"/>
      <w:ind w:left="2269" w:hanging="851"/>
    </w:pPr>
    <w:rPr>
      <w:rFonts w:ascii="Times New Roman" w:eastAsia="Times New Roman" w:hAnsi="Times New Roman" w:cs="Times New Roman"/>
      <w:sz w:val="24"/>
      <w:szCs w:val="24"/>
      <w:lang w:eastAsia="de-DE"/>
    </w:rPr>
  </w:style>
  <w:style w:type="paragraph" w:styleId="TOC4">
    <w:name w:val="toc 4"/>
    <w:basedOn w:val="Normal"/>
    <w:next w:val="Normal"/>
    <w:uiPriority w:val="39"/>
    <w:pPr>
      <w:tabs>
        <w:tab w:val="right" w:leader="dot" w:pos="9071"/>
      </w:tabs>
      <w:spacing w:before="60" w:after="120" w:line="240" w:lineRule="auto"/>
      <w:ind w:left="2836" w:hanging="851"/>
    </w:pPr>
    <w:rPr>
      <w:rFonts w:ascii="Times New Roman" w:eastAsia="Times New Roman" w:hAnsi="Times New Roman" w:cs="Times New Roman"/>
      <w:sz w:val="24"/>
      <w:szCs w:val="24"/>
      <w:lang w:eastAsia="de-DE"/>
    </w:rPr>
  </w:style>
  <w:style w:type="paragraph" w:styleId="TOC5">
    <w:name w:val="toc 5"/>
    <w:basedOn w:val="Normal"/>
    <w:next w:val="Normal"/>
    <w:uiPriority w:val="39"/>
    <w:pPr>
      <w:tabs>
        <w:tab w:val="right" w:leader="dot" w:pos="9071"/>
      </w:tabs>
      <w:spacing w:before="300" w:after="120" w:line="240" w:lineRule="auto"/>
    </w:pPr>
    <w:rPr>
      <w:rFonts w:ascii="Times New Roman" w:eastAsia="Times New Roman" w:hAnsi="Times New Roman" w:cs="Times New Roman"/>
      <w:sz w:val="24"/>
      <w:szCs w:val="24"/>
      <w:lang w:eastAsia="de-DE"/>
    </w:rPr>
  </w:style>
  <w:style w:type="paragraph" w:styleId="TOC6">
    <w:name w:val="toc 6"/>
    <w:basedOn w:val="Normal"/>
    <w:next w:val="Normal"/>
    <w:uiPriority w:val="39"/>
    <w:pPr>
      <w:tabs>
        <w:tab w:val="right" w:leader="dot" w:pos="9071"/>
      </w:tabs>
      <w:spacing w:before="240" w:after="120" w:line="240" w:lineRule="auto"/>
    </w:pPr>
    <w:rPr>
      <w:rFonts w:ascii="Times New Roman" w:eastAsia="Times New Roman" w:hAnsi="Times New Roman" w:cs="Times New Roman"/>
      <w:sz w:val="24"/>
      <w:szCs w:val="24"/>
      <w:lang w:eastAsia="de-DE"/>
    </w:rPr>
  </w:style>
  <w:style w:type="paragraph" w:styleId="TOC7">
    <w:name w:val="toc 7"/>
    <w:basedOn w:val="Normal"/>
    <w:next w:val="Normal"/>
    <w:uiPriority w:val="39"/>
    <w:pPr>
      <w:tabs>
        <w:tab w:val="right" w:leader="dot" w:pos="9071"/>
      </w:tabs>
      <w:spacing w:before="180" w:after="120" w:line="240" w:lineRule="auto"/>
    </w:pPr>
    <w:rPr>
      <w:rFonts w:ascii="Times New Roman" w:eastAsia="Times New Roman" w:hAnsi="Times New Roman" w:cs="Times New Roman"/>
      <w:sz w:val="24"/>
      <w:szCs w:val="24"/>
      <w:lang w:eastAsia="de-DE"/>
    </w:rPr>
  </w:style>
  <w:style w:type="paragraph" w:styleId="TOC8">
    <w:name w:val="toc 8"/>
    <w:basedOn w:val="Normal"/>
    <w:next w:val="Normal"/>
    <w:uiPriority w:val="39"/>
    <w:pPr>
      <w:tabs>
        <w:tab w:val="right" w:leader="dot" w:pos="9071"/>
      </w:tabs>
      <w:spacing w:before="120" w:after="120" w:line="240" w:lineRule="auto"/>
    </w:pPr>
    <w:rPr>
      <w:rFonts w:ascii="Times New Roman" w:eastAsia="Times New Roman" w:hAnsi="Times New Roman" w:cs="Times New Roman"/>
      <w:sz w:val="24"/>
      <w:szCs w:val="24"/>
      <w:lang w:eastAsia="de-DE"/>
    </w:rPr>
  </w:style>
  <w:style w:type="paragraph" w:styleId="TOC9">
    <w:name w:val="toc 9"/>
    <w:basedOn w:val="Normal"/>
    <w:next w:val="Normal"/>
    <w:uiPriority w:val="39"/>
    <w:pPr>
      <w:tabs>
        <w:tab w:val="right" w:leader="dot" w:pos="9071"/>
      </w:tabs>
      <w:spacing w:before="120" w:after="120" w:line="240" w:lineRule="auto"/>
      <w:jc w:val="both"/>
    </w:pPr>
    <w:rPr>
      <w:rFonts w:ascii="Times New Roman" w:eastAsia="Times New Roman" w:hAnsi="Times New Roman" w:cs="Times New Roman"/>
      <w:sz w:val="24"/>
      <w:szCs w:val="24"/>
      <w:lang w:eastAsia="de-DE"/>
    </w:rPr>
  </w:style>
  <w:style w:type="paragraph" w:customStyle="1" w:styleId="HeaderLandscape">
    <w:name w:val="HeaderLandscape"/>
    <w:basedOn w:val="Normal"/>
    <w:pPr>
      <w:tabs>
        <w:tab w:val="center" w:pos="7285"/>
        <w:tab w:val="right" w:pos="14003"/>
      </w:tabs>
      <w:spacing w:after="120" w:line="240" w:lineRule="auto"/>
      <w:jc w:val="both"/>
    </w:pPr>
    <w:rPr>
      <w:rFonts w:ascii="Times New Roman" w:hAnsi="Times New Roman" w:cs="Times New Roman"/>
      <w:sz w:val="24"/>
    </w:rPr>
  </w:style>
  <w:style w:type="paragraph" w:customStyle="1" w:styleId="FooterLandscape">
    <w:name w:val="FooterLandscape"/>
    <w:basedOn w:val="Normal"/>
    <w:pPr>
      <w:tabs>
        <w:tab w:val="center" w:pos="7285"/>
        <w:tab w:val="center" w:pos="10913"/>
        <w:tab w:val="right" w:pos="15137"/>
      </w:tabs>
      <w:spacing w:before="360" w:after="0" w:line="240" w:lineRule="auto"/>
      <w:ind w:left="-567" w:right="-567"/>
    </w:pPr>
    <w:rPr>
      <w:rFonts w:ascii="Times New Roman" w:hAnsi="Times New Roman" w:cs="Times New Roman"/>
      <w:sz w:val="24"/>
    </w:rPr>
  </w:style>
  <w:style w:type="paragraph" w:customStyle="1" w:styleId="Text1">
    <w:name w:val="Text 1"/>
    <w:basedOn w:val="Normal"/>
    <w:pPr>
      <w:suppressAutoHyphens/>
      <w:spacing w:before="120" w:after="120" w:line="240" w:lineRule="auto"/>
      <w:ind w:left="850"/>
      <w:jc w:val="both"/>
    </w:pPr>
    <w:rPr>
      <w:rFonts w:ascii="Times New Roman" w:eastAsia="Times New Roman" w:hAnsi="Times New Roman" w:cs="Times New Roman"/>
      <w:sz w:val="24"/>
      <w:szCs w:val="24"/>
      <w:lang w:eastAsia="ar-SA"/>
    </w:rPr>
  </w:style>
  <w:style w:type="paragraph" w:customStyle="1" w:styleId="Text2">
    <w:name w:val="Text 2"/>
    <w:basedOn w:val="Normal"/>
    <w:pPr>
      <w:suppressAutoHyphens/>
      <w:spacing w:before="120" w:after="120" w:line="240" w:lineRule="auto"/>
      <w:ind w:left="850"/>
      <w:jc w:val="both"/>
    </w:pPr>
    <w:rPr>
      <w:rFonts w:ascii="Times New Roman" w:eastAsia="Times New Roman" w:hAnsi="Times New Roman" w:cs="Times New Roman"/>
      <w:sz w:val="24"/>
      <w:szCs w:val="24"/>
      <w:lang w:eastAsia="ar-SA"/>
    </w:rPr>
  </w:style>
  <w:style w:type="paragraph" w:customStyle="1" w:styleId="Text3">
    <w:name w:val="Text 3"/>
    <w:basedOn w:val="Normal"/>
    <w:pPr>
      <w:suppressAutoHyphens/>
      <w:spacing w:before="120" w:after="120" w:line="240" w:lineRule="auto"/>
      <w:ind w:left="850"/>
      <w:jc w:val="both"/>
    </w:pPr>
    <w:rPr>
      <w:rFonts w:ascii="Times New Roman" w:eastAsia="Times New Roman" w:hAnsi="Times New Roman" w:cs="Times New Roman"/>
      <w:sz w:val="24"/>
      <w:szCs w:val="24"/>
      <w:lang w:eastAsia="ar-SA"/>
    </w:rPr>
  </w:style>
  <w:style w:type="paragraph" w:customStyle="1" w:styleId="Text4">
    <w:name w:val="Text 4"/>
    <w:basedOn w:val="Normal"/>
    <w:pPr>
      <w:suppressAutoHyphens/>
      <w:spacing w:before="120" w:after="120" w:line="240" w:lineRule="auto"/>
      <w:ind w:left="850"/>
      <w:jc w:val="both"/>
    </w:pPr>
    <w:rPr>
      <w:rFonts w:ascii="Times New Roman" w:eastAsia="Times New Roman" w:hAnsi="Times New Roman" w:cs="Times New Roman"/>
      <w:sz w:val="24"/>
      <w:szCs w:val="24"/>
      <w:lang w:eastAsia="ar-SA"/>
    </w:rPr>
  </w:style>
  <w:style w:type="paragraph" w:customStyle="1" w:styleId="NormalCentered">
    <w:name w:val="Normal Centered"/>
    <w:basedOn w:val="Normal"/>
    <w:pPr>
      <w:suppressAutoHyphens/>
      <w:spacing w:before="120" w:after="120" w:line="240" w:lineRule="auto"/>
      <w:jc w:val="center"/>
    </w:pPr>
    <w:rPr>
      <w:rFonts w:ascii="Times New Roman" w:eastAsia="Times New Roman" w:hAnsi="Times New Roman" w:cs="Times New Roman"/>
      <w:sz w:val="24"/>
      <w:szCs w:val="24"/>
      <w:lang w:eastAsia="ar-SA"/>
    </w:rPr>
  </w:style>
  <w:style w:type="paragraph" w:customStyle="1" w:styleId="NormalLeft">
    <w:name w:val="Normal Left"/>
    <w:basedOn w:val="Normal"/>
    <w:pPr>
      <w:suppressAutoHyphens/>
      <w:spacing w:before="120" w:after="120" w:line="240" w:lineRule="auto"/>
    </w:pPr>
    <w:rPr>
      <w:rFonts w:ascii="Times New Roman" w:eastAsia="Times New Roman" w:hAnsi="Times New Roman" w:cs="Times New Roman"/>
      <w:sz w:val="24"/>
      <w:szCs w:val="24"/>
      <w:lang w:eastAsia="ar-SA"/>
    </w:rPr>
  </w:style>
  <w:style w:type="paragraph" w:customStyle="1" w:styleId="NormalRight">
    <w:name w:val="Normal Right"/>
    <w:basedOn w:val="Normal"/>
    <w:pPr>
      <w:suppressAutoHyphens/>
      <w:spacing w:before="120" w:after="120" w:line="240" w:lineRule="auto"/>
      <w:jc w:val="right"/>
    </w:pPr>
    <w:rPr>
      <w:rFonts w:ascii="Times New Roman" w:eastAsia="Times New Roman" w:hAnsi="Times New Roman" w:cs="Times New Roman"/>
      <w:sz w:val="24"/>
      <w:szCs w:val="24"/>
      <w:lang w:eastAsia="ar-SA"/>
    </w:rPr>
  </w:style>
  <w:style w:type="paragraph" w:customStyle="1" w:styleId="QuotedText">
    <w:name w:val="Quoted Text"/>
    <w:basedOn w:val="Normal"/>
    <w:pPr>
      <w:suppressAutoHyphens/>
      <w:spacing w:before="120" w:after="120" w:line="240" w:lineRule="auto"/>
      <w:ind w:left="1417"/>
      <w:jc w:val="both"/>
    </w:pPr>
    <w:rPr>
      <w:rFonts w:ascii="Times New Roman" w:eastAsia="Times New Roman" w:hAnsi="Times New Roman" w:cs="Times New Roman"/>
      <w:sz w:val="24"/>
      <w:szCs w:val="24"/>
      <w:lang w:eastAsia="ar-SA"/>
    </w:rPr>
  </w:style>
  <w:style w:type="paragraph" w:customStyle="1" w:styleId="Point0">
    <w:name w:val="Point 0"/>
    <w:basedOn w:val="Normal"/>
    <w:pPr>
      <w:suppressAutoHyphens/>
      <w:spacing w:before="120" w:after="120" w:line="240" w:lineRule="auto"/>
      <w:ind w:left="850" w:hanging="850"/>
      <w:jc w:val="both"/>
    </w:pPr>
    <w:rPr>
      <w:rFonts w:ascii="Times New Roman" w:eastAsia="Times New Roman" w:hAnsi="Times New Roman" w:cs="Times New Roman"/>
      <w:sz w:val="24"/>
      <w:szCs w:val="24"/>
      <w:lang w:eastAsia="ar-SA"/>
    </w:rPr>
  </w:style>
  <w:style w:type="paragraph" w:customStyle="1" w:styleId="Point1">
    <w:name w:val="Point 1"/>
    <w:basedOn w:val="Normal"/>
    <w:pPr>
      <w:suppressAutoHyphens/>
      <w:spacing w:before="120" w:after="120" w:line="240" w:lineRule="auto"/>
      <w:ind w:left="1417" w:hanging="567"/>
      <w:jc w:val="both"/>
    </w:pPr>
    <w:rPr>
      <w:rFonts w:ascii="Times New Roman" w:eastAsia="Times New Roman" w:hAnsi="Times New Roman" w:cs="Times New Roman"/>
      <w:sz w:val="24"/>
      <w:szCs w:val="24"/>
      <w:lang w:eastAsia="ar-SA"/>
    </w:rPr>
  </w:style>
  <w:style w:type="paragraph" w:customStyle="1" w:styleId="Point2">
    <w:name w:val="Point 2"/>
    <w:basedOn w:val="Normal"/>
    <w:pPr>
      <w:suppressAutoHyphens/>
      <w:spacing w:before="120" w:after="120" w:line="240" w:lineRule="auto"/>
      <w:ind w:left="1984" w:hanging="567"/>
      <w:jc w:val="both"/>
    </w:pPr>
    <w:rPr>
      <w:rFonts w:ascii="Times New Roman" w:eastAsia="Times New Roman" w:hAnsi="Times New Roman" w:cs="Times New Roman"/>
      <w:sz w:val="24"/>
      <w:szCs w:val="24"/>
      <w:lang w:eastAsia="ar-SA"/>
    </w:rPr>
  </w:style>
  <w:style w:type="paragraph" w:customStyle="1" w:styleId="Point3">
    <w:name w:val="Point 3"/>
    <w:basedOn w:val="Normal"/>
    <w:pPr>
      <w:suppressAutoHyphens/>
      <w:spacing w:before="120" w:after="120" w:line="240" w:lineRule="auto"/>
      <w:ind w:left="2551" w:hanging="567"/>
      <w:jc w:val="both"/>
    </w:pPr>
    <w:rPr>
      <w:rFonts w:ascii="Times New Roman" w:eastAsia="Times New Roman" w:hAnsi="Times New Roman" w:cs="Times New Roman"/>
      <w:sz w:val="24"/>
      <w:szCs w:val="24"/>
      <w:lang w:eastAsia="ar-SA"/>
    </w:rPr>
  </w:style>
  <w:style w:type="paragraph" w:customStyle="1" w:styleId="Point4">
    <w:name w:val="Point 4"/>
    <w:basedOn w:val="Normal"/>
    <w:pPr>
      <w:suppressAutoHyphens/>
      <w:spacing w:before="120" w:after="120" w:line="240" w:lineRule="auto"/>
      <w:ind w:left="3118" w:hanging="567"/>
      <w:jc w:val="both"/>
    </w:pPr>
    <w:rPr>
      <w:rFonts w:ascii="Times New Roman" w:eastAsia="Times New Roman" w:hAnsi="Times New Roman" w:cs="Times New Roman"/>
      <w:sz w:val="24"/>
      <w:szCs w:val="24"/>
      <w:lang w:eastAsia="ar-SA"/>
    </w:rPr>
  </w:style>
  <w:style w:type="paragraph" w:customStyle="1" w:styleId="Tiret0">
    <w:name w:val="Tiret 0"/>
    <w:basedOn w:val="Point0"/>
    <w:pPr>
      <w:numPr>
        <w:numId w:val="9"/>
      </w:numPr>
      <w:suppressAutoHyphens w:val="0"/>
    </w:pPr>
    <w:rPr>
      <w:lang w:eastAsia="de-DE"/>
    </w:rPr>
  </w:style>
  <w:style w:type="paragraph" w:customStyle="1" w:styleId="Tiret1">
    <w:name w:val="Tiret 1"/>
    <w:basedOn w:val="Point1"/>
    <w:pPr>
      <w:numPr>
        <w:numId w:val="15"/>
      </w:numPr>
      <w:suppressAutoHyphens w:val="0"/>
    </w:pPr>
    <w:rPr>
      <w:lang w:eastAsia="de-DE"/>
    </w:rPr>
  </w:style>
  <w:style w:type="paragraph" w:customStyle="1" w:styleId="Tiret2">
    <w:name w:val="Tiret 2"/>
    <w:basedOn w:val="Point2"/>
    <w:pPr>
      <w:numPr>
        <w:numId w:val="10"/>
      </w:numPr>
      <w:suppressAutoHyphens w:val="0"/>
    </w:pPr>
    <w:rPr>
      <w:lang w:eastAsia="de-DE"/>
    </w:rPr>
  </w:style>
  <w:style w:type="paragraph" w:customStyle="1" w:styleId="Tiret3">
    <w:name w:val="Tiret 3"/>
    <w:basedOn w:val="Point3"/>
    <w:pPr>
      <w:numPr>
        <w:numId w:val="13"/>
      </w:numPr>
      <w:suppressAutoHyphens w:val="0"/>
    </w:pPr>
    <w:rPr>
      <w:lang w:eastAsia="de-DE"/>
    </w:rPr>
  </w:style>
  <w:style w:type="paragraph" w:customStyle="1" w:styleId="Tiret4">
    <w:name w:val="Tiret 4"/>
    <w:basedOn w:val="Point4"/>
    <w:pPr>
      <w:numPr>
        <w:numId w:val="14"/>
      </w:numPr>
      <w:suppressAutoHyphens w:val="0"/>
    </w:pPr>
    <w:rPr>
      <w:lang w:eastAsia="de-DE"/>
    </w:rPr>
  </w:style>
  <w:style w:type="paragraph" w:customStyle="1" w:styleId="PointDouble0">
    <w:name w:val="PointDouble 0"/>
    <w:basedOn w:val="Normal"/>
    <w:pPr>
      <w:tabs>
        <w:tab w:val="left" w:pos="850"/>
      </w:tabs>
      <w:suppressAutoHyphens/>
      <w:spacing w:before="120" w:after="120" w:line="240" w:lineRule="auto"/>
      <w:ind w:left="1417" w:hanging="1417"/>
      <w:jc w:val="both"/>
    </w:pPr>
    <w:rPr>
      <w:rFonts w:ascii="Times New Roman" w:eastAsia="Times New Roman" w:hAnsi="Times New Roman" w:cs="Times New Roman"/>
      <w:sz w:val="24"/>
      <w:szCs w:val="24"/>
      <w:lang w:eastAsia="ar-SA"/>
    </w:rPr>
  </w:style>
  <w:style w:type="paragraph" w:customStyle="1" w:styleId="PointDouble1">
    <w:name w:val="PointDouble 1"/>
    <w:basedOn w:val="Normal"/>
    <w:pPr>
      <w:tabs>
        <w:tab w:val="left" w:pos="1417"/>
      </w:tabs>
      <w:suppressAutoHyphens/>
      <w:spacing w:before="120" w:after="120" w:line="240" w:lineRule="auto"/>
      <w:ind w:left="1984" w:hanging="1134"/>
      <w:jc w:val="both"/>
    </w:pPr>
    <w:rPr>
      <w:rFonts w:ascii="Times New Roman" w:eastAsia="Times New Roman" w:hAnsi="Times New Roman" w:cs="Times New Roman"/>
      <w:sz w:val="24"/>
      <w:szCs w:val="24"/>
      <w:lang w:eastAsia="ar-SA"/>
    </w:rPr>
  </w:style>
  <w:style w:type="paragraph" w:customStyle="1" w:styleId="PointDouble2">
    <w:name w:val="PointDouble 2"/>
    <w:basedOn w:val="Normal"/>
    <w:pPr>
      <w:tabs>
        <w:tab w:val="left" w:pos="1984"/>
      </w:tabs>
      <w:suppressAutoHyphens/>
      <w:spacing w:before="120" w:after="120" w:line="240" w:lineRule="auto"/>
      <w:ind w:left="2551" w:hanging="1134"/>
      <w:jc w:val="both"/>
    </w:pPr>
    <w:rPr>
      <w:rFonts w:ascii="Times New Roman" w:eastAsia="Times New Roman" w:hAnsi="Times New Roman" w:cs="Times New Roman"/>
      <w:sz w:val="24"/>
      <w:szCs w:val="24"/>
      <w:lang w:eastAsia="ar-SA"/>
    </w:rPr>
  </w:style>
  <w:style w:type="paragraph" w:customStyle="1" w:styleId="PointDouble3">
    <w:name w:val="PointDouble 3"/>
    <w:basedOn w:val="Normal"/>
    <w:pPr>
      <w:tabs>
        <w:tab w:val="left" w:pos="2551"/>
      </w:tabs>
      <w:suppressAutoHyphens/>
      <w:spacing w:before="120" w:after="120" w:line="240" w:lineRule="auto"/>
      <w:ind w:left="3118" w:hanging="1134"/>
      <w:jc w:val="both"/>
    </w:pPr>
    <w:rPr>
      <w:rFonts w:ascii="Times New Roman" w:eastAsia="Times New Roman" w:hAnsi="Times New Roman" w:cs="Times New Roman"/>
      <w:sz w:val="24"/>
      <w:szCs w:val="24"/>
      <w:lang w:eastAsia="ar-SA"/>
    </w:rPr>
  </w:style>
  <w:style w:type="paragraph" w:customStyle="1" w:styleId="PointDouble4">
    <w:name w:val="PointDouble 4"/>
    <w:basedOn w:val="Normal"/>
    <w:pPr>
      <w:tabs>
        <w:tab w:val="left" w:pos="3118"/>
      </w:tabs>
      <w:suppressAutoHyphens/>
      <w:spacing w:before="120" w:after="120" w:line="240" w:lineRule="auto"/>
      <w:ind w:left="3685" w:hanging="1134"/>
      <w:jc w:val="both"/>
    </w:pPr>
    <w:rPr>
      <w:rFonts w:ascii="Times New Roman" w:eastAsia="Times New Roman" w:hAnsi="Times New Roman" w:cs="Times New Roman"/>
      <w:sz w:val="24"/>
      <w:szCs w:val="24"/>
      <w:lang w:eastAsia="ar-SA"/>
    </w:rPr>
  </w:style>
  <w:style w:type="paragraph" w:customStyle="1" w:styleId="PointTriple0">
    <w:name w:val="PointTriple 0"/>
    <w:basedOn w:val="Normal"/>
    <w:pPr>
      <w:tabs>
        <w:tab w:val="left" w:pos="850"/>
        <w:tab w:val="left" w:pos="1417"/>
      </w:tabs>
      <w:suppressAutoHyphens/>
      <w:spacing w:before="120" w:after="120" w:line="240" w:lineRule="auto"/>
      <w:ind w:left="1984" w:hanging="1984"/>
      <w:jc w:val="both"/>
    </w:pPr>
    <w:rPr>
      <w:rFonts w:ascii="Times New Roman" w:eastAsia="Times New Roman" w:hAnsi="Times New Roman" w:cs="Times New Roman"/>
      <w:sz w:val="24"/>
      <w:szCs w:val="24"/>
      <w:lang w:eastAsia="ar-SA"/>
    </w:rPr>
  </w:style>
  <w:style w:type="paragraph" w:customStyle="1" w:styleId="PointTriple1">
    <w:name w:val="PointTriple 1"/>
    <w:basedOn w:val="Normal"/>
    <w:pPr>
      <w:tabs>
        <w:tab w:val="left" w:pos="1417"/>
        <w:tab w:val="left" w:pos="1984"/>
      </w:tabs>
      <w:suppressAutoHyphens/>
      <w:spacing w:before="120" w:after="120" w:line="240" w:lineRule="auto"/>
      <w:ind w:left="2551" w:hanging="1701"/>
      <w:jc w:val="both"/>
    </w:pPr>
    <w:rPr>
      <w:rFonts w:ascii="Times New Roman" w:eastAsia="Times New Roman" w:hAnsi="Times New Roman" w:cs="Times New Roman"/>
      <w:sz w:val="24"/>
      <w:szCs w:val="24"/>
      <w:lang w:eastAsia="ar-SA"/>
    </w:rPr>
  </w:style>
  <w:style w:type="paragraph" w:customStyle="1" w:styleId="PointTriple2">
    <w:name w:val="PointTriple 2"/>
    <w:basedOn w:val="Normal"/>
    <w:pPr>
      <w:tabs>
        <w:tab w:val="left" w:pos="1984"/>
        <w:tab w:val="left" w:pos="2551"/>
      </w:tabs>
      <w:suppressAutoHyphens/>
      <w:spacing w:before="120" w:after="120" w:line="240" w:lineRule="auto"/>
      <w:ind w:left="3118" w:hanging="1701"/>
      <w:jc w:val="both"/>
    </w:pPr>
    <w:rPr>
      <w:rFonts w:ascii="Times New Roman" w:eastAsia="Times New Roman" w:hAnsi="Times New Roman" w:cs="Times New Roman"/>
      <w:sz w:val="24"/>
      <w:szCs w:val="24"/>
      <w:lang w:eastAsia="ar-SA"/>
    </w:rPr>
  </w:style>
  <w:style w:type="paragraph" w:customStyle="1" w:styleId="PointTriple3">
    <w:name w:val="PointTriple 3"/>
    <w:basedOn w:val="Normal"/>
    <w:pPr>
      <w:tabs>
        <w:tab w:val="left" w:pos="2551"/>
        <w:tab w:val="left" w:pos="3118"/>
      </w:tabs>
      <w:suppressAutoHyphens/>
      <w:spacing w:before="120" w:after="120" w:line="240" w:lineRule="auto"/>
      <w:ind w:left="3685" w:hanging="1701"/>
      <w:jc w:val="both"/>
    </w:pPr>
    <w:rPr>
      <w:rFonts w:ascii="Times New Roman" w:eastAsia="Times New Roman" w:hAnsi="Times New Roman" w:cs="Times New Roman"/>
      <w:sz w:val="24"/>
      <w:szCs w:val="24"/>
      <w:lang w:eastAsia="ar-SA"/>
    </w:rPr>
  </w:style>
  <w:style w:type="paragraph" w:customStyle="1" w:styleId="PointTriple4">
    <w:name w:val="PointTriple 4"/>
    <w:basedOn w:val="Normal"/>
    <w:pPr>
      <w:tabs>
        <w:tab w:val="left" w:pos="3118"/>
        <w:tab w:val="left" w:pos="3685"/>
      </w:tabs>
      <w:suppressAutoHyphens/>
      <w:spacing w:before="120" w:after="120" w:line="240" w:lineRule="auto"/>
      <w:ind w:left="4252" w:hanging="1701"/>
      <w:jc w:val="both"/>
    </w:pPr>
    <w:rPr>
      <w:rFonts w:ascii="Times New Roman" w:eastAsia="Times New Roman" w:hAnsi="Times New Roman" w:cs="Times New Roman"/>
      <w:sz w:val="24"/>
      <w:szCs w:val="24"/>
      <w:lang w:eastAsia="ar-SA"/>
    </w:rPr>
  </w:style>
  <w:style w:type="paragraph" w:customStyle="1" w:styleId="NumPar1">
    <w:name w:val="NumPar 1"/>
    <w:basedOn w:val="Normal"/>
    <w:next w:val="Text1"/>
    <w:pPr>
      <w:numPr>
        <w:numId w:val="23"/>
      </w:numPr>
      <w:spacing w:before="120" w:after="120" w:line="240" w:lineRule="auto"/>
      <w:jc w:val="both"/>
    </w:pPr>
    <w:rPr>
      <w:rFonts w:ascii="Times New Roman" w:eastAsia="Times New Roman" w:hAnsi="Times New Roman" w:cs="Times New Roman"/>
      <w:sz w:val="24"/>
      <w:szCs w:val="24"/>
      <w:lang w:eastAsia="de-DE"/>
    </w:rPr>
  </w:style>
  <w:style w:type="paragraph" w:customStyle="1" w:styleId="NumPar2">
    <w:name w:val="NumPar 2"/>
    <w:basedOn w:val="Normal"/>
    <w:next w:val="Text2"/>
    <w:pPr>
      <w:tabs>
        <w:tab w:val="num" w:pos="850"/>
      </w:tabs>
      <w:spacing w:before="120" w:after="120" w:line="240" w:lineRule="auto"/>
      <w:ind w:left="850" w:hanging="850"/>
      <w:jc w:val="both"/>
    </w:pPr>
    <w:rPr>
      <w:rFonts w:ascii="Times New Roman" w:eastAsia="Times New Roman" w:hAnsi="Times New Roman" w:cs="Times New Roman"/>
      <w:sz w:val="24"/>
      <w:szCs w:val="24"/>
      <w:lang w:eastAsia="de-DE"/>
    </w:rPr>
  </w:style>
  <w:style w:type="paragraph" w:customStyle="1" w:styleId="NumPar3">
    <w:name w:val="NumPar 3"/>
    <w:basedOn w:val="Normal"/>
    <w:next w:val="Text3"/>
    <w:pPr>
      <w:tabs>
        <w:tab w:val="num" w:pos="850"/>
      </w:tabs>
      <w:spacing w:before="120" w:after="120" w:line="240" w:lineRule="auto"/>
      <w:ind w:left="850" w:hanging="850"/>
      <w:jc w:val="both"/>
    </w:pPr>
    <w:rPr>
      <w:rFonts w:ascii="Times New Roman" w:eastAsia="Times New Roman" w:hAnsi="Times New Roman" w:cs="Times New Roman"/>
      <w:sz w:val="24"/>
      <w:szCs w:val="24"/>
      <w:lang w:eastAsia="de-DE"/>
    </w:rPr>
  </w:style>
  <w:style w:type="paragraph" w:customStyle="1" w:styleId="NumPar4">
    <w:name w:val="NumPar 4"/>
    <w:basedOn w:val="Normal"/>
    <w:next w:val="Text4"/>
    <w:pPr>
      <w:tabs>
        <w:tab w:val="num" w:pos="850"/>
      </w:tabs>
      <w:spacing w:before="120" w:after="120" w:line="240" w:lineRule="auto"/>
      <w:ind w:left="850" w:hanging="850"/>
      <w:jc w:val="both"/>
    </w:pPr>
    <w:rPr>
      <w:rFonts w:ascii="Times New Roman" w:eastAsia="Times New Roman" w:hAnsi="Times New Roman" w:cs="Times New Roman"/>
      <w:sz w:val="24"/>
      <w:szCs w:val="24"/>
      <w:lang w:eastAsia="de-DE"/>
    </w:rPr>
  </w:style>
  <w:style w:type="paragraph" w:customStyle="1" w:styleId="ManualNumPar1">
    <w:name w:val="Manual NumPar 1"/>
    <w:basedOn w:val="Normal"/>
    <w:next w:val="Text1"/>
    <w:pPr>
      <w:suppressAutoHyphens/>
      <w:spacing w:before="120" w:after="120" w:line="240" w:lineRule="auto"/>
      <w:ind w:left="850" w:hanging="850"/>
      <w:jc w:val="both"/>
    </w:pPr>
    <w:rPr>
      <w:rFonts w:ascii="Times New Roman" w:eastAsia="Times New Roman" w:hAnsi="Times New Roman" w:cs="Times New Roman"/>
      <w:sz w:val="24"/>
      <w:szCs w:val="24"/>
      <w:lang w:eastAsia="ar-SA"/>
    </w:rPr>
  </w:style>
  <w:style w:type="paragraph" w:customStyle="1" w:styleId="ManualNumPar2">
    <w:name w:val="Manual NumPar 2"/>
    <w:basedOn w:val="Normal"/>
    <w:next w:val="Text2"/>
    <w:pPr>
      <w:suppressAutoHyphens/>
      <w:spacing w:before="120" w:after="120" w:line="240" w:lineRule="auto"/>
      <w:ind w:left="850" w:hanging="850"/>
      <w:jc w:val="both"/>
    </w:pPr>
    <w:rPr>
      <w:rFonts w:ascii="Times New Roman" w:eastAsia="Times New Roman" w:hAnsi="Times New Roman" w:cs="Times New Roman"/>
      <w:sz w:val="24"/>
      <w:szCs w:val="24"/>
      <w:lang w:eastAsia="ar-SA"/>
    </w:rPr>
  </w:style>
  <w:style w:type="paragraph" w:customStyle="1" w:styleId="ManualNumPar3">
    <w:name w:val="Manual NumPar 3"/>
    <w:basedOn w:val="Normal"/>
    <w:next w:val="Text3"/>
    <w:pPr>
      <w:suppressAutoHyphens/>
      <w:spacing w:before="120" w:after="120" w:line="240" w:lineRule="auto"/>
      <w:ind w:left="850" w:hanging="850"/>
      <w:jc w:val="both"/>
    </w:pPr>
    <w:rPr>
      <w:rFonts w:ascii="Times New Roman" w:eastAsia="Times New Roman" w:hAnsi="Times New Roman" w:cs="Times New Roman"/>
      <w:sz w:val="24"/>
      <w:szCs w:val="24"/>
      <w:lang w:eastAsia="ar-SA"/>
    </w:rPr>
  </w:style>
  <w:style w:type="paragraph" w:customStyle="1" w:styleId="ManualNumPar4">
    <w:name w:val="Manual NumPar 4"/>
    <w:basedOn w:val="Normal"/>
    <w:next w:val="Text4"/>
    <w:pPr>
      <w:suppressAutoHyphens/>
      <w:spacing w:before="120" w:after="120" w:line="240" w:lineRule="auto"/>
      <w:ind w:left="850" w:hanging="850"/>
      <w:jc w:val="both"/>
    </w:pPr>
    <w:rPr>
      <w:rFonts w:ascii="Times New Roman" w:eastAsia="Times New Roman" w:hAnsi="Times New Roman" w:cs="Times New Roman"/>
      <w:sz w:val="24"/>
      <w:szCs w:val="24"/>
      <w:lang w:eastAsia="ar-SA"/>
    </w:rPr>
  </w:style>
  <w:style w:type="paragraph" w:customStyle="1" w:styleId="QuotedNumPar">
    <w:name w:val="Quoted NumPar"/>
    <w:basedOn w:val="Normal"/>
    <w:pPr>
      <w:suppressAutoHyphens/>
      <w:spacing w:before="120" w:after="120" w:line="240" w:lineRule="auto"/>
      <w:ind w:left="1417" w:hanging="567"/>
      <w:jc w:val="both"/>
    </w:pPr>
    <w:rPr>
      <w:rFonts w:ascii="Times New Roman" w:eastAsia="Times New Roman" w:hAnsi="Times New Roman" w:cs="Times New Roman"/>
      <w:sz w:val="24"/>
      <w:szCs w:val="24"/>
      <w:lang w:eastAsia="ar-SA"/>
    </w:rPr>
  </w:style>
  <w:style w:type="paragraph" w:customStyle="1" w:styleId="ManualHeading1">
    <w:name w:val="Manual Heading 1"/>
    <w:basedOn w:val="Normal"/>
    <w:next w:val="Text1"/>
    <w:pPr>
      <w:keepNext/>
      <w:tabs>
        <w:tab w:val="left" w:pos="850"/>
      </w:tabs>
      <w:spacing w:before="360" w:after="120" w:line="240" w:lineRule="auto"/>
      <w:ind w:left="850" w:hanging="850"/>
      <w:jc w:val="both"/>
    </w:pPr>
    <w:rPr>
      <w:rFonts w:ascii="Times New Roman" w:eastAsia="Times New Roman" w:hAnsi="Times New Roman" w:cs="Times New Roman"/>
      <w:b/>
      <w:smallCaps/>
      <w:sz w:val="24"/>
      <w:szCs w:val="24"/>
      <w:lang w:eastAsia="de-DE"/>
    </w:rPr>
  </w:style>
  <w:style w:type="paragraph" w:customStyle="1" w:styleId="ManualHeading2">
    <w:name w:val="Manual Heading 2"/>
    <w:basedOn w:val="Normal"/>
    <w:next w:val="Text2"/>
    <w:pPr>
      <w:keepNext/>
      <w:tabs>
        <w:tab w:val="left" w:pos="850"/>
      </w:tabs>
      <w:spacing w:before="120" w:after="120" w:line="240" w:lineRule="auto"/>
      <w:ind w:left="850" w:hanging="850"/>
      <w:jc w:val="both"/>
    </w:pPr>
    <w:rPr>
      <w:rFonts w:ascii="Times New Roman" w:eastAsia="Times New Roman" w:hAnsi="Times New Roman" w:cs="Times New Roman"/>
      <w:b/>
      <w:sz w:val="24"/>
      <w:szCs w:val="24"/>
      <w:lang w:eastAsia="de-DE"/>
    </w:rPr>
  </w:style>
  <w:style w:type="paragraph" w:customStyle="1" w:styleId="ManualHeading3">
    <w:name w:val="Manual Heading 3"/>
    <w:basedOn w:val="Normal"/>
    <w:next w:val="Text3"/>
    <w:pPr>
      <w:keepNext/>
      <w:tabs>
        <w:tab w:val="left" w:pos="850"/>
      </w:tabs>
      <w:spacing w:before="120" w:after="120" w:line="240" w:lineRule="auto"/>
      <w:ind w:left="850" w:hanging="850"/>
      <w:jc w:val="both"/>
    </w:pPr>
    <w:rPr>
      <w:rFonts w:ascii="Times New Roman" w:eastAsia="Times New Roman" w:hAnsi="Times New Roman" w:cs="Times New Roman"/>
      <w:i/>
      <w:sz w:val="24"/>
      <w:szCs w:val="24"/>
      <w:lang w:eastAsia="de-DE"/>
    </w:rPr>
  </w:style>
  <w:style w:type="paragraph" w:customStyle="1" w:styleId="ManualHeading4">
    <w:name w:val="Manual Heading 4"/>
    <w:basedOn w:val="Normal"/>
    <w:next w:val="Text4"/>
    <w:pPr>
      <w:keepNext/>
      <w:tabs>
        <w:tab w:val="left" w:pos="850"/>
      </w:tabs>
      <w:spacing w:before="120" w:after="120" w:line="240" w:lineRule="auto"/>
      <w:ind w:left="850" w:hanging="850"/>
      <w:jc w:val="both"/>
    </w:pPr>
    <w:rPr>
      <w:rFonts w:ascii="Times New Roman" w:eastAsia="Times New Roman" w:hAnsi="Times New Roman" w:cs="Times New Roman"/>
      <w:sz w:val="24"/>
      <w:szCs w:val="24"/>
      <w:lang w:eastAsia="de-DE"/>
    </w:rPr>
  </w:style>
  <w:style w:type="paragraph" w:customStyle="1" w:styleId="ChapterTitle">
    <w:name w:val="ChapterTitle"/>
    <w:basedOn w:val="Normal"/>
    <w:next w:val="Normal"/>
    <w:pPr>
      <w:keepNext/>
      <w:suppressAutoHyphens/>
      <w:spacing w:before="120" w:after="360" w:line="240" w:lineRule="auto"/>
      <w:jc w:val="center"/>
    </w:pPr>
    <w:rPr>
      <w:rFonts w:ascii="Times New Roman" w:eastAsia="Times New Roman" w:hAnsi="Times New Roman" w:cs="Times New Roman"/>
      <w:b/>
      <w:sz w:val="32"/>
      <w:szCs w:val="24"/>
      <w:lang w:eastAsia="ar-SA"/>
    </w:rPr>
  </w:style>
  <w:style w:type="paragraph" w:customStyle="1" w:styleId="PartTitle">
    <w:name w:val="PartTitle"/>
    <w:basedOn w:val="Normal"/>
    <w:next w:val="ChapterTitle"/>
    <w:pPr>
      <w:keepNext/>
      <w:pageBreakBefore/>
      <w:suppressAutoHyphens/>
      <w:spacing w:before="120" w:after="360" w:line="240" w:lineRule="auto"/>
      <w:jc w:val="center"/>
    </w:pPr>
    <w:rPr>
      <w:rFonts w:ascii="Times New Roman" w:eastAsia="Times New Roman" w:hAnsi="Times New Roman" w:cs="Times New Roman"/>
      <w:b/>
      <w:sz w:val="36"/>
      <w:szCs w:val="24"/>
      <w:lang w:eastAsia="ar-SA"/>
    </w:rPr>
  </w:style>
  <w:style w:type="paragraph" w:customStyle="1" w:styleId="SectionTitle">
    <w:name w:val="SectionTitle"/>
    <w:basedOn w:val="Normal"/>
    <w:next w:val="Heading1"/>
    <w:pPr>
      <w:keepNext/>
      <w:suppressAutoHyphens/>
      <w:spacing w:before="120" w:after="360" w:line="240" w:lineRule="auto"/>
      <w:jc w:val="center"/>
    </w:pPr>
    <w:rPr>
      <w:rFonts w:ascii="Times New Roman" w:eastAsia="Times New Roman" w:hAnsi="Times New Roman" w:cs="Times New Roman"/>
      <w:b/>
      <w:smallCaps/>
      <w:sz w:val="28"/>
      <w:szCs w:val="24"/>
      <w:lang w:eastAsia="ar-SA"/>
    </w:rPr>
  </w:style>
  <w:style w:type="paragraph" w:customStyle="1" w:styleId="ListBullet1">
    <w:name w:val="List Bullet 1"/>
    <w:basedOn w:val="Normal"/>
    <w:pPr>
      <w:numPr>
        <w:numId w:val="20"/>
      </w:numPr>
      <w:spacing w:before="120" w:after="120" w:line="240" w:lineRule="auto"/>
      <w:jc w:val="both"/>
    </w:pPr>
    <w:rPr>
      <w:rFonts w:ascii="Times New Roman" w:eastAsia="Times New Roman" w:hAnsi="Times New Roman" w:cs="Times New Roman"/>
      <w:sz w:val="24"/>
      <w:szCs w:val="24"/>
      <w:lang w:eastAsia="de-DE"/>
    </w:rPr>
  </w:style>
  <w:style w:type="paragraph" w:customStyle="1" w:styleId="ListDash">
    <w:name w:val="List Dash"/>
    <w:basedOn w:val="Normal"/>
    <w:pPr>
      <w:numPr>
        <w:numId w:val="12"/>
      </w:numPr>
      <w:spacing w:before="120" w:after="120" w:line="240" w:lineRule="auto"/>
      <w:jc w:val="both"/>
    </w:pPr>
    <w:rPr>
      <w:rFonts w:ascii="Times New Roman" w:eastAsia="Times New Roman" w:hAnsi="Times New Roman" w:cs="Times New Roman"/>
      <w:sz w:val="24"/>
      <w:szCs w:val="24"/>
      <w:lang w:eastAsia="de-DE"/>
    </w:rPr>
  </w:style>
  <w:style w:type="paragraph" w:customStyle="1" w:styleId="ListDash1">
    <w:name w:val="List Dash 1"/>
    <w:basedOn w:val="Normal"/>
    <w:pPr>
      <w:numPr>
        <w:numId w:val="19"/>
      </w:numPr>
      <w:spacing w:before="120" w:after="120" w:line="240" w:lineRule="auto"/>
      <w:jc w:val="both"/>
    </w:pPr>
    <w:rPr>
      <w:rFonts w:ascii="Times New Roman" w:eastAsia="Times New Roman" w:hAnsi="Times New Roman" w:cs="Times New Roman"/>
      <w:sz w:val="24"/>
      <w:szCs w:val="24"/>
      <w:lang w:eastAsia="de-DE"/>
    </w:rPr>
  </w:style>
  <w:style w:type="paragraph" w:customStyle="1" w:styleId="ListDash2">
    <w:name w:val="List Dash 2"/>
    <w:basedOn w:val="Normal"/>
    <w:pPr>
      <w:numPr>
        <w:numId w:val="16"/>
      </w:numPr>
      <w:spacing w:before="120" w:after="120" w:line="240" w:lineRule="auto"/>
      <w:jc w:val="both"/>
    </w:pPr>
    <w:rPr>
      <w:rFonts w:ascii="Times New Roman" w:eastAsia="Times New Roman" w:hAnsi="Times New Roman" w:cs="Times New Roman"/>
      <w:sz w:val="24"/>
      <w:szCs w:val="24"/>
      <w:lang w:eastAsia="de-DE"/>
    </w:rPr>
  </w:style>
  <w:style w:type="paragraph" w:customStyle="1" w:styleId="ListDash3">
    <w:name w:val="List Dash 3"/>
    <w:basedOn w:val="Normal"/>
    <w:pPr>
      <w:numPr>
        <w:numId w:val="21"/>
      </w:numPr>
      <w:spacing w:before="120" w:after="120" w:line="240" w:lineRule="auto"/>
      <w:jc w:val="both"/>
    </w:pPr>
    <w:rPr>
      <w:rFonts w:ascii="Times New Roman" w:eastAsia="Times New Roman" w:hAnsi="Times New Roman" w:cs="Times New Roman"/>
      <w:sz w:val="24"/>
      <w:szCs w:val="24"/>
      <w:lang w:eastAsia="de-DE"/>
    </w:rPr>
  </w:style>
  <w:style w:type="paragraph" w:customStyle="1" w:styleId="ListDash4">
    <w:name w:val="List Dash 4"/>
    <w:basedOn w:val="Normal"/>
    <w:pPr>
      <w:numPr>
        <w:numId w:val="24"/>
      </w:numPr>
      <w:spacing w:before="120" w:after="120" w:line="240" w:lineRule="auto"/>
      <w:jc w:val="both"/>
    </w:pPr>
    <w:rPr>
      <w:rFonts w:ascii="Times New Roman" w:eastAsia="Times New Roman" w:hAnsi="Times New Roman" w:cs="Times New Roman"/>
      <w:sz w:val="24"/>
      <w:szCs w:val="24"/>
      <w:lang w:eastAsia="de-DE"/>
    </w:rPr>
  </w:style>
  <w:style w:type="paragraph" w:customStyle="1" w:styleId="ListNumber1">
    <w:name w:val="List Number 1"/>
    <w:basedOn w:val="Text1"/>
    <w:pPr>
      <w:numPr>
        <w:numId w:val="22"/>
      </w:numPr>
      <w:suppressAutoHyphens w:val="0"/>
    </w:pPr>
    <w:rPr>
      <w:lang w:eastAsia="de-DE"/>
    </w:rPr>
  </w:style>
  <w:style w:type="paragraph" w:customStyle="1" w:styleId="ListNumberLevel2">
    <w:name w:val="List Number (Level 2)"/>
    <w:basedOn w:val="Normal"/>
    <w:pPr>
      <w:tabs>
        <w:tab w:val="num" w:pos="709"/>
      </w:tabs>
      <w:spacing w:before="120" w:after="120" w:line="240" w:lineRule="auto"/>
      <w:ind w:left="709" w:hanging="709"/>
      <w:jc w:val="both"/>
    </w:pPr>
    <w:rPr>
      <w:rFonts w:ascii="Times New Roman" w:eastAsia="Times New Roman" w:hAnsi="Times New Roman" w:cs="Times New Roman"/>
      <w:sz w:val="24"/>
      <w:szCs w:val="24"/>
      <w:lang w:eastAsia="de-DE"/>
    </w:rPr>
  </w:style>
  <w:style w:type="paragraph" w:customStyle="1" w:styleId="ListNumber1Level2">
    <w:name w:val="List Number 1 (Level 2)"/>
    <w:basedOn w:val="Text1"/>
    <w:pPr>
      <w:tabs>
        <w:tab w:val="num" w:pos="1560"/>
      </w:tabs>
      <w:suppressAutoHyphens w:val="0"/>
      <w:ind w:left="1560" w:hanging="709"/>
    </w:pPr>
    <w:rPr>
      <w:lang w:eastAsia="de-DE"/>
    </w:rPr>
  </w:style>
  <w:style w:type="paragraph" w:customStyle="1" w:styleId="ListNumber2Level2">
    <w:name w:val="List Number 2 (Level 2)"/>
    <w:basedOn w:val="Text2"/>
    <w:pPr>
      <w:tabs>
        <w:tab w:val="num" w:pos="1560"/>
      </w:tabs>
      <w:suppressAutoHyphens w:val="0"/>
      <w:ind w:left="1560" w:hanging="709"/>
    </w:pPr>
    <w:rPr>
      <w:lang w:eastAsia="de-DE"/>
    </w:rPr>
  </w:style>
  <w:style w:type="paragraph" w:customStyle="1" w:styleId="ListNumber3Level2">
    <w:name w:val="List Number 3 (Level 2)"/>
    <w:basedOn w:val="Text3"/>
    <w:pPr>
      <w:tabs>
        <w:tab w:val="num" w:pos="1560"/>
      </w:tabs>
      <w:suppressAutoHyphens w:val="0"/>
      <w:ind w:left="1560" w:hanging="709"/>
    </w:pPr>
    <w:rPr>
      <w:lang w:eastAsia="de-DE"/>
    </w:rPr>
  </w:style>
  <w:style w:type="paragraph" w:customStyle="1" w:styleId="ListNumber4Level2">
    <w:name w:val="List Number 4 (Level 2)"/>
    <w:basedOn w:val="Text4"/>
    <w:pPr>
      <w:tabs>
        <w:tab w:val="num" w:pos="1560"/>
      </w:tabs>
      <w:suppressAutoHyphens w:val="0"/>
      <w:ind w:left="1560" w:hanging="709"/>
    </w:pPr>
    <w:rPr>
      <w:lang w:eastAsia="de-DE"/>
    </w:rPr>
  </w:style>
  <w:style w:type="paragraph" w:customStyle="1" w:styleId="ListNumberLevel3">
    <w:name w:val="List Number (Level 3)"/>
    <w:basedOn w:val="Normal"/>
    <w:pPr>
      <w:tabs>
        <w:tab w:val="num" w:pos="709"/>
      </w:tabs>
      <w:spacing w:before="120" w:after="120" w:line="240" w:lineRule="auto"/>
      <w:ind w:left="709" w:hanging="709"/>
      <w:jc w:val="both"/>
    </w:pPr>
    <w:rPr>
      <w:rFonts w:ascii="Times New Roman" w:eastAsia="Times New Roman" w:hAnsi="Times New Roman" w:cs="Times New Roman"/>
      <w:sz w:val="24"/>
      <w:szCs w:val="24"/>
      <w:lang w:eastAsia="de-DE"/>
    </w:rPr>
  </w:style>
  <w:style w:type="paragraph" w:customStyle="1" w:styleId="ListNumber1Level3">
    <w:name w:val="List Number 1 (Level 3)"/>
    <w:basedOn w:val="Text1"/>
    <w:pPr>
      <w:tabs>
        <w:tab w:val="num" w:pos="1560"/>
      </w:tabs>
      <w:suppressAutoHyphens w:val="0"/>
      <w:ind w:left="1560" w:hanging="709"/>
    </w:pPr>
    <w:rPr>
      <w:lang w:eastAsia="de-DE"/>
    </w:rPr>
  </w:style>
  <w:style w:type="paragraph" w:customStyle="1" w:styleId="ListNumber2Level3">
    <w:name w:val="List Number 2 (Level 3)"/>
    <w:basedOn w:val="Text2"/>
    <w:pPr>
      <w:tabs>
        <w:tab w:val="num" w:pos="1560"/>
      </w:tabs>
      <w:suppressAutoHyphens w:val="0"/>
      <w:ind w:left="1560" w:hanging="709"/>
    </w:pPr>
    <w:rPr>
      <w:lang w:eastAsia="de-DE"/>
    </w:rPr>
  </w:style>
  <w:style w:type="paragraph" w:customStyle="1" w:styleId="ListNumber3Level3">
    <w:name w:val="List Number 3 (Level 3)"/>
    <w:basedOn w:val="Text3"/>
    <w:pPr>
      <w:tabs>
        <w:tab w:val="num" w:pos="1560"/>
      </w:tabs>
      <w:suppressAutoHyphens w:val="0"/>
      <w:ind w:left="1560" w:hanging="709"/>
    </w:pPr>
    <w:rPr>
      <w:lang w:eastAsia="de-DE"/>
    </w:rPr>
  </w:style>
  <w:style w:type="paragraph" w:customStyle="1" w:styleId="ListNumber4Level3">
    <w:name w:val="List Number 4 (Level 3)"/>
    <w:basedOn w:val="Text4"/>
    <w:pPr>
      <w:tabs>
        <w:tab w:val="num" w:pos="1560"/>
      </w:tabs>
      <w:suppressAutoHyphens w:val="0"/>
      <w:ind w:left="1560" w:hanging="709"/>
    </w:pPr>
    <w:rPr>
      <w:lang w:eastAsia="de-DE"/>
    </w:rPr>
  </w:style>
  <w:style w:type="paragraph" w:customStyle="1" w:styleId="ListNumberLevel4">
    <w:name w:val="List Number (Level 4)"/>
    <w:basedOn w:val="Normal"/>
    <w:pPr>
      <w:tabs>
        <w:tab w:val="num" w:pos="709"/>
      </w:tabs>
      <w:spacing w:before="120" w:after="120" w:line="240" w:lineRule="auto"/>
      <w:ind w:left="709" w:hanging="709"/>
      <w:jc w:val="both"/>
    </w:pPr>
    <w:rPr>
      <w:rFonts w:ascii="Times New Roman" w:eastAsia="Times New Roman" w:hAnsi="Times New Roman" w:cs="Times New Roman"/>
      <w:sz w:val="24"/>
      <w:szCs w:val="24"/>
      <w:lang w:eastAsia="de-DE"/>
    </w:rPr>
  </w:style>
  <w:style w:type="paragraph" w:customStyle="1" w:styleId="ListNumber1Level4">
    <w:name w:val="List Number 1 (Level 4)"/>
    <w:basedOn w:val="Text1"/>
    <w:pPr>
      <w:tabs>
        <w:tab w:val="num" w:pos="1560"/>
      </w:tabs>
      <w:suppressAutoHyphens w:val="0"/>
      <w:ind w:left="1560" w:hanging="709"/>
    </w:pPr>
    <w:rPr>
      <w:lang w:eastAsia="de-DE"/>
    </w:rPr>
  </w:style>
  <w:style w:type="paragraph" w:customStyle="1" w:styleId="ListNumber2Level4">
    <w:name w:val="List Number 2 (Level 4)"/>
    <w:basedOn w:val="Text2"/>
    <w:pPr>
      <w:tabs>
        <w:tab w:val="num" w:pos="1560"/>
      </w:tabs>
      <w:suppressAutoHyphens w:val="0"/>
      <w:ind w:left="1560" w:hanging="709"/>
    </w:pPr>
    <w:rPr>
      <w:lang w:eastAsia="de-DE"/>
    </w:rPr>
  </w:style>
  <w:style w:type="paragraph" w:customStyle="1" w:styleId="ListNumber3Level4">
    <w:name w:val="List Number 3 (Level 4)"/>
    <w:basedOn w:val="Text3"/>
    <w:pPr>
      <w:tabs>
        <w:tab w:val="num" w:pos="1560"/>
      </w:tabs>
      <w:suppressAutoHyphens w:val="0"/>
      <w:ind w:left="1560" w:hanging="709"/>
    </w:pPr>
    <w:rPr>
      <w:lang w:eastAsia="de-DE"/>
    </w:rPr>
  </w:style>
  <w:style w:type="paragraph" w:customStyle="1" w:styleId="ListNumber4Level4">
    <w:name w:val="List Number 4 (Level 4)"/>
    <w:basedOn w:val="Text4"/>
    <w:pPr>
      <w:tabs>
        <w:tab w:val="num" w:pos="1560"/>
      </w:tabs>
      <w:suppressAutoHyphens w:val="0"/>
      <w:ind w:left="1560" w:hanging="709"/>
    </w:pPr>
    <w:rPr>
      <w:lang w:eastAsia="de-DE"/>
    </w:rPr>
  </w:style>
  <w:style w:type="paragraph" w:customStyle="1" w:styleId="TableTitle">
    <w:name w:val="Table Title"/>
    <w:basedOn w:val="Normal"/>
    <w:next w:val="Normal"/>
    <w:pPr>
      <w:suppressAutoHyphens/>
      <w:spacing w:before="120" w:after="120" w:line="240" w:lineRule="auto"/>
      <w:jc w:val="center"/>
    </w:pPr>
    <w:rPr>
      <w:rFonts w:ascii="Times New Roman" w:eastAsia="Times New Roman" w:hAnsi="Times New Roman" w:cs="Times New Roman"/>
      <w:b/>
      <w:sz w:val="24"/>
      <w:szCs w:val="24"/>
      <w:lang w:eastAsia="ar-SA"/>
    </w:rPr>
  </w:style>
  <w:style w:type="paragraph" w:styleId="TOCHeading">
    <w:name w:val="TOC Heading"/>
    <w:basedOn w:val="Normal"/>
    <w:next w:val="Normal"/>
    <w:uiPriority w:val="39"/>
    <w:qFormat/>
    <w:pPr>
      <w:suppressAutoHyphens/>
      <w:spacing w:before="120" w:after="240" w:line="240" w:lineRule="auto"/>
      <w:jc w:val="center"/>
    </w:pPr>
    <w:rPr>
      <w:rFonts w:ascii="Times New Roman" w:eastAsia="Times New Roman" w:hAnsi="Times New Roman" w:cs="Times New Roman"/>
      <w:b/>
      <w:sz w:val="28"/>
      <w:szCs w:val="24"/>
      <w:lang w:eastAsia="ar-SA"/>
    </w:rPr>
  </w:style>
  <w:style w:type="paragraph" w:customStyle="1" w:styleId="Annexetitreacte">
    <w:name w:val="Annexe titre (acte)"/>
    <w:basedOn w:val="Normal"/>
    <w:next w:val="Normal"/>
    <w:pPr>
      <w:suppressAutoHyphens/>
      <w:spacing w:before="120" w:after="120" w:line="240" w:lineRule="auto"/>
      <w:jc w:val="center"/>
    </w:pPr>
    <w:rPr>
      <w:rFonts w:ascii="Times New Roman" w:eastAsia="Times New Roman" w:hAnsi="Times New Roman" w:cs="Times New Roman"/>
      <w:b/>
      <w:sz w:val="24"/>
      <w:szCs w:val="24"/>
      <w:u w:val="single"/>
      <w:lang w:eastAsia="ar-SA"/>
    </w:rPr>
  </w:style>
  <w:style w:type="paragraph" w:customStyle="1" w:styleId="Annexetitreexposglobal">
    <w:name w:val="Annexe titre (exposé global)"/>
    <w:basedOn w:val="Normal"/>
    <w:next w:val="Normal"/>
    <w:pPr>
      <w:suppressAutoHyphens/>
      <w:spacing w:before="120" w:after="120" w:line="240" w:lineRule="auto"/>
      <w:jc w:val="center"/>
    </w:pPr>
    <w:rPr>
      <w:rFonts w:ascii="Times New Roman" w:eastAsia="Times New Roman" w:hAnsi="Times New Roman" w:cs="Times New Roman"/>
      <w:b/>
      <w:sz w:val="24"/>
      <w:szCs w:val="24"/>
      <w:u w:val="single"/>
      <w:lang w:eastAsia="ar-SA"/>
    </w:rPr>
  </w:style>
  <w:style w:type="paragraph" w:customStyle="1" w:styleId="Annexetitreexpos">
    <w:name w:val="Annexe titre (exposé)"/>
    <w:basedOn w:val="Normal"/>
    <w:next w:val="Normal"/>
    <w:pPr>
      <w:suppressAutoHyphens/>
      <w:spacing w:before="120" w:after="120" w:line="240" w:lineRule="auto"/>
      <w:jc w:val="center"/>
    </w:pPr>
    <w:rPr>
      <w:rFonts w:ascii="Times New Roman" w:eastAsia="Times New Roman" w:hAnsi="Times New Roman" w:cs="Times New Roman"/>
      <w:b/>
      <w:sz w:val="24"/>
      <w:szCs w:val="24"/>
      <w:u w:val="single"/>
      <w:lang w:eastAsia="ar-SA"/>
    </w:rPr>
  </w:style>
  <w:style w:type="paragraph" w:customStyle="1" w:styleId="Annexetitrefichefinacte">
    <w:name w:val="Annexe titre (fiche fin. acte)"/>
    <w:basedOn w:val="Normal"/>
    <w:next w:val="Normal"/>
    <w:pPr>
      <w:suppressAutoHyphens/>
      <w:spacing w:before="120" w:after="120" w:line="240" w:lineRule="auto"/>
      <w:jc w:val="center"/>
    </w:pPr>
    <w:rPr>
      <w:rFonts w:ascii="Times New Roman" w:eastAsia="Times New Roman" w:hAnsi="Times New Roman" w:cs="Times New Roman"/>
      <w:b/>
      <w:sz w:val="24"/>
      <w:szCs w:val="24"/>
      <w:u w:val="single"/>
      <w:lang w:eastAsia="ar-SA"/>
    </w:rPr>
  </w:style>
  <w:style w:type="paragraph" w:customStyle="1" w:styleId="Annexetitrefichefinglobale">
    <w:name w:val="Annexe titre (fiche fin. globale)"/>
    <w:basedOn w:val="Normal"/>
    <w:next w:val="Normal"/>
    <w:pPr>
      <w:suppressAutoHyphens/>
      <w:spacing w:before="120" w:after="120" w:line="240" w:lineRule="auto"/>
      <w:jc w:val="center"/>
    </w:pPr>
    <w:rPr>
      <w:rFonts w:ascii="Times New Roman" w:eastAsia="Times New Roman" w:hAnsi="Times New Roman" w:cs="Times New Roman"/>
      <w:b/>
      <w:sz w:val="24"/>
      <w:szCs w:val="24"/>
      <w:u w:val="single"/>
      <w:lang w:eastAsia="ar-SA"/>
    </w:rPr>
  </w:style>
  <w:style w:type="paragraph" w:customStyle="1" w:styleId="Annexetitreglobale">
    <w:name w:val="Annexe titre (globale)"/>
    <w:basedOn w:val="Normal"/>
    <w:next w:val="Normal"/>
    <w:pPr>
      <w:suppressAutoHyphens/>
      <w:spacing w:before="120" w:after="120" w:line="240" w:lineRule="auto"/>
      <w:jc w:val="center"/>
    </w:pPr>
    <w:rPr>
      <w:rFonts w:ascii="Times New Roman" w:eastAsia="Times New Roman" w:hAnsi="Times New Roman" w:cs="Times New Roman"/>
      <w:b/>
      <w:sz w:val="24"/>
      <w:szCs w:val="24"/>
      <w:u w:val="single"/>
      <w:lang w:eastAsia="ar-SA"/>
    </w:rPr>
  </w:style>
  <w:style w:type="paragraph" w:customStyle="1" w:styleId="Applicationdirecte">
    <w:name w:val="Application directe"/>
    <w:basedOn w:val="Normal"/>
    <w:next w:val="Fait"/>
    <w:pPr>
      <w:suppressAutoHyphens/>
      <w:spacing w:before="480" w:after="120" w:line="240" w:lineRule="auto"/>
      <w:jc w:val="both"/>
    </w:pPr>
    <w:rPr>
      <w:rFonts w:ascii="Times New Roman" w:eastAsia="Times New Roman" w:hAnsi="Times New Roman" w:cs="Times New Roman"/>
      <w:sz w:val="24"/>
      <w:szCs w:val="24"/>
      <w:lang w:eastAsia="ar-SA"/>
    </w:rPr>
  </w:style>
  <w:style w:type="paragraph" w:customStyle="1" w:styleId="Avertissementtitre">
    <w:name w:val="Avertissement titre"/>
    <w:basedOn w:val="Normal"/>
    <w:next w:val="Normal"/>
    <w:pPr>
      <w:keepNext/>
      <w:suppressAutoHyphens/>
      <w:spacing w:before="480" w:after="120" w:line="240" w:lineRule="auto"/>
      <w:jc w:val="both"/>
    </w:pPr>
    <w:rPr>
      <w:rFonts w:ascii="Times New Roman" w:eastAsia="Times New Roman" w:hAnsi="Times New Roman" w:cs="Times New Roman"/>
      <w:sz w:val="24"/>
      <w:szCs w:val="24"/>
      <w:u w:val="single"/>
      <w:lang w:eastAsia="ar-SA"/>
    </w:rPr>
  </w:style>
  <w:style w:type="paragraph" w:customStyle="1" w:styleId="Confidence">
    <w:name w:val="Confidence"/>
    <w:basedOn w:val="Normal"/>
    <w:next w:val="Normal"/>
    <w:pPr>
      <w:suppressAutoHyphens/>
      <w:spacing w:before="360" w:after="120" w:line="240" w:lineRule="auto"/>
      <w:jc w:val="center"/>
    </w:pPr>
    <w:rPr>
      <w:rFonts w:ascii="Times New Roman" w:eastAsia="Times New Roman" w:hAnsi="Times New Roman" w:cs="Times New Roman"/>
      <w:sz w:val="24"/>
      <w:szCs w:val="24"/>
      <w:lang w:eastAsia="ar-SA"/>
    </w:rPr>
  </w:style>
  <w:style w:type="paragraph" w:customStyle="1" w:styleId="Confidentialit">
    <w:name w:val="Confidentialité"/>
    <w:basedOn w:val="Normal"/>
    <w:next w:val="Statut"/>
    <w:pPr>
      <w:suppressAutoHyphens/>
      <w:spacing w:before="240" w:after="240" w:line="240" w:lineRule="auto"/>
      <w:ind w:left="5103"/>
      <w:jc w:val="both"/>
    </w:pPr>
    <w:rPr>
      <w:rFonts w:ascii="Times New Roman" w:eastAsia="Times New Roman" w:hAnsi="Times New Roman" w:cs="Times New Roman"/>
      <w:sz w:val="24"/>
      <w:szCs w:val="24"/>
      <w:u w:val="single"/>
      <w:lang w:eastAsia="ar-SA"/>
    </w:rPr>
  </w:style>
  <w:style w:type="paragraph" w:customStyle="1" w:styleId="Considrant">
    <w:name w:val="Considérant"/>
    <w:basedOn w:val="Normal"/>
    <w:pPr>
      <w:numPr>
        <w:numId w:val="17"/>
      </w:numPr>
      <w:spacing w:before="120" w:after="120" w:line="240" w:lineRule="auto"/>
      <w:jc w:val="both"/>
    </w:pPr>
    <w:rPr>
      <w:rFonts w:ascii="Times New Roman" w:eastAsia="Times New Roman" w:hAnsi="Times New Roman" w:cs="Times New Roman"/>
      <w:sz w:val="24"/>
      <w:szCs w:val="24"/>
      <w:lang w:eastAsia="de-DE"/>
    </w:rPr>
  </w:style>
  <w:style w:type="paragraph" w:customStyle="1" w:styleId="Corrigendum">
    <w:name w:val="Corrigendum"/>
    <w:basedOn w:val="Normal"/>
    <w:next w:val="Normal"/>
    <w:pPr>
      <w:suppressAutoHyphens/>
      <w:spacing w:after="240" w:line="240" w:lineRule="auto"/>
    </w:pPr>
    <w:rPr>
      <w:rFonts w:ascii="Times New Roman" w:eastAsia="Times New Roman" w:hAnsi="Times New Roman" w:cs="Times New Roman"/>
      <w:sz w:val="24"/>
      <w:szCs w:val="24"/>
      <w:lang w:eastAsia="ar-SA"/>
    </w:rPr>
  </w:style>
  <w:style w:type="paragraph" w:customStyle="1" w:styleId="Datedadoption">
    <w:name w:val="Date d'adoption"/>
    <w:basedOn w:val="Normal"/>
    <w:next w:val="Titreobjet"/>
    <w:pPr>
      <w:suppressAutoHyphens/>
      <w:spacing w:before="360" w:after="0" w:line="240" w:lineRule="auto"/>
      <w:jc w:val="center"/>
    </w:pPr>
    <w:rPr>
      <w:rFonts w:ascii="Times New Roman" w:eastAsia="Times New Roman" w:hAnsi="Times New Roman" w:cs="Times New Roman"/>
      <w:b/>
      <w:sz w:val="24"/>
      <w:szCs w:val="24"/>
      <w:lang w:eastAsia="ar-SA"/>
    </w:rPr>
  </w:style>
  <w:style w:type="paragraph" w:customStyle="1" w:styleId="Emission">
    <w:name w:val="Emission"/>
    <w:basedOn w:val="Normal"/>
    <w:next w:val="Rfrenceinstitutionelle"/>
    <w:pPr>
      <w:suppressAutoHyphens/>
      <w:spacing w:after="0" w:line="240" w:lineRule="auto"/>
      <w:ind w:left="5103"/>
    </w:pPr>
    <w:rPr>
      <w:rFonts w:ascii="Times New Roman" w:eastAsia="Times New Roman" w:hAnsi="Times New Roman" w:cs="Times New Roman"/>
      <w:sz w:val="24"/>
      <w:szCs w:val="24"/>
      <w:lang w:eastAsia="ar-SA"/>
    </w:rPr>
  </w:style>
  <w:style w:type="paragraph" w:customStyle="1" w:styleId="Exposdesmotifstitre">
    <w:name w:val="Exposé des motifs titre"/>
    <w:basedOn w:val="Normal"/>
    <w:next w:val="Normal"/>
    <w:pPr>
      <w:suppressAutoHyphens/>
      <w:spacing w:before="120" w:after="120" w:line="240" w:lineRule="auto"/>
      <w:jc w:val="center"/>
    </w:pPr>
    <w:rPr>
      <w:rFonts w:ascii="Times New Roman" w:eastAsia="Times New Roman" w:hAnsi="Times New Roman" w:cs="Times New Roman"/>
      <w:b/>
      <w:sz w:val="24"/>
      <w:szCs w:val="24"/>
      <w:u w:val="single"/>
      <w:lang w:eastAsia="ar-SA"/>
    </w:rPr>
  </w:style>
  <w:style w:type="paragraph" w:customStyle="1" w:styleId="Exposdesmotifstitreglobal">
    <w:name w:val="Exposé des motifs titre (global)"/>
    <w:basedOn w:val="Normal"/>
    <w:next w:val="Normal"/>
    <w:pPr>
      <w:suppressAutoHyphens/>
      <w:spacing w:before="120" w:after="120" w:line="240" w:lineRule="auto"/>
      <w:jc w:val="center"/>
    </w:pPr>
    <w:rPr>
      <w:rFonts w:ascii="Times New Roman" w:eastAsia="Times New Roman" w:hAnsi="Times New Roman" w:cs="Times New Roman"/>
      <w:b/>
      <w:sz w:val="24"/>
      <w:szCs w:val="24"/>
      <w:u w:val="single"/>
      <w:lang w:eastAsia="ar-SA"/>
    </w:rPr>
  </w:style>
  <w:style w:type="paragraph" w:customStyle="1" w:styleId="Fait">
    <w:name w:val="Fait à"/>
    <w:basedOn w:val="Normal"/>
    <w:next w:val="Institutionquisigne"/>
    <w:pPr>
      <w:keepNext/>
      <w:suppressAutoHyphens/>
      <w:spacing w:before="120" w:after="0" w:line="240" w:lineRule="auto"/>
      <w:jc w:val="both"/>
    </w:pPr>
    <w:rPr>
      <w:rFonts w:ascii="Times New Roman" w:eastAsia="Times New Roman" w:hAnsi="Times New Roman" w:cs="Times New Roman"/>
      <w:sz w:val="24"/>
      <w:szCs w:val="24"/>
      <w:lang w:eastAsia="ar-SA"/>
    </w:rPr>
  </w:style>
  <w:style w:type="paragraph" w:customStyle="1" w:styleId="Formuledadoption">
    <w:name w:val="Formule d'adoption"/>
    <w:basedOn w:val="Normal"/>
    <w:next w:val="Titrearticle"/>
    <w:pPr>
      <w:keepNext/>
      <w:suppressAutoHyphens/>
      <w:spacing w:before="120" w:after="120" w:line="240" w:lineRule="auto"/>
      <w:jc w:val="both"/>
    </w:pPr>
    <w:rPr>
      <w:rFonts w:ascii="Times New Roman" w:eastAsia="Times New Roman" w:hAnsi="Times New Roman" w:cs="Times New Roman"/>
      <w:sz w:val="24"/>
      <w:szCs w:val="24"/>
      <w:lang w:eastAsia="ar-SA"/>
    </w:rPr>
  </w:style>
  <w:style w:type="paragraph" w:customStyle="1" w:styleId="Institutionquiagit">
    <w:name w:val="Institution qui agit"/>
    <w:basedOn w:val="Normal"/>
    <w:next w:val="Normal"/>
    <w:pPr>
      <w:keepNext/>
      <w:suppressAutoHyphens/>
      <w:spacing w:before="600" w:after="120" w:line="240" w:lineRule="auto"/>
      <w:jc w:val="both"/>
    </w:pPr>
    <w:rPr>
      <w:rFonts w:ascii="Times New Roman" w:eastAsia="Times New Roman" w:hAnsi="Times New Roman" w:cs="Times New Roman"/>
      <w:sz w:val="24"/>
      <w:szCs w:val="24"/>
      <w:lang w:eastAsia="ar-SA"/>
    </w:rPr>
  </w:style>
  <w:style w:type="paragraph" w:customStyle="1" w:styleId="Institutionquisigne">
    <w:name w:val="Institution qui signe"/>
    <w:basedOn w:val="Normal"/>
    <w:next w:val="Personnequisigne"/>
    <w:pPr>
      <w:keepNext/>
      <w:tabs>
        <w:tab w:val="left" w:pos="4252"/>
      </w:tabs>
      <w:suppressAutoHyphens/>
      <w:spacing w:before="720" w:after="0" w:line="240" w:lineRule="auto"/>
      <w:jc w:val="both"/>
    </w:pPr>
    <w:rPr>
      <w:rFonts w:ascii="Times New Roman" w:eastAsia="Times New Roman" w:hAnsi="Times New Roman" w:cs="Times New Roman"/>
      <w:i/>
      <w:sz w:val="24"/>
      <w:szCs w:val="24"/>
      <w:lang w:eastAsia="ar-SA"/>
    </w:rPr>
  </w:style>
  <w:style w:type="paragraph" w:customStyle="1" w:styleId="Langue">
    <w:name w:val="Langue"/>
    <w:basedOn w:val="Normal"/>
    <w:next w:val="Rfrenceinterne"/>
    <w:pPr>
      <w:suppressAutoHyphens/>
      <w:spacing w:after="600" w:line="240" w:lineRule="auto"/>
      <w:jc w:val="center"/>
    </w:pPr>
    <w:rPr>
      <w:rFonts w:ascii="Times New Roman" w:eastAsia="Times New Roman" w:hAnsi="Times New Roman" w:cs="Times New Roman"/>
      <w:b/>
      <w:caps/>
      <w:sz w:val="24"/>
      <w:szCs w:val="24"/>
      <w:lang w:eastAsia="ar-SA"/>
    </w:rPr>
  </w:style>
  <w:style w:type="paragraph" w:customStyle="1" w:styleId="Langueoriginale">
    <w:name w:val="Langue originale"/>
    <w:basedOn w:val="Normal"/>
    <w:next w:val="Phrasefinale"/>
    <w:pPr>
      <w:suppressAutoHyphens/>
      <w:spacing w:before="360" w:after="120" w:line="240" w:lineRule="auto"/>
      <w:jc w:val="center"/>
    </w:pPr>
    <w:rPr>
      <w:rFonts w:ascii="Times New Roman" w:eastAsia="Times New Roman" w:hAnsi="Times New Roman" w:cs="Times New Roman"/>
      <w:caps/>
      <w:sz w:val="24"/>
      <w:szCs w:val="24"/>
      <w:lang w:eastAsia="ar-SA"/>
    </w:rPr>
  </w:style>
  <w:style w:type="paragraph" w:customStyle="1" w:styleId="ManualConsidrant">
    <w:name w:val="Manual Considérant"/>
    <w:basedOn w:val="Normal"/>
    <w:pPr>
      <w:suppressAutoHyphens/>
      <w:spacing w:before="120" w:after="120" w:line="240" w:lineRule="auto"/>
      <w:ind w:left="709" w:hanging="709"/>
      <w:jc w:val="both"/>
    </w:pPr>
    <w:rPr>
      <w:rFonts w:ascii="Times New Roman" w:eastAsia="Times New Roman" w:hAnsi="Times New Roman" w:cs="Times New Roman"/>
      <w:sz w:val="24"/>
      <w:szCs w:val="24"/>
      <w:lang w:eastAsia="ar-SA"/>
    </w:rPr>
  </w:style>
  <w:style w:type="paragraph" w:customStyle="1" w:styleId="Nomdelinstitution">
    <w:name w:val="Nom de l'institution"/>
    <w:basedOn w:val="Normal"/>
    <w:next w:val="Emission"/>
    <w:pPr>
      <w:suppressAutoHyphens/>
      <w:spacing w:after="0" w:line="240" w:lineRule="auto"/>
    </w:pPr>
    <w:rPr>
      <w:rFonts w:ascii="Arial" w:eastAsia="Times New Roman" w:hAnsi="Arial" w:cs="Arial"/>
      <w:sz w:val="24"/>
      <w:szCs w:val="24"/>
      <w:lang w:eastAsia="ar-SA"/>
    </w:rPr>
  </w:style>
  <w:style w:type="paragraph" w:customStyle="1" w:styleId="Personnequisigne">
    <w:name w:val="Personne qui signe"/>
    <w:basedOn w:val="Normal"/>
    <w:next w:val="Institutionquisigne"/>
    <w:pPr>
      <w:tabs>
        <w:tab w:val="left" w:pos="4252"/>
      </w:tabs>
      <w:suppressAutoHyphens/>
      <w:spacing w:after="0" w:line="240" w:lineRule="auto"/>
    </w:pPr>
    <w:rPr>
      <w:rFonts w:ascii="Times New Roman" w:eastAsia="Times New Roman" w:hAnsi="Times New Roman" w:cs="Times New Roman"/>
      <w:i/>
      <w:sz w:val="24"/>
      <w:szCs w:val="24"/>
      <w:lang w:eastAsia="ar-SA"/>
    </w:rPr>
  </w:style>
  <w:style w:type="paragraph" w:customStyle="1" w:styleId="Phrasefinale">
    <w:name w:val="Phrase finale"/>
    <w:basedOn w:val="Normal"/>
    <w:next w:val="Normal"/>
    <w:pPr>
      <w:suppressAutoHyphens/>
      <w:spacing w:before="360" w:after="0" w:line="240" w:lineRule="auto"/>
      <w:jc w:val="center"/>
    </w:pPr>
    <w:rPr>
      <w:rFonts w:ascii="Times New Roman" w:eastAsia="Times New Roman" w:hAnsi="Times New Roman" w:cs="Times New Roman"/>
      <w:sz w:val="24"/>
      <w:szCs w:val="24"/>
      <w:lang w:eastAsia="ar-SA"/>
    </w:rPr>
  </w:style>
  <w:style w:type="paragraph" w:customStyle="1" w:styleId="Prliminairetitre">
    <w:name w:val="Préliminaire titre"/>
    <w:basedOn w:val="Normal"/>
    <w:next w:val="Normal"/>
    <w:pPr>
      <w:suppressAutoHyphens/>
      <w:spacing w:before="360" w:after="360" w:line="240" w:lineRule="auto"/>
      <w:jc w:val="center"/>
    </w:pPr>
    <w:rPr>
      <w:rFonts w:ascii="Times New Roman" w:eastAsia="Times New Roman" w:hAnsi="Times New Roman" w:cs="Times New Roman"/>
      <w:b/>
      <w:sz w:val="24"/>
      <w:szCs w:val="24"/>
      <w:lang w:eastAsia="ar-SA"/>
    </w:rPr>
  </w:style>
  <w:style w:type="paragraph" w:customStyle="1" w:styleId="Prliminairetype">
    <w:name w:val="Préliminaire type"/>
    <w:basedOn w:val="Normal"/>
    <w:next w:val="Normal"/>
    <w:pPr>
      <w:suppressAutoHyphens/>
      <w:spacing w:before="360" w:after="0" w:line="240" w:lineRule="auto"/>
      <w:jc w:val="center"/>
    </w:pPr>
    <w:rPr>
      <w:rFonts w:ascii="Times New Roman" w:eastAsia="Times New Roman" w:hAnsi="Times New Roman" w:cs="Times New Roman"/>
      <w:b/>
      <w:sz w:val="24"/>
      <w:szCs w:val="24"/>
      <w:lang w:eastAsia="ar-SA"/>
    </w:rPr>
  </w:style>
  <w:style w:type="paragraph" w:customStyle="1" w:styleId="Rfrenceinstitutionelle">
    <w:name w:val="Référence institutionelle"/>
    <w:basedOn w:val="Normal"/>
    <w:next w:val="Statut"/>
    <w:pPr>
      <w:suppressAutoHyphens/>
      <w:spacing w:after="240" w:line="240" w:lineRule="auto"/>
      <w:ind w:left="5103"/>
    </w:pPr>
    <w:rPr>
      <w:rFonts w:ascii="Times New Roman" w:eastAsia="Times New Roman" w:hAnsi="Times New Roman" w:cs="Times New Roman"/>
      <w:sz w:val="24"/>
      <w:szCs w:val="24"/>
      <w:lang w:eastAsia="ar-SA"/>
    </w:rPr>
  </w:style>
  <w:style w:type="paragraph" w:customStyle="1" w:styleId="Rfrenceinterinstitutionelle">
    <w:name w:val="Référence interinstitutionelle"/>
    <w:basedOn w:val="Normal"/>
    <w:next w:val="Statut"/>
    <w:pPr>
      <w:suppressAutoHyphens/>
      <w:spacing w:after="0" w:line="240" w:lineRule="auto"/>
      <w:ind w:left="5103"/>
    </w:pPr>
    <w:rPr>
      <w:rFonts w:ascii="Times New Roman" w:eastAsia="Times New Roman" w:hAnsi="Times New Roman" w:cs="Times New Roman"/>
      <w:sz w:val="24"/>
      <w:szCs w:val="24"/>
      <w:lang w:eastAsia="ar-SA"/>
    </w:rPr>
  </w:style>
  <w:style w:type="paragraph" w:customStyle="1" w:styleId="Rfrenceinterinstitutionelleprliminaire">
    <w:name w:val="Référence interinstitutionelle (préliminaire)"/>
    <w:basedOn w:val="Normal"/>
    <w:next w:val="Normal"/>
    <w:pPr>
      <w:suppressAutoHyphens/>
      <w:spacing w:after="0" w:line="240" w:lineRule="auto"/>
      <w:ind w:left="5103"/>
    </w:pPr>
    <w:rPr>
      <w:rFonts w:ascii="Times New Roman" w:eastAsia="Times New Roman" w:hAnsi="Times New Roman" w:cs="Times New Roman"/>
      <w:sz w:val="24"/>
      <w:szCs w:val="24"/>
      <w:lang w:eastAsia="ar-SA"/>
    </w:rPr>
  </w:style>
  <w:style w:type="paragraph" w:customStyle="1" w:styleId="Rfrenceinterne">
    <w:name w:val="Référence interne"/>
    <w:basedOn w:val="Normal"/>
    <w:next w:val="Nomdelinstitution"/>
    <w:pPr>
      <w:suppressAutoHyphens/>
      <w:spacing w:after="600" w:line="240" w:lineRule="auto"/>
      <w:jc w:val="center"/>
    </w:pPr>
    <w:rPr>
      <w:rFonts w:ascii="Times New Roman" w:eastAsia="Times New Roman" w:hAnsi="Times New Roman" w:cs="Times New Roman"/>
      <w:b/>
      <w:sz w:val="24"/>
      <w:szCs w:val="24"/>
      <w:lang w:eastAsia="ar-SA"/>
    </w:rPr>
  </w:style>
  <w:style w:type="paragraph" w:customStyle="1" w:styleId="Sous-titreobjet">
    <w:name w:val="Sous-titre objet"/>
    <w:basedOn w:val="Normal"/>
    <w:pPr>
      <w:suppressAutoHyphens/>
      <w:spacing w:after="0" w:line="240" w:lineRule="auto"/>
      <w:jc w:val="center"/>
    </w:pPr>
    <w:rPr>
      <w:rFonts w:ascii="Times New Roman" w:eastAsia="Times New Roman" w:hAnsi="Times New Roman" w:cs="Times New Roman"/>
      <w:b/>
      <w:sz w:val="24"/>
      <w:szCs w:val="24"/>
      <w:lang w:eastAsia="ar-SA"/>
    </w:rPr>
  </w:style>
  <w:style w:type="paragraph" w:customStyle="1" w:styleId="Sous-titreobjetprliminaire">
    <w:name w:val="Sous-titre objet (préliminaire)"/>
    <w:basedOn w:val="Normal"/>
    <w:pPr>
      <w:suppressAutoHyphens/>
      <w:spacing w:after="0" w:line="240" w:lineRule="auto"/>
      <w:jc w:val="center"/>
    </w:pPr>
    <w:rPr>
      <w:rFonts w:ascii="Times New Roman" w:eastAsia="Times New Roman" w:hAnsi="Times New Roman" w:cs="Times New Roman"/>
      <w:b/>
      <w:sz w:val="24"/>
      <w:szCs w:val="24"/>
      <w:lang w:eastAsia="ar-SA"/>
    </w:rPr>
  </w:style>
  <w:style w:type="paragraph" w:customStyle="1" w:styleId="Statut">
    <w:name w:val="Statut"/>
    <w:basedOn w:val="Normal"/>
    <w:next w:val="Typedudocument"/>
    <w:pPr>
      <w:suppressAutoHyphens/>
      <w:spacing w:before="360" w:after="0" w:line="240" w:lineRule="auto"/>
      <w:jc w:val="center"/>
    </w:pPr>
    <w:rPr>
      <w:rFonts w:ascii="Times New Roman" w:eastAsia="Times New Roman" w:hAnsi="Times New Roman" w:cs="Times New Roman"/>
      <w:sz w:val="24"/>
      <w:szCs w:val="24"/>
      <w:lang w:eastAsia="ar-SA"/>
    </w:rPr>
  </w:style>
  <w:style w:type="paragraph" w:customStyle="1" w:styleId="Statutprliminaire">
    <w:name w:val="Statut (préliminaire)"/>
    <w:basedOn w:val="Normal"/>
    <w:next w:val="Normal"/>
    <w:pPr>
      <w:suppressAutoHyphens/>
      <w:spacing w:before="360" w:after="0" w:line="240" w:lineRule="auto"/>
      <w:jc w:val="center"/>
    </w:pPr>
    <w:rPr>
      <w:rFonts w:ascii="Times New Roman" w:eastAsia="Times New Roman" w:hAnsi="Times New Roman" w:cs="Times New Roman"/>
      <w:sz w:val="24"/>
      <w:szCs w:val="24"/>
      <w:lang w:eastAsia="ar-SA"/>
    </w:rPr>
  </w:style>
  <w:style w:type="paragraph" w:customStyle="1" w:styleId="Titrearticle">
    <w:name w:val="Titre article"/>
    <w:basedOn w:val="Normal"/>
    <w:next w:val="Normal"/>
    <w:pPr>
      <w:keepNext/>
      <w:suppressAutoHyphens/>
      <w:spacing w:before="360" w:after="120" w:line="240" w:lineRule="auto"/>
      <w:jc w:val="center"/>
    </w:pPr>
    <w:rPr>
      <w:rFonts w:ascii="Times New Roman" w:eastAsia="Times New Roman" w:hAnsi="Times New Roman" w:cs="Times New Roman"/>
      <w:i/>
      <w:sz w:val="24"/>
      <w:szCs w:val="24"/>
      <w:lang w:eastAsia="ar-SA"/>
    </w:rPr>
  </w:style>
  <w:style w:type="paragraph" w:customStyle="1" w:styleId="Titreobjet">
    <w:name w:val="Titre objet"/>
    <w:basedOn w:val="Normal"/>
    <w:next w:val="Sous-titreobjet"/>
    <w:pPr>
      <w:suppressAutoHyphens/>
      <w:spacing w:before="360" w:after="360" w:line="240" w:lineRule="auto"/>
      <w:jc w:val="center"/>
    </w:pPr>
    <w:rPr>
      <w:rFonts w:ascii="Times New Roman" w:eastAsia="Times New Roman" w:hAnsi="Times New Roman" w:cs="Times New Roman"/>
      <w:b/>
      <w:sz w:val="24"/>
      <w:szCs w:val="24"/>
      <w:lang w:eastAsia="ar-SA"/>
    </w:rPr>
  </w:style>
  <w:style w:type="paragraph" w:customStyle="1" w:styleId="Titreobjetprliminaire">
    <w:name w:val="Titre objet (préliminaire)"/>
    <w:basedOn w:val="Normal"/>
    <w:next w:val="Normal"/>
    <w:pPr>
      <w:suppressAutoHyphens/>
      <w:spacing w:before="360" w:after="360" w:line="240" w:lineRule="auto"/>
      <w:jc w:val="center"/>
    </w:pPr>
    <w:rPr>
      <w:rFonts w:ascii="Times New Roman" w:eastAsia="Times New Roman" w:hAnsi="Times New Roman" w:cs="Times New Roman"/>
      <w:b/>
      <w:sz w:val="24"/>
      <w:szCs w:val="24"/>
      <w:lang w:eastAsia="ar-SA"/>
    </w:rPr>
  </w:style>
  <w:style w:type="paragraph" w:customStyle="1" w:styleId="Typedudocument">
    <w:name w:val="Type du document"/>
    <w:basedOn w:val="Normal"/>
    <w:next w:val="Datedadoption"/>
    <w:pPr>
      <w:suppressAutoHyphens/>
      <w:spacing w:before="360" w:after="0" w:line="240" w:lineRule="auto"/>
      <w:jc w:val="center"/>
    </w:pPr>
    <w:rPr>
      <w:rFonts w:ascii="Times New Roman" w:eastAsia="Times New Roman" w:hAnsi="Times New Roman" w:cs="Times New Roman"/>
      <w:b/>
      <w:sz w:val="24"/>
      <w:szCs w:val="24"/>
      <w:lang w:eastAsia="ar-SA"/>
    </w:rPr>
  </w:style>
  <w:style w:type="paragraph" w:customStyle="1" w:styleId="Typedudocumentprliminaire">
    <w:name w:val="Type du document (préliminaire)"/>
    <w:basedOn w:val="Normal"/>
    <w:next w:val="Normal"/>
    <w:pPr>
      <w:suppressAutoHyphens/>
      <w:spacing w:before="360" w:after="0" w:line="240" w:lineRule="auto"/>
      <w:jc w:val="center"/>
    </w:pPr>
    <w:rPr>
      <w:rFonts w:ascii="Times New Roman" w:eastAsia="Times New Roman" w:hAnsi="Times New Roman" w:cs="Times New Roman"/>
      <w:b/>
      <w:sz w:val="24"/>
      <w:szCs w:val="24"/>
      <w:lang w:eastAsia="ar-SA"/>
    </w:rPr>
  </w:style>
  <w:style w:type="paragraph" w:customStyle="1" w:styleId="Address">
    <w:name w:val="Address"/>
    <w:basedOn w:val="Normal"/>
    <w:next w:val="Normal"/>
    <w:pPr>
      <w:keepLines/>
      <w:suppressAutoHyphens/>
      <w:spacing w:before="120" w:after="120" w:line="360" w:lineRule="auto"/>
      <w:ind w:left="3402"/>
    </w:pPr>
    <w:rPr>
      <w:rFonts w:ascii="Times New Roman" w:eastAsia="Times New Roman" w:hAnsi="Times New Roman" w:cs="Times New Roman"/>
      <w:sz w:val="24"/>
      <w:szCs w:val="24"/>
      <w:lang w:eastAsia="ar-SA"/>
    </w:rPr>
  </w:style>
  <w:style w:type="paragraph" w:customStyle="1" w:styleId="Fichefinancirestandardtitre">
    <w:name w:val="Fiche financière (standard) titre"/>
    <w:basedOn w:val="Normal"/>
    <w:next w:val="Normal"/>
    <w:pPr>
      <w:suppressAutoHyphens/>
      <w:spacing w:before="120" w:after="120" w:line="240" w:lineRule="auto"/>
      <w:jc w:val="center"/>
    </w:pPr>
    <w:rPr>
      <w:rFonts w:ascii="Times New Roman" w:eastAsia="Times New Roman" w:hAnsi="Times New Roman" w:cs="Times New Roman"/>
      <w:b/>
      <w:sz w:val="24"/>
      <w:szCs w:val="24"/>
      <w:u w:val="single"/>
      <w:lang w:eastAsia="ar-SA"/>
    </w:rPr>
  </w:style>
  <w:style w:type="paragraph" w:customStyle="1" w:styleId="Fichefinancirestandardtitreacte">
    <w:name w:val="Fiche financière (standard) titre (acte)"/>
    <w:basedOn w:val="Normal"/>
    <w:next w:val="Normal"/>
    <w:pPr>
      <w:suppressAutoHyphens/>
      <w:spacing w:before="120" w:after="120" w:line="240" w:lineRule="auto"/>
      <w:jc w:val="center"/>
    </w:pPr>
    <w:rPr>
      <w:rFonts w:ascii="Times New Roman" w:eastAsia="Times New Roman" w:hAnsi="Times New Roman" w:cs="Times New Roman"/>
      <w:b/>
      <w:sz w:val="24"/>
      <w:szCs w:val="24"/>
      <w:u w:val="single"/>
      <w:lang w:eastAsia="ar-SA"/>
    </w:rPr>
  </w:style>
  <w:style w:type="paragraph" w:customStyle="1" w:styleId="Fichefinanciretravailtitre">
    <w:name w:val="Fiche financière (travail) titre"/>
    <w:basedOn w:val="Normal"/>
    <w:next w:val="Normal"/>
    <w:pPr>
      <w:suppressAutoHyphens/>
      <w:spacing w:before="120" w:after="120" w:line="240" w:lineRule="auto"/>
      <w:jc w:val="center"/>
    </w:pPr>
    <w:rPr>
      <w:rFonts w:ascii="Times New Roman" w:eastAsia="Times New Roman" w:hAnsi="Times New Roman" w:cs="Times New Roman"/>
      <w:b/>
      <w:sz w:val="24"/>
      <w:szCs w:val="24"/>
      <w:u w:val="single"/>
      <w:lang w:eastAsia="ar-SA"/>
    </w:rPr>
  </w:style>
  <w:style w:type="paragraph" w:customStyle="1" w:styleId="Fichefinanciretravailtitreacte">
    <w:name w:val="Fiche financière (travail) titre (acte)"/>
    <w:basedOn w:val="Normal"/>
    <w:next w:val="Normal"/>
    <w:pPr>
      <w:suppressAutoHyphens/>
      <w:spacing w:before="120" w:after="120" w:line="240" w:lineRule="auto"/>
      <w:jc w:val="center"/>
    </w:pPr>
    <w:rPr>
      <w:rFonts w:ascii="Times New Roman" w:eastAsia="Times New Roman" w:hAnsi="Times New Roman" w:cs="Times New Roman"/>
      <w:b/>
      <w:sz w:val="24"/>
      <w:szCs w:val="24"/>
      <w:u w:val="single"/>
      <w:lang w:eastAsia="ar-SA"/>
    </w:rPr>
  </w:style>
  <w:style w:type="paragraph" w:customStyle="1" w:styleId="Fichefinancireattributiontitre">
    <w:name w:val="Fiche financière (attribution) titre"/>
    <w:basedOn w:val="Normal"/>
    <w:next w:val="Normal"/>
    <w:pPr>
      <w:suppressAutoHyphens/>
      <w:spacing w:before="120" w:after="120" w:line="240" w:lineRule="auto"/>
      <w:jc w:val="center"/>
    </w:pPr>
    <w:rPr>
      <w:rFonts w:ascii="Times New Roman" w:eastAsia="Times New Roman" w:hAnsi="Times New Roman" w:cs="Times New Roman"/>
      <w:b/>
      <w:sz w:val="24"/>
      <w:szCs w:val="24"/>
      <w:u w:val="single"/>
      <w:lang w:eastAsia="ar-SA"/>
    </w:rPr>
  </w:style>
  <w:style w:type="paragraph" w:customStyle="1" w:styleId="Fichefinancireattributiontitreacte">
    <w:name w:val="Fiche financière (attribution) titre (acte)"/>
    <w:basedOn w:val="Normal"/>
    <w:next w:val="Normal"/>
    <w:pPr>
      <w:suppressAutoHyphens/>
      <w:spacing w:before="120" w:after="120" w:line="240" w:lineRule="auto"/>
      <w:jc w:val="center"/>
    </w:pPr>
    <w:rPr>
      <w:rFonts w:ascii="Times New Roman" w:eastAsia="Times New Roman" w:hAnsi="Times New Roman" w:cs="Times New Roman"/>
      <w:b/>
      <w:sz w:val="24"/>
      <w:szCs w:val="24"/>
      <w:u w:val="single"/>
      <w:lang w:eastAsia="ar-SA"/>
    </w:rPr>
  </w:style>
  <w:style w:type="paragraph" w:customStyle="1" w:styleId="Objetexterne">
    <w:name w:val="Objet externe"/>
    <w:basedOn w:val="Normal"/>
    <w:next w:val="Normal"/>
    <w:pPr>
      <w:suppressAutoHyphens/>
      <w:spacing w:before="120" w:after="120" w:line="240" w:lineRule="auto"/>
      <w:jc w:val="both"/>
    </w:pPr>
    <w:rPr>
      <w:rFonts w:ascii="Times New Roman" w:eastAsia="Times New Roman" w:hAnsi="Times New Roman" w:cs="Times New Roman"/>
      <w:i/>
      <w:caps/>
      <w:sz w:val="24"/>
      <w:szCs w:val="24"/>
      <w:lang w:eastAsia="ar-SA"/>
    </w:rPr>
  </w:style>
  <w:style w:type="paragraph" w:styleId="CommentText">
    <w:name w:val="annotation text"/>
    <w:basedOn w:val="Normal"/>
    <w:link w:val="CommentTextChar1"/>
    <w:uiPriority w:val="99"/>
    <w:pPr>
      <w:suppressAutoHyphens/>
      <w:spacing w:before="120" w:after="120" w:line="240" w:lineRule="auto"/>
      <w:jc w:val="both"/>
    </w:pPr>
    <w:rPr>
      <w:rFonts w:ascii="Times New Roman" w:eastAsia="Times New Roman" w:hAnsi="Times New Roman" w:cs="Times New Roman"/>
      <w:sz w:val="20"/>
      <w:szCs w:val="20"/>
      <w:lang w:eastAsia="ar-SA"/>
    </w:rPr>
  </w:style>
  <w:style w:type="character" w:customStyle="1" w:styleId="CommentTextChar1">
    <w:name w:val="Comment Text Char1"/>
    <w:basedOn w:val="DefaultParagraphFont"/>
    <w:link w:val="CommentText"/>
    <w:uiPriority w:val="99"/>
    <w:rPr>
      <w:rFonts w:ascii="Times New Roman" w:eastAsia="Times New Roman" w:hAnsi="Times New Roman" w:cs="Times New Roman"/>
      <w:sz w:val="20"/>
      <w:szCs w:val="20"/>
      <w:lang w:eastAsia="ar-SA"/>
    </w:rPr>
  </w:style>
  <w:style w:type="paragraph" w:styleId="CommentSubject">
    <w:name w:val="annotation subject"/>
    <w:basedOn w:val="CommentText"/>
    <w:next w:val="CommentText"/>
    <w:link w:val="CommentSubjectChar"/>
    <w:uiPriority w:val="99"/>
    <w:semiHidden/>
    <w:pPr>
      <w:suppressAutoHyphens w:val="0"/>
    </w:pPr>
    <w:rPr>
      <w:b/>
      <w:bCs/>
      <w:lang w:eastAsia="de-DE"/>
    </w:rPr>
  </w:style>
  <w:style w:type="character" w:customStyle="1" w:styleId="CommentSubjectChar">
    <w:name w:val="Comment Subject Char"/>
    <w:basedOn w:val="CommentTextChar1"/>
    <w:link w:val="CommentSubject"/>
    <w:uiPriority w:val="99"/>
    <w:semiHidden/>
    <w:rPr>
      <w:rFonts w:ascii="Times New Roman" w:eastAsia="Times New Roman" w:hAnsi="Times New Roman" w:cs="Times New Roman"/>
      <w:b/>
      <w:bCs/>
      <w:sz w:val="20"/>
      <w:szCs w:val="20"/>
      <w:lang w:eastAsia="de-DE"/>
    </w:rPr>
  </w:style>
  <w:style w:type="paragraph" w:styleId="ListParagraph">
    <w:name w:val="List Paragraph"/>
    <w:aliases w:val="Bullet List Paragraph,List Paragraph1,Heading 2_sj,Resume Title,Citation List,Ha,List Paragraph_Table bullets,Listes,1st level - Bullet List Paragraph,Lettre d'introduction,Paragrafo elenco,Medium Grid 1 - Accent 21,Normal bullet 2"/>
    <w:basedOn w:val="Normal"/>
    <w:link w:val="ListParagraphChar"/>
    <w:uiPriority w:val="34"/>
    <w:qFormat/>
    <w:pPr>
      <w:suppressAutoHyphens/>
      <w:spacing w:after="0" w:line="240" w:lineRule="auto"/>
      <w:ind w:left="720"/>
    </w:pPr>
    <w:rPr>
      <w:rFonts w:ascii="Calibri" w:hAnsi="Calibri" w:cs="Calibri"/>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1"/>
    <w:uiPriority w:val="99"/>
    <w:pPr>
      <w:suppressAutoHyphens/>
      <w:spacing w:after="0" w:line="240" w:lineRule="auto"/>
      <w:jc w:val="both"/>
    </w:pPr>
    <w:rPr>
      <w:rFonts w:ascii="Tahoma" w:eastAsia="Times New Roman" w:hAnsi="Tahoma" w:cs="Tahoma"/>
      <w:sz w:val="16"/>
      <w:szCs w:val="16"/>
      <w:lang w:eastAsia="ar-SA"/>
    </w:rPr>
  </w:style>
  <w:style w:type="character" w:customStyle="1" w:styleId="BalloonTextChar1">
    <w:name w:val="Balloon Text Char1"/>
    <w:basedOn w:val="DefaultParagraphFont"/>
    <w:link w:val="BalloonText"/>
    <w:uiPriority w:val="99"/>
    <w:rPr>
      <w:rFonts w:ascii="Tahoma" w:eastAsia="Times New Roman" w:hAnsi="Tahoma" w:cs="Tahoma"/>
      <w:sz w:val="16"/>
      <w:szCs w:val="16"/>
      <w:lang w:eastAsia="ar-SA"/>
    </w:rPr>
  </w:style>
  <w:style w:type="paragraph" w:styleId="Caption">
    <w:name w:val="caption"/>
    <w:aliases w:val="Legend,Figure reference,Tab_Überschrift,Caption Char1,Caption Char Char,Caption Char1 Char Char Char,Caption Char Char Char Char Char,Caption Char1 Char Char Char Char Char,Caption Char Char Char Char Char Char Char,DNV-cap,Tasks,Leg,Caption Cha"/>
    <w:basedOn w:val="Normal"/>
    <w:uiPriority w:val="35"/>
    <w:qFormat/>
    <w:pPr>
      <w:suppressLineNumbers/>
      <w:suppressAutoHyphens/>
      <w:spacing w:before="120" w:after="120" w:line="240" w:lineRule="auto"/>
      <w:jc w:val="both"/>
    </w:pPr>
    <w:rPr>
      <w:rFonts w:ascii="Times New Roman" w:eastAsia="Times New Roman" w:hAnsi="Times New Roman" w:cs="Mangal"/>
      <w:i/>
      <w:iCs/>
      <w:sz w:val="24"/>
      <w:szCs w:val="24"/>
      <w:lang w:eastAsia="ar-SA"/>
    </w:rPr>
  </w:style>
  <w:style w:type="paragraph" w:customStyle="1" w:styleId="Style1">
    <w:name w:val="Style1"/>
    <w:basedOn w:val="Normal"/>
    <w:qFormat/>
    <w:pPr>
      <w:suppressAutoHyphens/>
      <w:spacing w:after="120" w:line="280" w:lineRule="atLeast"/>
    </w:pPr>
    <w:rPr>
      <w:rFonts w:ascii="Arial" w:eastAsia="Times New Roman" w:hAnsi="Arial" w:cs="Arial"/>
      <w:sz w:val="20"/>
      <w:szCs w:val="20"/>
      <w:lang w:eastAsia="ar-SA"/>
    </w:rPr>
  </w:style>
  <w:style w:type="paragraph" w:customStyle="1" w:styleId="AFWBody">
    <w:name w:val="AFW Body"/>
    <w:aliases w:val="Body,AFW Memo Body,Normal Arial"/>
    <w:qFormat/>
    <w:pPr>
      <w:suppressAutoHyphens/>
      <w:spacing w:after="160" w:line="240" w:lineRule="atLeast"/>
    </w:pPr>
    <w:rPr>
      <w:rFonts w:ascii="Arial" w:eastAsia="Calibri" w:hAnsi="Arial" w:cs="Arial"/>
      <w:color w:val="000000"/>
      <w:sz w:val="20"/>
      <w:lang w:eastAsia="ar-SA"/>
    </w:rPr>
  </w:style>
  <w:style w:type="paragraph" w:customStyle="1" w:styleId="AFWBullets">
    <w:name w:val="AFW Bullets"/>
    <w:aliases w:val="Bullets 1"/>
    <w:basedOn w:val="AFWBody"/>
    <w:qFormat/>
    <w:pPr>
      <w:numPr>
        <w:numId w:val="6"/>
      </w:numPr>
      <w:tabs>
        <w:tab w:val="left" w:pos="1134"/>
      </w:tabs>
      <w:suppressAutoHyphens w:val="0"/>
      <w:ind w:left="1135" w:hanging="284"/>
    </w:pPr>
    <w:rPr>
      <w:rFonts w:cs="Times New Roman"/>
      <w:lang w:eastAsia="en-US"/>
    </w:rPr>
  </w:style>
  <w:style w:type="paragraph" w:customStyle="1" w:styleId="AFWBodySmall">
    <w:name w:val="AFW Body Small"/>
    <w:aliases w:val="Body Small"/>
    <w:basedOn w:val="AFWBody"/>
    <w:qFormat/>
    <w:pPr>
      <w:spacing w:after="0" w:line="240" w:lineRule="auto"/>
    </w:pPr>
    <w:rPr>
      <w:rFonts w:cs="Times New Roman"/>
      <w:sz w:val="16"/>
    </w:rPr>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Normal"/>
    <w:uiPriority w:val="99"/>
    <w:pPr>
      <w:suppressAutoHyphens/>
      <w:spacing w:after="160" w:line="240" w:lineRule="exact"/>
    </w:pPr>
    <w:rPr>
      <w:rFonts w:ascii="Times New Roman" w:eastAsia="Times New Roman" w:hAnsi="Times New Roman" w:cs="Times New Roman"/>
      <w:sz w:val="20"/>
      <w:szCs w:val="20"/>
      <w:vertAlign w:val="superscript"/>
      <w:lang w:eastAsia="ar-SA"/>
    </w:rPr>
  </w:style>
  <w:style w:type="paragraph" w:customStyle="1" w:styleId="AFWTable">
    <w:name w:val="AFW Table"/>
    <w:aliases w:val="Table Content"/>
    <w:basedOn w:val="AFWBody"/>
    <w:qFormat/>
    <w:pPr>
      <w:spacing w:after="0" w:line="240" w:lineRule="auto"/>
    </w:pPr>
    <w:rPr>
      <w:rFonts w:cs="Times New Roman"/>
      <w:sz w:val="16"/>
    </w:rPr>
  </w:style>
  <w:style w:type="paragraph" w:customStyle="1" w:styleId="Style7bulletpoint">
    <w:name w:val="Style7_bullet point"/>
    <w:basedOn w:val="Style1"/>
    <w:qFormat/>
    <w:pPr>
      <w:numPr>
        <w:numId w:val="8"/>
      </w:numPr>
      <w:tabs>
        <w:tab w:val="left" w:pos="1134"/>
      </w:tabs>
      <w:suppressAutoHyphens w:val="0"/>
      <w:ind w:left="714" w:right="357" w:hanging="357"/>
    </w:pPr>
    <w:rPr>
      <w:lang w:eastAsia="de-DE"/>
    </w:rPr>
  </w:style>
  <w:style w:type="paragraph" w:styleId="Revision">
    <w:name w:val="Revision"/>
    <w:hidden/>
    <w:uiPriority w:val="99"/>
    <w:semiHidden/>
    <w:pPr>
      <w:suppressAutoHyphens/>
      <w:autoSpaceDN w:val="0"/>
      <w:spacing w:after="0" w:line="240" w:lineRule="auto"/>
      <w:textAlignment w:val="baseline"/>
    </w:pPr>
    <w:rPr>
      <w:rFonts w:ascii="Times New Roman" w:eastAsia="Times New Roman" w:hAnsi="Times New Roman" w:cs="Times New Roman"/>
      <w:sz w:val="24"/>
      <w:szCs w:val="24"/>
      <w:lang w:eastAsia="de-DE"/>
    </w:rPr>
  </w:style>
  <w:style w:type="paragraph" w:customStyle="1" w:styleId="TabellenInhalt">
    <w:name w:val="Tabellen Inhalt"/>
    <w:basedOn w:val="Normal"/>
    <w:pPr>
      <w:suppressLineNumbers/>
      <w:suppressAutoHyphens/>
      <w:spacing w:before="120" w:after="120" w:line="240" w:lineRule="auto"/>
      <w:jc w:val="both"/>
    </w:pPr>
    <w:rPr>
      <w:rFonts w:ascii="Times New Roman" w:eastAsia="Times New Roman" w:hAnsi="Times New Roman" w:cs="Times New Roman"/>
      <w:sz w:val="24"/>
      <w:szCs w:val="24"/>
      <w:lang w:eastAsia="ar-SA"/>
    </w:rPr>
  </w:style>
  <w:style w:type="paragraph" w:customStyle="1" w:styleId="Tabellenberschrift">
    <w:name w:val="Tabellen Überschrift"/>
    <w:basedOn w:val="TabellenInhalt"/>
    <w:pPr>
      <w:jc w:val="center"/>
    </w:pPr>
    <w:rPr>
      <w:b/>
      <w:bCs/>
    </w:rPr>
  </w:style>
  <w:style w:type="paragraph" w:customStyle="1" w:styleId="Inhaltsverzeichnis10">
    <w:name w:val="Inhaltsverzeichnis 10"/>
    <w:basedOn w:val="Verzeichnis"/>
    <w:pPr>
      <w:tabs>
        <w:tab w:val="right" w:leader="dot" w:pos="7091"/>
      </w:tabs>
      <w:ind w:left="2547"/>
    </w:pPr>
  </w:style>
  <w:style w:type="paragraph" w:customStyle="1" w:styleId="Rahmeninhalt">
    <w:name w:val="Rahmeninhalt"/>
    <w:basedOn w:val="BodyText"/>
  </w:style>
  <w:style w:type="paragraph" w:customStyle="1" w:styleId="Default">
    <w:name w:val="Default"/>
    <w:basedOn w:val="Normal"/>
    <w:pPr>
      <w:suppressAutoHyphens/>
      <w:autoSpaceDE w:val="0"/>
      <w:spacing w:after="0" w:line="240" w:lineRule="auto"/>
    </w:pPr>
    <w:rPr>
      <w:rFonts w:ascii="Times New Roman" w:eastAsia="Times New Roman" w:hAnsi="Times New Roman" w:cs="Times New Roman"/>
      <w:color w:val="000000"/>
      <w:sz w:val="24"/>
      <w:szCs w:val="24"/>
      <w:lang w:eastAsia="hi-IN" w:bidi="hi-IN"/>
    </w:rPr>
  </w:style>
  <w:style w:type="paragraph" w:customStyle="1" w:styleId="BIOblueheading">
    <w:name w:val="BIO_blue heading"/>
    <w:basedOn w:val="Style1"/>
    <w:pPr>
      <w:spacing w:before="240" w:after="240"/>
    </w:pPr>
    <w:rPr>
      <w:sz w:val="24"/>
      <w:szCs w:val="24"/>
    </w:rPr>
  </w:style>
  <w:style w:type="paragraph" w:customStyle="1" w:styleId="Style2">
    <w:name w:val="Style2"/>
    <w:basedOn w:val="BIOblueheading"/>
    <w:qFormat/>
    <w:rPr>
      <w:b/>
      <w:i/>
      <w:color w:val="002776"/>
    </w:rPr>
  </w:style>
  <w:style w:type="paragraph" w:customStyle="1" w:styleId="Caption1">
    <w:name w:val="Caption1"/>
    <w:basedOn w:val="Normal"/>
    <w:pPr>
      <w:keepNext/>
      <w:suppressAutoHyphens/>
      <w:spacing w:before="240" w:after="120" w:line="240" w:lineRule="auto"/>
      <w:jc w:val="both"/>
    </w:pPr>
    <w:rPr>
      <w:rFonts w:ascii="Arial" w:eastAsia="Times New Roman" w:hAnsi="Arial" w:cs="Arial"/>
      <w:bCs/>
      <w:i/>
      <w:sz w:val="18"/>
      <w:szCs w:val="18"/>
      <w:lang w:eastAsia="ar-SA"/>
    </w:rPr>
  </w:style>
  <w:style w:type="paragraph" w:customStyle="1" w:styleId="bulletspointslvl1">
    <w:name w:val="bullets points lvl1"/>
    <w:basedOn w:val="Normal"/>
    <w:pPr>
      <w:tabs>
        <w:tab w:val="left" w:pos="993"/>
      </w:tabs>
      <w:suppressAutoHyphens/>
      <w:spacing w:after="120" w:line="240" w:lineRule="auto"/>
      <w:ind w:left="851" w:right="567"/>
      <w:jc w:val="both"/>
    </w:pPr>
    <w:rPr>
      <w:rFonts w:ascii="Times New Roman" w:eastAsia="Times New Roman" w:hAnsi="Times New Roman" w:cs="Arial"/>
      <w:sz w:val="24"/>
      <w:szCs w:val="20"/>
      <w:lang w:val="en-US" w:eastAsia="ar-SA"/>
    </w:rPr>
  </w:style>
  <w:style w:type="paragraph" w:customStyle="1" w:styleId="CSubheading">
    <w:name w:val="C Subheading"/>
    <w:basedOn w:val="Heading3"/>
    <w:pPr>
      <w:numPr>
        <w:ilvl w:val="0"/>
        <w:numId w:val="2"/>
      </w:numPr>
    </w:pPr>
    <w:rPr>
      <w:color w:val="000000"/>
      <w:szCs w:val="24"/>
    </w:rPr>
  </w:style>
  <w:style w:type="paragraph" w:customStyle="1" w:styleId="Style4">
    <w:name w:val="Style4"/>
    <w:basedOn w:val="CSubheading"/>
    <w:pPr>
      <w:numPr>
        <w:numId w:val="0"/>
      </w:numPr>
    </w:pPr>
  </w:style>
  <w:style w:type="paragraph" w:customStyle="1" w:styleId="FootnoteText1">
    <w:name w:val="Footnote Text1"/>
    <w:basedOn w:val="Normal"/>
    <w:pPr>
      <w:suppressAutoHyphens/>
      <w:spacing w:before="120" w:after="120" w:line="240" w:lineRule="auto"/>
      <w:jc w:val="both"/>
    </w:pPr>
    <w:rPr>
      <w:rFonts w:ascii="Times New Roman" w:eastAsia="Times New Roman" w:hAnsi="Times New Roman" w:cs="Times New Roman"/>
      <w:sz w:val="20"/>
      <w:szCs w:val="20"/>
      <w:lang w:eastAsia="ar-SA"/>
    </w:rPr>
  </w:style>
  <w:style w:type="paragraph" w:customStyle="1" w:styleId="footnote">
    <w:name w:val="footnote"/>
    <w:basedOn w:val="Normal"/>
    <w:pPr>
      <w:suppressAutoHyphens/>
      <w:spacing w:after="120" w:line="240" w:lineRule="auto"/>
      <w:jc w:val="both"/>
    </w:pPr>
    <w:rPr>
      <w:rFonts w:ascii="Times New Roman" w:eastAsia="Times New Roman" w:hAnsi="Times New Roman" w:cs="Times New Roman"/>
      <w:sz w:val="18"/>
      <w:szCs w:val="18"/>
      <w:lang w:eastAsia="ar-SA"/>
    </w:rPr>
  </w:style>
  <w:style w:type="paragraph" w:customStyle="1" w:styleId="BIO1stbulletpoint">
    <w:name w:val="BIO 1st bullet point"/>
    <w:basedOn w:val="Style1"/>
  </w:style>
  <w:style w:type="table" w:customStyle="1" w:styleId="AmecFosterWheelerReportTable">
    <w:name w:val="Amec Foster Wheeler Report Table"/>
    <w:basedOn w:val="TableNormal"/>
    <w:uiPriority w:val="99"/>
    <w:qFormat/>
    <w:pPr>
      <w:spacing w:after="0" w:line="240" w:lineRule="auto"/>
    </w:pPr>
    <w:rPr>
      <w:rFonts w:ascii="Arial" w:eastAsia="Calibri" w:hAnsi="Arial" w:cs="Times New Roman"/>
      <w:color w:val="000000"/>
      <w:sz w:val="20"/>
    </w:rPr>
    <w:tblPr>
      <w:tblStyleRowBandSize w:val="1"/>
      <w:tblStyleColBandSize w:val="1"/>
      <w:tblInd w:w="113" w:type="dxa"/>
      <w:tblBorders>
        <w:bottom w:val="single" w:sz="6" w:space="0" w:color="C0504D"/>
      </w:tblBorders>
      <w:tblCellMar>
        <w:top w:w="113" w:type="dxa"/>
        <w:bottom w:w="113" w:type="dxa"/>
      </w:tblCellMar>
    </w:tblPr>
    <w:tblStylePr w:type="firstRow">
      <w:pPr>
        <w:spacing w:before="0" w:after="0" w:line="240" w:lineRule="auto"/>
      </w:pPr>
      <w:rPr>
        <w:rFonts w:ascii="Arial" w:hAnsi="Arial"/>
        <w:b/>
        <w:bCs/>
        <w:color w:val="262626"/>
        <w:sz w:val="20"/>
      </w:rPr>
      <w:tblPr/>
      <w:tcPr>
        <w:tcBorders>
          <w:top w:val="single" w:sz="4" w:space="0" w:color="C0504D"/>
          <w:left w:val="nil"/>
          <w:bottom w:val="single" w:sz="4" w:space="0" w:color="C0504D"/>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2Vert">
      <w:tblPr/>
      <w:tcPr>
        <w:shd w:val="clear" w:color="auto" w:fill="FFFFFF"/>
      </w:tcPr>
    </w:tblStylePr>
    <w:tblStylePr w:type="band1Horz">
      <w:tblPr/>
      <w:tcPr>
        <w:tcBorders>
          <w:left w:val="nil"/>
          <w:right w:val="nil"/>
          <w:insideH w:val="nil"/>
          <w:insideV w:val="nil"/>
        </w:tcBorders>
        <w:shd w:val="clear" w:color="auto" w:fill="E5DFEC"/>
      </w:tcPr>
    </w:tblStylePr>
    <w:tblStylePr w:type="band2Horz">
      <w:tblPr/>
      <w:tcPr>
        <w:shd w:val="clear" w:color="auto" w:fill="F8F8F8"/>
      </w:tcPr>
    </w:tblStylePr>
  </w:style>
  <w:style w:type="table" w:styleId="TableGrid">
    <w:name w:val="Table Grid"/>
    <w:basedOn w:val="TableNormal"/>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OutlineListStyle">
    <w:name w:val="WW_OutlineListStyle"/>
    <w:basedOn w:val="NoList"/>
    <w:pPr>
      <w:numPr>
        <w:numId w:val="36"/>
      </w:numPr>
    </w:pPr>
  </w:style>
  <w:style w:type="numbering" w:customStyle="1" w:styleId="LFO1">
    <w:name w:val="LFO1"/>
    <w:basedOn w:val="NoList"/>
    <w:pPr>
      <w:numPr>
        <w:numId w:val="37"/>
      </w:numPr>
    </w:pPr>
  </w:style>
  <w:style w:type="numbering" w:customStyle="1" w:styleId="LFO2">
    <w:name w:val="LFO2"/>
    <w:basedOn w:val="NoList"/>
    <w:pPr>
      <w:numPr>
        <w:numId w:val="38"/>
      </w:numPr>
    </w:pPr>
  </w:style>
  <w:style w:type="numbering" w:customStyle="1" w:styleId="LFO3">
    <w:name w:val="LFO3"/>
    <w:basedOn w:val="NoList"/>
    <w:pPr>
      <w:numPr>
        <w:numId w:val="39"/>
      </w:numPr>
    </w:pPr>
  </w:style>
  <w:style w:type="numbering" w:customStyle="1" w:styleId="LFO4">
    <w:name w:val="LFO4"/>
    <w:basedOn w:val="NoList"/>
    <w:pPr>
      <w:numPr>
        <w:numId w:val="40"/>
      </w:numPr>
    </w:pPr>
  </w:style>
  <w:style w:type="numbering" w:customStyle="1" w:styleId="LFO5">
    <w:name w:val="LFO5"/>
    <w:basedOn w:val="NoList"/>
    <w:pPr>
      <w:numPr>
        <w:numId w:val="41"/>
      </w:numPr>
    </w:pPr>
  </w:style>
  <w:style w:type="numbering" w:customStyle="1" w:styleId="LFO6">
    <w:name w:val="LFO6"/>
    <w:basedOn w:val="NoList"/>
    <w:pPr>
      <w:numPr>
        <w:numId w:val="42"/>
      </w:numPr>
    </w:pPr>
  </w:style>
  <w:style w:type="numbering" w:customStyle="1" w:styleId="LFO8">
    <w:name w:val="LFO8"/>
    <w:basedOn w:val="NoList"/>
    <w:pPr>
      <w:numPr>
        <w:numId w:val="43"/>
      </w:numPr>
    </w:pPr>
  </w:style>
  <w:style w:type="numbering" w:customStyle="1" w:styleId="LFO9">
    <w:name w:val="LFO9"/>
    <w:basedOn w:val="NoList"/>
    <w:pPr>
      <w:numPr>
        <w:numId w:val="44"/>
      </w:numPr>
    </w:pPr>
  </w:style>
  <w:style w:type="numbering" w:customStyle="1" w:styleId="LFO10">
    <w:name w:val="LFO10"/>
    <w:basedOn w:val="NoList"/>
    <w:pPr>
      <w:numPr>
        <w:numId w:val="45"/>
      </w:numPr>
    </w:pPr>
  </w:style>
  <w:style w:type="numbering" w:customStyle="1" w:styleId="LFO11">
    <w:name w:val="LFO11"/>
    <w:basedOn w:val="NoList"/>
    <w:pPr>
      <w:numPr>
        <w:numId w:val="46"/>
      </w:numPr>
    </w:pPr>
  </w:style>
  <w:style w:type="numbering" w:customStyle="1" w:styleId="LFO12">
    <w:name w:val="LFO12"/>
    <w:basedOn w:val="NoList"/>
    <w:pPr>
      <w:numPr>
        <w:numId w:val="47"/>
      </w:numPr>
    </w:pPr>
  </w:style>
  <w:style w:type="numbering" w:customStyle="1" w:styleId="LFO13">
    <w:name w:val="LFO13"/>
    <w:basedOn w:val="NoList"/>
    <w:pPr>
      <w:numPr>
        <w:numId w:val="48"/>
      </w:numPr>
    </w:pPr>
  </w:style>
  <w:style w:type="numbering" w:customStyle="1" w:styleId="LFO14">
    <w:name w:val="LFO14"/>
    <w:basedOn w:val="NoList"/>
    <w:pPr>
      <w:numPr>
        <w:numId w:val="49"/>
      </w:numPr>
    </w:pPr>
  </w:style>
  <w:style w:type="numbering" w:customStyle="1" w:styleId="LFO15">
    <w:name w:val="LFO15"/>
    <w:basedOn w:val="NoList"/>
    <w:pPr>
      <w:numPr>
        <w:numId w:val="50"/>
      </w:numPr>
    </w:pPr>
  </w:style>
  <w:style w:type="numbering" w:customStyle="1" w:styleId="LFO16">
    <w:name w:val="LFO16"/>
    <w:basedOn w:val="NoList"/>
    <w:pPr>
      <w:numPr>
        <w:numId w:val="51"/>
      </w:numPr>
    </w:pPr>
  </w:style>
  <w:style w:type="numbering" w:customStyle="1" w:styleId="LFO17">
    <w:name w:val="LFO17"/>
    <w:basedOn w:val="NoList"/>
    <w:pPr>
      <w:numPr>
        <w:numId w:val="52"/>
      </w:numPr>
    </w:pPr>
  </w:style>
  <w:style w:type="numbering" w:customStyle="1" w:styleId="LFO18">
    <w:name w:val="LFO18"/>
    <w:basedOn w:val="NoList"/>
    <w:pPr>
      <w:numPr>
        <w:numId w:val="53"/>
      </w:numPr>
    </w:pPr>
  </w:style>
  <w:style w:type="numbering" w:customStyle="1" w:styleId="LFO19">
    <w:name w:val="LFO19"/>
    <w:basedOn w:val="NoList"/>
    <w:pPr>
      <w:numPr>
        <w:numId w:val="54"/>
      </w:numPr>
    </w:pPr>
  </w:style>
  <w:style w:type="numbering" w:customStyle="1" w:styleId="LFO20">
    <w:name w:val="LFO20"/>
    <w:basedOn w:val="NoList"/>
    <w:pPr>
      <w:numPr>
        <w:numId w:val="55"/>
      </w:numPr>
    </w:pPr>
  </w:style>
  <w:style w:type="numbering" w:customStyle="1" w:styleId="LFO21">
    <w:name w:val="LFO21"/>
    <w:basedOn w:val="NoList"/>
    <w:pPr>
      <w:numPr>
        <w:numId w:val="56"/>
      </w:numPr>
    </w:pPr>
  </w:style>
  <w:style w:type="numbering" w:customStyle="1" w:styleId="LFO22">
    <w:name w:val="LFO22"/>
    <w:basedOn w:val="NoList"/>
    <w:pPr>
      <w:numPr>
        <w:numId w:val="57"/>
      </w:numPr>
    </w:pPr>
  </w:style>
  <w:style w:type="numbering" w:customStyle="1" w:styleId="LFO23">
    <w:name w:val="LFO23"/>
    <w:basedOn w:val="NoList"/>
    <w:pPr>
      <w:numPr>
        <w:numId w:val="58"/>
      </w:numPr>
    </w:pPr>
  </w:style>
  <w:style w:type="numbering" w:customStyle="1" w:styleId="LFO28">
    <w:name w:val="LFO28"/>
    <w:basedOn w:val="NoList"/>
    <w:pPr>
      <w:numPr>
        <w:numId w:val="59"/>
      </w:numPr>
    </w:pPr>
  </w:style>
  <w:style w:type="numbering" w:customStyle="1" w:styleId="LFO29">
    <w:name w:val="LFO29"/>
    <w:basedOn w:val="NoList"/>
    <w:pPr>
      <w:numPr>
        <w:numId w:val="60"/>
      </w:numPr>
    </w:pPr>
  </w:style>
  <w:style w:type="paragraph" w:customStyle="1" w:styleId="he">
    <w:name w:val="he"/>
    <w:basedOn w:val="ListBullet"/>
    <w:pPr>
      <w:numPr>
        <w:numId w:val="0"/>
      </w:numPr>
    </w:pPr>
    <w:rPr>
      <w:u w:val="single"/>
    </w:rPr>
  </w:style>
  <w:style w:type="paragraph" w:customStyle="1" w:styleId="norm">
    <w:name w:val="norm"/>
    <w:basedOn w:val="Normal"/>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Heading">
    <w:name w:val="Heading"/>
    <w:basedOn w:val="Heading4"/>
    <w:pPr>
      <w:numPr>
        <w:ilvl w:val="0"/>
        <w:numId w:val="0"/>
      </w:numPr>
      <w:ind w:left="850"/>
    </w:pPr>
    <w:rPr>
      <w:i/>
    </w:rPr>
  </w:style>
  <w:style w:type="paragraph" w:customStyle="1" w:styleId="norma">
    <w:name w:val="norma"/>
    <w:basedOn w:val="norm"/>
  </w:style>
  <w:style w:type="numbering" w:customStyle="1" w:styleId="ImportedStyle2">
    <w:name w:val="Imported Style 2"/>
    <w:pPr>
      <w:numPr>
        <w:numId w:val="66"/>
      </w:numPr>
    </w:pPr>
  </w:style>
  <w:style w:type="numbering" w:customStyle="1" w:styleId="ImportedStyle3">
    <w:name w:val="Imported Style 3"/>
    <w:pPr>
      <w:numPr>
        <w:numId w:val="68"/>
      </w:numPr>
    </w:pPr>
  </w:style>
  <w:style w:type="character" w:customStyle="1" w:styleId="Hyperlink0">
    <w:name w:val="Hyperlink.0"/>
    <w:basedOn w:val="Hyperlink"/>
    <w:rPr>
      <w:color w:val="0000FF"/>
      <w:u w:val="single" w:color="0000FF"/>
    </w:rPr>
  </w:style>
  <w:style w:type="character" w:customStyle="1" w:styleId="Hyperlink1">
    <w:name w:val="Hyperlink.1"/>
    <w:basedOn w:val="Hyperlink0"/>
    <w:rPr>
      <w:rFonts w:ascii="Times New Roman" w:eastAsia="Times New Roman" w:hAnsi="Times New Roman" w:cs="Times New Roman"/>
      <w:color w:val="0000FF"/>
      <w:sz w:val="24"/>
      <w:szCs w:val="24"/>
      <w:u w:val="single" w:color="0000FF"/>
    </w:rPr>
  </w:style>
  <w:style w:type="numbering" w:customStyle="1" w:styleId="ImportedStyle4">
    <w:name w:val="Imported Style 4"/>
    <w:pPr>
      <w:numPr>
        <w:numId w:val="70"/>
      </w:numPr>
    </w:pPr>
  </w:style>
  <w:style w:type="numbering" w:customStyle="1" w:styleId="ImportedStyle5">
    <w:name w:val="Imported Style 5"/>
    <w:pPr>
      <w:numPr>
        <w:numId w:val="72"/>
      </w:numPr>
    </w:pPr>
  </w:style>
  <w:style w:type="numbering" w:customStyle="1" w:styleId="ImportedStyle6">
    <w:name w:val="Imported Style 6"/>
    <w:pPr>
      <w:numPr>
        <w:numId w:val="74"/>
      </w:numPr>
    </w:pPr>
  </w:style>
  <w:style w:type="numbering" w:customStyle="1" w:styleId="ImportedStyle7">
    <w:name w:val="Imported Style 7"/>
    <w:pPr>
      <w:numPr>
        <w:numId w:val="76"/>
      </w:numPr>
    </w:pPr>
  </w:style>
  <w:style w:type="numbering" w:customStyle="1" w:styleId="ImportedStyle8">
    <w:name w:val="Imported Style 8"/>
    <w:pPr>
      <w:numPr>
        <w:numId w:val="78"/>
      </w:numPr>
    </w:pPr>
  </w:style>
  <w:style w:type="numbering" w:customStyle="1" w:styleId="ImportedStyle9">
    <w:name w:val="Imported Style 9"/>
    <w:pPr>
      <w:numPr>
        <w:numId w:val="80"/>
      </w:numPr>
    </w:pPr>
  </w:style>
  <w:style w:type="paragraph" w:customStyle="1" w:styleId="JRCText">
    <w:name w:val="JRC_Text"/>
    <w:basedOn w:val="Normal"/>
    <w:qFormat/>
    <w:pPr>
      <w:spacing w:before="120" w:after="120" w:line="240" w:lineRule="auto"/>
      <w:jc w:val="both"/>
    </w:pPr>
    <w:rPr>
      <w:rFonts w:ascii="Verdana" w:eastAsia="Calibri" w:hAnsi="Verdana" w:cs="Times New Roman"/>
      <w:sz w:val="20"/>
    </w:rPr>
  </w:style>
  <w:style w:type="paragraph" w:customStyle="1" w:styleId="JRCLevel-2title">
    <w:name w:val="JRC_Level-2_title"/>
    <w:basedOn w:val="Heading2"/>
    <w:next w:val="JRCText"/>
    <w:qFormat/>
    <w:pPr>
      <w:keepLines/>
      <w:numPr>
        <w:numId w:val="82"/>
      </w:numPr>
      <w:spacing w:before="240"/>
    </w:pPr>
    <w:rPr>
      <w:rFonts w:ascii="Verdana" w:hAnsi="Verdana"/>
      <w:szCs w:val="26"/>
      <w:lang w:eastAsia="en-US"/>
    </w:rPr>
  </w:style>
  <w:style w:type="paragraph" w:customStyle="1" w:styleId="JRCLevel-1title">
    <w:name w:val="JRC_Level-1_title"/>
    <w:basedOn w:val="Heading1"/>
    <w:next w:val="JRCText"/>
    <w:qFormat/>
    <w:pPr>
      <w:pageBreakBefore/>
      <w:numPr>
        <w:numId w:val="82"/>
      </w:numPr>
      <w:spacing w:before="0"/>
      <w:jc w:val="left"/>
    </w:pPr>
    <w:rPr>
      <w:rFonts w:ascii="Verdana" w:eastAsia="Calibri" w:hAnsi="Verdana"/>
      <w:bCs w:val="0"/>
      <w:smallCaps w:val="0"/>
      <w:sz w:val="26"/>
      <w:szCs w:val="24"/>
      <w:lang w:eastAsia="en-US"/>
    </w:rPr>
  </w:style>
  <w:style w:type="paragraph" w:customStyle="1" w:styleId="JRCLevel-4title">
    <w:name w:val="JRC_Level-4_title"/>
    <w:basedOn w:val="Normal"/>
    <w:next w:val="JRCText"/>
    <w:qFormat/>
    <w:pPr>
      <w:keepNext/>
      <w:numPr>
        <w:ilvl w:val="3"/>
        <w:numId w:val="82"/>
      </w:numPr>
      <w:spacing w:before="240" w:after="120" w:line="240" w:lineRule="auto"/>
    </w:pPr>
    <w:rPr>
      <w:rFonts w:ascii="Verdana" w:eastAsia="Times New Roman" w:hAnsi="Verdana" w:cs="Times New Roman"/>
      <w:b/>
      <w:i/>
      <w:sz w:val="20"/>
      <w:lang w:eastAsia="en-GB"/>
    </w:rPr>
  </w:style>
  <w:style w:type="paragraph" w:customStyle="1" w:styleId="JRCLevel-3title">
    <w:name w:val="JRC_Level-3_title"/>
    <w:basedOn w:val="Heading3"/>
    <w:next w:val="JRCText"/>
    <w:qFormat/>
    <w:pPr>
      <w:keepLines/>
      <w:numPr>
        <w:numId w:val="82"/>
      </w:numPr>
      <w:spacing w:before="240"/>
    </w:pPr>
    <w:rPr>
      <w:rFonts w:ascii="Verdana" w:hAnsi="Verdana"/>
      <w:b/>
      <w:i w:val="0"/>
      <w:sz w:val="22"/>
      <w:szCs w:val="24"/>
      <w:lang w:eastAsia="en-US"/>
    </w:rPr>
  </w:style>
  <w:style w:type="paragraph" w:customStyle="1" w:styleId="JRCLevel-5title">
    <w:name w:val="JRC_Level-5_title"/>
    <w:basedOn w:val="Normal"/>
    <w:next w:val="JRCText"/>
    <w:qFormat/>
    <w:pPr>
      <w:keepNext/>
      <w:numPr>
        <w:ilvl w:val="4"/>
        <w:numId w:val="82"/>
      </w:numPr>
      <w:spacing w:before="200" w:after="0" w:line="240" w:lineRule="auto"/>
      <w:ind w:left="1134" w:hanging="1134"/>
      <w:outlineLvl w:val="4"/>
    </w:pPr>
    <w:rPr>
      <w:rFonts w:ascii="Verdana" w:eastAsia="Times New Roman" w:hAnsi="Verdana" w:cs="Times New Roman"/>
      <w:sz w:val="20"/>
      <w:lang w:eastAsia="en-GB"/>
    </w:rPr>
  </w:style>
  <w:style w:type="character" w:customStyle="1" w:styleId="Ninguno">
    <w:name w:val="Ninguno"/>
    <w:rPr>
      <w:lang w:val="en-US"/>
    </w:rPr>
  </w:style>
  <w:style w:type="paragraph" w:customStyle="1" w:styleId="JRCAbbreviations">
    <w:name w:val="JRC_Abbreviations"/>
    <w:basedOn w:val="Normal"/>
    <w:qFormat/>
    <w:pPr>
      <w:tabs>
        <w:tab w:val="left" w:pos="851"/>
      </w:tabs>
      <w:spacing w:before="120" w:after="120" w:line="240" w:lineRule="auto"/>
      <w:ind w:left="851" w:hanging="851"/>
      <w:jc w:val="both"/>
    </w:pPr>
    <w:rPr>
      <w:rFonts w:ascii="Verdana" w:eastAsia="Calibri" w:hAnsi="Verdana" w:cs="Times New Roman"/>
      <w:sz w:val="20"/>
    </w:rPr>
  </w:style>
  <w:style w:type="paragraph" w:customStyle="1" w:styleId="JRCCoversubtitle">
    <w:name w:val="JRC_Cover_subtitle"/>
    <w:basedOn w:val="Normal"/>
    <w:qFormat/>
    <w:pPr>
      <w:spacing w:before="120" w:after="120" w:line="400" w:lineRule="exact"/>
      <w:ind w:left="5103"/>
    </w:pPr>
    <w:rPr>
      <w:rFonts w:ascii="Verdana" w:eastAsia="Calibri" w:hAnsi="Verdana" w:cs="Times New Roman"/>
      <w:i/>
      <w:color w:val="646464"/>
      <w:sz w:val="32"/>
      <w:szCs w:val="32"/>
    </w:rPr>
  </w:style>
  <w:style w:type="paragraph" w:customStyle="1" w:styleId="JRCCovertitle">
    <w:name w:val="JRC_Cover_title"/>
    <w:basedOn w:val="Normal"/>
    <w:qFormat/>
    <w:pPr>
      <w:spacing w:before="600" w:after="600" w:line="640" w:lineRule="exact"/>
      <w:ind w:left="-567"/>
    </w:pPr>
    <w:rPr>
      <w:rFonts w:ascii="Verdana" w:eastAsia="Calibri" w:hAnsi="Verdana" w:cs="Times New Roman"/>
      <w:noProof/>
      <w:sz w:val="56"/>
      <w:szCs w:val="56"/>
      <w:lang w:eastAsia="en-GB"/>
    </w:rPr>
  </w:style>
  <w:style w:type="paragraph" w:customStyle="1" w:styleId="JRCEquation">
    <w:name w:val="JRC_Equation"/>
    <w:basedOn w:val="Normal"/>
    <w:next w:val="Normal"/>
    <w:qFormat/>
    <w:pPr>
      <w:spacing w:before="360" w:after="360" w:line="240" w:lineRule="auto"/>
      <w:jc w:val="center"/>
    </w:pPr>
    <w:rPr>
      <w:rFonts w:ascii="Verdana" w:eastAsia="Calibri" w:hAnsi="Verdana" w:cs="Times New Roman"/>
      <w:sz w:val="20"/>
    </w:rPr>
  </w:style>
  <w:style w:type="paragraph" w:customStyle="1" w:styleId="JRCFigurecaption">
    <w:name w:val="JRC_Figure_caption"/>
    <w:basedOn w:val="Normal"/>
    <w:next w:val="JRCText"/>
    <w:qFormat/>
    <w:pPr>
      <w:spacing w:before="360" w:after="120" w:line="240" w:lineRule="auto"/>
      <w:jc w:val="center"/>
    </w:pPr>
    <w:rPr>
      <w:rFonts w:ascii="Verdana" w:eastAsia="Calibri" w:hAnsi="Verdana" w:cs="Times New Roman"/>
      <w:sz w:val="18"/>
    </w:rPr>
  </w:style>
  <w:style w:type="paragraph" w:customStyle="1" w:styleId="JRCLevel-1Fronttitle">
    <w:name w:val="JRC_Level-1_Front_title"/>
    <w:basedOn w:val="Normal"/>
    <w:next w:val="Normal"/>
    <w:link w:val="JRCLevel-1FronttitleChar"/>
    <w:autoRedefine/>
    <w:qFormat/>
    <w:pPr>
      <w:keepNext/>
      <w:pageBreakBefore/>
      <w:spacing w:after="120" w:line="240" w:lineRule="auto"/>
    </w:pPr>
    <w:rPr>
      <w:rFonts w:ascii="Verdana" w:eastAsia="Times New Roman" w:hAnsi="Verdana" w:cs="Times New Roman"/>
      <w:b/>
      <w:sz w:val="24"/>
      <w:lang w:val="pt-PT" w:eastAsia="en-GB"/>
    </w:rPr>
  </w:style>
  <w:style w:type="character" w:customStyle="1" w:styleId="JRCLevel-1FronttitleChar">
    <w:name w:val="JRC_Level-1_Front_title Char"/>
    <w:link w:val="JRCLevel-1Fronttitle"/>
    <w:rPr>
      <w:rFonts w:ascii="Verdana" w:eastAsia="Times New Roman" w:hAnsi="Verdana" w:cs="Times New Roman"/>
      <w:b/>
      <w:sz w:val="24"/>
      <w:lang w:val="pt-PT" w:eastAsia="en-GB"/>
    </w:rPr>
  </w:style>
  <w:style w:type="paragraph" w:customStyle="1" w:styleId="JRCLevel-2Backtitle">
    <w:name w:val="JRC_Level-2_Back_title"/>
    <w:basedOn w:val="Normal"/>
    <w:next w:val="JRCText"/>
    <w:link w:val="JRCLevel-2BacktitleChar"/>
    <w:qFormat/>
    <w:pPr>
      <w:keepNext/>
      <w:spacing w:before="120" w:after="120" w:line="240" w:lineRule="auto"/>
      <w:outlineLvl w:val="1"/>
    </w:pPr>
    <w:rPr>
      <w:rFonts w:ascii="Verdana" w:eastAsia="Calibri" w:hAnsi="Verdana" w:cs="Times New Roman"/>
      <w:b/>
      <w:sz w:val="20"/>
    </w:rPr>
  </w:style>
  <w:style w:type="character" w:customStyle="1" w:styleId="JRCLevel-2BacktitleChar">
    <w:name w:val="JRC_Level-2_Back_title Char"/>
    <w:link w:val="JRCLevel-2Backtitle"/>
    <w:rPr>
      <w:rFonts w:ascii="Verdana" w:eastAsia="Calibri" w:hAnsi="Verdana" w:cs="Times New Roman"/>
      <w:b/>
      <w:sz w:val="20"/>
    </w:rPr>
  </w:style>
  <w:style w:type="paragraph" w:customStyle="1" w:styleId="JRCLevel-2Frontsmalltitle">
    <w:name w:val="JRC_Level-2_Front_small_title"/>
    <w:basedOn w:val="Normal"/>
    <w:next w:val="JRCText"/>
    <w:autoRedefine/>
    <w:qFormat/>
    <w:pPr>
      <w:keepNext/>
      <w:spacing w:before="240" w:after="120" w:line="240" w:lineRule="auto"/>
    </w:pPr>
    <w:rPr>
      <w:rFonts w:ascii="Verdana" w:eastAsia="Calibri" w:hAnsi="Verdana" w:cs="Times New Roman"/>
      <w:b/>
      <w:i/>
      <w:sz w:val="20"/>
    </w:rPr>
  </w:style>
  <w:style w:type="paragraph" w:customStyle="1" w:styleId="JRCTabletitle">
    <w:name w:val="JRC_Table_title"/>
    <w:basedOn w:val="Normal"/>
    <w:autoRedefine/>
    <w:qFormat/>
    <w:pPr>
      <w:keepNext/>
      <w:spacing w:before="240" w:after="120" w:line="240" w:lineRule="auto"/>
    </w:pPr>
    <w:rPr>
      <w:rFonts w:ascii="Verdana" w:eastAsia="Calibri" w:hAnsi="Verdana" w:cs="Times New Roman"/>
      <w:color w:val="000000"/>
      <w:sz w:val="18"/>
    </w:rPr>
  </w:style>
  <w:style w:type="paragraph" w:styleId="TableofFigures">
    <w:name w:val="table of figures"/>
    <w:basedOn w:val="Normal"/>
    <w:next w:val="Normal"/>
    <w:uiPriority w:val="99"/>
    <w:unhideWhenUsed/>
    <w:pPr>
      <w:spacing w:before="120" w:after="120" w:line="240" w:lineRule="auto"/>
    </w:pPr>
    <w:rPr>
      <w:rFonts w:ascii="Verdana" w:eastAsia="Calibri" w:hAnsi="Verdana" w:cs="Times New Roman"/>
      <w:sz w:val="20"/>
    </w:rPr>
  </w:style>
  <w:style w:type="paragraph" w:customStyle="1" w:styleId="JRCTextbulletedlist1">
    <w:name w:val="JRC_Text_bulleted_list1"/>
    <w:basedOn w:val="Normal"/>
    <w:qFormat/>
    <w:pPr>
      <w:numPr>
        <w:numId w:val="83"/>
      </w:numPr>
      <w:spacing w:before="120" w:after="120" w:line="240" w:lineRule="auto"/>
      <w:ind w:left="357" w:hanging="357"/>
      <w:jc w:val="both"/>
    </w:pPr>
    <w:rPr>
      <w:rFonts w:ascii="Verdana" w:eastAsia="Times New Roman" w:hAnsi="Verdana" w:cs="Times New Roman"/>
      <w:sz w:val="20"/>
      <w:lang w:eastAsia="en-GB"/>
    </w:rPr>
  </w:style>
  <w:style w:type="paragraph" w:customStyle="1" w:styleId="JRCTextbulletedlist2">
    <w:name w:val="JRC_Text_bulleted_list2"/>
    <w:basedOn w:val="Normal"/>
    <w:autoRedefine/>
    <w:qFormat/>
    <w:pPr>
      <w:numPr>
        <w:ilvl w:val="1"/>
        <w:numId w:val="84"/>
      </w:numPr>
      <w:spacing w:before="120" w:after="120" w:line="240" w:lineRule="auto"/>
      <w:ind w:left="714" w:hanging="357"/>
      <w:jc w:val="both"/>
    </w:pPr>
    <w:rPr>
      <w:rFonts w:ascii="Verdana" w:eastAsia="Times New Roman" w:hAnsi="Verdana" w:cs="Times New Roman"/>
      <w:sz w:val="20"/>
      <w:lang w:eastAsia="en-GB"/>
    </w:rPr>
  </w:style>
  <w:style w:type="paragraph" w:customStyle="1" w:styleId="JRCLevel-1Backtitle">
    <w:name w:val="JRC_Level-1_Back_title"/>
    <w:basedOn w:val="Normal"/>
    <w:next w:val="JRCText"/>
    <w:qFormat/>
    <w:pPr>
      <w:keepNext/>
      <w:pageBreakBefore/>
      <w:spacing w:after="120" w:line="240" w:lineRule="auto"/>
      <w:outlineLvl w:val="0"/>
    </w:pPr>
    <w:rPr>
      <w:rFonts w:ascii="Verdana" w:eastAsia="Times New Roman" w:hAnsi="Verdana" w:cs="Times New Roman"/>
      <w:b/>
      <w:sz w:val="24"/>
      <w:lang w:eastAsia="en-GB"/>
    </w:rPr>
  </w:style>
  <w:style w:type="paragraph" w:customStyle="1" w:styleId="JRCBoxtitle">
    <w:name w:val="JRC_Box_title"/>
    <w:basedOn w:val="Normal"/>
    <w:qFormat/>
    <w:pPr>
      <w:keepNext/>
      <w:pBdr>
        <w:top w:val="single" w:sz="4" w:space="1" w:color="auto"/>
        <w:left w:val="single" w:sz="4" w:space="4" w:color="auto"/>
        <w:bottom w:val="single" w:sz="4" w:space="1" w:color="auto"/>
        <w:right w:val="single" w:sz="4" w:space="4" w:color="auto"/>
      </w:pBdr>
      <w:shd w:val="clear" w:color="auto" w:fill="D9D9D9" w:themeFill="background1" w:themeFillShade="D9"/>
      <w:spacing w:before="240" w:after="0" w:line="240" w:lineRule="auto"/>
      <w:jc w:val="both"/>
    </w:pPr>
    <w:rPr>
      <w:rFonts w:ascii="Verdana" w:eastAsia="Times New Roman" w:hAnsi="Verdana" w:cs="Times New Roman"/>
      <w:sz w:val="18"/>
      <w:lang w:eastAsia="en-GB"/>
    </w:rPr>
  </w:style>
  <w:style w:type="paragraph" w:customStyle="1" w:styleId="JRCBoxtext">
    <w:name w:val="JRC_Box_text"/>
    <w:basedOn w:val="Normal"/>
    <w:qFormat/>
    <w:pPr>
      <w:keepLines/>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jc w:val="both"/>
    </w:pPr>
    <w:rPr>
      <w:rFonts w:ascii="Verdana" w:eastAsia="Times New Roman" w:hAnsi="Verdana" w:cs="Times New Roman"/>
      <w:sz w:val="20"/>
      <w:lang w:eastAsia="en-GB"/>
    </w:rPr>
  </w:style>
  <w:style w:type="paragraph" w:customStyle="1" w:styleId="JRCBoxbulletlist">
    <w:name w:val="JRC_Box_bullet_list"/>
    <w:basedOn w:val="Normal"/>
    <w:qFormat/>
    <w:pPr>
      <w:numPr>
        <w:numId w:val="85"/>
      </w:numPr>
      <w:pBdr>
        <w:top w:val="single" w:sz="4" w:space="1" w:color="auto"/>
        <w:left w:val="single" w:sz="4" w:space="4" w:color="auto"/>
        <w:bottom w:val="single" w:sz="4" w:space="1" w:color="auto"/>
        <w:right w:val="single" w:sz="4" w:space="4" w:color="auto"/>
      </w:pBdr>
      <w:shd w:val="clear" w:color="auto" w:fill="D9D9D9" w:themeFill="background1" w:themeFillShade="D9"/>
      <w:spacing w:before="120" w:after="120" w:line="240" w:lineRule="auto"/>
      <w:ind w:left="357" w:hanging="357"/>
      <w:jc w:val="both"/>
    </w:pPr>
    <w:rPr>
      <w:rFonts w:ascii="Verdana" w:eastAsia="Times New Roman" w:hAnsi="Verdana" w:cs="Times New Roman"/>
      <w:sz w:val="20"/>
      <w:lang w:eastAsia="en-GB"/>
    </w:rPr>
  </w:style>
  <w:style w:type="paragraph" w:customStyle="1" w:styleId="JRCTextnumberedlist1">
    <w:name w:val="JRC_Text_numbered_list1"/>
    <w:basedOn w:val="Normal"/>
    <w:autoRedefine/>
    <w:qFormat/>
    <w:pPr>
      <w:numPr>
        <w:numId w:val="86"/>
      </w:numPr>
      <w:spacing w:before="120" w:after="120" w:line="240" w:lineRule="auto"/>
      <w:ind w:left="357" w:hanging="357"/>
      <w:jc w:val="both"/>
    </w:pPr>
    <w:rPr>
      <w:rFonts w:ascii="Verdana" w:eastAsia="Times New Roman" w:hAnsi="Verdana" w:cs="Times New Roman"/>
      <w:sz w:val="20"/>
      <w:lang w:eastAsia="en-GB"/>
    </w:rPr>
  </w:style>
  <w:style w:type="paragraph" w:customStyle="1" w:styleId="JRCCoverauthor">
    <w:name w:val="JRC_Cover_author"/>
    <w:basedOn w:val="Normal"/>
    <w:qFormat/>
    <w:pPr>
      <w:spacing w:before="120" w:after="120" w:line="240" w:lineRule="auto"/>
    </w:pPr>
    <w:rPr>
      <w:rFonts w:ascii="Verdana" w:eastAsia="Times New Roman" w:hAnsi="Verdana" w:cs="Times New Roman"/>
      <w:sz w:val="20"/>
      <w:lang w:eastAsia="en-GB"/>
    </w:rPr>
  </w:style>
  <w:style w:type="paragraph" w:customStyle="1" w:styleId="JRCCoveryear">
    <w:name w:val="JRC_Cover_year"/>
    <w:basedOn w:val="Normal"/>
    <w:pPr>
      <w:spacing w:after="0" w:line="240" w:lineRule="auto"/>
    </w:pPr>
    <w:rPr>
      <w:rFonts w:ascii="Verdana" w:eastAsia="Times New Roman" w:hAnsi="Verdana" w:cs="Times New Roman"/>
      <w:sz w:val="20"/>
      <w:lang w:eastAsia="en-GB"/>
    </w:rPr>
  </w:style>
  <w:style w:type="paragraph" w:customStyle="1" w:styleId="JRCCoverclass">
    <w:name w:val="JRC_Cover_class"/>
    <w:basedOn w:val="Normal"/>
    <w:next w:val="JRCCoveryear"/>
    <w:pPr>
      <w:spacing w:before="120" w:after="120" w:line="240" w:lineRule="auto"/>
      <w:jc w:val="both"/>
    </w:pPr>
    <w:rPr>
      <w:rFonts w:ascii="Verdana" w:eastAsia="Times New Roman" w:hAnsi="Verdana" w:cs="Times New Roman"/>
      <w:color w:val="FF0000"/>
      <w:sz w:val="20"/>
      <w:lang w:eastAsia="en-GB"/>
    </w:rPr>
  </w:style>
  <w:style w:type="paragraph" w:customStyle="1" w:styleId="JRCCoverEUR">
    <w:name w:val="JRC_Cover_EUR"/>
    <w:basedOn w:val="Normal"/>
    <w:pPr>
      <w:spacing w:after="0" w:line="240" w:lineRule="auto"/>
      <w:jc w:val="right"/>
    </w:pPr>
    <w:rPr>
      <w:rFonts w:ascii="Verdana" w:eastAsia="Times New Roman" w:hAnsi="Verdana" w:cs="Times New Roman"/>
      <w:sz w:val="18"/>
      <w:lang w:eastAsia="en-GB"/>
    </w:rPr>
  </w:style>
  <w:style w:type="paragraph" w:customStyle="1" w:styleId="JRCCovertext">
    <w:name w:val="JRC_Cover_text"/>
    <w:basedOn w:val="Normal"/>
    <w:qFormat/>
    <w:pPr>
      <w:widowControl w:val="0"/>
      <w:spacing w:after="0" w:line="200" w:lineRule="exact"/>
    </w:pPr>
    <w:rPr>
      <w:rFonts w:ascii="Verdana" w:eastAsia="Times New Roman" w:hAnsi="Verdana" w:cs="Times New Roman"/>
      <w:sz w:val="16"/>
      <w:szCs w:val="14"/>
      <w:lang w:eastAsia="en-GB"/>
    </w:rPr>
  </w:style>
  <w:style w:type="paragraph" w:customStyle="1" w:styleId="JRCTablesource">
    <w:name w:val="JRC_Table_source"/>
    <w:basedOn w:val="Normal"/>
    <w:next w:val="JRCText"/>
    <w:qFormat/>
    <w:pPr>
      <w:spacing w:after="120" w:line="240" w:lineRule="auto"/>
      <w:jc w:val="both"/>
    </w:pPr>
    <w:rPr>
      <w:rFonts w:ascii="Verdana" w:eastAsia="Times New Roman" w:hAnsi="Verdana" w:cs="Times New Roman"/>
      <w:sz w:val="16"/>
      <w:lang w:eastAsia="en-GB"/>
    </w:rPr>
  </w:style>
  <w:style w:type="paragraph" w:customStyle="1" w:styleId="JRCFiguresource">
    <w:name w:val="JRC_Figure_source"/>
    <w:basedOn w:val="Normal"/>
    <w:next w:val="JRCText"/>
    <w:qFormat/>
    <w:pPr>
      <w:spacing w:after="360" w:line="240" w:lineRule="auto"/>
      <w:jc w:val="center"/>
    </w:pPr>
    <w:rPr>
      <w:rFonts w:ascii="Verdana" w:eastAsia="Times New Roman" w:hAnsi="Verdana" w:cs="Times New Roman"/>
      <w:sz w:val="16"/>
      <w:lang w:eastAsia="en-GB"/>
    </w:rPr>
  </w:style>
  <w:style w:type="paragraph" w:customStyle="1" w:styleId="JRCTablenote">
    <w:name w:val="JRC_Table_note"/>
    <w:basedOn w:val="Normal"/>
    <w:qFormat/>
    <w:pPr>
      <w:spacing w:after="120" w:line="240" w:lineRule="auto"/>
      <w:ind w:left="357" w:hanging="357"/>
      <w:contextualSpacing/>
      <w:jc w:val="both"/>
    </w:pPr>
    <w:rPr>
      <w:rFonts w:ascii="Verdana" w:eastAsia="Times New Roman" w:hAnsi="Verdana" w:cs="Times New Roman"/>
      <w:sz w:val="16"/>
      <w:lang w:eastAsia="en-GB"/>
    </w:rPr>
  </w:style>
  <w:style w:type="paragraph" w:customStyle="1" w:styleId="JRCTextnumberedlist2">
    <w:name w:val="JRC_Text_numbered_list2"/>
    <w:basedOn w:val="Normal"/>
    <w:qFormat/>
    <w:pPr>
      <w:numPr>
        <w:ilvl w:val="1"/>
        <w:numId w:val="86"/>
      </w:numPr>
      <w:spacing w:before="120" w:after="120" w:line="240" w:lineRule="auto"/>
      <w:ind w:left="714" w:hanging="357"/>
      <w:jc w:val="both"/>
    </w:pPr>
    <w:rPr>
      <w:rFonts w:ascii="Verdana" w:eastAsia="Times New Roman" w:hAnsi="Verdana" w:cs="Times New Roman"/>
      <w:sz w:val="20"/>
      <w:lang w:eastAsia="en-GB"/>
    </w:rPr>
  </w:style>
  <w:style w:type="character" w:styleId="PlaceholderText">
    <w:name w:val="Placeholder Text"/>
    <w:basedOn w:val="DefaultParagraphFont"/>
    <w:uiPriority w:val="99"/>
    <w:semiHidden/>
    <w:rPr>
      <w:color w:val="808080"/>
    </w:rPr>
  </w:style>
  <w:style w:type="character" w:styleId="Emphasis">
    <w:name w:val="Emphasis"/>
    <w:aliases w:val="E Italic"/>
    <w:basedOn w:val="DefaultParagraphFont"/>
    <w:uiPriority w:val="20"/>
    <w:qFormat/>
    <w:rPr>
      <w:i/>
      <w:iCs/>
    </w:rPr>
  </w:style>
  <w:style w:type="character" w:customStyle="1" w:styleId="apple-converted-space">
    <w:name w:val="apple-converted-space"/>
    <w:basedOn w:val="DefaultParagraphFont"/>
  </w:style>
  <w:style w:type="paragraph" w:customStyle="1" w:styleId="Cuerpo">
    <w:name w:val="Cuerpo"/>
    <w:pPr>
      <w:pBdr>
        <w:top w:val="nil"/>
        <w:left w:val="nil"/>
        <w:bottom w:val="nil"/>
        <w:right w:val="nil"/>
        <w:between w:val="nil"/>
        <w:bar w:val="nil"/>
      </w:pBdr>
      <w:spacing w:after="160" w:line="259" w:lineRule="auto"/>
    </w:pPr>
    <w:rPr>
      <w:rFonts w:ascii="Calibri" w:eastAsia="Calibri" w:hAnsi="Calibri" w:cs="Calibri"/>
      <w:color w:val="000000"/>
      <w:u w:color="000000"/>
      <w:bdr w:val="nil"/>
      <w:lang w:val="en-US" w:eastAsia="en-GB"/>
    </w:rPr>
  </w:style>
  <w:style w:type="paragraph" w:customStyle="1" w:styleId="Encabezamiento2">
    <w:name w:val="Encabezamiento 2"/>
    <w:next w:val="Cuerpo"/>
    <w:pPr>
      <w:keepNext/>
      <w:keepLines/>
      <w:pBdr>
        <w:top w:val="nil"/>
        <w:left w:val="nil"/>
        <w:bottom w:val="nil"/>
        <w:right w:val="nil"/>
        <w:between w:val="nil"/>
        <w:bar w:val="nil"/>
      </w:pBdr>
      <w:spacing w:before="40" w:after="0" w:line="259" w:lineRule="auto"/>
      <w:outlineLvl w:val="1"/>
    </w:pPr>
    <w:rPr>
      <w:rFonts w:ascii="Calibri Light" w:eastAsia="Calibri Light" w:hAnsi="Calibri Light" w:cs="Calibri Light"/>
      <w:color w:val="2E74B5"/>
      <w:sz w:val="26"/>
      <w:szCs w:val="26"/>
      <w:u w:color="2E74B5"/>
      <w:bdr w:val="nil"/>
      <w:lang w:val="en-US" w:eastAsia="en-GB"/>
    </w:rPr>
  </w:style>
  <w:style w:type="numbering" w:customStyle="1" w:styleId="Estiloimportado1">
    <w:name w:val="Estilo importado 1"/>
    <w:pPr>
      <w:numPr>
        <w:numId w:val="87"/>
      </w:numPr>
    </w:pPr>
  </w:style>
  <w:style w:type="paragraph" w:customStyle="1" w:styleId="AddressTL">
    <w:name w:val="AddressTL"/>
    <w:basedOn w:val="Normal"/>
    <w:next w:val="Normal"/>
    <w:pPr>
      <w:spacing w:after="720" w:line="240" w:lineRule="auto"/>
    </w:pPr>
    <w:rPr>
      <w:rFonts w:ascii="Times New Roman" w:eastAsia="Times New Roman" w:hAnsi="Times New Roman" w:cs="Times New Roman"/>
      <w:sz w:val="24"/>
      <w:szCs w:val="20"/>
    </w:rPr>
  </w:style>
  <w:style w:type="paragraph" w:customStyle="1" w:styleId="AddressTR">
    <w:name w:val="AddressTR"/>
    <w:basedOn w:val="Normal"/>
    <w:next w:val="Normal"/>
    <w:pPr>
      <w:spacing w:after="720" w:line="240" w:lineRule="auto"/>
      <w:ind w:left="5103"/>
    </w:pPr>
    <w:rPr>
      <w:rFonts w:ascii="Times New Roman" w:eastAsia="Times New Roman" w:hAnsi="Times New Roman" w:cs="Times New Roman"/>
      <w:sz w:val="24"/>
      <w:szCs w:val="20"/>
    </w:rPr>
  </w:style>
  <w:style w:type="paragraph" w:styleId="BlockText">
    <w:name w:val="Block Text"/>
    <w:basedOn w:val="Normal"/>
    <w:pPr>
      <w:spacing w:after="120" w:line="240" w:lineRule="auto"/>
      <w:ind w:left="1440" w:right="1440"/>
      <w:jc w:val="both"/>
    </w:pPr>
    <w:rPr>
      <w:rFonts w:ascii="Times New Roman" w:eastAsia="Times New Roman" w:hAnsi="Times New Roman" w:cs="Times New Roman"/>
      <w:sz w:val="24"/>
      <w:szCs w:val="20"/>
    </w:rPr>
  </w:style>
  <w:style w:type="paragraph" w:styleId="BodyText2">
    <w:name w:val="Body Text 2"/>
    <w:basedOn w:val="Normal"/>
    <w:link w:val="BodyText2Char"/>
    <w:pPr>
      <w:spacing w:after="120" w:line="480" w:lineRule="auto"/>
      <w:jc w:val="both"/>
    </w:pPr>
    <w:rPr>
      <w:rFonts w:ascii="Times New Roman" w:eastAsia="Times New Roman" w:hAnsi="Times New Roman" w:cs="Times New Roman"/>
      <w:sz w:val="24"/>
      <w:szCs w:val="20"/>
    </w:rPr>
  </w:style>
  <w:style w:type="character" w:customStyle="1" w:styleId="BodyText2Char">
    <w:name w:val="Body Text 2 Char"/>
    <w:basedOn w:val="DefaultParagraphFont"/>
    <w:link w:val="BodyText2"/>
    <w:rPr>
      <w:rFonts w:ascii="Times New Roman" w:eastAsia="Times New Roman" w:hAnsi="Times New Roman" w:cs="Times New Roman"/>
      <w:sz w:val="24"/>
      <w:szCs w:val="20"/>
    </w:rPr>
  </w:style>
  <w:style w:type="paragraph" w:styleId="BodyText3">
    <w:name w:val="Body Text 3"/>
    <w:basedOn w:val="Normal"/>
    <w:link w:val="BodyText3Char"/>
    <w:pPr>
      <w:spacing w:after="120" w:line="240" w:lineRule="auto"/>
      <w:jc w:val="both"/>
    </w:pPr>
    <w:rPr>
      <w:rFonts w:ascii="Times New Roman" w:eastAsia="Times New Roman" w:hAnsi="Times New Roman" w:cs="Times New Roman"/>
      <w:sz w:val="16"/>
      <w:szCs w:val="20"/>
    </w:rPr>
  </w:style>
  <w:style w:type="character" w:customStyle="1" w:styleId="BodyText3Char">
    <w:name w:val="Body Text 3 Char"/>
    <w:basedOn w:val="DefaultParagraphFont"/>
    <w:link w:val="BodyText3"/>
    <w:rPr>
      <w:rFonts w:ascii="Times New Roman" w:eastAsia="Times New Roman" w:hAnsi="Times New Roman" w:cs="Times New Roman"/>
      <w:sz w:val="16"/>
      <w:szCs w:val="20"/>
    </w:rPr>
  </w:style>
  <w:style w:type="paragraph" w:styleId="BodyTextFirstIndent">
    <w:name w:val="Body Text First Indent"/>
    <w:basedOn w:val="BodyText"/>
    <w:link w:val="BodyTextFirstIndentChar"/>
    <w:pPr>
      <w:suppressAutoHyphens w:val="0"/>
      <w:ind w:firstLine="210"/>
    </w:pPr>
    <w:rPr>
      <w:szCs w:val="20"/>
      <w:lang w:eastAsia="en-US"/>
    </w:rPr>
  </w:style>
  <w:style w:type="character" w:customStyle="1" w:styleId="BodyTextFirstIndentChar">
    <w:name w:val="Body Text First Indent Char"/>
    <w:basedOn w:val="BodyTextChar"/>
    <w:link w:val="BodyTextFirstIndent"/>
    <w:rPr>
      <w:rFonts w:ascii="Times New Roman" w:eastAsia="Times New Roman" w:hAnsi="Times New Roman" w:cs="Times New Roman"/>
      <w:sz w:val="24"/>
      <w:szCs w:val="20"/>
      <w:lang w:eastAsia="ar-SA"/>
    </w:rPr>
  </w:style>
  <w:style w:type="paragraph" w:styleId="BodyTextIndent">
    <w:name w:val="Body Text Indent"/>
    <w:basedOn w:val="Normal"/>
    <w:link w:val="BodyTextIndentChar"/>
    <w:pPr>
      <w:spacing w:after="120" w:line="240" w:lineRule="auto"/>
      <w:ind w:left="283"/>
      <w:jc w:val="both"/>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Pr>
      <w:rFonts w:ascii="Times New Roman" w:eastAsia="Times New Roman" w:hAnsi="Times New Roman" w:cs="Times New Roman"/>
      <w:sz w:val="24"/>
      <w:szCs w:val="20"/>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rFonts w:ascii="Times New Roman" w:eastAsia="Times New Roman" w:hAnsi="Times New Roman" w:cs="Times New Roman"/>
      <w:sz w:val="24"/>
      <w:szCs w:val="20"/>
    </w:rPr>
  </w:style>
  <w:style w:type="paragraph" w:styleId="BodyTextIndent2">
    <w:name w:val="Body Text Indent 2"/>
    <w:basedOn w:val="Normal"/>
    <w:link w:val="BodyTextIndent2Char"/>
    <w:pPr>
      <w:spacing w:after="120" w:line="480" w:lineRule="auto"/>
      <w:ind w:left="283"/>
      <w:jc w:val="both"/>
    </w:pPr>
    <w:rPr>
      <w:rFonts w:ascii="Times New Roman" w:eastAsia="Times New Roman" w:hAnsi="Times New Roman" w:cs="Times New Roman"/>
      <w:sz w:val="24"/>
      <w:szCs w:val="20"/>
    </w:rPr>
  </w:style>
  <w:style w:type="character" w:customStyle="1" w:styleId="BodyTextIndent2Char">
    <w:name w:val="Body Text Indent 2 Char"/>
    <w:basedOn w:val="DefaultParagraphFont"/>
    <w:link w:val="BodyTextIndent2"/>
    <w:rPr>
      <w:rFonts w:ascii="Times New Roman" w:eastAsia="Times New Roman" w:hAnsi="Times New Roman" w:cs="Times New Roman"/>
      <w:sz w:val="24"/>
      <w:szCs w:val="20"/>
    </w:rPr>
  </w:style>
  <w:style w:type="paragraph" w:styleId="BodyTextIndent3">
    <w:name w:val="Body Text Indent 3"/>
    <w:basedOn w:val="Normal"/>
    <w:link w:val="BodyTextIndent3Char"/>
    <w:pPr>
      <w:spacing w:after="120" w:line="240" w:lineRule="auto"/>
      <w:ind w:left="283"/>
      <w:jc w:val="both"/>
    </w:pPr>
    <w:rPr>
      <w:rFonts w:ascii="Times New Roman" w:eastAsia="Times New Roman" w:hAnsi="Times New Roman" w:cs="Times New Roman"/>
      <w:sz w:val="16"/>
      <w:szCs w:val="20"/>
    </w:rPr>
  </w:style>
  <w:style w:type="character" w:customStyle="1" w:styleId="BodyTextIndent3Char">
    <w:name w:val="Body Text Indent 3 Char"/>
    <w:basedOn w:val="DefaultParagraphFont"/>
    <w:link w:val="BodyTextIndent3"/>
    <w:rPr>
      <w:rFonts w:ascii="Times New Roman" w:eastAsia="Times New Roman" w:hAnsi="Times New Roman" w:cs="Times New Roman"/>
      <w:sz w:val="16"/>
      <w:szCs w:val="20"/>
    </w:rPr>
  </w:style>
  <w:style w:type="paragraph" w:styleId="Closing">
    <w:name w:val="Closing"/>
    <w:basedOn w:val="Normal"/>
    <w:next w:val="Signature"/>
    <w:link w:val="ClosingChar"/>
    <w:pPr>
      <w:tabs>
        <w:tab w:val="left" w:pos="5103"/>
      </w:tabs>
      <w:spacing w:before="240" w:after="240" w:line="240" w:lineRule="auto"/>
      <w:ind w:left="5103"/>
    </w:pPr>
    <w:rPr>
      <w:rFonts w:ascii="Times New Roman" w:eastAsia="Times New Roman" w:hAnsi="Times New Roman" w:cs="Times New Roman"/>
      <w:sz w:val="24"/>
      <w:szCs w:val="20"/>
    </w:rPr>
  </w:style>
  <w:style w:type="character" w:customStyle="1" w:styleId="ClosingChar">
    <w:name w:val="Closing Char"/>
    <w:basedOn w:val="DefaultParagraphFont"/>
    <w:link w:val="Closing"/>
    <w:rPr>
      <w:rFonts w:ascii="Times New Roman" w:eastAsia="Times New Roman" w:hAnsi="Times New Roman" w:cs="Times New Roman"/>
      <w:sz w:val="24"/>
      <w:szCs w:val="20"/>
    </w:rPr>
  </w:style>
  <w:style w:type="paragraph" w:styleId="Signature">
    <w:name w:val="Signature"/>
    <w:basedOn w:val="Normal"/>
    <w:next w:val="Contact"/>
    <w:link w:val="SignatureChar"/>
    <w:uiPriority w:val="99"/>
    <w:pPr>
      <w:tabs>
        <w:tab w:val="left" w:pos="5103"/>
      </w:tabs>
      <w:spacing w:before="1200" w:after="0" w:line="240" w:lineRule="auto"/>
      <w:ind w:left="5103"/>
      <w:jc w:val="center"/>
    </w:pPr>
    <w:rPr>
      <w:rFonts w:ascii="Times New Roman" w:eastAsia="Times New Roman" w:hAnsi="Times New Roman" w:cs="Times New Roman"/>
      <w:sz w:val="24"/>
      <w:szCs w:val="20"/>
    </w:rPr>
  </w:style>
  <w:style w:type="character" w:customStyle="1" w:styleId="SignatureChar">
    <w:name w:val="Signature Char"/>
    <w:basedOn w:val="DefaultParagraphFont"/>
    <w:link w:val="Signature"/>
    <w:uiPriority w:val="99"/>
    <w:rPr>
      <w:rFonts w:ascii="Times New Roman" w:eastAsia="Times New Roman" w:hAnsi="Times New Roman" w:cs="Times New Roman"/>
      <w:sz w:val="24"/>
      <w:szCs w:val="20"/>
    </w:rPr>
  </w:style>
  <w:style w:type="paragraph" w:customStyle="1" w:styleId="Enclosures">
    <w:name w:val="Enclosures"/>
    <w:basedOn w:val="Normal"/>
    <w:next w:val="Participants"/>
    <w:pPr>
      <w:keepNext/>
      <w:keepLines/>
      <w:tabs>
        <w:tab w:val="left" w:pos="5670"/>
      </w:tabs>
      <w:spacing w:before="480" w:after="0" w:line="240" w:lineRule="auto"/>
      <w:ind w:left="1985" w:hanging="1985"/>
    </w:pPr>
    <w:rPr>
      <w:rFonts w:ascii="Times New Roman" w:eastAsia="Times New Roman" w:hAnsi="Times New Roman" w:cs="Times New Roman"/>
      <w:sz w:val="24"/>
      <w:szCs w:val="20"/>
    </w:rPr>
  </w:style>
  <w:style w:type="paragraph" w:customStyle="1" w:styleId="Participants">
    <w:name w:val="Participants"/>
    <w:basedOn w:val="Normal"/>
    <w:next w:val="Copies"/>
    <w:pPr>
      <w:tabs>
        <w:tab w:val="left" w:pos="2552"/>
        <w:tab w:val="left" w:pos="2835"/>
        <w:tab w:val="left" w:pos="5670"/>
        <w:tab w:val="left" w:pos="6379"/>
        <w:tab w:val="left" w:pos="6804"/>
      </w:tabs>
      <w:spacing w:before="480" w:after="0" w:line="240" w:lineRule="auto"/>
      <w:ind w:left="1985" w:hanging="1985"/>
    </w:pPr>
    <w:rPr>
      <w:rFonts w:ascii="Times New Roman" w:eastAsia="Times New Roman" w:hAnsi="Times New Roman" w:cs="Times New Roman"/>
      <w:sz w:val="24"/>
      <w:szCs w:val="20"/>
    </w:rPr>
  </w:style>
  <w:style w:type="paragraph" w:customStyle="1" w:styleId="Copies">
    <w:name w:val="Copies"/>
    <w:basedOn w:val="Normal"/>
    <w:next w:val="Normal"/>
    <w:pPr>
      <w:tabs>
        <w:tab w:val="left" w:pos="2552"/>
        <w:tab w:val="left" w:pos="2835"/>
        <w:tab w:val="left" w:pos="5670"/>
        <w:tab w:val="left" w:pos="6379"/>
        <w:tab w:val="left" w:pos="6804"/>
      </w:tabs>
      <w:spacing w:before="480" w:after="0" w:line="240" w:lineRule="auto"/>
      <w:ind w:left="1985" w:hanging="1985"/>
    </w:pPr>
    <w:rPr>
      <w:rFonts w:ascii="Times New Roman" w:eastAsia="Times New Roman" w:hAnsi="Times New Roman" w:cs="Times New Roman"/>
      <w:sz w:val="24"/>
      <w:szCs w:val="20"/>
    </w:rPr>
  </w:style>
  <w:style w:type="paragraph" w:styleId="Date">
    <w:name w:val="Date"/>
    <w:basedOn w:val="Normal"/>
    <w:next w:val="References"/>
    <w:link w:val="DateChar"/>
    <w:uiPriority w:val="99"/>
    <w:pPr>
      <w:spacing w:after="0" w:line="240" w:lineRule="auto"/>
      <w:ind w:left="5103" w:right="-567"/>
    </w:pPr>
    <w:rPr>
      <w:rFonts w:ascii="Times New Roman" w:eastAsia="Times New Roman" w:hAnsi="Times New Roman" w:cs="Times New Roman"/>
      <w:sz w:val="24"/>
      <w:szCs w:val="20"/>
    </w:rPr>
  </w:style>
  <w:style w:type="character" w:customStyle="1" w:styleId="DateChar">
    <w:name w:val="Date Char"/>
    <w:basedOn w:val="DefaultParagraphFont"/>
    <w:link w:val="Date"/>
    <w:uiPriority w:val="99"/>
    <w:rPr>
      <w:rFonts w:ascii="Times New Roman" w:eastAsia="Times New Roman" w:hAnsi="Times New Roman" w:cs="Times New Roman"/>
      <w:sz w:val="24"/>
      <w:szCs w:val="20"/>
    </w:rPr>
  </w:style>
  <w:style w:type="paragraph" w:customStyle="1" w:styleId="References">
    <w:name w:val="References"/>
    <w:basedOn w:val="Normal"/>
    <w:next w:val="AddressTR"/>
    <w:uiPriority w:val="99"/>
    <w:pPr>
      <w:spacing w:after="240" w:line="240" w:lineRule="auto"/>
      <w:ind w:left="5103"/>
    </w:pPr>
    <w:rPr>
      <w:rFonts w:ascii="Times New Roman" w:eastAsia="Times New Roman" w:hAnsi="Times New Roman" w:cs="Times New Roman"/>
      <w:sz w:val="20"/>
      <w:szCs w:val="20"/>
    </w:rPr>
  </w:style>
  <w:style w:type="paragraph" w:styleId="DocumentMap">
    <w:name w:val="Document Map"/>
    <w:basedOn w:val="Normal"/>
    <w:link w:val="DocumentMapChar"/>
    <w:semiHidden/>
    <w:pPr>
      <w:shd w:val="clear" w:color="auto" w:fill="000080"/>
      <w:spacing w:after="240" w:line="240" w:lineRule="auto"/>
      <w:jc w:val="both"/>
    </w:pPr>
    <w:rPr>
      <w:rFonts w:ascii="Tahoma" w:eastAsia="Times New Roman" w:hAnsi="Tahoma" w:cs="Times New Roman"/>
      <w:sz w:val="24"/>
      <w:szCs w:val="20"/>
    </w:rPr>
  </w:style>
  <w:style w:type="character" w:customStyle="1" w:styleId="DocumentMapChar">
    <w:name w:val="Document Map Char"/>
    <w:basedOn w:val="DefaultParagraphFont"/>
    <w:link w:val="DocumentMap"/>
    <w:semiHidden/>
    <w:rPr>
      <w:rFonts w:ascii="Tahoma" w:eastAsia="Times New Roman" w:hAnsi="Tahoma" w:cs="Times New Roman"/>
      <w:sz w:val="24"/>
      <w:szCs w:val="20"/>
      <w:shd w:val="clear" w:color="auto" w:fill="000080"/>
    </w:rPr>
  </w:style>
  <w:style w:type="paragraph" w:customStyle="1" w:styleId="DoubSign">
    <w:name w:val="DoubSign"/>
    <w:basedOn w:val="Normal"/>
    <w:next w:val="Contact"/>
    <w:pPr>
      <w:tabs>
        <w:tab w:val="left" w:pos="5103"/>
      </w:tabs>
      <w:spacing w:before="1200" w:after="0" w:line="240" w:lineRule="auto"/>
    </w:pPr>
    <w:rPr>
      <w:rFonts w:ascii="Times New Roman" w:eastAsia="Times New Roman" w:hAnsi="Times New Roman" w:cs="Times New Roman"/>
      <w:sz w:val="24"/>
      <w:szCs w:val="20"/>
    </w:rPr>
  </w:style>
  <w:style w:type="paragraph" w:styleId="EndnoteText">
    <w:name w:val="endnote text"/>
    <w:basedOn w:val="Normal"/>
    <w:link w:val="EndnoteTextChar"/>
    <w:uiPriority w:val="99"/>
    <w:qFormat/>
    <w:pPr>
      <w:spacing w:after="240" w:line="240" w:lineRule="auto"/>
      <w:jc w:val="both"/>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rPr>
      <w:rFonts w:ascii="Times New Roman" w:eastAsia="Times New Roman" w:hAnsi="Times New Roman" w:cs="Times New Roman"/>
      <w:sz w:val="20"/>
      <w:szCs w:val="20"/>
    </w:rPr>
  </w:style>
  <w:style w:type="paragraph" w:styleId="EnvelopeAddress">
    <w:name w:val="envelope address"/>
    <w:basedOn w:val="Normal"/>
    <w:pPr>
      <w:framePr w:w="7920" w:h="1980" w:hRule="exact" w:hSpace="180" w:wrap="auto" w:hAnchor="page" w:xAlign="center" w:yAlign="bottom"/>
      <w:spacing w:after="0" w:line="240" w:lineRule="auto"/>
      <w:jc w:val="both"/>
    </w:pPr>
    <w:rPr>
      <w:rFonts w:ascii="Times New Roman" w:eastAsia="Times New Roman" w:hAnsi="Times New Roman" w:cs="Times New Roman"/>
      <w:sz w:val="24"/>
      <w:szCs w:val="20"/>
    </w:rPr>
  </w:style>
  <w:style w:type="paragraph" w:styleId="EnvelopeReturn">
    <w:name w:val="envelope return"/>
    <w:basedOn w:val="Normal"/>
    <w:pPr>
      <w:spacing w:after="0" w:line="240" w:lineRule="auto"/>
      <w:jc w:val="both"/>
    </w:pPr>
    <w:rPr>
      <w:rFonts w:ascii="Times New Roman" w:eastAsia="Times New Roman" w:hAnsi="Times New Roman" w:cs="Times New Roman"/>
      <w:sz w:val="20"/>
      <w:szCs w:val="20"/>
    </w:rPr>
  </w:style>
  <w:style w:type="paragraph" w:styleId="Index1">
    <w:name w:val="index 1"/>
    <w:basedOn w:val="Normal"/>
    <w:next w:val="Normal"/>
    <w:autoRedefine/>
    <w:semiHidden/>
    <w:pPr>
      <w:spacing w:after="240" w:line="240" w:lineRule="auto"/>
      <w:ind w:left="240" w:hanging="240"/>
      <w:jc w:val="both"/>
    </w:pPr>
    <w:rPr>
      <w:rFonts w:ascii="Times New Roman" w:eastAsia="Times New Roman" w:hAnsi="Times New Roman" w:cs="Times New Roman"/>
      <w:sz w:val="24"/>
      <w:szCs w:val="20"/>
    </w:rPr>
  </w:style>
  <w:style w:type="paragraph" w:styleId="Index2">
    <w:name w:val="index 2"/>
    <w:basedOn w:val="Normal"/>
    <w:next w:val="Normal"/>
    <w:autoRedefine/>
    <w:semiHidden/>
    <w:pPr>
      <w:spacing w:after="240" w:line="240" w:lineRule="auto"/>
      <w:ind w:left="480" w:hanging="240"/>
      <w:jc w:val="both"/>
    </w:pPr>
    <w:rPr>
      <w:rFonts w:ascii="Times New Roman" w:eastAsia="Times New Roman" w:hAnsi="Times New Roman" w:cs="Times New Roman"/>
      <w:sz w:val="24"/>
      <w:szCs w:val="20"/>
    </w:rPr>
  </w:style>
  <w:style w:type="paragraph" w:styleId="Index3">
    <w:name w:val="index 3"/>
    <w:basedOn w:val="Normal"/>
    <w:next w:val="Normal"/>
    <w:autoRedefine/>
    <w:semiHidden/>
    <w:pPr>
      <w:spacing w:after="240" w:line="240" w:lineRule="auto"/>
      <w:ind w:left="720" w:hanging="240"/>
      <w:jc w:val="both"/>
    </w:pPr>
    <w:rPr>
      <w:rFonts w:ascii="Times New Roman" w:eastAsia="Times New Roman" w:hAnsi="Times New Roman" w:cs="Times New Roman"/>
      <w:sz w:val="24"/>
      <w:szCs w:val="20"/>
    </w:rPr>
  </w:style>
  <w:style w:type="paragraph" w:styleId="Index4">
    <w:name w:val="index 4"/>
    <w:basedOn w:val="Normal"/>
    <w:next w:val="Normal"/>
    <w:autoRedefine/>
    <w:semiHidden/>
    <w:pPr>
      <w:spacing w:after="240" w:line="240" w:lineRule="auto"/>
      <w:ind w:left="960" w:hanging="240"/>
      <w:jc w:val="both"/>
    </w:pPr>
    <w:rPr>
      <w:rFonts w:ascii="Times New Roman" w:eastAsia="Times New Roman" w:hAnsi="Times New Roman" w:cs="Times New Roman"/>
      <w:sz w:val="24"/>
      <w:szCs w:val="20"/>
    </w:rPr>
  </w:style>
  <w:style w:type="paragraph" w:styleId="Index5">
    <w:name w:val="index 5"/>
    <w:basedOn w:val="Normal"/>
    <w:next w:val="Normal"/>
    <w:autoRedefine/>
    <w:semiHidden/>
    <w:pPr>
      <w:spacing w:after="240" w:line="240" w:lineRule="auto"/>
      <w:ind w:left="1200" w:hanging="240"/>
      <w:jc w:val="both"/>
    </w:pPr>
    <w:rPr>
      <w:rFonts w:ascii="Times New Roman" w:eastAsia="Times New Roman" w:hAnsi="Times New Roman" w:cs="Times New Roman"/>
      <w:sz w:val="24"/>
      <w:szCs w:val="20"/>
    </w:rPr>
  </w:style>
  <w:style w:type="paragraph" w:styleId="Index6">
    <w:name w:val="index 6"/>
    <w:basedOn w:val="Normal"/>
    <w:next w:val="Normal"/>
    <w:autoRedefine/>
    <w:semiHidden/>
    <w:pPr>
      <w:spacing w:after="240" w:line="240" w:lineRule="auto"/>
      <w:ind w:left="1440" w:hanging="240"/>
      <w:jc w:val="both"/>
    </w:pPr>
    <w:rPr>
      <w:rFonts w:ascii="Times New Roman" w:eastAsia="Times New Roman" w:hAnsi="Times New Roman" w:cs="Times New Roman"/>
      <w:sz w:val="24"/>
      <w:szCs w:val="20"/>
    </w:rPr>
  </w:style>
  <w:style w:type="paragraph" w:styleId="Index7">
    <w:name w:val="index 7"/>
    <w:basedOn w:val="Normal"/>
    <w:next w:val="Normal"/>
    <w:autoRedefine/>
    <w:semiHidden/>
    <w:pPr>
      <w:spacing w:after="240" w:line="240" w:lineRule="auto"/>
      <w:ind w:left="1680" w:hanging="240"/>
      <w:jc w:val="both"/>
    </w:pPr>
    <w:rPr>
      <w:rFonts w:ascii="Times New Roman" w:eastAsia="Times New Roman" w:hAnsi="Times New Roman" w:cs="Times New Roman"/>
      <w:sz w:val="24"/>
      <w:szCs w:val="20"/>
    </w:rPr>
  </w:style>
  <w:style w:type="paragraph" w:styleId="Index8">
    <w:name w:val="index 8"/>
    <w:basedOn w:val="Normal"/>
    <w:next w:val="Normal"/>
    <w:autoRedefine/>
    <w:semiHidden/>
    <w:pPr>
      <w:spacing w:after="240" w:line="240" w:lineRule="auto"/>
      <w:ind w:left="1920" w:hanging="240"/>
      <w:jc w:val="both"/>
    </w:pPr>
    <w:rPr>
      <w:rFonts w:ascii="Times New Roman" w:eastAsia="Times New Roman" w:hAnsi="Times New Roman" w:cs="Times New Roman"/>
      <w:sz w:val="24"/>
      <w:szCs w:val="20"/>
    </w:rPr>
  </w:style>
  <w:style w:type="paragraph" w:styleId="Index9">
    <w:name w:val="index 9"/>
    <w:basedOn w:val="Normal"/>
    <w:next w:val="Normal"/>
    <w:autoRedefine/>
    <w:semiHidden/>
    <w:pPr>
      <w:spacing w:after="240" w:line="240" w:lineRule="auto"/>
      <w:ind w:left="2160" w:hanging="240"/>
      <w:jc w:val="both"/>
    </w:pPr>
    <w:rPr>
      <w:rFonts w:ascii="Times New Roman" w:eastAsia="Times New Roman" w:hAnsi="Times New Roman" w:cs="Times New Roman"/>
      <w:sz w:val="24"/>
      <w:szCs w:val="20"/>
    </w:rPr>
  </w:style>
  <w:style w:type="paragraph" w:styleId="IndexHeading">
    <w:name w:val="index heading"/>
    <w:basedOn w:val="Normal"/>
    <w:next w:val="Index1"/>
    <w:semiHidden/>
    <w:pPr>
      <w:spacing w:after="240" w:line="240" w:lineRule="auto"/>
      <w:jc w:val="both"/>
    </w:pPr>
    <w:rPr>
      <w:rFonts w:ascii="Arial" w:eastAsia="Times New Roman" w:hAnsi="Arial" w:cs="Times New Roman"/>
      <w:b/>
      <w:sz w:val="24"/>
      <w:szCs w:val="20"/>
    </w:rPr>
  </w:style>
  <w:style w:type="paragraph" w:styleId="List2">
    <w:name w:val="List 2"/>
    <w:basedOn w:val="Normal"/>
    <w:pPr>
      <w:spacing w:after="240" w:line="240" w:lineRule="auto"/>
      <w:ind w:left="566" w:hanging="283"/>
      <w:jc w:val="both"/>
    </w:pPr>
    <w:rPr>
      <w:rFonts w:ascii="Times New Roman" w:eastAsia="Times New Roman" w:hAnsi="Times New Roman" w:cs="Times New Roman"/>
      <w:sz w:val="24"/>
      <w:szCs w:val="20"/>
    </w:rPr>
  </w:style>
  <w:style w:type="paragraph" w:styleId="List3">
    <w:name w:val="List 3"/>
    <w:basedOn w:val="Normal"/>
    <w:pPr>
      <w:spacing w:after="240" w:line="240" w:lineRule="auto"/>
      <w:ind w:left="849" w:hanging="283"/>
      <w:jc w:val="both"/>
    </w:pPr>
    <w:rPr>
      <w:rFonts w:ascii="Times New Roman" w:eastAsia="Times New Roman" w:hAnsi="Times New Roman" w:cs="Times New Roman"/>
      <w:sz w:val="24"/>
      <w:szCs w:val="20"/>
    </w:rPr>
  </w:style>
  <w:style w:type="paragraph" w:styleId="List4">
    <w:name w:val="List 4"/>
    <w:basedOn w:val="Normal"/>
    <w:pPr>
      <w:spacing w:after="240" w:line="240" w:lineRule="auto"/>
      <w:ind w:left="1132" w:hanging="283"/>
      <w:jc w:val="both"/>
    </w:pPr>
    <w:rPr>
      <w:rFonts w:ascii="Times New Roman" w:eastAsia="Times New Roman" w:hAnsi="Times New Roman" w:cs="Times New Roman"/>
      <w:sz w:val="24"/>
      <w:szCs w:val="20"/>
    </w:rPr>
  </w:style>
  <w:style w:type="paragraph" w:styleId="List5">
    <w:name w:val="List 5"/>
    <w:basedOn w:val="Normal"/>
    <w:pPr>
      <w:spacing w:after="240" w:line="240" w:lineRule="auto"/>
      <w:ind w:left="1415" w:hanging="283"/>
      <w:jc w:val="both"/>
    </w:pPr>
    <w:rPr>
      <w:rFonts w:ascii="Times New Roman" w:eastAsia="Times New Roman" w:hAnsi="Times New Roman" w:cs="Times New Roman"/>
      <w:sz w:val="24"/>
      <w:szCs w:val="20"/>
    </w:rPr>
  </w:style>
  <w:style w:type="paragraph" w:styleId="ListBullet5">
    <w:name w:val="List Bullet 5"/>
    <w:basedOn w:val="Normal"/>
    <w:autoRedefine/>
    <w:pPr>
      <w:tabs>
        <w:tab w:val="num" w:pos="1492"/>
      </w:tabs>
      <w:spacing w:after="240" w:line="240" w:lineRule="auto"/>
      <w:ind w:left="1492" w:hanging="360"/>
      <w:jc w:val="both"/>
    </w:pPr>
    <w:rPr>
      <w:rFonts w:ascii="Times New Roman" w:eastAsia="Times New Roman" w:hAnsi="Times New Roman" w:cs="Times New Roman"/>
      <w:sz w:val="24"/>
      <w:szCs w:val="20"/>
    </w:rPr>
  </w:style>
  <w:style w:type="paragraph" w:styleId="ListContinue">
    <w:name w:val="List Continue"/>
    <w:basedOn w:val="Normal"/>
    <w:pPr>
      <w:spacing w:after="120" w:line="240" w:lineRule="auto"/>
      <w:ind w:left="283"/>
      <w:jc w:val="both"/>
    </w:pPr>
    <w:rPr>
      <w:rFonts w:ascii="Times New Roman" w:eastAsia="Times New Roman" w:hAnsi="Times New Roman" w:cs="Times New Roman"/>
      <w:sz w:val="24"/>
      <w:szCs w:val="20"/>
    </w:rPr>
  </w:style>
  <w:style w:type="paragraph" w:styleId="ListContinue2">
    <w:name w:val="List Continue 2"/>
    <w:basedOn w:val="Normal"/>
    <w:pPr>
      <w:spacing w:after="120" w:line="240" w:lineRule="auto"/>
      <w:ind w:left="566"/>
      <w:jc w:val="both"/>
    </w:pPr>
    <w:rPr>
      <w:rFonts w:ascii="Times New Roman" w:eastAsia="Times New Roman" w:hAnsi="Times New Roman" w:cs="Times New Roman"/>
      <w:sz w:val="24"/>
      <w:szCs w:val="20"/>
    </w:rPr>
  </w:style>
  <w:style w:type="paragraph" w:styleId="ListContinue3">
    <w:name w:val="List Continue 3"/>
    <w:basedOn w:val="Normal"/>
    <w:pPr>
      <w:spacing w:after="120" w:line="240" w:lineRule="auto"/>
      <w:ind w:left="849"/>
      <w:jc w:val="both"/>
    </w:pPr>
    <w:rPr>
      <w:rFonts w:ascii="Times New Roman" w:eastAsia="Times New Roman" w:hAnsi="Times New Roman" w:cs="Times New Roman"/>
      <w:sz w:val="24"/>
      <w:szCs w:val="20"/>
    </w:rPr>
  </w:style>
  <w:style w:type="paragraph" w:styleId="ListContinue4">
    <w:name w:val="List Continue 4"/>
    <w:basedOn w:val="Normal"/>
    <w:pPr>
      <w:spacing w:after="120" w:line="240" w:lineRule="auto"/>
      <w:ind w:left="1132"/>
      <w:jc w:val="both"/>
    </w:pPr>
    <w:rPr>
      <w:rFonts w:ascii="Times New Roman" w:eastAsia="Times New Roman" w:hAnsi="Times New Roman" w:cs="Times New Roman"/>
      <w:sz w:val="24"/>
      <w:szCs w:val="20"/>
    </w:rPr>
  </w:style>
  <w:style w:type="paragraph" w:styleId="ListContinue5">
    <w:name w:val="List Continue 5"/>
    <w:basedOn w:val="Normal"/>
    <w:pPr>
      <w:spacing w:after="120" w:line="240" w:lineRule="auto"/>
      <w:ind w:left="1415"/>
      <w:jc w:val="both"/>
    </w:pPr>
    <w:rPr>
      <w:rFonts w:ascii="Times New Roman" w:eastAsia="Times New Roman" w:hAnsi="Times New Roman" w:cs="Times New Roman"/>
      <w:sz w:val="24"/>
      <w:szCs w:val="20"/>
    </w:rPr>
  </w:style>
  <w:style w:type="paragraph" w:styleId="ListNumber5">
    <w:name w:val="List Number 5"/>
    <w:basedOn w:val="Normal"/>
    <w:pPr>
      <w:tabs>
        <w:tab w:val="num" w:pos="1492"/>
      </w:tabs>
      <w:spacing w:after="240" w:line="240" w:lineRule="auto"/>
      <w:ind w:left="1492" w:hanging="360"/>
      <w:jc w:val="both"/>
    </w:pPr>
    <w:rPr>
      <w:rFonts w:ascii="Times New Roman" w:eastAsia="Times New Roman" w:hAnsi="Times New Roman" w:cs="Times New Roman"/>
      <w:sz w:val="24"/>
      <w:szCs w:val="20"/>
    </w:r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rPr>
  </w:style>
  <w:style w:type="character" w:customStyle="1" w:styleId="MacroTextChar">
    <w:name w:val="Macro Text Char"/>
    <w:basedOn w:val="DefaultParagraphFont"/>
    <w:link w:val="MacroText"/>
    <w:semiHidden/>
    <w:rPr>
      <w:rFonts w:ascii="Courier New" w:eastAsia="Times New Roman" w:hAnsi="Courier New" w:cs="Times New Roman"/>
      <w:sz w:val="20"/>
      <w:szCs w:val="20"/>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spacing w:after="240" w:line="240" w:lineRule="auto"/>
      <w:ind w:left="1134" w:hanging="1134"/>
      <w:jc w:val="both"/>
    </w:pPr>
    <w:rPr>
      <w:rFonts w:ascii="Arial" w:eastAsia="Times New Roman" w:hAnsi="Arial" w:cs="Times New Roman"/>
      <w:sz w:val="24"/>
      <w:szCs w:val="20"/>
    </w:rPr>
  </w:style>
  <w:style w:type="character" w:customStyle="1" w:styleId="MessageHeaderChar">
    <w:name w:val="Message Header Char"/>
    <w:basedOn w:val="DefaultParagraphFont"/>
    <w:link w:val="MessageHeader"/>
    <w:rPr>
      <w:rFonts w:ascii="Arial" w:eastAsia="Times New Roman" w:hAnsi="Arial" w:cs="Times New Roman"/>
      <w:sz w:val="24"/>
      <w:szCs w:val="20"/>
      <w:shd w:val="pct20" w:color="auto" w:fill="auto"/>
    </w:rPr>
  </w:style>
  <w:style w:type="paragraph" w:styleId="NormalIndent">
    <w:name w:val="Normal Indent"/>
    <w:basedOn w:val="Normal"/>
    <w:pPr>
      <w:spacing w:after="240" w:line="240" w:lineRule="auto"/>
      <w:ind w:left="720"/>
      <w:jc w:val="both"/>
    </w:pPr>
    <w:rPr>
      <w:rFonts w:ascii="Times New Roman" w:eastAsia="Times New Roman" w:hAnsi="Times New Roman" w:cs="Times New Roman"/>
      <w:sz w:val="24"/>
      <w:szCs w:val="20"/>
    </w:rPr>
  </w:style>
  <w:style w:type="paragraph" w:styleId="NoteHeading">
    <w:name w:val="Note Heading"/>
    <w:basedOn w:val="Normal"/>
    <w:next w:val="Normal"/>
    <w:link w:val="NoteHeadingChar"/>
    <w:pPr>
      <w:spacing w:after="240" w:line="240" w:lineRule="auto"/>
      <w:jc w:val="both"/>
    </w:pPr>
    <w:rPr>
      <w:rFonts w:ascii="Times New Roman" w:eastAsia="Times New Roman" w:hAnsi="Times New Roman" w:cs="Times New Roman"/>
      <w:sz w:val="24"/>
      <w:szCs w:val="20"/>
    </w:rPr>
  </w:style>
  <w:style w:type="character" w:customStyle="1" w:styleId="NoteHeadingChar">
    <w:name w:val="Note Heading Char"/>
    <w:basedOn w:val="DefaultParagraphFont"/>
    <w:link w:val="NoteHeading"/>
    <w:rPr>
      <w:rFonts w:ascii="Times New Roman" w:eastAsia="Times New Roman" w:hAnsi="Times New Roman" w:cs="Times New Roman"/>
      <w:sz w:val="24"/>
      <w:szCs w:val="20"/>
    </w:rPr>
  </w:style>
  <w:style w:type="paragraph" w:customStyle="1" w:styleId="NoteHead">
    <w:name w:val="NoteHead"/>
    <w:basedOn w:val="Normal"/>
    <w:next w:val="Subject"/>
    <w:pPr>
      <w:spacing w:before="720" w:after="720" w:line="240" w:lineRule="auto"/>
      <w:jc w:val="center"/>
    </w:pPr>
    <w:rPr>
      <w:rFonts w:ascii="Times New Roman" w:eastAsia="Times New Roman" w:hAnsi="Times New Roman" w:cs="Times New Roman"/>
      <w:b/>
      <w:smallCaps/>
      <w:sz w:val="24"/>
      <w:szCs w:val="20"/>
    </w:rPr>
  </w:style>
  <w:style w:type="paragraph" w:customStyle="1" w:styleId="Subject">
    <w:name w:val="Subject"/>
    <w:basedOn w:val="Normal"/>
    <w:next w:val="Normal"/>
    <w:pPr>
      <w:spacing w:after="480" w:line="240" w:lineRule="auto"/>
      <w:ind w:left="1531" w:hanging="1531"/>
    </w:pPr>
    <w:rPr>
      <w:rFonts w:ascii="Times New Roman" w:eastAsia="Times New Roman" w:hAnsi="Times New Roman" w:cs="Times New Roman"/>
      <w:b/>
      <w:sz w:val="24"/>
      <w:szCs w:val="20"/>
    </w:rPr>
  </w:style>
  <w:style w:type="paragraph" w:customStyle="1" w:styleId="NoteList">
    <w:name w:val="NoteList"/>
    <w:basedOn w:val="Normal"/>
    <w:next w:val="Subject"/>
    <w:pPr>
      <w:tabs>
        <w:tab w:val="left" w:pos="5823"/>
      </w:tabs>
      <w:spacing w:before="720" w:after="720" w:line="240" w:lineRule="auto"/>
      <w:ind w:left="5104" w:hanging="3119"/>
    </w:pPr>
    <w:rPr>
      <w:rFonts w:ascii="Times New Roman" w:eastAsia="Times New Roman" w:hAnsi="Times New Roman" w:cs="Times New Roman"/>
      <w:b/>
      <w:smallCaps/>
      <w:sz w:val="24"/>
      <w:szCs w:val="20"/>
    </w:rPr>
  </w:style>
  <w:style w:type="paragraph" w:styleId="PlainText">
    <w:name w:val="Plain Text"/>
    <w:basedOn w:val="Normal"/>
    <w:link w:val="PlainTextChar"/>
    <w:uiPriority w:val="99"/>
    <w:pPr>
      <w:spacing w:after="240" w:line="240" w:lineRule="auto"/>
      <w:jc w:val="both"/>
    </w:pPr>
    <w:rPr>
      <w:rFonts w:ascii="Courier New" w:eastAsia="Times New Roman" w:hAnsi="Courier New" w:cs="Times New Roman"/>
      <w:sz w:val="20"/>
      <w:szCs w:val="20"/>
    </w:rPr>
  </w:style>
  <w:style w:type="character" w:customStyle="1" w:styleId="PlainTextChar">
    <w:name w:val="Plain Text Char"/>
    <w:basedOn w:val="DefaultParagraphFont"/>
    <w:link w:val="PlainText"/>
    <w:uiPriority w:val="99"/>
    <w:rPr>
      <w:rFonts w:ascii="Courier New" w:eastAsia="Times New Roman" w:hAnsi="Courier New" w:cs="Times New Roman"/>
      <w:sz w:val="20"/>
      <w:szCs w:val="20"/>
    </w:rPr>
  </w:style>
  <w:style w:type="paragraph" w:styleId="Salutation">
    <w:name w:val="Salutation"/>
    <w:basedOn w:val="Normal"/>
    <w:next w:val="Normal"/>
    <w:link w:val="SalutationChar"/>
    <w:pPr>
      <w:spacing w:after="240" w:line="240" w:lineRule="auto"/>
      <w:jc w:val="both"/>
    </w:pPr>
    <w:rPr>
      <w:rFonts w:ascii="Times New Roman" w:eastAsia="Times New Roman" w:hAnsi="Times New Roman" w:cs="Times New Roman"/>
      <w:sz w:val="24"/>
      <w:szCs w:val="20"/>
    </w:rPr>
  </w:style>
  <w:style w:type="character" w:customStyle="1" w:styleId="SalutationChar">
    <w:name w:val="Salutation Char"/>
    <w:basedOn w:val="DefaultParagraphFont"/>
    <w:link w:val="Salutation"/>
    <w:rPr>
      <w:rFonts w:ascii="Times New Roman" w:eastAsia="Times New Roman" w:hAnsi="Times New Roman" w:cs="Times New Roman"/>
      <w:sz w:val="24"/>
      <w:szCs w:val="20"/>
    </w:rPr>
  </w:style>
  <w:style w:type="paragraph" w:styleId="Subtitle">
    <w:name w:val="Subtitle"/>
    <w:basedOn w:val="Normal"/>
    <w:link w:val="SubtitleChar"/>
    <w:qFormat/>
    <w:pPr>
      <w:spacing w:after="60" w:line="240" w:lineRule="auto"/>
      <w:jc w:val="center"/>
      <w:outlineLvl w:val="1"/>
    </w:pPr>
    <w:rPr>
      <w:rFonts w:ascii="Arial" w:eastAsia="Times New Roman" w:hAnsi="Arial" w:cs="Times New Roman"/>
      <w:sz w:val="24"/>
      <w:szCs w:val="20"/>
    </w:rPr>
  </w:style>
  <w:style w:type="character" w:customStyle="1" w:styleId="SubtitleChar">
    <w:name w:val="Subtitle Char"/>
    <w:basedOn w:val="DefaultParagraphFont"/>
    <w:link w:val="Subtitle"/>
    <w:rPr>
      <w:rFonts w:ascii="Arial" w:eastAsia="Times New Roman" w:hAnsi="Arial" w:cs="Times New Roman"/>
      <w:sz w:val="24"/>
      <w:szCs w:val="20"/>
    </w:rPr>
  </w:style>
  <w:style w:type="paragraph" w:styleId="TableofAuthorities">
    <w:name w:val="table of authorities"/>
    <w:basedOn w:val="Normal"/>
    <w:next w:val="Normal"/>
    <w:semiHidden/>
    <w:pPr>
      <w:spacing w:after="240" w:line="240" w:lineRule="auto"/>
      <w:ind w:left="240" w:hanging="240"/>
      <w:jc w:val="both"/>
    </w:pPr>
    <w:rPr>
      <w:rFonts w:ascii="Times New Roman" w:eastAsia="Times New Roman" w:hAnsi="Times New Roman" w:cs="Times New Roman"/>
      <w:sz w:val="24"/>
      <w:szCs w:val="20"/>
    </w:rPr>
  </w:style>
  <w:style w:type="paragraph" w:styleId="Title">
    <w:name w:val="Title"/>
    <w:basedOn w:val="Normal"/>
    <w:link w:val="TitleChar"/>
    <w:qFormat/>
    <w:pPr>
      <w:spacing w:before="240" w:after="60" w:line="240" w:lineRule="auto"/>
      <w:jc w:val="center"/>
      <w:outlineLvl w:val="0"/>
    </w:pPr>
    <w:rPr>
      <w:rFonts w:ascii="Arial" w:eastAsia="Times New Roman" w:hAnsi="Arial" w:cs="Times New Roman"/>
      <w:b/>
      <w:kern w:val="28"/>
      <w:sz w:val="32"/>
      <w:szCs w:val="20"/>
    </w:rPr>
  </w:style>
  <w:style w:type="character" w:customStyle="1" w:styleId="TitleChar">
    <w:name w:val="Title Char"/>
    <w:basedOn w:val="DefaultParagraphFont"/>
    <w:link w:val="Title"/>
    <w:rPr>
      <w:rFonts w:ascii="Arial" w:eastAsia="Times New Roman" w:hAnsi="Arial" w:cs="Times New Roman"/>
      <w:b/>
      <w:kern w:val="28"/>
      <w:sz w:val="32"/>
      <w:szCs w:val="20"/>
    </w:rPr>
  </w:style>
  <w:style w:type="paragraph" w:styleId="TOAHeading">
    <w:name w:val="toa heading"/>
    <w:basedOn w:val="Normal"/>
    <w:next w:val="Normal"/>
    <w:semiHidden/>
    <w:pPr>
      <w:spacing w:before="120" w:after="240" w:line="240" w:lineRule="auto"/>
      <w:jc w:val="both"/>
    </w:pPr>
    <w:rPr>
      <w:rFonts w:ascii="Arial" w:eastAsia="Times New Roman" w:hAnsi="Arial" w:cs="Times New Roman"/>
      <w:b/>
      <w:sz w:val="24"/>
      <w:szCs w:val="20"/>
    </w:rPr>
  </w:style>
  <w:style w:type="paragraph" w:customStyle="1" w:styleId="YReferences">
    <w:name w:val="YReferences"/>
    <w:basedOn w:val="Normal"/>
    <w:next w:val="Normal"/>
    <w:pPr>
      <w:spacing w:after="480" w:line="240" w:lineRule="auto"/>
      <w:ind w:left="1531" w:hanging="1531"/>
      <w:jc w:val="both"/>
    </w:pPr>
    <w:rPr>
      <w:rFonts w:ascii="Times New Roman" w:eastAsia="Times New Roman" w:hAnsi="Times New Roman" w:cs="Times New Roman"/>
      <w:sz w:val="24"/>
      <w:szCs w:val="20"/>
    </w:rPr>
  </w:style>
  <w:style w:type="paragraph" w:customStyle="1" w:styleId="Contact">
    <w:name w:val="Contact"/>
    <w:basedOn w:val="Normal"/>
    <w:next w:val="Normal"/>
    <w:uiPriority w:val="99"/>
    <w:pPr>
      <w:spacing w:before="480" w:after="0" w:line="240" w:lineRule="auto"/>
      <w:ind w:left="567" w:hanging="567"/>
    </w:pPr>
    <w:rPr>
      <w:rFonts w:ascii="Times New Roman" w:eastAsia="Times New Roman" w:hAnsi="Times New Roman" w:cs="Times New Roman"/>
      <w:sz w:val="24"/>
      <w:szCs w:val="20"/>
    </w:rPr>
  </w:style>
  <w:style w:type="paragraph" w:customStyle="1" w:styleId="DisclaimerNotice">
    <w:name w:val="Disclaimer Notice"/>
    <w:basedOn w:val="Normal"/>
    <w:next w:val="AddressTR"/>
    <w:pPr>
      <w:spacing w:after="240" w:line="240" w:lineRule="auto"/>
      <w:ind w:left="5103"/>
    </w:pPr>
    <w:rPr>
      <w:rFonts w:ascii="Times New Roman" w:eastAsia="Times New Roman" w:hAnsi="Times New Roman" w:cs="Times New Roman"/>
      <w:i/>
      <w:sz w:val="20"/>
      <w:szCs w:val="20"/>
    </w:rPr>
  </w:style>
  <w:style w:type="paragraph" w:customStyle="1" w:styleId="Disclaimer">
    <w:name w:val="Disclaimer"/>
    <w:basedOn w:val="Normal"/>
    <w:pPr>
      <w:keepLines/>
      <w:pBdr>
        <w:top w:val="single" w:sz="4" w:space="1" w:color="auto"/>
      </w:pBdr>
      <w:spacing w:before="480" w:after="0" w:line="240" w:lineRule="auto"/>
      <w:jc w:val="both"/>
    </w:pPr>
    <w:rPr>
      <w:rFonts w:ascii="Times New Roman" w:eastAsia="Times New Roman" w:hAnsi="Times New Roman" w:cs="Times New Roman"/>
      <w:i/>
      <w:sz w:val="24"/>
      <w:szCs w:val="20"/>
    </w:rPr>
  </w:style>
  <w:style w:type="paragraph" w:customStyle="1" w:styleId="DisclaimerSJ">
    <w:name w:val="Disclaimer_SJ"/>
    <w:basedOn w:val="Normal"/>
    <w:next w:val="Normal"/>
    <w:pPr>
      <w:spacing w:after="0" w:line="240" w:lineRule="auto"/>
      <w:jc w:val="both"/>
    </w:pPr>
    <w:rPr>
      <w:rFonts w:ascii="Arial" w:eastAsia="Times New Roman" w:hAnsi="Arial" w:cs="Times New Roman"/>
      <w:b/>
      <w:sz w:val="16"/>
      <w:szCs w:val="20"/>
    </w:rPr>
  </w:style>
  <w:style w:type="paragraph" w:customStyle="1" w:styleId="Designator">
    <w:name w:val="Designator"/>
    <w:basedOn w:val="Normal"/>
    <w:pPr>
      <w:spacing w:after="0" w:line="240" w:lineRule="auto"/>
      <w:jc w:val="center"/>
    </w:pPr>
    <w:rPr>
      <w:rFonts w:ascii="Times New Roman" w:eastAsia="Times New Roman" w:hAnsi="Times New Roman" w:cs="Times New Roman"/>
      <w:b/>
      <w:caps/>
      <w:sz w:val="32"/>
      <w:szCs w:val="20"/>
    </w:rPr>
  </w:style>
  <w:style w:type="paragraph" w:customStyle="1" w:styleId="Releasable">
    <w:name w:val="Releasable"/>
    <w:basedOn w:val="Normal"/>
    <w:qFormat/>
    <w:pPr>
      <w:spacing w:after="0" w:line="240" w:lineRule="auto"/>
      <w:jc w:val="center"/>
    </w:pPr>
    <w:rPr>
      <w:rFonts w:ascii="Times New Roman" w:eastAsia="Times New Roman" w:hAnsi="Times New Roman" w:cs="Times New Roman"/>
      <w:b/>
      <w:caps/>
      <w:sz w:val="32"/>
      <w:szCs w:val="20"/>
      <w:lang w:val="de-DE"/>
    </w:rPr>
  </w:style>
  <w:style w:type="paragraph" w:customStyle="1" w:styleId="RUE">
    <w:name w:val="RUE"/>
    <w:basedOn w:val="Normal"/>
    <w:pPr>
      <w:spacing w:after="0" w:line="240" w:lineRule="auto"/>
      <w:jc w:val="center"/>
    </w:pPr>
    <w:rPr>
      <w:rFonts w:ascii="Times New Roman" w:eastAsia="Times New Roman" w:hAnsi="Times New Roman" w:cs="Times New Roman"/>
      <w:b/>
      <w:caps/>
      <w:sz w:val="32"/>
      <w:szCs w:val="20"/>
      <w:bdr w:val="single" w:sz="18" w:space="0" w:color="auto"/>
      <w:lang w:val="de-DE"/>
    </w:rPr>
  </w:style>
  <w:style w:type="paragraph" w:customStyle="1" w:styleId="ConfidentialUE">
    <w:name w:val="Confidential UE"/>
    <w:basedOn w:val="Normal"/>
    <w:pPr>
      <w:spacing w:after="0" w:line="240" w:lineRule="auto"/>
      <w:jc w:val="center"/>
    </w:pPr>
    <w:rPr>
      <w:rFonts w:ascii="Times New Roman" w:eastAsia="Times New Roman" w:hAnsi="Times New Roman" w:cs="Times New Roman"/>
      <w:b/>
      <w:caps/>
      <w:sz w:val="32"/>
      <w:szCs w:val="20"/>
      <w:bdr w:val="single" w:sz="18" w:space="0" w:color="auto"/>
    </w:rPr>
  </w:style>
  <w:style w:type="paragraph" w:customStyle="1" w:styleId="TrsSecretUE">
    <w:name w:val="Très Secret UE"/>
    <w:basedOn w:val="Normal"/>
    <w:pPr>
      <w:spacing w:after="0" w:line="240" w:lineRule="auto"/>
      <w:jc w:val="center"/>
    </w:pPr>
    <w:rPr>
      <w:rFonts w:ascii="Times New Roman" w:eastAsia="Times New Roman" w:hAnsi="Times New Roman" w:cs="Times New Roman"/>
      <w:b/>
      <w:caps/>
      <w:color w:val="FF0000"/>
      <w:sz w:val="32"/>
      <w:szCs w:val="20"/>
      <w:bdr w:val="single" w:sz="18" w:space="0" w:color="FF0000"/>
    </w:rPr>
  </w:style>
  <w:style w:type="paragraph" w:customStyle="1" w:styleId="SecretUE">
    <w:name w:val="Secret UE"/>
    <w:basedOn w:val="Normal"/>
    <w:pPr>
      <w:spacing w:after="0" w:line="240" w:lineRule="auto"/>
      <w:jc w:val="center"/>
    </w:pPr>
    <w:rPr>
      <w:rFonts w:ascii="Times New Roman" w:eastAsia="Times New Roman" w:hAnsi="Times New Roman" w:cs="Times New Roman"/>
      <w:b/>
      <w:caps/>
      <w:color w:val="FF0000"/>
      <w:sz w:val="32"/>
      <w:szCs w:val="20"/>
      <w:bdr w:val="single" w:sz="18" w:space="0" w:color="FF0000"/>
    </w:rPr>
  </w:style>
  <w:style w:type="paragraph" w:customStyle="1" w:styleId="LegalNumPar">
    <w:name w:val="LegalNumPar"/>
    <w:basedOn w:val="Normal"/>
    <w:pPr>
      <w:numPr>
        <w:numId w:val="90"/>
      </w:numPr>
      <w:spacing w:after="240" w:line="360" w:lineRule="auto"/>
    </w:pPr>
    <w:rPr>
      <w:rFonts w:ascii="Times New Roman" w:eastAsia="Calibri" w:hAnsi="Times New Roman" w:cs="Times New Roman"/>
      <w:sz w:val="24"/>
    </w:rPr>
  </w:style>
  <w:style w:type="paragraph" w:customStyle="1" w:styleId="LegalNumPar2">
    <w:name w:val="LegalNumPar2"/>
    <w:basedOn w:val="Normal"/>
    <w:pPr>
      <w:numPr>
        <w:ilvl w:val="1"/>
        <w:numId w:val="90"/>
      </w:numPr>
      <w:spacing w:after="240" w:line="360" w:lineRule="auto"/>
    </w:pPr>
    <w:rPr>
      <w:rFonts w:ascii="Times New Roman" w:eastAsia="Calibri" w:hAnsi="Times New Roman" w:cs="Times New Roman"/>
      <w:sz w:val="24"/>
    </w:rPr>
  </w:style>
  <w:style w:type="paragraph" w:customStyle="1" w:styleId="LegalNumPar3">
    <w:name w:val="LegalNumPar3"/>
    <w:basedOn w:val="Normal"/>
    <w:pPr>
      <w:numPr>
        <w:ilvl w:val="2"/>
        <w:numId w:val="90"/>
      </w:numPr>
      <w:spacing w:after="240" w:line="360" w:lineRule="auto"/>
    </w:pPr>
    <w:rPr>
      <w:rFonts w:ascii="Times New Roman" w:eastAsia="Calibri" w:hAnsi="Times New Roman" w:cs="Times New Roman"/>
      <w:sz w:val="24"/>
    </w:rPr>
  </w:style>
  <w:style w:type="paragraph" w:customStyle="1" w:styleId="ZCom">
    <w:name w:val="Z_Com"/>
    <w:basedOn w:val="Normal"/>
    <w:next w:val="ZDGName"/>
    <w:uiPriority w:val="99"/>
    <w:pPr>
      <w:widowControl w:val="0"/>
      <w:autoSpaceDE w:val="0"/>
      <w:autoSpaceDN w:val="0"/>
      <w:spacing w:after="0" w:line="240" w:lineRule="auto"/>
      <w:ind w:right="85"/>
      <w:jc w:val="both"/>
    </w:pPr>
    <w:rPr>
      <w:rFonts w:ascii="Arial" w:eastAsia="Times New Roman" w:hAnsi="Arial" w:cs="Arial"/>
      <w:sz w:val="24"/>
      <w:szCs w:val="24"/>
      <w:lang w:eastAsia="en-GB"/>
    </w:rPr>
  </w:style>
  <w:style w:type="paragraph" w:customStyle="1" w:styleId="ZDGName">
    <w:name w:val="Z_DGName"/>
    <w:basedOn w:val="Normal"/>
    <w:uiPriority w:val="99"/>
    <w:pPr>
      <w:widowControl w:val="0"/>
      <w:autoSpaceDE w:val="0"/>
      <w:autoSpaceDN w:val="0"/>
      <w:spacing w:after="0" w:line="240" w:lineRule="auto"/>
      <w:ind w:right="85"/>
    </w:pPr>
    <w:rPr>
      <w:rFonts w:ascii="Arial" w:eastAsia="Times New Roman" w:hAnsi="Arial" w:cs="Arial"/>
      <w:sz w:val="16"/>
      <w:szCs w:val="16"/>
      <w:lang w:eastAsia="en-GB"/>
    </w:rPr>
  </w:style>
  <w:style w:type="paragraph" w:customStyle="1" w:styleId="Table-ContentsCT">
    <w:name w:val="Table - Contents (CT)"/>
    <w:link w:val="Table-ContentsCTChar"/>
    <w:qFormat/>
    <w:pPr>
      <w:spacing w:before="80" w:after="80" w:line="240" w:lineRule="auto"/>
    </w:pPr>
    <w:rPr>
      <w:rFonts w:ascii="Arial" w:eastAsia="Times New Roman" w:hAnsi="Arial" w:cs="Times New Roman"/>
      <w:sz w:val="16"/>
      <w:szCs w:val="20"/>
    </w:rPr>
  </w:style>
  <w:style w:type="character" w:customStyle="1" w:styleId="Table-ContentsCTChar">
    <w:name w:val="Table - Contents (CT) Char"/>
    <w:link w:val="Table-ContentsCT"/>
    <w:rPr>
      <w:rFonts w:ascii="Arial" w:eastAsia="Times New Roman" w:hAnsi="Arial" w:cs="Times New Roman"/>
      <w:sz w:val="16"/>
      <w:szCs w:val="20"/>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uppressAutoHyphen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HeaderCoverPage">
    <w:name w:val="Header Cover Page"/>
    <w:basedOn w:val="Normal"/>
    <w:link w:val="HeaderCoverPageChar"/>
    <w:pPr>
      <w:tabs>
        <w:tab w:val="center" w:pos="4535"/>
        <w:tab w:val="right" w:pos="9071"/>
      </w:tabs>
      <w:suppressAutoHyphen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numbering" w:customStyle="1" w:styleId="AMECHeadings">
    <w:name w:val="AMEC_Headings"/>
    <w:uiPriority w:val="99"/>
    <w:pPr>
      <w:numPr>
        <w:numId w:val="114"/>
      </w:numPr>
    </w:pPr>
  </w:style>
  <w:style w:type="paragraph" w:customStyle="1" w:styleId="AFWBodyNumbered">
    <w:name w:val="AFW Body Numbered"/>
    <w:aliases w:val="Paranums"/>
    <w:basedOn w:val="AFWBody"/>
    <w:qFormat/>
    <w:pPr>
      <w:keepNext/>
      <w:suppressAutoHyphens w:val="0"/>
      <w:spacing w:before="240" w:after="240"/>
      <w:ind w:left="851" w:hanging="851"/>
    </w:pPr>
    <w:rPr>
      <w:rFonts w:eastAsiaTheme="minorHAnsi" w:cstheme="minorBidi"/>
      <w:b/>
      <w:bCs/>
      <w:color w:val="5F2167"/>
      <w:sz w:val="22"/>
      <w:szCs w:val="24"/>
      <w:lang w:eastAsia="en-US"/>
    </w:rPr>
  </w:style>
  <w:style w:type="paragraph" w:customStyle="1" w:styleId="AFWTableTitle">
    <w:name w:val="AFW Table Title"/>
    <w:basedOn w:val="Heading4"/>
    <w:pPr>
      <w:keepLines/>
      <w:numPr>
        <w:numId w:val="0"/>
      </w:numPr>
      <w:tabs>
        <w:tab w:val="left" w:pos="1134"/>
      </w:tabs>
      <w:spacing w:before="360" w:after="160"/>
      <w:jc w:val="left"/>
    </w:pPr>
    <w:rPr>
      <w:rFonts w:ascii="Arial" w:hAnsi="Arial" w:cstheme="majorBidi"/>
      <w:bCs w:val="0"/>
      <w:iCs/>
      <w:color w:val="5F2167"/>
      <w:sz w:val="20"/>
      <w:szCs w:val="26"/>
      <w:lang w:eastAsia="en-GB"/>
    </w:rPr>
  </w:style>
  <w:style w:type="table" w:customStyle="1" w:styleId="TableGridLight4">
    <w:name w:val="Table Grid Light4"/>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enhypertexte1">
    <w:name w:val="Lien hypertexte1"/>
    <w:basedOn w:val="DefaultParagraphFont"/>
    <w:uiPriority w:val="99"/>
    <w:unhideWhenUsed/>
    <w:rPr>
      <w:color w:val="00B0B9"/>
      <w:u w:val="single"/>
    </w:rPr>
  </w:style>
  <w:style w:type="character" w:styleId="PageNumber">
    <w:name w:val="page number"/>
    <w:basedOn w:val="DefaultParagraphFont"/>
    <w:rPr>
      <w:rFonts w:ascii="Arial" w:hAnsi="Arial"/>
      <w:b/>
      <w:color w:val="auto"/>
      <w:sz w:val="20"/>
    </w:rPr>
  </w:style>
  <w:style w:type="paragraph" w:customStyle="1" w:styleId="Declassification">
    <w:name w:val="Declassification"/>
    <w:basedOn w:val="Normal"/>
    <w:next w:val="Normal"/>
    <w:pPr>
      <w:spacing w:after="0" w:line="240" w:lineRule="auto"/>
      <w:jc w:val="both"/>
    </w:pPr>
    <w:rPr>
      <w:rFonts w:ascii="Times New Roman" w:hAnsi="Times New Roman" w:cs="Times New Roman"/>
      <w:sz w:val="24"/>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paragraph" w:customStyle="1" w:styleId="Calibr">
    <w:name w:val="Calibr"/>
    <w:basedOn w:val="Text1"/>
    <w:pPr>
      <w:suppressAutoHyphens w:val="0"/>
      <w:ind w:left="0"/>
    </w:pPr>
    <w:rPr>
      <w:noProof/>
      <w:lang w:eastAsia="en-US"/>
    </w:rPr>
  </w:style>
  <w:style w:type="table" w:customStyle="1" w:styleId="MediumShading1-Accent111">
    <w:name w:val="Medium Shading 1 - Accent 111"/>
    <w:basedOn w:val="TableNormal"/>
    <w:next w:val="MediumShading1-Accent1"/>
    <w:uiPriority w:val="63"/>
    <w:pPr>
      <w:spacing w:after="0" w:line="240" w:lineRule="auto"/>
    </w:pPr>
    <w:rPr>
      <w:rFonts w:ascii="Arial" w:hAnsi="Arial" w:cs="Arial"/>
      <w:sz w:val="20"/>
      <w:szCs w:val="20"/>
      <w:lang w:val="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EText">
    <w:name w:val="E Text"/>
    <w:qFormat/>
    <w:pPr>
      <w:spacing w:after="120" w:line="360" w:lineRule="auto"/>
      <w:jc w:val="both"/>
    </w:pPr>
    <w:rPr>
      <w:rFonts w:ascii="Arial" w:eastAsia="Times New Roman" w:hAnsi="Arial" w:cs="Times New Roman"/>
      <w:sz w:val="20"/>
      <w:szCs w:val="20"/>
      <w:lang w:eastAsia="de-DE"/>
    </w:rPr>
  </w:style>
  <w:style w:type="paragraph" w:customStyle="1" w:styleId="TEMPLATEColophonBold">
    <w:name w:val="TEMPLATE Colophon Bold"/>
    <w:basedOn w:val="TEMPLATEColophon"/>
    <w:rPr>
      <w:b/>
      <w:bCs/>
    </w:rPr>
  </w:style>
  <w:style w:type="paragraph" w:customStyle="1" w:styleId="Etabletext">
    <w:name w:val="E table text"/>
    <w:link w:val="EtabletextChar"/>
    <w:qFormat/>
    <w:pPr>
      <w:spacing w:before="40" w:after="40" w:line="240" w:lineRule="auto"/>
    </w:pPr>
    <w:rPr>
      <w:rFonts w:ascii="Verdana" w:eastAsia="Times New Roman" w:hAnsi="Verdana" w:cs="Times New Roman"/>
      <w:sz w:val="16"/>
      <w:szCs w:val="20"/>
      <w:lang w:eastAsia="de-DE"/>
    </w:rPr>
  </w:style>
  <w:style w:type="paragraph" w:customStyle="1" w:styleId="TEMPLATENameofInstitutions">
    <w:name w:val="TEMPLATE Name of Institutions"/>
    <w:pPr>
      <w:keepLines/>
      <w:framePr w:wrap="around" w:hAnchor="text" w:yAlign="bottom"/>
      <w:spacing w:after="0" w:line="320" w:lineRule="atLeast"/>
    </w:pPr>
    <w:rPr>
      <w:rFonts w:ascii="Arial" w:eastAsia="Times New Roman" w:hAnsi="Arial" w:cs="Times New Roman"/>
      <w:szCs w:val="20"/>
      <w:lang w:eastAsia="de-DE"/>
    </w:rPr>
  </w:style>
  <w:style w:type="paragraph" w:customStyle="1" w:styleId="TEMPLATEVersuchTextbox">
    <w:name w:val="TEMPLATE Versuch Textbox"/>
    <w:basedOn w:val="EText"/>
    <w:pPr>
      <w:pBdr>
        <w:top w:val="dotted" w:sz="4" w:space="1" w:color="auto"/>
        <w:left w:val="dotted" w:sz="4" w:space="4" w:color="auto"/>
        <w:bottom w:val="dotted" w:sz="4" w:space="1" w:color="auto"/>
        <w:right w:val="dotted" w:sz="4" w:space="4" w:color="auto"/>
      </w:pBdr>
      <w:shd w:val="clear" w:color="auto" w:fill="C6D9F1" w:themeFill="text2" w:themeFillTint="33"/>
      <w:spacing w:after="0" w:line="288" w:lineRule="auto"/>
    </w:pPr>
  </w:style>
  <w:style w:type="paragraph" w:customStyle="1" w:styleId="TEMPLATEColophon">
    <w:name w:val="TEMPLATE Colophon"/>
    <w:pPr>
      <w:spacing w:after="0" w:line="240" w:lineRule="atLeast"/>
      <w:jc w:val="both"/>
    </w:pPr>
    <w:rPr>
      <w:rFonts w:ascii="Arial" w:eastAsia="Times New Roman" w:hAnsi="Arial" w:cs="Times New Roman"/>
      <w:noProof/>
      <w:sz w:val="18"/>
      <w:szCs w:val="20"/>
    </w:rPr>
  </w:style>
  <w:style w:type="paragraph" w:customStyle="1" w:styleId="TEMPLATEHeadingPartsnotinTOC">
    <w:name w:val="TEMPLATE Heading Parts (not in TOC)"/>
    <w:next w:val="EText"/>
    <w:pPr>
      <w:pageBreakBefore/>
      <w:widowControl w:val="0"/>
      <w:spacing w:after="160" w:line="240" w:lineRule="auto"/>
    </w:pPr>
    <w:rPr>
      <w:rFonts w:ascii="Arial" w:eastAsia="Times New Roman" w:hAnsi="Arial" w:cs="Times New Roman"/>
      <w:b/>
      <w:sz w:val="28"/>
      <w:szCs w:val="20"/>
      <w:lang w:eastAsia="de-DE"/>
    </w:rPr>
  </w:style>
  <w:style w:type="paragraph" w:customStyle="1" w:styleId="TEMPLATEHeadingforAnnexesandAfterword">
    <w:name w:val="TEMPLATE Heading for Annexes and Afterword"/>
    <w:next w:val="EText"/>
    <w:pPr>
      <w:pageBreakBefore/>
      <w:spacing w:after="160" w:line="240" w:lineRule="auto"/>
      <w:outlineLvl w:val="0"/>
    </w:pPr>
    <w:rPr>
      <w:rFonts w:ascii="Arial" w:eastAsia="Times New Roman" w:hAnsi="Arial" w:cs="Times New Roman"/>
      <w:b/>
      <w:sz w:val="28"/>
      <w:szCs w:val="20"/>
      <w:lang w:eastAsia="de-DE"/>
    </w:rPr>
  </w:style>
  <w:style w:type="paragraph" w:customStyle="1" w:styleId="TEMPLATEColophonSpacing">
    <w:name w:val="TEMPLATE Colophon Spacing"/>
    <w:pPr>
      <w:spacing w:after="0" w:line="240" w:lineRule="auto"/>
    </w:pPr>
    <w:rPr>
      <w:rFonts w:ascii="Arial" w:eastAsia="Times New Roman" w:hAnsi="Arial" w:cs="Times New Roman"/>
      <w:szCs w:val="24"/>
    </w:rPr>
  </w:style>
  <w:style w:type="paragraph" w:customStyle="1" w:styleId="TEMPLATECreatenewpage">
    <w:name w:val="TEMPLATE Create new page"/>
    <w:pPr>
      <w:pageBreakBefore/>
      <w:widowControl w:val="0"/>
      <w:spacing w:after="0" w:line="240" w:lineRule="auto"/>
    </w:pPr>
    <w:rPr>
      <w:rFonts w:ascii="Arial" w:eastAsia="Times New Roman" w:hAnsi="Arial" w:cs="Times New Roman"/>
      <w:noProof/>
      <w:color w:val="FFFFFF" w:themeColor="background1"/>
      <w:sz w:val="20"/>
      <w:szCs w:val="20"/>
      <w:lang w:eastAsia="de-DE"/>
    </w:rPr>
  </w:style>
  <w:style w:type="paragraph" w:customStyle="1" w:styleId="TEMPLATEHeadingListsandExSummary">
    <w:name w:val="TEMPLATE Heading Lists and ExSummary"/>
    <w:next w:val="EText"/>
    <w:pPr>
      <w:widowControl w:val="0"/>
      <w:spacing w:after="160" w:line="240" w:lineRule="auto"/>
    </w:pPr>
    <w:rPr>
      <w:rFonts w:ascii="Arial" w:eastAsia="Times New Roman" w:hAnsi="Arial" w:cs="Times New Roman"/>
      <w:b/>
      <w:sz w:val="28"/>
      <w:szCs w:val="20"/>
      <w:lang w:eastAsia="de-DE"/>
    </w:rPr>
  </w:style>
  <w:style w:type="paragraph" w:customStyle="1" w:styleId="TEMPLATELastPage">
    <w:name w:val="TEMPLATE Last Page"/>
    <w:pPr>
      <w:spacing w:after="0" w:line="240" w:lineRule="auto"/>
      <w:jc w:val="both"/>
    </w:pPr>
    <w:rPr>
      <w:rFonts w:ascii="Arial" w:eastAsia="Times New Roman" w:hAnsi="Arial" w:cs="Arial"/>
      <w:sz w:val="18"/>
      <w:szCs w:val="20"/>
    </w:rPr>
  </w:style>
  <w:style w:type="paragraph" w:customStyle="1" w:styleId="TEMPLATEAbbreviations">
    <w:name w:val="TEMPLATE Abbreviations"/>
    <w:pPr>
      <w:spacing w:after="0" w:line="240" w:lineRule="auto"/>
    </w:pPr>
    <w:rPr>
      <w:rFonts w:ascii="Arial" w:eastAsia="Times New Roman" w:hAnsi="Arial" w:cs="Times New Roman"/>
      <w:noProof/>
      <w:sz w:val="20"/>
      <w:szCs w:val="20"/>
      <w:lang w:eastAsia="de-DE"/>
    </w:rPr>
  </w:style>
  <w:style w:type="paragraph" w:customStyle="1" w:styleId="EBP2">
    <w:name w:val="E BP2"/>
    <w:next w:val="EText"/>
    <w:qFormat/>
    <w:pPr>
      <w:numPr>
        <w:numId w:val="134"/>
      </w:numPr>
      <w:spacing w:after="120" w:line="288" w:lineRule="auto"/>
      <w:ind w:left="454" w:hanging="227"/>
      <w:contextualSpacing/>
      <w:jc w:val="both"/>
    </w:pPr>
    <w:rPr>
      <w:rFonts w:ascii="Arial" w:eastAsia="Times New Roman" w:hAnsi="Arial" w:cs="Times New Roman"/>
      <w:sz w:val="18"/>
      <w:szCs w:val="20"/>
      <w:lang w:eastAsia="de-DE"/>
    </w:rPr>
  </w:style>
  <w:style w:type="character" w:styleId="Strong">
    <w:name w:val="Strong"/>
    <w:aliases w:val="E Bold"/>
    <w:basedOn w:val="DefaultParagraphFont"/>
    <w:uiPriority w:val="22"/>
    <w:qFormat/>
    <w:rPr>
      <w:b/>
      <w:bCs/>
    </w:rPr>
  </w:style>
  <w:style w:type="paragraph" w:customStyle="1" w:styleId="EBP1">
    <w:name w:val="E BP1"/>
    <w:basedOn w:val="EBP2"/>
    <w:next w:val="EText"/>
    <w:qFormat/>
    <w:pPr>
      <w:ind w:left="5334" w:hanging="360"/>
    </w:pPr>
    <w:rPr>
      <w:sz w:val="20"/>
      <w:lang w:eastAsia="en-US"/>
    </w:rPr>
  </w:style>
  <w:style w:type="paragraph" w:customStyle="1" w:styleId="ECaptionBelowSource">
    <w:name w:val="E Caption Below (Source)"/>
    <w:next w:val="EText"/>
    <w:qFormat/>
    <w:pPr>
      <w:spacing w:before="40" w:after="240" w:line="240" w:lineRule="auto"/>
    </w:pPr>
    <w:rPr>
      <w:rFonts w:ascii="Arial" w:eastAsia="Times New Roman" w:hAnsi="Arial" w:cs="Times New Roman"/>
      <w:bCs/>
      <w:i/>
      <w:sz w:val="18"/>
      <w:szCs w:val="18"/>
    </w:rPr>
  </w:style>
  <w:style w:type="paragraph" w:customStyle="1" w:styleId="TEMPLATEFrontpagetitle">
    <w:name w:val="TEMPLATE Frontpage title"/>
    <w:pPr>
      <w:spacing w:after="0" w:line="240" w:lineRule="auto"/>
      <w:jc w:val="center"/>
    </w:pPr>
    <w:rPr>
      <w:rFonts w:ascii="Arial" w:eastAsia="Times New Roman" w:hAnsi="Arial" w:cs="Times New Roman"/>
      <w:sz w:val="60"/>
      <w:szCs w:val="24"/>
    </w:rPr>
  </w:style>
  <w:style w:type="paragraph" w:customStyle="1" w:styleId="TEMPLATETitlethirdpage">
    <w:name w:val="TEMPLATE Title third page"/>
    <w:pPr>
      <w:spacing w:after="0" w:line="240" w:lineRule="auto"/>
      <w:jc w:val="center"/>
    </w:pPr>
    <w:rPr>
      <w:rFonts w:ascii="Arial" w:eastAsia="Times New Roman" w:hAnsi="Arial" w:cs="Times New Roman"/>
      <w:sz w:val="52"/>
      <w:szCs w:val="20"/>
      <w:lang w:val="en-US" w:eastAsia="de-DE"/>
    </w:rPr>
  </w:style>
  <w:style w:type="paragraph" w:customStyle="1" w:styleId="TEMPLATEFrontpageothertext">
    <w:name w:val="TEMPLATE Frontpage other text"/>
    <w:pPr>
      <w:spacing w:after="0" w:line="240" w:lineRule="auto"/>
      <w:jc w:val="center"/>
    </w:pPr>
    <w:rPr>
      <w:rFonts w:ascii="Arial" w:eastAsia="Times New Roman" w:hAnsi="Arial" w:cs="Times New Roman"/>
      <w:sz w:val="36"/>
      <w:szCs w:val="20"/>
      <w:lang w:eastAsia="de-DE"/>
    </w:rPr>
  </w:style>
  <w:style w:type="paragraph" w:customStyle="1" w:styleId="ETextNoSpacing">
    <w:name w:val="E Text No Spacing"/>
    <w:basedOn w:val="EText"/>
    <w:qFormat/>
    <w:pPr>
      <w:keepNext/>
      <w:spacing w:after="0"/>
    </w:pPr>
  </w:style>
  <w:style w:type="table" w:customStyle="1" w:styleId="LightShading1">
    <w:name w:val="Light Shading1"/>
    <w:basedOn w:val="TableNormal"/>
    <w:uiPriority w:val="60"/>
    <w:pPr>
      <w:spacing w:after="0" w:line="240" w:lineRule="auto"/>
    </w:pPr>
    <w:rPr>
      <w:rFonts w:ascii="Times New Roman" w:eastAsia="Times New Roman" w:hAnsi="Times New Roman" w:cs="Times New Roman"/>
      <w:color w:val="000000" w:themeColor="text1" w:themeShade="BF"/>
      <w:sz w:val="20"/>
      <w:szCs w:val="20"/>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EReferenceList">
    <w:name w:val="E Reference List"/>
    <w:qFormat/>
    <w:pPr>
      <w:spacing w:after="120" w:line="240" w:lineRule="auto"/>
    </w:pPr>
    <w:rPr>
      <w:rFonts w:ascii="Arial" w:eastAsia="Times New Roman" w:hAnsi="Arial" w:cs="Times New Roman"/>
      <w:iCs/>
      <w:sz w:val="18"/>
      <w:szCs w:val="20"/>
    </w:rPr>
  </w:style>
  <w:style w:type="paragraph" w:customStyle="1" w:styleId="Etableheader">
    <w:name w:val="E table header"/>
    <w:basedOn w:val="Etabletext"/>
    <w:link w:val="EtableheaderChar1"/>
    <w:qFormat/>
    <w:rPr>
      <w:b/>
    </w:rPr>
  </w:style>
  <w:style w:type="character" w:customStyle="1" w:styleId="EtableheaderChar1">
    <w:name w:val="E table header Char1"/>
    <w:basedOn w:val="EtabletextChar"/>
    <w:link w:val="Etableheader"/>
    <w:rPr>
      <w:rFonts w:ascii="Verdana" w:eastAsia="Times New Roman" w:hAnsi="Verdana" w:cs="Times New Roman"/>
      <w:b/>
      <w:sz w:val="16"/>
      <w:szCs w:val="20"/>
      <w:lang w:eastAsia="de-DE"/>
    </w:rPr>
  </w:style>
  <w:style w:type="character" w:customStyle="1" w:styleId="EtabletextChar">
    <w:name w:val="E table text Char"/>
    <w:basedOn w:val="DefaultParagraphFont"/>
    <w:link w:val="Etabletext"/>
    <w:rPr>
      <w:rFonts w:ascii="Verdana" w:eastAsia="Times New Roman" w:hAnsi="Verdana" w:cs="Times New Roman"/>
      <w:sz w:val="16"/>
      <w:szCs w:val="20"/>
      <w:lang w:eastAsia="de-DE"/>
    </w:rPr>
  </w:style>
  <w:style w:type="character" w:customStyle="1" w:styleId="EtableheaderChar">
    <w:name w:val="E table header Char"/>
    <w:basedOn w:val="EtabletextChar"/>
    <w:rPr>
      <w:rFonts w:ascii="Verdana" w:eastAsia="Times New Roman" w:hAnsi="Verdana" w:cs="Times New Roman"/>
      <w:sz w:val="16"/>
      <w:szCs w:val="20"/>
      <w:lang w:eastAsia="de-DE"/>
    </w:rPr>
  </w:style>
  <w:style w:type="paragraph" w:customStyle="1" w:styleId="EH5">
    <w:name w:val="E H5"/>
    <w:next w:val="EText"/>
    <w:qFormat/>
    <w:pPr>
      <w:spacing w:before="60" w:after="120" w:line="240" w:lineRule="auto"/>
    </w:pPr>
    <w:rPr>
      <w:rFonts w:ascii="Arial" w:eastAsia="Times New Roman" w:hAnsi="Arial" w:cs="Times New Roman"/>
      <w:b/>
      <w:bCs/>
      <w:sz w:val="21"/>
      <w:szCs w:val="20"/>
      <w:lang w:eastAsia="de-DE"/>
    </w:rPr>
  </w:style>
  <w:style w:type="paragraph" w:customStyle="1" w:styleId="Abbildung">
    <w:name w:val="Abbildung"/>
    <w:basedOn w:val="Normal"/>
    <w:qFormat/>
    <w:pPr>
      <w:spacing w:after="0" w:line="240" w:lineRule="auto"/>
    </w:pPr>
    <w:rPr>
      <w:rFonts w:ascii="Arial" w:eastAsia="Times New Roman" w:hAnsi="Arial" w:cs="Times New Roman"/>
      <w:noProof/>
      <w:szCs w:val="24"/>
      <w:lang w:eastAsia="it-IT"/>
    </w:rPr>
  </w:style>
  <w:style w:type="paragraph" w:customStyle="1" w:styleId="Tabelle">
    <w:name w:val="Tabelle"/>
    <w:basedOn w:val="Normal"/>
    <w:qFormat/>
    <w:pPr>
      <w:spacing w:before="40" w:after="40" w:line="240" w:lineRule="auto"/>
    </w:pPr>
    <w:rPr>
      <w:rFonts w:ascii="Arial" w:eastAsia="Times New Roman" w:hAnsi="Arial" w:cs="Times New Roman"/>
      <w:bCs/>
      <w:sz w:val="18"/>
      <w:szCs w:val="18"/>
      <w:lang w:eastAsia="de-DE"/>
    </w:rPr>
  </w:style>
  <w:style w:type="paragraph" w:customStyle="1" w:styleId="Quelle">
    <w:name w:val="Quelle"/>
    <w:basedOn w:val="Normal"/>
    <w:next w:val="Normal"/>
    <w:qFormat/>
    <w:pPr>
      <w:spacing w:before="80" w:after="240" w:line="240" w:lineRule="auto"/>
    </w:pPr>
    <w:rPr>
      <w:rFonts w:ascii="Arial" w:eastAsia="Times New Roman" w:hAnsi="Arial" w:cs="Times New Roman"/>
      <w:bCs/>
      <w:iCs/>
      <w:sz w:val="18"/>
      <w:szCs w:val="20"/>
      <w:lang w:eastAsia="de-DE"/>
    </w:rPr>
  </w:style>
  <w:style w:type="paragraph" w:customStyle="1" w:styleId="Enumbering">
    <w:name w:val="E numbering"/>
    <w:basedOn w:val="EBP1"/>
    <w:pPr>
      <w:numPr>
        <w:numId w:val="135"/>
      </w:numPr>
      <w:ind w:left="567" w:hanging="340"/>
    </w:pPr>
  </w:style>
  <w:style w:type="character" w:customStyle="1" w:styleId="st">
    <w:name w:val="st"/>
    <w:basedOn w:val="DefaultParagraphFont"/>
  </w:style>
  <w:style w:type="character" w:customStyle="1" w:styleId="tgc">
    <w:name w:val="_tgc"/>
    <w:basedOn w:val="DefaultParagraphFont"/>
  </w:style>
  <w:style w:type="numbering" w:customStyle="1" w:styleId="KeineListe1">
    <w:name w:val="Keine Liste1"/>
    <w:next w:val="NoList"/>
    <w:uiPriority w:val="99"/>
    <w:semiHidden/>
    <w:unhideWhenUsed/>
  </w:style>
  <w:style w:type="paragraph" w:customStyle="1" w:styleId="ESPONText">
    <w:name w:val="ESPON Text"/>
    <w:basedOn w:val="Normal"/>
    <w:pPr>
      <w:spacing w:after="120" w:line="300" w:lineRule="atLeast"/>
      <w:jc w:val="both"/>
    </w:pPr>
    <w:rPr>
      <w:rFonts w:ascii="Arial" w:eastAsia="Times New Roman" w:hAnsi="Arial" w:cs="Times New Roman"/>
      <w:szCs w:val="20"/>
      <w:lang w:eastAsia="de-DE"/>
    </w:rPr>
  </w:style>
  <w:style w:type="paragraph" w:customStyle="1" w:styleId="ESPONSubtitle">
    <w:name w:val="ESPON Subtitle"/>
    <w:basedOn w:val="Normal"/>
    <w:next w:val="ESPONText"/>
    <w:pPr>
      <w:keepNext/>
      <w:numPr>
        <w:numId w:val="137"/>
      </w:numPr>
      <w:autoSpaceDE w:val="0"/>
      <w:autoSpaceDN w:val="0"/>
      <w:adjustRightInd w:val="0"/>
      <w:spacing w:before="360" w:after="240" w:line="300" w:lineRule="atLeast"/>
      <w:ind w:left="567" w:hanging="567"/>
    </w:pPr>
    <w:rPr>
      <w:rFonts w:ascii="Arial" w:eastAsia="Times New Roman" w:hAnsi="Arial" w:cs="Times New Roman"/>
      <w:b/>
      <w:color w:val="365F91"/>
      <w:szCs w:val="20"/>
    </w:rPr>
  </w:style>
  <w:style w:type="paragraph" w:customStyle="1" w:styleId="ESPONTableHeading">
    <w:name w:val="ESPON Table Heading"/>
    <w:basedOn w:val="ESPONFigureHeading"/>
    <w:next w:val="ESPONText"/>
  </w:style>
  <w:style w:type="paragraph" w:customStyle="1" w:styleId="ESPONFigureHeading">
    <w:name w:val="ESPON Figure Heading"/>
    <w:basedOn w:val="Caption"/>
    <w:next w:val="ESPONText"/>
    <w:pPr>
      <w:keepNext/>
      <w:suppressLineNumbers w:val="0"/>
      <w:suppressAutoHyphens w:val="0"/>
      <w:spacing w:before="240"/>
      <w:ind w:left="851" w:hanging="851"/>
      <w:jc w:val="left"/>
    </w:pPr>
    <w:rPr>
      <w:rFonts w:ascii="Arial" w:hAnsi="Arial" w:cs="Times New Roman"/>
      <w:b/>
      <w:bCs/>
      <w:i w:val="0"/>
      <w:iCs w:val="0"/>
      <w:color w:val="365F91"/>
      <w:sz w:val="18"/>
      <w:szCs w:val="20"/>
      <w:lang w:eastAsia="en-US"/>
    </w:rPr>
  </w:style>
  <w:style w:type="paragraph" w:customStyle="1" w:styleId="ESPONMapHeading">
    <w:name w:val="ESPON Map Heading"/>
    <w:basedOn w:val="ESPONFigureHeading"/>
    <w:next w:val="ESPONText"/>
  </w:style>
  <w:style w:type="paragraph" w:customStyle="1" w:styleId="Aufzhlung">
    <w:name w:val="Aufzählung"/>
    <w:basedOn w:val="AufzhlungEnde"/>
    <w:qFormat/>
    <w:pPr>
      <w:tabs>
        <w:tab w:val="left" w:pos="426"/>
      </w:tabs>
      <w:spacing w:after="60"/>
    </w:pPr>
  </w:style>
  <w:style w:type="paragraph" w:customStyle="1" w:styleId="AufzhlungEnde">
    <w:name w:val="Aufzählung_Ende"/>
    <w:basedOn w:val="ESPONText"/>
    <w:qFormat/>
    <w:pPr>
      <w:numPr>
        <w:numId w:val="136"/>
      </w:numPr>
    </w:pPr>
  </w:style>
  <w:style w:type="character" w:customStyle="1" w:styleId="CharChar7">
    <w:name w:val="Char Char7"/>
    <w:rPr>
      <w:rFonts w:ascii="Times" w:hAnsi="Times"/>
      <w:b/>
      <w:noProof/>
      <w:lang w:val="it-IT" w:eastAsia="it-IT"/>
    </w:rPr>
  </w:style>
  <w:style w:type="paragraph" w:styleId="NoSpacing">
    <w:name w:val="No Spacing"/>
    <w:link w:val="NoSpacingChar"/>
    <w:uiPriority w:val="1"/>
    <w:qFormat/>
    <w:pPr>
      <w:spacing w:after="0" w:line="240" w:lineRule="auto"/>
    </w:pPr>
    <w:rPr>
      <w:rFonts w:ascii="Calibri" w:eastAsia="Times New Roman" w:hAnsi="Calibri" w:cs="Arial"/>
      <w:lang w:val="de-DE"/>
    </w:rPr>
  </w:style>
  <w:style w:type="character" w:customStyle="1" w:styleId="NoSpacingChar">
    <w:name w:val="No Spacing Char"/>
    <w:link w:val="NoSpacing"/>
    <w:uiPriority w:val="1"/>
    <w:rPr>
      <w:rFonts w:ascii="Calibri" w:eastAsia="Times New Roman" w:hAnsi="Calibri" w:cs="Arial"/>
      <w:lang w:val="de-DE"/>
    </w:rPr>
  </w:style>
  <w:style w:type="table" w:customStyle="1" w:styleId="Tabellengitternetz1">
    <w:name w:val="Tabellengitternetz1"/>
    <w:basedOn w:val="TableNormal"/>
    <w:next w:val="TableGrid"/>
    <w:uiPriority w:val="59"/>
    <w:pPr>
      <w:spacing w:after="0" w:line="240" w:lineRule="auto"/>
    </w:pPr>
    <w:rPr>
      <w:rFonts w:ascii="Calibri" w:eastAsia="Calibri" w:hAnsi="Calibri" w:cs="Arial"/>
      <w:sz w:val="20"/>
      <w:szCs w:val="20"/>
      <w:lang w:val="fr-BE"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SPONColophon">
    <w:name w:val="ESPON Colophon"/>
    <w:basedOn w:val="Normal"/>
    <w:pPr>
      <w:spacing w:after="0" w:line="240" w:lineRule="atLeast"/>
      <w:ind w:right="5103"/>
    </w:pPr>
    <w:rPr>
      <w:rFonts w:ascii="Arial" w:eastAsia="Times New Roman" w:hAnsi="Arial" w:cs="Times New Roman"/>
      <w:sz w:val="16"/>
      <w:szCs w:val="20"/>
    </w:rPr>
  </w:style>
  <w:style w:type="paragraph" w:customStyle="1" w:styleId="Impressum">
    <w:name w:val="Impressum"/>
    <w:basedOn w:val="Normal"/>
    <w:pPr>
      <w:spacing w:after="240" w:line="280" w:lineRule="atLeast"/>
    </w:pPr>
    <w:rPr>
      <w:rFonts w:ascii="Humnst777 Lt BT" w:eastAsia="Times New Roman" w:hAnsi="Humnst777 Lt BT" w:cs="Times New Roman"/>
      <w:sz w:val="20"/>
      <w:szCs w:val="20"/>
      <w:lang w:eastAsia="de-DE"/>
    </w:rPr>
  </w:style>
  <w:style w:type="table" w:customStyle="1" w:styleId="Tabellengitternetz11">
    <w:name w:val="Tabellengitternetz11"/>
    <w:basedOn w:val="TableNormal"/>
    <w:uiPriority w:val="59"/>
    <w:pPr>
      <w:spacing w:after="0" w:line="240" w:lineRule="auto"/>
    </w:pPr>
    <w:rPr>
      <w:rFonts w:ascii="Times New Roman" w:eastAsia="Times New Roman" w:hAnsi="Times New Roman" w:cs="Times New Roman"/>
      <w:sz w:val="20"/>
      <w:szCs w:val="20"/>
      <w:lang w:val="fr-BE"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Zwischenberschrift">
    <w:name w:val="Zwischenüberschrift"/>
    <w:basedOn w:val="Normal"/>
    <w:next w:val="Normal"/>
    <w:qFormat/>
    <w:pPr>
      <w:keepNext/>
      <w:spacing w:before="120" w:after="120" w:line="320" w:lineRule="atLeast"/>
    </w:pPr>
    <w:rPr>
      <w:rFonts w:ascii="Arial" w:eastAsia="Times New Roman" w:hAnsi="Arial" w:cs="Times New Roman"/>
      <w:b/>
      <w:szCs w:val="24"/>
    </w:rPr>
  </w:style>
  <w:style w:type="paragraph" w:customStyle="1" w:styleId="Judgement">
    <w:name w:val="Judgement"/>
    <w:basedOn w:val="Normal"/>
    <w:next w:val="Normal"/>
    <w:qFormat/>
    <w:pPr>
      <w:keepNext/>
      <w:spacing w:before="120" w:after="120" w:line="280" w:lineRule="atLeast"/>
    </w:pPr>
    <w:rPr>
      <w:rFonts w:ascii="Arial" w:eastAsia="Times New Roman" w:hAnsi="Arial" w:cs="Times New Roman"/>
      <w:i/>
      <w:color w:val="365F91"/>
      <w:sz w:val="19"/>
      <w:szCs w:val="19"/>
    </w:rPr>
  </w:style>
  <w:style w:type="paragraph" w:customStyle="1" w:styleId="RegularText">
    <w:name w:val="Regular_Text"/>
    <w:uiPriority w:val="99"/>
    <w:qFormat/>
    <w:pPr>
      <w:spacing w:after="120" w:line="240" w:lineRule="auto"/>
      <w:jc w:val="both"/>
    </w:pPr>
    <w:rPr>
      <w:rFonts w:ascii="Times New Roman" w:eastAsia="Calibri" w:hAnsi="Times New Roman" w:cs="Times New Roman"/>
      <w:sz w:val="28"/>
    </w:rPr>
  </w:style>
  <w:style w:type="table" w:customStyle="1" w:styleId="HelleSchattierung-Akzent51">
    <w:name w:val="Helle Schattierung - Akzent 51"/>
    <w:basedOn w:val="TableNormal"/>
    <w:next w:val="LightShading-Accent5"/>
    <w:uiPriority w:val="60"/>
    <w:pPr>
      <w:spacing w:after="0" w:line="240" w:lineRule="auto"/>
    </w:pPr>
    <w:rPr>
      <w:rFonts w:ascii="Calibri" w:eastAsia="Calibri" w:hAnsi="Calibri" w:cs="Arial"/>
      <w:color w:val="31849B"/>
      <w:sz w:val="20"/>
      <w:szCs w:val="20"/>
      <w:lang w:val="fr-BE" w:eastAsia="fr-BE"/>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Inhaltsverzeichnisberschrift1">
    <w:name w:val="Inhaltsverzeichnisüberschrift1"/>
    <w:basedOn w:val="Heading1"/>
    <w:next w:val="Normal"/>
    <w:uiPriority w:val="39"/>
    <w:unhideWhenUsed/>
    <w:qFormat/>
    <w:pPr>
      <w:keepLines/>
      <w:numPr>
        <w:numId w:val="0"/>
      </w:numPr>
      <w:spacing w:before="480" w:after="0" w:line="276" w:lineRule="auto"/>
      <w:jc w:val="left"/>
      <w:outlineLvl w:val="9"/>
    </w:pPr>
    <w:rPr>
      <w:rFonts w:ascii="Cambria" w:hAnsi="Cambria"/>
      <w:smallCaps w:val="0"/>
      <w:color w:val="365F91"/>
      <w:sz w:val="28"/>
      <w:szCs w:val="28"/>
      <w:lang w:val="en-US" w:eastAsia="ja-JP"/>
    </w:rPr>
  </w:style>
  <w:style w:type="table" w:styleId="LightShading-Accent5">
    <w:name w:val="Light Shading Accent 5"/>
    <w:basedOn w:val="TableNormal"/>
    <w:uiPriority w:val="60"/>
    <w:pPr>
      <w:spacing w:after="0" w:line="240" w:lineRule="auto"/>
    </w:pPr>
    <w:rPr>
      <w:rFonts w:ascii="Times New Roman" w:eastAsia="Times New Roman" w:hAnsi="Times New Roman" w:cs="Times New Roman"/>
      <w:color w:val="31849B" w:themeColor="accent5" w:themeShade="BF"/>
      <w:sz w:val="20"/>
      <w:szCs w:val="20"/>
      <w:lang w:val="en-US"/>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E-mailSignature">
    <w:name w:val="E-mail Signature"/>
    <w:basedOn w:val="Normal"/>
    <w:link w:val="E-mailSignatureChar"/>
    <w:uiPriority w:val="99"/>
    <w:unhideWhenUsed/>
    <w:pPr>
      <w:spacing w:after="0" w:line="240" w:lineRule="auto"/>
      <w:jc w:val="both"/>
    </w:pPr>
    <w:rPr>
      <w:rFonts w:ascii="Arial" w:eastAsia="Times New Roman" w:hAnsi="Arial" w:cs="Times New Roman"/>
      <w:sz w:val="20"/>
      <w:szCs w:val="20"/>
      <w:lang w:eastAsia="de-DE"/>
    </w:rPr>
  </w:style>
  <w:style w:type="character" w:customStyle="1" w:styleId="E-mailSignatureChar">
    <w:name w:val="E-mail Signature Char"/>
    <w:basedOn w:val="DefaultParagraphFont"/>
    <w:link w:val="E-mailSignature"/>
    <w:uiPriority w:val="99"/>
    <w:rPr>
      <w:rFonts w:ascii="Arial" w:eastAsia="Times New Roman" w:hAnsi="Arial" w:cs="Times New Roman"/>
      <w:sz w:val="20"/>
      <w:szCs w:val="20"/>
      <w:lang w:eastAsia="de-DE"/>
    </w:rPr>
  </w:style>
  <w:style w:type="paragraph" w:customStyle="1" w:styleId="TableTextNoSpace">
    <w:name w:val="Table Text NoSpace"/>
    <w:basedOn w:val="Normal"/>
    <w:uiPriority w:val="7"/>
    <w:qFormat/>
    <w:pPr>
      <w:spacing w:after="0" w:line="220" w:lineRule="atLeast"/>
    </w:pPr>
    <w:rPr>
      <w:rFonts w:ascii="Verdana" w:eastAsia="Times New Roman" w:hAnsi="Verdana" w:cs="Arial"/>
      <w:sz w:val="16"/>
      <w:szCs w:val="23"/>
      <w:lang w:eastAsia="da-DK"/>
    </w:rPr>
  </w:style>
  <w:style w:type="table" w:customStyle="1" w:styleId="CowiTableLines">
    <w:name w:val="Cowi Table Lines"/>
    <w:basedOn w:val="TableGrid6"/>
    <w:uiPriority w:val="99"/>
    <w:pPr>
      <w:spacing w:after="0" w:line="270" w:lineRule="atLeast"/>
      <w:jc w:val="left"/>
    </w:pPr>
    <w:rPr>
      <w:sz w:val="23"/>
      <w:szCs w:val="23"/>
      <w:lang w:val="da-DK" w:eastAsia="da-DK"/>
    </w:rPr>
    <w:tblPr>
      <w:tblBorders>
        <w:top w:val="single" w:sz="4" w:space="0" w:color="auto"/>
        <w:left w:val="single" w:sz="4" w:space="0" w:color="auto"/>
        <w:bottom w:val="single" w:sz="4" w:space="0" w:color="auto"/>
        <w:right w:val="single" w:sz="4" w:space="0" w:color="auto"/>
        <w:insideV w:val="single" w:sz="4" w:space="0" w:color="808080"/>
      </w:tblBorders>
      <w:tblCellMar>
        <w:top w:w="108" w:type="dxa"/>
        <w:bottom w:w="108" w:type="dxa"/>
      </w:tblCellMar>
    </w:tblPr>
    <w:tcPr>
      <w:shd w:val="clear" w:color="auto" w:fill="auto"/>
    </w:tcPr>
    <w:tblStylePr w:type="firstRow">
      <w:rPr>
        <w:b w:val="0"/>
        <w:bCs w:val="0"/>
        <w:color w:val="F04E23"/>
      </w:rPr>
      <w:tblPr/>
      <w:tcPr>
        <w:tcBorders>
          <w:bottom w:val="single" w:sz="8" w:space="0" w:color="808080"/>
          <w:tl2br w:val="none" w:sz="0" w:space="0" w:color="auto"/>
          <w:tr2bl w:val="none" w:sz="0" w:space="0" w:color="auto"/>
        </w:tcBorders>
      </w:tcPr>
    </w:tblStylePr>
    <w:tblStylePr w:type="lastRow">
      <w:rPr>
        <w:color w:val="auto"/>
      </w:rPr>
      <w:tblPr/>
      <w:tcPr>
        <w:tcBorders>
          <w:top w:val="nil"/>
          <w:tl2br w:val="none" w:sz="0" w:space="0" w:color="auto"/>
          <w:tr2bl w:val="none" w:sz="0" w:space="0" w:color="auto"/>
        </w:tcBorders>
      </w:tcPr>
    </w:tblStylePr>
    <w:tblStylePr w:type="firstCol">
      <w:rPr>
        <w:b w:val="0"/>
        <w:bCs/>
        <w:i w:val="0"/>
        <w:color w:val="F04E23"/>
      </w:rPr>
      <w:tblPr/>
      <w:tcPr>
        <w:tcBorders>
          <w:tl2br w:val="none" w:sz="0" w:space="0" w:color="auto"/>
          <w:tr2bl w:val="none" w:sz="0" w:space="0" w:color="auto"/>
        </w:tcBorders>
      </w:tcPr>
    </w:tblStylePr>
    <w:tblStylePr w:type="nwCell">
      <w:tblPr/>
      <w:tcPr>
        <w:tcBorders>
          <w:tl2br w:val="nil"/>
          <w:tr2bl w:val="none" w:sz="0" w:space="0" w:color="auto"/>
        </w:tcBorders>
      </w:tcPr>
    </w:tblStylePr>
  </w:style>
  <w:style w:type="table" w:styleId="TableGrid6">
    <w:name w:val="Table Grid 6"/>
    <w:basedOn w:val="TableNormal"/>
    <w:uiPriority w:val="99"/>
    <w:semiHidden/>
    <w:unhideWhenUsed/>
    <w:pPr>
      <w:spacing w:after="120" w:line="360" w:lineRule="auto"/>
      <w:jc w:val="both"/>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numbering" w:customStyle="1" w:styleId="CowiBulletList">
    <w:name w:val="CowiBulletList"/>
    <w:pPr>
      <w:numPr>
        <w:numId w:val="138"/>
      </w:numPr>
    </w:pPr>
  </w:style>
  <w:style w:type="table" w:customStyle="1" w:styleId="LightList-Accent11">
    <w:name w:val="Light List - Accent 11"/>
    <w:basedOn w:val="TableNormal"/>
    <w:next w:val="LightList-Accent1"/>
    <w:uiPriority w:val="61"/>
    <w:pPr>
      <w:spacing w:after="0" w:line="240" w:lineRule="auto"/>
      <w:jc w:val="both"/>
    </w:pPr>
    <w:rPr>
      <w:rFonts w:ascii="Calibri" w:eastAsia="Calibri" w:hAnsi="Calibri" w:cs="Times New Roma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styleId="LightList-Accent1">
    <w:name w:val="Light List Accent 1"/>
    <w:basedOn w:val="TableNormal"/>
    <w:uiPriority w:val="61"/>
    <w:unhideWhenUsed/>
    <w:pPr>
      <w:spacing w:after="0" w:line="240" w:lineRule="auto"/>
    </w:pPr>
    <w:rPr>
      <w:rFonts w:ascii="Calibri" w:eastAsia="Times New Roman" w:hAnsi="Calibri" w:cs="Times New Roman"/>
      <w:sz w:val="20"/>
      <w:szCs w:val="20"/>
      <w:lang w:eastAsia="en-GB"/>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GridTable4-Accent13">
    <w:name w:val="Grid Table 4 - Accent 13"/>
    <w:basedOn w:val="TableNormal"/>
    <w:uiPriority w:val="49"/>
    <w:pPr>
      <w:spacing w:after="0" w:line="240" w:lineRule="auto"/>
    </w:pPr>
    <w:rPr>
      <w:rFonts w:ascii="Calibri" w:eastAsia="Calibri" w:hAnsi="Calibri" w:cs="Times New Roman"/>
      <w:lang w:val="it-IT"/>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2">
    <w:name w:val="Grid Table 4 - Accent 12"/>
    <w:basedOn w:val="TableNormal"/>
    <w:uiPriority w:val="49"/>
    <w:pPr>
      <w:spacing w:after="0" w:line="240" w:lineRule="auto"/>
    </w:pPr>
    <w:rPr>
      <w:rFonts w:ascii="Calibri" w:eastAsia="Calibri" w:hAnsi="Calibri" w:cs="Times New Roman"/>
      <w:lang w:val="it-IT"/>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21">
    <w:name w:val="Grid Table 4 - Accent 121"/>
    <w:basedOn w:val="TableNormal"/>
    <w:uiPriority w:val="49"/>
    <w:pPr>
      <w:spacing w:after="0" w:line="240" w:lineRule="auto"/>
    </w:pPr>
    <w:rPr>
      <w:rFonts w:ascii="Calibri" w:eastAsia="Calibri" w:hAnsi="Calibri" w:cs="Times New Roman"/>
      <w:lang w:val="it-IT"/>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22">
    <w:name w:val="Grid Table 4 - Accent 122"/>
    <w:basedOn w:val="TableNormal"/>
    <w:uiPriority w:val="49"/>
    <w:pPr>
      <w:spacing w:after="0" w:line="240" w:lineRule="auto"/>
    </w:pPr>
    <w:rPr>
      <w:rFonts w:ascii="Calibri" w:eastAsia="Calibri" w:hAnsi="Calibri" w:cs="Times New Roman"/>
      <w:lang w:val="it-IT"/>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Annexes">
    <w:name w:val="Annexes"/>
    <w:basedOn w:val="Heading2"/>
    <w:qFormat/>
    <w:pPr>
      <w:numPr>
        <w:ilvl w:val="0"/>
        <w:numId w:val="0"/>
      </w:numPr>
    </w:pPr>
    <w:rPr>
      <w:bCs w:val="0"/>
      <w:iCs w:val="0"/>
      <w:noProof/>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105543">
      <w:bodyDiv w:val="1"/>
      <w:marLeft w:val="0"/>
      <w:marRight w:val="0"/>
      <w:marTop w:val="0"/>
      <w:marBottom w:val="0"/>
      <w:divBdr>
        <w:top w:val="none" w:sz="0" w:space="0" w:color="auto"/>
        <w:left w:val="none" w:sz="0" w:space="0" w:color="auto"/>
        <w:bottom w:val="none" w:sz="0" w:space="0" w:color="auto"/>
        <w:right w:val="none" w:sz="0" w:space="0" w:color="auto"/>
      </w:divBdr>
    </w:div>
    <w:div w:id="833688357">
      <w:bodyDiv w:val="1"/>
      <w:marLeft w:val="0"/>
      <w:marRight w:val="0"/>
      <w:marTop w:val="0"/>
      <w:marBottom w:val="0"/>
      <w:divBdr>
        <w:top w:val="none" w:sz="0" w:space="0" w:color="auto"/>
        <w:left w:val="none" w:sz="0" w:space="0" w:color="auto"/>
        <w:bottom w:val="none" w:sz="0" w:space="0" w:color="auto"/>
        <w:right w:val="none" w:sz="0" w:space="0" w:color="auto"/>
      </w:divBdr>
    </w:div>
    <w:div w:id="1165167110">
      <w:bodyDiv w:val="1"/>
      <w:marLeft w:val="0"/>
      <w:marRight w:val="0"/>
      <w:marTop w:val="0"/>
      <w:marBottom w:val="0"/>
      <w:divBdr>
        <w:top w:val="none" w:sz="0" w:space="0" w:color="auto"/>
        <w:left w:val="none" w:sz="0" w:space="0" w:color="auto"/>
        <w:bottom w:val="none" w:sz="0" w:space="0" w:color="auto"/>
        <w:right w:val="none" w:sz="0" w:space="0" w:color="auto"/>
      </w:divBdr>
    </w:div>
    <w:div w:id="1172378562">
      <w:bodyDiv w:val="1"/>
      <w:marLeft w:val="0"/>
      <w:marRight w:val="0"/>
      <w:marTop w:val="0"/>
      <w:marBottom w:val="0"/>
      <w:divBdr>
        <w:top w:val="none" w:sz="0" w:space="0" w:color="auto"/>
        <w:left w:val="none" w:sz="0" w:space="0" w:color="auto"/>
        <w:bottom w:val="none" w:sz="0" w:space="0" w:color="auto"/>
        <w:right w:val="none" w:sz="0" w:space="0" w:color="auto"/>
      </w:divBdr>
    </w:div>
    <w:div w:id="1308702184">
      <w:bodyDiv w:val="1"/>
      <w:marLeft w:val="0"/>
      <w:marRight w:val="0"/>
      <w:marTop w:val="0"/>
      <w:marBottom w:val="0"/>
      <w:divBdr>
        <w:top w:val="none" w:sz="0" w:space="0" w:color="auto"/>
        <w:left w:val="none" w:sz="0" w:space="0" w:color="auto"/>
        <w:bottom w:val="none" w:sz="0" w:space="0" w:color="auto"/>
        <w:right w:val="none" w:sz="0" w:space="0" w:color="auto"/>
      </w:divBdr>
    </w:div>
    <w:div w:id="1544295088">
      <w:bodyDiv w:val="1"/>
      <w:marLeft w:val="0"/>
      <w:marRight w:val="0"/>
      <w:marTop w:val="0"/>
      <w:marBottom w:val="0"/>
      <w:divBdr>
        <w:top w:val="none" w:sz="0" w:space="0" w:color="auto"/>
        <w:left w:val="none" w:sz="0" w:space="0" w:color="auto"/>
        <w:bottom w:val="none" w:sz="0" w:space="0" w:color="auto"/>
        <w:right w:val="none" w:sz="0" w:space="0" w:color="auto"/>
      </w:divBdr>
    </w:div>
    <w:div w:id="1832788992">
      <w:bodyDiv w:val="1"/>
      <w:marLeft w:val="0"/>
      <w:marRight w:val="0"/>
      <w:marTop w:val="0"/>
      <w:marBottom w:val="0"/>
      <w:divBdr>
        <w:top w:val="none" w:sz="0" w:space="0" w:color="auto"/>
        <w:left w:val="none" w:sz="0" w:space="0" w:color="auto"/>
        <w:bottom w:val="none" w:sz="0" w:space="0" w:color="auto"/>
        <w:right w:val="none" w:sz="0" w:space="0" w:color="auto"/>
      </w:divBdr>
    </w:div>
    <w:div w:id="2014451001">
      <w:bodyDiv w:val="1"/>
      <w:marLeft w:val="0"/>
      <w:marRight w:val="0"/>
      <w:marTop w:val="0"/>
      <w:marBottom w:val="0"/>
      <w:divBdr>
        <w:top w:val="none" w:sz="0" w:space="0" w:color="auto"/>
        <w:left w:val="none" w:sz="0" w:space="0" w:color="auto"/>
        <w:bottom w:val="none" w:sz="0" w:space="0" w:color="auto"/>
        <w:right w:val="none" w:sz="0" w:space="0" w:color="auto"/>
      </w:divBdr>
    </w:div>
    <w:div w:id="2078235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117" Type="http://schemas.openxmlformats.org/officeDocument/2006/relationships/footer" Target="footer25.xml"/><Relationship Id="rId21" Type="http://schemas.openxmlformats.org/officeDocument/2006/relationships/header" Target="header6.xml"/><Relationship Id="rId42" Type="http://schemas.openxmlformats.org/officeDocument/2006/relationships/footer" Target="footer11.xml"/><Relationship Id="rId47" Type="http://schemas.openxmlformats.org/officeDocument/2006/relationships/footer" Target="footer13.xml"/><Relationship Id="rId63" Type="http://schemas.openxmlformats.org/officeDocument/2006/relationships/image" Target="media/image7.emf"/><Relationship Id="rId68" Type="http://schemas.openxmlformats.org/officeDocument/2006/relationships/image" Target="media/image12.jpeg"/><Relationship Id="rId84" Type="http://schemas.openxmlformats.org/officeDocument/2006/relationships/image" Target="media/image28.png"/><Relationship Id="rId89" Type="http://schemas.openxmlformats.org/officeDocument/2006/relationships/image" Target="media/image33.jpeg"/><Relationship Id="rId112" Type="http://schemas.openxmlformats.org/officeDocument/2006/relationships/hyperlink" Target="http://thelawdictionary.org/application/" TargetMode="External"/><Relationship Id="rId16" Type="http://schemas.openxmlformats.org/officeDocument/2006/relationships/hyperlink" Target="mailto:bernd.gawlik@ec.europa.eu" TargetMode="External"/><Relationship Id="rId107" Type="http://schemas.openxmlformats.org/officeDocument/2006/relationships/header" Target="header23.xml"/><Relationship Id="rId11" Type="http://schemas.openxmlformats.org/officeDocument/2006/relationships/header" Target="header2.xml"/><Relationship Id="rId32" Type="http://schemas.openxmlformats.org/officeDocument/2006/relationships/hyperlink" Target="http://www.ncbi.nlm.nih.gov/pubmed?term=%22Stenstr%C3%B6m%20TA%22%5BAuthor%5D" TargetMode="External"/><Relationship Id="rId37" Type="http://schemas.openxmlformats.org/officeDocument/2006/relationships/hyperlink" Target="https://ec.europa.eu/environment/ecoap/etv_en" TargetMode="External"/><Relationship Id="rId53" Type="http://schemas.openxmlformats.org/officeDocument/2006/relationships/header" Target="header16.xml"/><Relationship Id="rId58" Type="http://schemas.openxmlformats.org/officeDocument/2006/relationships/footer" Target="footer18.xml"/><Relationship Id="rId74" Type="http://schemas.openxmlformats.org/officeDocument/2006/relationships/image" Target="media/image18.emf"/><Relationship Id="rId79" Type="http://schemas.openxmlformats.org/officeDocument/2006/relationships/image" Target="media/image23.png"/><Relationship Id="rId102" Type="http://schemas.openxmlformats.org/officeDocument/2006/relationships/footer" Target="footer19.xml"/><Relationship Id="rId5" Type="http://schemas.openxmlformats.org/officeDocument/2006/relationships/settings" Target="settings.xml"/><Relationship Id="rId61" Type="http://schemas.openxmlformats.org/officeDocument/2006/relationships/image" Target="media/image5.jpeg"/><Relationship Id="rId82" Type="http://schemas.openxmlformats.org/officeDocument/2006/relationships/image" Target="media/image26.emf"/><Relationship Id="rId90" Type="http://schemas.openxmlformats.org/officeDocument/2006/relationships/image" Target="media/image34.emf"/><Relationship Id="rId95" Type="http://schemas.openxmlformats.org/officeDocument/2006/relationships/image" Target="media/image39.jpeg"/><Relationship Id="rId19" Type="http://schemas.openxmlformats.org/officeDocument/2006/relationships/footer" Target="footer4.xml"/><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header" Target="header9.xml"/><Relationship Id="rId30" Type="http://schemas.openxmlformats.org/officeDocument/2006/relationships/hyperlink" Target="http://dx.doi.org/10.1002/9781118910030" TargetMode="External"/><Relationship Id="rId35" Type="http://schemas.openxmlformats.org/officeDocument/2006/relationships/hyperlink" Target="https://www.cencenelec.eu/News/Brief_News/Pages/TN-2017-006.aspx" TargetMode="External"/><Relationship Id="rId43" Type="http://schemas.openxmlformats.org/officeDocument/2006/relationships/header" Target="header12.xml"/><Relationship Id="rId48" Type="http://schemas.openxmlformats.org/officeDocument/2006/relationships/footer" Target="footer14.xml"/><Relationship Id="rId56" Type="http://schemas.openxmlformats.org/officeDocument/2006/relationships/footer" Target="footer17.xml"/><Relationship Id="rId64" Type="http://schemas.openxmlformats.org/officeDocument/2006/relationships/image" Target="media/image8.jpeg"/><Relationship Id="rId69" Type="http://schemas.openxmlformats.org/officeDocument/2006/relationships/image" Target="media/image13.emf"/><Relationship Id="rId77" Type="http://schemas.openxmlformats.org/officeDocument/2006/relationships/image" Target="media/image21.emf"/><Relationship Id="rId100" Type="http://schemas.openxmlformats.org/officeDocument/2006/relationships/header" Target="header19.xml"/><Relationship Id="rId105" Type="http://schemas.openxmlformats.org/officeDocument/2006/relationships/footer" Target="footer21.xml"/><Relationship Id="rId113" Type="http://schemas.openxmlformats.org/officeDocument/2006/relationships/hyperlink" Target="http://thelawdictionary.org/beneficial-use/" TargetMode="External"/><Relationship Id="rId118" Type="http://schemas.openxmlformats.org/officeDocument/2006/relationships/footer" Target="footer26.xml"/><Relationship Id="rId8" Type="http://schemas.openxmlformats.org/officeDocument/2006/relationships/endnotes" Target="endnotes.xml"/><Relationship Id="rId51" Type="http://schemas.openxmlformats.org/officeDocument/2006/relationships/hyperlink" Target="https://www.espon.eu/" TargetMode="External"/><Relationship Id="rId72" Type="http://schemas.openxmlformats.org/officeDocument/2006/relationships/image" Target="media/image16.emf"/><Relationship Id="rId80" Type="http://schemas.openxmlformats.org/officeDocument/2006/relationships/image" Target="media/image24.emf"/><Relationship Id="rId85" Type="http://schemas.openxmlformats.org/officeDocument/2006/relationships/image" Target="media/image29.png"/><Relationship Id="rId93" Type="http://schemas.openxmlformats.org/officeDocument/2006/relationships/image" Target="media/image37.emf"/><Relationship Id="rId98" Type="http://schemas.openxmlformats.org/officeDocument/2006/relationships/image" Target="media/image42.emf"/><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footer" Target="footer7.xml"/><Relationship Id="rId33" Type="http://schemas.openxmlformats.org/officeDocument/2006/relationships/hyperlink" Target="http://www.ncbi.nlm.nih.gov/pubmed?term=%22Ashbolt%20NJ%22%5BAuthor%5D" TargetMode="External"/><Relationship Id="rId38" Type="http://schemas.openxmlformats.org/officeDocument/2006/relationships/hyperlink" Target="https://www.eipwater.eu/sites/default/files/AG100%20RTWQM%20water%20legislation_whitepaper_v2_150714_def.pdf" TargetMode="External"/><Relationship Id="rId46" Type="http://schemas.openxmlformats.org/officeDocument/2006/relationships/header" Target="header14.xml"/><Relationship Id="rId59" Type="http://schemas.openxmlformats.org/officeDocument/2006/relationships/image" Target="media/image3.jpeg"/><Relationship Id="rId67" Type="http://schemas.openxmlformats.org/officeDocument/2006/relationships/image" Target="media/image11.jpeg"/><Relationship Id="rId103" Type="http://schemas.openxmlformats.org/officeDocument/2006/relationships/footer" Target="footer20.xml"/><Relationship Id="rId108" Type="http://schemas.openxmlformats.org/officeDocument/2006/relationships/footer" Target="footer22.xml"/><Relationship Id="rId116" Type="http://schemas.openxmlformats.org/officeDocument/2006/relationships/header" Target="header26.xml"/><Relationship Id="rId20" Type="http://schemas.openxmlformats.org/officeDocument/2006/relationships/footer" Target="footer5.xml"/><Relationship Id="rId41" Type="http://schemas.openxmlformats.org/officeDocument/2006/relationships/footer" Target="footer10.xml"/><Relationship Id="rId54" Type="http://schemas.openxmlformats.org/officeDocument/2006/relationships/header" Target="header17.xml"/><Relationship Id="rId62" Type="http://schemas.openxmlformats.org/officeDocument/2006/relationships/image" Target="media/image6.emf"/><Relationship Id="rId70" Type="http://schemas.openxmlformats.org/officeDocument/2006/relationships/image" Target="media/image14.emf"/><Relationship Id="rId75" Type="http://schemas.openxmlformats.org/officeDocument/2006/relationships/image" Target="media/image19.png"/><Relationship Id="rId83" Type="http://schemas.openxmlformats.org/officeDocument/2006/relationships/image" Target="media/image27.emf"/><Relationship Id="rId88" Type="http://schemas.openxmlformats.org/officeDocument/2006/relationships/image" Target="media/image32.jpeg"/><Relationship Id="rId91" Type="http://schemas.openxmlformats.org/officeDocument/2006/relationships/image" Target="media/image35.emf"/><Relationship Id="rId96" Type="http://schemas.openxmlformats.org/officeDocument/2006/relationships/image" Target="media/image40.jpeg"/><Relationship Id="rId111" Type="http://schemas.openxmlformats.org/officeDocument/2006/relationships/footer" Target="footer2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7.xml"/><Relationship Id="rId28" Type="http://schemas.openxmlformats.org/officeDocument/2006/relationships/footer" Target="footer9.xml"/><Relationship Id="rId36" Type="http://schemas.openxmlformats.org/officeDocument/2006/relationships/hyperlink" Target="https://www.cencenelec.eu/news/policy_opinions/PolicyOpinions/ReplyWasteWater2014Nov.pdf" TargetMode="External"/><Relationship Id="rId49" Type="http://schemas.openxmlformats.org/officeDocument/2006/relationships/header" Target="header15.xml"/><Relationship Id="rId57" Type="http://schemas.openxmlformats.org/officeDocument/2006/relationships/header" Target="header18.xml"/><Relationship Id="rId106" Type="http://schemas.openxmlformats.org/officeDocument/2006/relationships/header" Target="header22.xml"/><Relationship Id="rId114" Type="http://schemas.openxmlformats.org/officeDocument/2006/relationships/hyperlink" Target="http://thelawdictionary.org/appropriator/" TargetMode="External"/><Relationship Id="rId119" Type="http://schemas.openxmlformats.org/officeDocument/2006/relationships/header" Target="header27.xml"/><Relationship Id="rId10" Type="http://schemas.openxmlformats.org/officeDocument/2006/relationships/header" Target="header1.xml"/><Relationship Id="rId31" Type="http://schemas.openxmlformats.org/officeDocument/2006/relationships/hyperlink" Target="http://www.ncbi.nlm.nih.gov/pubmed?term=%22Westrell%20T%22%5BAuthor%5D" TargetMode="External"/><Relationship Id="rId44" Type="http://schemas.openxmlformats.org/officeDocument/2006/relationships/footer" Target="footer12.xml"/><Relationship Id="rId52" Type="http://schemas.openxmlformats.org/officeDocument/2006/relationships/hyperlink" Target="mailto:info@espon.eu" TargetMode="External"/><Relationship Id="rId60" Type="http://schemas.openxmlformats.org/officeDocument/2006/relationships/image" Target="media/image4.jpeg"/><Relationship Id="rId65" Type="http://schemas.openxmlformats.org/officeDocument/2006/relationships/image" Target="media/image9.emf"/><Relationship Id="rId73" Type="http://schemas.openxmlformats.org/officeDocument/2006/relationships/image" Target="media/image17.emf"/><Relationship Id="rId78" Type="http://schemas.openxmlformats.org/officeDocument/2006/relationships/image" Target="media/image22.emf"/><Relationship Id="rId81" Type="http://schemas.openxmlformats.org/officeDocument/2006/relationships/image" Target="media/image25.emf"/><Relationship Id="rId86" Type="http://schemas.openxmlformats.org/officeDocument/2006/relationships/image" Target="media/image30.emf"/><Relationship Id="rId94" Type="http://schemas.openxmlformats.org/officeDocument/2006/relationships/image" Target="media/image38.jpeg"/><Relationship Id="rId99" Type="http://schemas.openxmlformats.org/officeDocument/2006/relationships/image" Target="media/image43.emf"/><Relationship Id="rId101" Type="http://schemas.openxmlformats.org/officeDocument/2006/relationships/header" Target="header20.xml"/><Relationship Id="rId12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header" Target="header5.xml"/><Relationship Id="rId39" Type="http://schemas.openxmlformats.org/officeDocument/2006/relationships/header" Target="header10.xml"/><Relationship Id="rId109" Type="http://schemas.openxmlformats.org/officeDocument/2006/relationships/footer" Target="footer23.xml"/><Relationship Id="rId34" Type="http://schemas.openxmlformats.org/officeDocument/2006/relationships/hyperlink" Target="http://r3water.eu/wp-content/uploads/2014/04/R3Water-Final-Brochure-2017_online.pdf" TargetMode="External"/><Relationship Id="rId50" Type="http://schemas.openxmlformats.org/officeDocument/2006/relationships/footer" Target="footer15.xml"/><Relationship Id="rId55" Type="http://schemas.openxmlformats.org/officeDocument/2006/relationships/footer" Target="footer16.xml"/><Relationship Id="rId76" Type="http://schemas.openxmlformats.org/officeDocument/2006/relationships/image" Target="media/image20.png"/><Relationship Id="rId97" Type="http://schemas.openxmlformats.org/officeDocument/2006/relationships/image" Target="media/image41.png"/><Relationship Id="rId104" Type="http://schemas.openxmlformats.org/officeDocument/2006/relationships/header" Target="header21.xml"/><Relationship Id="rId120" Type="http://schemas.openxmlformats.org/officeDocument/2006/relationships/footer" Target="footer27.xml"/><Relationship Id="rId7" Type="http://schemas.openxmlformats.org/officeDocument/2006/relationships/footnotes" Target="footnotes.xml"/><Relationship Id="rId71" Type="http://schemas.openxmlformats.org/officeDocument/2006/relationships/image" Target="media/image15.emf"/><Relationship Id="rId92" Type="http://schemas.openxmlformats.org/officeDocument/2006/relationships/image" Target="media/image36.emf"/><Relationship Id="rId2" Type="http://schemas.openxmlformats.org/officeDocument/2006/relationships/numbering" Target="numbering.xml"/><Relationship Id="rId29" Type="http://schemas.openxmlformats.org/officeDocument/2006/relationships/image" Target="media/image2.emf"/><Relationship Id="rId24" Type="http://schemas.openxmlformats.org/officeDocument/2006/relationships/header" Target="header8.xml"/><Relationship Id="rId40" Type="http://schemas.openxmlformats.org/officeDocument/2006/relationships/header" Target="header11.xml"/><Relationship Id="rId45" Type="http://schemas.openxmlformats.org/officeDocument/2006/relationships/header" Target="header13.xml"/><Relationship Id="rId66" Type="http://schemas.openxmlformats.org/officeDocument/2006/relationships/image" Target="media/image10.emf"/><Relationship Id="rId87" Type="http://schemas.openxmlformats.org/officeDocument/2006/relationships/image" Target="media/image31.emf"/><Relationship Id="rId110" Type="http://schemas.openxmlformats.org/officeDocument/2006/relationships/header" Target="header24.xml"/><Relationship Id="rId115" Type="http://schemas.openxmlformats.org/officeDocument/2006/relationships/header" Target="header25.xml"/></Relationships>
</file>

<file path=word/_rels/footnotes.xml.rels><?xml version="1.0" encoding="UTF-8" standalone="yes"?>
<Relationships xmlns="http://schemas.openxmlformats.org/package/2006/relationships"><Relationship Id="rId3" Type="http://schemas.openxmlformats.org/officeDocument/2006/relationships/hyperlink" Target="https://www.eip-water.eu/sites/default/files/AG100%20RTWQM%20WaterReuse-ConceptNote-v2.pdf" TargetMode="External"/><Relationship Id="rId7" Type="http://schemas.openxmlformats.org/officeDocument/2006/relationships/hyperlink" Target="http://www.eip-water.eu/MAR_Solutions" TargetMode="External"/><Relationship Id="rId2" Type="http://schemas.openxmlformats.org/officeDocument/2006/relationships/hyperlink" Target="http://r3water.eu/techniques-for-reuse-of-water/" TargetMode="External"/><Relationship Id="rId1" Type="http://schemas.openxmlformats.org/officeDocument/2006/relationships/hyperlink" Target="http://eur-lex.europa.eu/resource.html?uri=cellar:8a8ef5e8-99a0-11e5-b3b7-01aa75ed71a1.0012.02/DOC_1&amp;format=PDF" TargetMode="External"/><Relationship Id="rId6" Type="http://schemas.openxmlformats.org/officeDocument/2006/relationships/hyperlink" Target="http://demoware.eu/en/results/deliverables/deliverable-d3-2-show-case-of-the-environmental-benefits-and-risk-assessment-of-reuse-schemes.pdf/view" TargetMode="External"/><Relationship Id="rId5" Type="http://schemas.openxmlformats.org/officeDocument/2006/relationships/hyperlink" Target="http://demoware.eu/en/results/deliverables/deliverable-d3-1-appropiate-and-user-friendly-methodologies-for-ra_lca_wfp.pdf/view" TargetMode="External"/><Relationship Id="rId4" Type="http://schemas.openxmlformats.org/officeDocument/2006/relationships/hyperlink" Target="https://correo.adasasistemas.com/owa/redir.aspx?C=9d52ad06818d44839f5ae99c8fa02316&amp;URL=http%3a%2f%2fdemoware.eu%2fen%2fresults%2fdeliverabl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E609D1-0F91-4EBB-BE08-377E14BD5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156</Pages>
  <Words>53631</Words>
  <Characters>309454</Characters>
  <Application>Microsoft Office Word</Application>
  <DocSecurity>0</DocSecurity>
  <Lines>5838</Lines>
  <Paragraphs>2357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360728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DOMINGUEZ AGUIRRE Ana (SG)</cp:lastModifiedBy>
  <cp:revision>17</cp:revision>
  <cp:lastPrinted>2017-11-28T10:27:00Z</cp:lastPrinted>
  <dcterms:created xsi:type="dcterms:W3CDTF">2018-06-13T08:02:00Z</dcterms:created>
  <dcterms:modified xsi:type="dcterms:W3CDTF">2018-06-13T15:12:00Z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art">
    <vt:lpwstr>3</vt:lpwstr>
  </property>
  <property fmtid="{D5CDD505-2E9C-101B-9397-08002B2CF9AE}" pid="3" name="Total parts">
    <vt:lpwstr>3</vt:lpwstr>
  </property>
  <property fmtid="{D5CDD505-2E9C-101B-9397-08002B2CF9AE}" pid="4" name="DocStatus">
    <vt:lpwstr>Green</vt:lpwstr>
  </property>
  <property fmtid="{D5CDD505-2E9C-101B-9397-08002B2CF9AE}" pid="5" name="Level of sensitivity">
    <vt:lpwstr>Standard treatment</vt:lpwstr>
  </property>
</Properties>
</file>