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6C98923-DBEA-48C8-A5C7-8B3E3D294185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 I</w:t>
      </w:r>
    </w:p>
    <w:p>
      <w:pPr>
        <w:spacing w:before="0" w:after="0" w:line="276" w:lineRule="auto"/>
        <w:jc w:val="center"/>
        <w:rPr>
          <w:b/>
          <w:noProof/>
        </w:rPr>
      </w:pPr>
      <w:r>
        <w:rPr>
          <w:b/>
          <w:noProof/>
        </w:rPr>
        <w:t>Допустими действия, с които се постига специфичната цел, посочена в член 3, параграф 2, буква д)</w:t>
      </w:r>
    </w:p>
    <w:p>
      <w:pPr>
        <w:rPr>
          <w:noProof/>
        </w:rPr>
      </w:pPr>
      <w:r>
        <w:rPr>
          <w:noProof/>
        </w:rPr>
        <w:t>Следните действия (изпълнявани предимно чрез безвъзмездни средства и обществени поръчки), с които се постига специфичната цел, посочена в член 3, параграф 2, буква д), са допустими за финансиране:</w:t>
      </w:r>
    </w:p>
    <w:p>
      <w:pPr>
        <w:pStyle w:val="NumPar1"/>
        <w:numPr>
          <w:ilvl w:val="0"/>
          <w:numId w:val="12"/>
        </w:numPr>
        <w:rPr>
          <w:noProof/>
        </w:rPr>
      </w:pPr>
      <w:r>
        <w:rPr>
          <w:noProof/>
        </w:rPr>
        <w:t>Ветеринарните и фитосанитарните спешни мерки.</w:t>
      </w:r>
    </w:p>
    <w:p>
      <w:pPr>
        <w:pStyle w:val="NumPar2"/>
        <w:rPr>
          <w:noProof/>
        </w:rPr>
      </w:pPr>
      <w:r>
        <w:rPr>
          <w:noProof/>
        </w:rPr>
        <w:t xml:space="preserve">Ветеринарните и фитосанитарните спешни мерки, които трябва да бъдат предприети поради потвърждаване на появата на някоя от болестите по животните или зоонозите, включени в списъка в приложение III, или поради потвърждаване на наличието на един или повече вредители, или ако е налице пряка заплаха за здравето на хората, животните или растенията в Съюза. </w:t>
      </w:r>
    </w:p>
    <w:p>
      <w:pPr>
        <w:rPr>
          <w:noProof/>
        </w:rPr>
      </w:pPr>
      <w:r>
        <w:rPr>
          <w:noProof/>
        </w:rPr>
        <w:t xml:space="preserve">Мерките, посочени в първия параграф, се изпълняват незабавно, а тяхното прилагане трябва да отговаря на изискванията, определени в съответното право на Съюза. </w:t>
      </w:r>
    </w:p>
    <w:p>
      <w:pPr>
        <w:pStyle w:val="NumPar2"/>
        <w:rPr>
          <w:noProof/>
        </w:rPr>
      </w:pPr>
      <w:r>
        <w:rPr>
          <w:noProof/>
        </w:rPr>
        <w:t xml:space="preserve">По отношение на извънредни ситуации от фитосанитарно естество — следните мерки, предприети от държавите членки, по отношение на първото огнище на вредители в определена област: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мерки за ликвидиране на карантинни вредители от значение за Съюза, предприети от компетентния орган на дадена държава членка в съответствие с член 16 от Регламент (ЕС) 2016/2031 на Европейския парламент и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или с мерките на Съюза, приети в съответствие с член 28, параграф 1 от същия регламент;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мерки за ликвидиране на вредители, невключени в списък на карантинни вредители от значение за Съюза, които са предприети от компетентния орган на дадена държава членка в съответствие с член 29 от Регламент (ЕС) 2016/2031 и които могат да бъдат счетени за вредители от значение за Съюза в съответствие с критериите по посочения член или по член 30, параграф 1 от същия регламент;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допълнителни защитни мерки, предприети срещу разпространението на вредител, срещу който има приети мерки на равнището на Съюза съгласно член 28, параграф 1 и член 30, параграф 1 от Регламент (ЕС) 2016/2031, различни от мерките за ликвидиране, посочени в буква а) от настоящата точка, и мерките за ограничаване, посочени в буква б) от настоящата точка, когато тези мерки са от съществено значение за защитата на Съюза срещу по-нататъшно разпространение на вредителя. </w:t>
      </w:r>
    </w:p>
    <w:p>
      <w:pPr>
        <w:pStyle w:val="NumPar2"/>
        <w:rPr>
          <w:noProof/>
        </w:rPr>
      </w:pPr>
      <w:r>
        <w:rPr>
          <w:noProof/>
        </w:rPr>
        <w:t>Финансиране от Съюза може да се предоставя и за следните мерки:</w:t>
      </w:r>
    </w:p>
    <w:p>
      <w:pPr>
        <w:pStyle w:val="NumPar3"/>
        <w:rPr>
          <w:noProof/>
        </w:rPr>
      </w:pPr>
      <w:r>
        <w:rPr>
          <w:noProof/>
        </w:rPr>
        <w:t>мерки за защита, предприети в случай на директна заплаха за здравния статус на Съюза вследствие на появата или развитието на територията на трета държава, държава членка или OCT на някоя от болестите по животните и зоонозите, включени в приложение III, както и мерки за защита или други подходящи действия, предприети в подкрепа на фитосанитарното състояние в Съюза;</w:t>
      </w:r>
    </w:p>
    <w:p>
      <w:pPr>
        <w:pStyle w:val="NumPar3"/>
        <w:rPr>
          <w:noProof/>
        </w:rPr>
      </w:pPr>
      <w:r>
        <w:rPr>
          <w:noProof/>
        </w:rPr>
        <w:t>посочени в настоящото приложение мерки, които се извършват от две или повече държави членки, които си сътрудничат тясно за контролиране на епидемията;</w:t>
      </w:r>
    </w:p>
    <w:p>
      <w:pPr>
        <w:pStyle w:val="NumPar3"/>
        <w:rPr>
          <w:noProof/>
        </w:rPr>
      </w:pPr>
      <w:r>
        <w:rPr>
          <w:noProof/>
        </w:rPr>
        <w:t>създаване на запаси от биологични продукти, предназначени за борба с болестите по животните и зоонозите, включени в приложение III, когато при представяне на искане от държава членка Комисията сметне, че създаването на такива запаси е необходимо в тази държава членка;</w:t>
      </w:r>
    </w:p>
    <w:p>
      <w:pPr>
        <w:pStyle w:val="NumPar3"/>
        <w:rPr>
          <w:noProof/>
        </w:rPr>
      </w:pPr>
      <w:r>
        <w:rPr>
          <w:noProof/>
        </w:rPr>
        <w:t>създаване на запаси от биологични продукти или закупуване на дози ваксини, ако появата или разпространението в трета държава или в държава членка на една от болестите по животните и зоонозите, включени в приложение III, може да представлява заплаха за Съюза.</w:t>
      </w:r>
    </w:p>
    <w:p>
      <w:pPr>
        <w:pStyle w:val="NumPar1"/>
        <w:rPr>
          <w:noProof/>
        </w:rPr>
      </w:pPr>
      <w:r>
        <w:rPr>
          <w:noProof/>
        </w:rPr>
        <w:t>Годишните и многогодишните ветеринарни и фитосанитарни програми.</w:t>
      </w:r>
    </w:p>
    <w:p>
      <w:pPr>
        <w:pStyle w:val="NumPar2"/>
        <w:rPr>
          <w:noProof/>
        </w:rPr>
      </w:pPr>
      <w:r>
        <w:rPr>
          <w:noProof/>
        </w:rPr>
        <w:t xml:space="preserve">Годишните и многогодишните ветеринарни и фитосанитарни програми за ликвидиране, контрол и надзор на болестите по животните и зоонозите, включени в приложение III, и на вредители по растенията трябва да се изпълняват в съответствие с разпоредбите, предвидени в съответното право на Съюза. </w:t>
      </w:r>
    </w:p>
    <w:p>
      <w:pPr>
        <w:rPr>
          <w:noProof/>
        </w:rPr>
      </w:pPr>
      <w:r>
        <w:rPr>
          <w:noProof/>
        </w:rPr>
        <w:t xml:space="preserve">Условията за това дейностите да се считат за отговарящи на условията за финансиране, се определят в работната програма, посочена в член 16. </w:t>
      </w:r>
    </w:p>
    <w:p>
      <w:pPr>
        <w:rPr>
          <w:noProof/>
        </w:rPr>
      </w:pPr>
      <w:r>
        <w:rPr>
          <w:noProof/>
        </w:rPr>
        <w:t>Програмите се представят на Комисията до 31 май на годината, предхождаща планирания период на изпълнение.</w:t>
      </w:r>
    </w:p>
    <w:p>
      <w:pPr>
        <w:rPr>
          <w:noProof/>
        </w:rPr>
      </w:pPr>
      <w:r>
        <w:rPr>
          <w:noProof/>
        </w:rPr>
        <w:t>След като бенефициерите представят междинните финансови доклади, Комисията може, ако е необходимо, да измени споразуменията за отпускане на безвъзмездни средства за целия период на допустимост.</w:t>
      </w:r>
    </w:p>
    <w:p>
      <w:pPr>
        <w:pStyle w:val="NumPar2"/>
        <w:rPr>
          <w:noProof/>
        </w:rPr>
      </w:pPr>
      <w:r>
        <w:rPr>
          <w:noProof/>
        </w:rPr>
        <w:t>Ако има вероятност появата или разпространението на някоя от болестите по животните или зоонозите, включени в приложение III, да представлява заплаха за здравния статус на Съюза и с цел да се защити Съюзът от въвеждането на някоя от тези болести или зоонози, или ако мерките за защита са необходими за подкрепа на фитосанитарното състояние в Съюза, държавите членки може да включват в националните си програми мерки, които да бъдат прилагани на териториите на трети държави в сътрудничество с органите на тези държави. При същите обстоятелства и със същата цел финансиране от Съюза може да се отпуска пряко на компетентните органи на трети държави.</w:t>
      </w:r>
    </w:p>
    <w:p>
      <w:pPr>
        <w:pStyle w:val="NumPar2"/>
        <w:rPr>
          <w:noProof/>
        </w:rPr>
      </w:pPr>
      <w:r>
        <w:rPr>
          <w:noProof/>
        </w:rPr>
        <w:t>По отношение на фитосанитарните програми финансиране от Съюза може да се отпуска на държавите членки за следните мерки: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наблюдения през определени периоди от време, при които се проверява най-малко за наличието на карантинни вредители от значение за Съюза и за признаци или симптоми, показващи наличие на вредители, за които се прилагат мерките, посочени в член 29 от Регламент (ЕС) 2016/2031, или мерки, приети съгласно член 30, параграф 1 от посочения регламент;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наблюдения през определени периоди от време, при които се проверява най-малко за наличието на вредители, различни от посочените в буква а) вредители, които може да представляват нововъзникващ риск за Съюза и чието въвеждане или разпространение може да окаже значително въздействие върху селското или горското стопанство на Съюза;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мерки за ликвидиране на карантинни вредители от значение за Съюза, предприети от компетентния орган на дадена държава членка в съответствие с член 17 от Регламент (ЕС) 2016/2031 или с мерките на Съюза, приети в съответствие с член 28, параграф 1 от същия регламент; 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мерки за ликвидиране на вредители, невключени в списък на карантинни вредители от значение за Съюза, които са предприети от компетентния орган на дадена държава членка в съответствие с член 29 от Регламент (ЕС) 2016/2031 и които могат да бъдат счетени за вредители от значение за Съюза в съответствие с критериите по посочения член или по член 30, параграф 1 от същия регламент;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допълнителни защитни мерки, предприети срещу разпространението на вредител, срещу който има приети мерки на равнището на Съюза съгласно член 28, параграф 1 и член 30, параграф 1 от Регламент (ЕС) 2016/2031, различни от мерките за ликвидиране, посочени в буква в) от настоящата точка, и мерките за ограничаване, посочени в буква г) от настоящата точка, когато тези мерки са от съществено значение за защитата на Съюза срещу по-нататъшно разпространение на вредителя;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мерки за ограничаването на вредител, срещу който има приети мерки на равнището на Съюза съгласно член 28, параграф 2 или член 30, параграф 3 от Регламент (ЕС) 2016/2031, в заразена област, в която вредителят не може да бъде ликвидиран, когато тези мерки са от съществено значение за защитата на Съюза срещу по-нататъшно разпространение на вредителя.</w:t>
      </w:r>
    </w:p>
    <w:p>
      <w:pPr>
        <w:rPr>
          <w:noProof/>
        </w:rPr>
      </w:pPr>
      <w:r>
        <w:rPr>
          <w:noProof/>
        </w:rPr>
        <w:t>В работната програма, посочена в член 16, се определя списък на вредителите по растенията, които попадат в обхвата на тези мерки.</w:t>
      </w:r>
    </w:p>
    <w:p>
      <w:pPr>
        <w:pStyle w:val="NumPar1"/>
        <w:rPr>
          <w:noProof/>
        </w:rPr>
      </w:pPr>
      <w:r>
        <w:rPr>
          <w:noProof/>
        </w:rPr>
        <w:t>Дейностите в подкрепа на по-хуманното отношение към животните.</w:t>
      </w:r>
    </w:p>
    <w:p>
      <w:pPr>
        <w:pStyle w:val="NumPar1"/>
        <w:rPr>
          <w:noProof/>
        </w:rPr>
      </w:pPr>
      <w:r>
        <w:rPr>
          <w:noProof/>
        </w:rPr>
        <w:t>Референтните лаборатории и референтните центрове на Европейския съюз, посочени в членове 92, 95 и 97 от Регламент (ЕС) 2017/625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NumPar1"/>
        <w:rPr>
          <w:noProof/>
        </w:rPr>
      </w:pPr>
      <w:r>
        <w:rPr>
          <w:noProof/>
        </w:rPr>
        <w:t>Координираните програми за контрол и събирането на информация и данни, посочени в член 112 от Регламент (ЕС) 2017/625.</w:t>
      </w:r>
    </w:p>
    <w:p>
      <w:pPr>
        <w:pStyle w:val="NumPar1"/>
        <w:rPr>
          <w:noProof/>
        </w:rPr>
      </w:pPr>
      <w:r>
        <w:rPr>
          <w:noProof/>
        </w:rPr>
        <w:t>Дейностите за предотвратяване на разхищението на храни и за борба с измамите с храни.</w:t>
      </w:r>
    </w:p>
    <w:p>
      <w:pPr>
        <w:pStyle w:val="NumPar1"/>
        <w:rPr>
          <w:noProof/>
        </w:rPr>
      </w:pPr>
      <w:r>
        <w:rPr>
          <w:noProof/>
        </w:rPr>
        <w:t>Дейностите в подкрепа на устойчивото производство и потребление на храни.</w:t>
      </w:r>
    </w:p>
    <w:p>
      <w:pPr>
        <w:pStyle w:val="NumPar1"/>
        <w:rPr>
          <w:noProof/>
        </w:rPr>
      </w:pPr>
      <w:r>
        <w:rPr>
          <w:noProof/>
        </w:rPr>
        <w:t>Базите данни и компютърните информационни системи, които са необходими за ефективното и ефикасно прилагане на законодателството, свързано със специфичната цел, посочена в член 3, параграф 2, буква д), и които са с доказана добавена стойност за Съюза като цяло.</w:t>
      </w:r>
    </w:p>
    <w:p>
      <w:pPr>
        <w:pStyle w:val="NumPar1"/>
        <w:rPr>
          <w:noProof/>
        </w:rPr>
      </w:pPr>
      <w:r>
        <w:rPr>
          <w:noProof/>
        </w:rPr>
        <w:t>Обучението на персонала на компетентните органи, които отговарят за официалния контрол, и другите страни, участващи в управлението и/или превенцията на болести по животните или вредители по растенията, в съответствие с посочено в член 130 от Регламент (ЕС) 2017/625.</w:t>
      </w:r>
    </w:p>
    <w:p>
      <w:pPr>
        <w:pStyle w:val="NumPar1"/>
        <w:rPr>
          <w:noProof/>
        </w:rPr>
      </w:pPr>
      <w:r>
        <w:rPr>
          <w:noProof/>
        </w:rPr>
        <w:t>Пътните разходи, разходите за настаняване и дневните разходи, направени от експерти от държавите членки във връзка с назначаването им от Комисията да подпомогнат нейните експерти съгласно предвиденото в член 116, параграф 4 и член 120, параграф 4 от Регламент (ЕС) 2017/625.</w:t>
      </w:r>
    </w:p>
    <w:p>
      <w:pPr>
        <w:pStyle w:val="NumPar1"/>
        <w:rPr>
          <w:noProof/>
        </w:rPr>
      </w:pPr>
      <w:r>
        <w:rPr>
          <w:noProof/>
        </w:rPr>
        <w:t>Необходимата техническа и научна работа, включително проучвания и координационни дейности, с цел да се осигури правилното прилагане на законодателството в областта, свързана със специфичната цел, посочена в член 3, параграф 2, буква д), и адаптирането му спрямо развитието на науката, технологиите и обществото.</w:t>
      </w:r>
    </w:p>
    <w:p>
      <w:pPr>
        <w:pStyle w:val="NumPar1"/>
        <w:rPr>
          <w:noProof/>
        </w:rPr>
      </w:pPr>
      <w:r>
        <w:rPr>
          <w:noProof/>
        </w:rPr>
        <w:t>Дейностите, извършвани от държавите членки или от международни организации, работещи с цел постигане на специфичната цел, посочена в член 3, параграф 2, буква д), в подкрепа на разработването и прилагането на правилата, свързани с тази цел.</w:t>
      </w:r>
    </w:p>
    <w:p>
      <w:pPr>
        <w:pStyle w:val="NumPar1"/>
        <w:rPr>
          <w:noProof/>
        </w:rPr>
      </w:pPr>
      <w:r>
        <w:rPr>
          <w:noProof/>
        </w:rPr>
        <w:t>Проектите, организирани от една или повече държави членки с цел да се подобри чрез използването на новаторски техники и протоколи ефикасността на изпълнението на специфичната цел, посочена в член 3, параграф 2, буква д).</w:t>
      </w:r>
    </w:p>
    <w:p>
      <w:pPr>
        <w:pStyle w:val="NumPar1"/>
        <w:rPr>
          <w:noProof/>
        </w:rPr>
      </w:pPr>
      <w:r>
        <w:rPr>
          <w:noProof/>
        </w:rPr>
        <w:t>Подкрепата за инициативи на Съюза и на държавите членки за информиране и повишаване на осведомеността с цел да се гарантира по-добро, отговарящо на изискванията и устойчиво производство и потребление на храни, включително дейностите за предотвратяване на разхищението на храни и измамите с храни, в рамките на прилагането на правилата в областта на специфичната цел, посочена в член 3, параграф 2, буква д).</w:t>
      </w:r>
    </w:p>
    <w:p>
      <w:pPr>
        <w:pStyle w:val="NumPar1"/>
        <w:rPr>
          <w:noProof/>
        </w:rPr>
      </w:pPr>
      <w:r>
        <w:rPr>
          <w:noProof/>
        </w:rPr>
        <w:t>Предприетите мерки за защита на здравето на хората, животните и растенията и за хуманно отношение към животните, прилагани по отношение на животни, животински продукти, растения и растителни продукти, пристигащи от трети държави на граница на Съюза.</w:t>
      </w:r>
    </w:p>
    <w:p>
      <w:pPr>
        <w:pStyle w:val="NumPar1"/>
        <w:rPr>
          <w:noProof/>
        </w:rPr>
      </w:pPr>
    </w:p>
    <w:p>
      <w:pPr>
        <w:spacing w:before="0" w:after="200" w:line="276" w:lineRule="auto"/>
        <w:jc w:val="left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spacing w:before="0" w:after="0" w:line="276" w:lineRule="auto"/>
        <w:jc w:val="center"/>
        <w:rPr>
          <w:b/>
          <w:noProof/>
        </w:rPr>
      </w:pPr>
      <w:r>
        <w:rPr>
          <w:b/>
          <w:noProof/>
        </w:rPr>
        <w:t>Допустими действия, с които се постига специфичната цел, посочена в член 3, параграф 2, буква е)</w:t>
      </w:r>
    </w:p>
    <w:p>
      <w:pPr>
        <w:spacing w:before="0" w:after="0" w:line="276" w:lineRule="auto"/>
        <w:jc w:val="center"/>
        <w:rPr>
          <w:b/>
          <w:noProof/>
        </w:rPr>
      </w:pPr>
    </w:p>
    <w:p>
      <w:pPr>
        <w:rPr>
          <w:b/>
          <w:noProof/>
        </w:rPr>
      </w:pPr>
      <w:r>
        <w:rPr>
          <w:noProof/>
        </w:rPr>
        <w:t>За изпълнението на политиките на Съюза е необходима висококачествена, съпоставима и надеждна статистическа информация за икономическото, социалното, териториалното и екологичното положение в Съюза. Освен това европейската статистика позволява на европейските граждани да разбират демократичния процес и да участват в него, както и в обсъждането на настоящето и бъдещето на Съюза.</w:t>
      </w:r>
    </w:p>
    <w:p>
      <w:pPr>
        <w:rPr>
          <w:noProof/>
        </w:rPr>
      </w:pPr>
      <w:r>
        <w:rPr>
          <w:noProof/>
        </w:rPr>
        <w:t>Заедно с Регламент (ЕО) № 223/2009 относно европейската статистика програмата осигурява обща рамка за разработването, изготвянето и разпространението на европейска статистика за периода 2021—2027 г. Европейската статистика се разработва, изготвя и разпространява в съответствие с тази рамка и с принципите на Кодекса на европейската статистическа практика чрез тясно и координирано сътрудничество в рамките на Европейската статистическа система (ЕСС).</w:t>
      </w:r>
    </w:p>
    <w:p>
      <w:pPr>
        <w:rPr>
          <w:noProof/>
        </w:rPr>
      </w:pPr>
      <w:r>
        <w:rPr>
          <w:noProof/>
        </w:rPr>
        <w:t xml:space="preserve">Европейската статистика, която се разработва, изготвя и разпространява в съответствие с тази рамка, допринася за изпълнението на политиките на Съюза, както е посочено в ДФЕС и допълнително отразено в стратегическите приоритети на Комисията. </w:t>
      </w:r>
    </w:p>
    <w:p>
      <w:pPr>
        <w:rPr>
          <w:noProof/>
        </w:rPr>
      </w:pPr>
      <w:r>
        <w:rPr>
          <w:noProof/>
        </w:rPr>
        <w:t xml:space="preserve">При постигането на специфичната цел, посочена в </w:t>
      </w:r>
      <w:r>
        <w:rPr>
          <w:b/>
          <w:noProof/>
        </w:rPr>
        <w:t>член 3, параграф 2, буква е)</w:t>
      </w:r>
      <w:r>
        <w:rPr>
          <w:noProof/>
        </w:rPr>
        <w:t>, се извършват следните действия:</w:t>
      </w: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Икономически и паричен съюз, глобализация и търговия</w:t>
      </w:r>
    </w:p>
    <w:p>
      <w:pPr>
        <w:pStyle w:val="Tiret0"/>
        <w:numPr>
          <w:ilvl w:val="0"/>
          <w:numId w:val="14"/>
        </w:numPr>
        <w:rPr>
          <w:noProof/>
        </w:rPr>
      </w:pPr>
      <w:r>
        <w:rPr>
          <w:noProof/>
        </w:rPr>
        <w:t>предоставяне на висококачествена статистика, на която се основава процедурата при прекомерен дефицит, Програмата за подкрепа на реформите и годишния цикъл на Съюза за икономически мониторинг и икономически насоки;</w:t>
      </w:r>
    </w:p>
    <w:p>
      <w:pPr>
        <w:pStyle w:val="Tiret0"/>
        <w:rPr>
          <w:noProof/>
        </w:rPr>
      </w:pPr>
      <w:r>
        <w:rPr>
          <w:noProof/>
        </w:rPr>
        <w:t>предоставяне и при необходимост укрепване на основните европейски икономически показатели (ОЕИП);</w:t>
      </w:r>
    </w:p>
    <w:p>
      <w:pPr>
        <w:pStyle w:val="Tiret0"/>
        <w:rPr>
          <w:noProof/>
        </w:rPr>
      </w:pPr>
      <w:r>
        <w:rPr>
          <w:noProof/>
        </w:rPr>
        <w:t>предоставяне на статистика и методологически насоки за статистическото третиране на инвестиционните и бюджетните инструменти в подкрепа на икономическото сближаване, финансовата стабилност и създаването на работни места;</w:t>
      </w:r>
    </w:p>
    <w:p>
      <w:pPr>
        <w:pStyle w:val="Tiret0"/>
        <w:rPr>
          <w:noProof/>
        </w:rPr>
      </w:pPr>
      <w:r>
        <w:rPr>
          <w:noProof/>
        </w:rPr>
        <w:t>предоставяне на статистика за целите на собствените ресурси и възнагражденията и пенсиите на служителите на ЕС;</w:t>
      </w:r>
    </w:p>
    <w:p>
      <w:pPr>
        <w:pStyle w:val="Tiret0"/>
        <w:rPr>
          <w:noProof/>
        </w:rPr>
      </w:pPr>
      <w:r>
        <w:rPr>
          <w:noProof/>
        </w:rPr>
        <w:t>по-добро измерване на търговията с услуги, преките чуждестранни инвестиции, световните вериги за създаване на стойност и въздействието на глобализацията върху икономиките на Съюза.</w:t>
      </w:r>
    </w:p>
    <w:p>
      <w:pPr>
        <w:spacing w:before="0" w:after="0"/>
        <w:ind w:left="710"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 xml:space="preserve">Единен пазар, иновации и цифрова трансформация </w:t>
      </w:r>
    </w:p>
    <w:p>
      <w:pPr>
        <w:pStyle w:val="Tiret0"/>
        <w:rPr>
          <w:noProof/>
        </w:rPr>
      </w:pPr>
      <w:r>
        <w:rPr>
          <w:noProof/>
        </w:rPr>
        <w:t xml:space="preserve">предоставяне на висококачествена и надеждна статистика за единния пазар, европейския план за действие в областта на отбраната и ключови области на иновации и научни изследвания; </w:t>
      </w:r>
    </w:p>
    <w:p>
      <w:pPr>
        <w:pStyle w:val="Tiret0"/>
        <w:rPr>
          <w:noProof/>
        </w:rPr>
      </w:pPr>
      <w:r>
        <w:rPr>
          <w:noProof/>
        </w:rPr>
        <w:t xml:space="preserve">предоставяне на повече и по-актуална статистика за икономиката на сътрудничеството и за въздействието на цифровизацията върху европейските предприятия и граждани. </w:t>
      </w:r>
    </w:p>
    <w:p>
      <w:pPr>
        <w:spacing w:before="0" w:after="0"/>
        <w:ind w:left="710"/>
        <w:contextualSpacing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Социално измерение на Европа</w:t>
      </w:r>
    </w:p>
    <w:p>
      <w:pPr>
        <w:pStyle w:val="Tiret0"/>
        <w:rPr>
          <w:noProof/>
        </w:rPr>
      </w:pPr>
      <w:r>
        <w:rPr>
          <w:noProof/>
        </w:rPr>
        <w:t xml:space="preserve">предоставяне на висококачествена, актуална и надеждна статистика в подкрепа на европейския стълб на социалните права и политиката на Съюза в областта на уменията, включително статистика за пазара на труда, заетостта, образованието и обучението, доходите, условията на живот, бедността, неравенството, социалната закрила, недекларирания труд и сателитните сметки за уменията; </w:t>
      </w:r>
    </w:p>
    <w:p>
      <w:pPr>
        <w:pStyle w:val="Tiret0"/>
        <w:rPr>
          <w:noProof/>
        </w:rPr>
      </w:pPr>
      <w:r>
        <w:rPr>
          <w:noProof/>
        </w:rPr>
        <w:t>предоставяне на статистика, свързана с Конвенцията на ООН за правата на хората с увреждания;</w:t>
      </w:r>
    </w:p>
    <w:p>
      <w:pPr>
        <w:pStyle w:val="Tiret0"/>
        <w:rPr>
          <w:noProof/>
        </w:rPr>
      </w:pPr>
      <w:r>
        <w:rPr>
          <w:noProof/>
        </w:rPr>
        <w:t>обогатяване на статистиката за миграцията, и по-специално за положението и интеграцията на мигрантите, както и образователните потребности и равнището на квалификация на лицата, търсещи убежище;</w:t>
      </w:r>
    </w:p>
    <w:p>
      <w:pPr>
        <w:pStyle w:val="Tiret0"/>
        <w:rPr>
          <w:noProof/>
        </w:rPr>
      </w:pPr>
      <w:r>
        <w:rPr>
          <w:noProof/>
        </w:rPr>
        <w:t>разработване за периода след 2021 г. на модернизирани програми за преброяването на населението и жилищния фонд и на модернизирана демографска статистика;</w:t>
      </w:r>
    </w:p>
    <w:p>
      <w:pPr>
        <w:pStyle w:val="Tiret0"/>
        <w:rPr>
          <w:noProof/>
        </w:rPr>
      </w:pPr>
      <w:r>
        <w:rPr>
          <w:noProof/>
        </w:rPr>
        <w:t>предоставяне на демографски прогнози и годишното им актуализиране.</w:t>
      </w:r>
    </w:p>
    <w:p>
      <w:pPr>
        <w:spacing w:before="60" w:after="0"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 xml:space="preserve">Устойчиво развитие, природни ресурси и околна среда </w:t>
      </w:r>
    </w:p>
    <w:p>
      <w:pPr>
        <w:pStyle w:val="Tiret0"/>
        <w:rPr>
          <w:noProof/>
        </w:rPr>
      </w:pPr>
      <w:r>
        <w:rPr>
          <w:noProof/>
        </w:rPr>
        <w:t>мониторинг на напредъка по целите за устойчиво развитие (ЦУР);</w:t>
      </w:r>
    </w:p>
    <w:p>
      <w:pPr>
        <w:pStyle w:val="Tiret0"/>
        <w:rPr>
          <w:noProof/>
        </w:rPr>
      </w:pPr>
      <w:r>
        <w:rPr>
          <w:noProof/>
        </w:rPr>
        <w:t>по-нататъшно разработване на статистика в подкрепа на енергийната стратегия, кръговата икономика и стратегията за пластмасите;</w:t>
      </w:r>
    </w:p>
    <w:p>
      <w:pPr>
        <w:pStyle w:val="Tiret0"/>
        <w:rPr>
          <w:noProof/>
        </w:rPr>
      </w:pPr>
      <w:r>
        <w:rPr>
          <w:noProof/>
          <w:color w:val="000000"/>
        </w:rPr>
        <w:t>предоставяне на ключова статистика и ключови показатели за околната среда, включително относно отпадъците, водите, биологичното разнообразие, горите, използването на земята и земното покритие, както и на свързана с климата статистика и икономически сметки за околната среда;</w:t>
      </w:r>
    </w:p>
    <w:p>
      <w:pPr>
        <w:pStyle w:val="Tiret0"/>
        <w:rPr>
          <w:noProof/>
        </w:rPr>
      </w:pPr>
      <w:r>
        <w:rPr>
          <w:noProof/>
        </w:rPr>
        <w:t xml:space="preserve">предоставяне на статистика за транспорта на товари и пътници в подкрепа на политиките на Съюза и </w:t>
      </w:r>
    </w:p>
    <w:p>
      <w:pPr>
        <w:pStyle w:val="Tiret0"/>
        <w:rPr>
          <w:noProof/>
        </w:rPr>
      </w:pPr>
      <w:r>
        <w:rPr>
          <w:noProof/>
        </w:rPr>
        <w:t>разработване на допълнителни показатели за мониторинг на интермодалността и преминаването към по-екологосъобразни видове транспорт;</w:t>
      </w:r>
    </w:p>
    <w:p>
      <w:pPr>
        <w:pStyle w:val="Tiret0"/>
        <w:rPr>
          <w:noProof/>
        </w:rPr>
      </w:pPr>
      <w:r>
        <w:rPr>
          <w:noProof/>
        </w:rPr>
        <w:t>предоставяне на актуални и значими данни за нуждите на общата селскостопанска политика, общата политика в областта на рибарството и политиките, свързани с околната среда, безопасността на храните и хуманното отношение към животните.</w:t>
      </w:r>
    </w:p>
    <w:p>
      <w:pPr>
        <w:spacing w:before="60" w:after="0"/>
        <w:ind w:left="710"/>
        <w:contextualSpacing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Икономическо, социално и териториално сближаване</w:t>
      </w:r>
    </w:p>
    <w:p>
      <w:pPr>
        <w:pStyle w:val="Tiret0"/>
        <w:rPr>
          <w:noProof/>
        </w:rPr>
      </w:pPr>
      <w:r>
        <w:rPr>
          <w:noProof/>
        </w:rPr>
        <w:t>предоставяне на актуални и изчерпателни статистически показатели за регионите, включително най-отдалечените региони на Съюза, и за градовете и селските райони с цел мониторинг и оценяване на ефективността на политиките за териториално развитие, както и с цел оценяване на териториалното въздействие на секторните политики;</w:t>
      </w:r>
    </w:p>
    <w:p>
      <w:pPr>
        <w:pStyle w:val="Tiret0"/>
        <w:rPr>
          <w:noProof/>
        </w:rPr>
      </w:pPr>
      <w:r>
        <w:rPr>
          <w:noProof/>
        </w:rPr>
        <w:t>подпомагане на разработването на показатели за борбата срещу изпирането на пари и финансирането на тероризма; и разработване на полицейска статистика и статистика за сигурността;</w:t>
      </w:r>
    </w:p>
    <w:p>
      <w:pPr>
        <w:pStyle w:val="Tiret0"/>
        <w:rPr>
          <w:noProof/>
        </w:rPr>
      </w:pPr>
      <w:r>
        <w:rPr>
          <w:noProof/>
        </w:rPr>
        <w:t>по-често използване на геопространствени данни и системно интегриране и включване на управлението на геопространствена информация в изготвянето на статистическа информация.</w:t>
      </w:r>
    </w:p>
    <w:p>
      <w:pPr>
        <w:spacing w:before="60" w:after="0"/>
        <w:ind w:left="720"/>
        <w:contextualSpacing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По-добра комуникация на европейската статистика и популяризирането ѝ като надежден източник за борба с онлайн дезинформацията</w:t>
      </w:r>
    </w:p>
    <w:p>
      <w:pPr>
        <w:pStyle w:val="Tiret0"/>
        <w:rPr>
          <w:noProof/>
        </w:rPr>
      </w:pPr>
      <w:r>
        <w:rPr>
          <w:noProof/>
        </w:rPr>
        <w:t xml:space="preserve">систематично популяризиране на европейската статистика като надежден източник на доказателствени данни и улесняване на проверителите на факти, изследователите и публичните органи да я използват в борбата срещу онлайн дезинформацията;  </w:t>
      </w:r>
    </w:p>
    <w:p>
      <w:pPr>
        <w:pStyle w:val="Tiret0"/>
        <w:rPr>
          <w:noProof/>
        </w:rPr>
      </w:pPr>
      <w:r>
        <w:rPr>
          <w:noProof/>
        </w:rPr>
        <w:t xml:space="preserve">улесняване на достъпа на потребителите до статистически данни и тяхното разбиране, включително чрез осигуряване на привлекателни и интерактивни изображения, по-персонализирани услуги, като например данни по заявка, и анализи на самообслужване; </w:t>
      </w:r>
    </w:p>
    <w:p>
      <w:pPr>
        <w:pStyle w:val="Tiret0"/>
        <w:rPr>
          <w:rFonts w:eastAsia="Times New Roman"/>
          <w:b/>
          <w:noProof/>
          <w:szCs w:val="24"/>
        </w:rPr>
      </w:pPr>
      <w:r>
        <w:rPr>
          <w:noProof/>
        </w:rPr>
        <w:t>допълнително разработване и допълнителен мониторинг на рамката за осигуряване на качеството на европейската статистика, включително чрез партньорски проверки на спазването от страна на държавите членки на Кодекса на европейската статистическа практика;</w:t>
      </w:r>
    </w:p>
    <w:p>
      <w:pPr>
        <w:pStyle w:val="Tiret0"/>
        <w:rPr>
          <w:noProof/>
        </w:rPr>
      </w:pPr>
      <w:r>
        <w:rPr>
          <w:noProof/>
        </w:rPr>
        <w:t>предоставяне на достъп до микроданни за научноизследователски цели, като същевременно се гарантират най-високите стандарти в областта на защитата на личните данни и статистическата поверителност.</w:t>
      </w:r>
    </w:p>
    <w:p>
      <w:pPr>
        <w:spacing w:before="0" w:after="0"/>
        <w:ind w:left="720"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Реализиране на ползите от революцията в данните и преминаване към надеждна интелигентна статистика</w:t>
      </w:r>
    </w:p>
    <w:p>
      <w:pPr>
        <w:pStyle w:val="Tiret0"/>
        <w:rPr>
          <w:noProof/>
        </w:rPr>
      </w:pPr>
      <w:r>
        <w:rPr>
          <w:noProof/>
        </w:rPr>
        <w:t xml:space="preserve">активизиране на експлоатацията на нови източници на цифрови данни и полагане на основите на надеждна интелигентна статистика за изготвяне на нови статистически данни в почти реално време с надеждни алгоритми; </w:t>
      </w:r>
    </w:p>
    <w:p>
      <w:pPr>
        <w:pStyle w:val="Tiret0"/>
        <w:rPr>
          <w:noProof/>
        </w:rPr>
      </w:pPr>
      <w:r>
        <w:rPr>
          <w:noProof/>
        </w:rPr>
        <w:t>разработване на нови подходи за използване на притежавани от частни лица данни посредством възприемането на изчисляване, при което се зачита неприкосновеността на личния живот, и сигурни многостранни методи за изчисляване;</w:t>
      </w:r>
    </w:p>
    <w:p>
      <w:pPr>
        <w:pStyle w:val="Tiret0"/>
        <w:rPr>
          <w:noProof/>
        </w:rPr>
      </w:pPr>
      <w:r>
        <w:rPr>
          <w:noProof/>
        </w:rPr>
        <w:t>насърчаване на авангардните научни изследвания и иновации в официалната статистика, включително чрез използване на мрежи за съвместна дейност и предоставяне на европейски програми за статистическо обучение.</w:t>
      </w:r>
    </w:p>
    <w:p>
      <w:pPr>
        <w:spacing w:before="0" w:after="0"/>
        <w:ind w:left="720"/>
        <w:rPr>
          <w:rFonts w:eastAsia="Arial Unicode MS"/>
          <w:noProof/>
          <w:sz w:val="22"/>
        </w:rPr>
      </w:pPr>
    </w:p>
    <w:p>
      <w:pPr>
        <w:spacing w:before="0" w:after="0"/>
        <w:jc w:val="left"/>
        <w:rPr>
          <w:rFonts w:eastAsia="Times New Roman"/>
          <w:b/>
          <w:noProof/>
          <w:szCs w:val="20"/>
        </w:rPr>
      </w:pPr>
      <w:r>
        <w:rPr>
          <w:b/>
          <w:noProof/>
        </w:rPr>
        <w:t>Разширени партньорства и сътрудничество в областта на статистиката</w:t>
      </w:r>
    </w:p>
    <w:p>
      <w:pPr>
        <w:pStyle w:val="Tiret0"/>
        <w:rPr>
          <w:noProof/>
          <w:szCs w:val="24"/>
        </w:rPr>
      </w:pPr>
      <w:r>
        <w:rPr>
          <w:noProof/>
        </w:rPr>
        <w:t>укрепване на партньорството в рамките на ЕСС и сътрудничеството с Европейската система на централните банки;</w:t>
      </w:r>
    </w:p>
    <w:p>
      <w:pPr>
        <w:pStyle w:val="Tiret0"/>
        <w:rPr>
          <w:noProof/>
        </w:rPr>
      </w:pPr>
      <w:r>
        <w:rPr>
          <w:noProof/>
        </w:rPr>
        <w:t xml:space="preserve">поощряване на партньорствата с обществени и частни притежатели на данни и технологичния сектор с цел улесняване на достъпа до данни за статистически цели, интегрирането на данни от множество източници и използването на най-модерни технологии; </w:t>
      </w:r>
    </w:p>
    <w:p>
      <w:pPr>
        <w:pStyle w:val="Tiret0"/>
        <w:rPr>
          <w:noProof/>
        </w:rPr>
      </w:pPr>
      <w:r>
        <w:rPr>
          <w:noProof/>
        </w:rPr>
        <w:t>засилване на сътрудничеството с научноизследователските и академичните среди, по-специално по отношение на използването на нови източници на данни, анализа на данни и насърчаването на статистическата грамотност;</w:t>
      </w:r>
    </w:p>
    <w:p>
      <w:pPr>
        <w:pStyle w:val="Tiret0"/>
        <w:rPr>
          <w:noProof/>
        </w:rPr>
      </w:pPr>
      <w:r>
        <w:rPr>
          <w:noProof/>
        </w:rPr>
        <w:t>сътрудничество с международни организации и трети държави в интерес на изготвянето на световна официална статистика.</w:t>
      </w:r>
    </w:p>
    <w:p>
      <w:pPr>
        <w:spacing w:before="0" w:after="200" w:line="276" w:lineRule="auto"/>
        <w:jc w:val="left"/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III</w:t>
      </w:r>
    </w:p>
    <w:p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 xml:space="preserve">Списък на болести по животните и зоонози </w:t>
      </w:r>
    </w:p>
    <w:p>
      <w:pPr>
        <w:rPr>
          <w:noProof/>
          <w:szCs w:val="24"/>
        </w:rPr>
      </w:pPr>
    </w:p>
    <w:p>
      <w:pPr>
        <w:pStyle w:val="Point1"/>
        <w:rPr>
          <w:noProof/>
        </w:rPr>
      </w:pPr>
      <w:r>
        <w:rPr>
          <w:noProof/>
        </w:rPr>
        <w:t>1)</w:t>
      </w:r>
      <w:r>
        <w:rPr>
          <w:noProof/>
        </w:rPr>
        <w:tab/>
        <w:t>африканска чума по конете</w:t>
      </w:r>
    </w:p>
    <w:p>
      <w:pPr>
        <w:pStyle w:val="Point1"/>
        <w:rPr>
          <w:noProof/>
        </w:rPr>
      </w:pPr>
      <w:r>
        <w:rPr>
          <w:noProof/>
        </w:rPr>
        <w:t>2)</w:t>
      </w:r>
      <w:r>
        <w:rPr>
          <w:noProof/>
        </w:rPr>
        <w:tab/>
        <w:t>африканска чума по свинете</w:t>
      </w:r>
    </w:p>
    <w:p>
      <w:pPr>
        <w:pStyle w:val="Point1"/>
        <w:rPr>
          <w:noProof/>
        </w:rPr>
      </w:pPr>
      <w:r>
        <w:rPr>
          <w:noProof/>
        </w:rPr>
        <w:t>3)</w:t>
      </w:r>
      <w:r>
        <w:rPr>
          <w:noProof/>
        </w:rPr>
        <w:tab/>
        <w:t>антракс</w:t>
      </w:r>
    </w:p>
    <w:p>
      <w:pPr>
        <w:pStyle w:val="Point1"/>
        <w:rPr>
          <w:noProof/>
        </w:rPr>
      </w:pPr>
      <w:r>
        <w:rPr>
          <w:noProof/>
        </w:rPr>
        <w:t>4)</w:t>
      </w:r>
      <w:r>
        <w:rPr>
          <w:noProof/>
        </w:rPr>
        <w:tab/>
        <w:t xml:space="preserve">инфлуенца по птиците (високопатогенна) </w:t>
      </w:r>
    </w:p>
    <w:p>
      <w:pPr>
        <w:pStyle w:val="Point1"/>
        <w:rPr>
          <w:noProof/>
        </w:rPr>
      </w:pPr>
      <w:r>
        <w:rPr>
          <w:noProof/>
        </w:rPr>
        <w:t>5)</w:t>
      </w:r>
      <w:r>
        <w:rPr>
          <w:noProof/>
        </w:rPr>
        <w:tab/>
        <w:t>инфлуенца по птиците (нископатогенна)</w:t>
      </w:r>
    </w:p>
    <w:p>
      <w:pPr>
        <w:pStyle w:val="Point1"/>
        <w:rPr>
          <w:noProof/>
        </w:rPr>
      </w:pPr>
      <w:r>
        <w:rPr>
          <w:noProof/>
        </w:rPr>
        <w:t>6)</w:t>
      </w:r>
      <w:r>
        <w:rPr>
          <w:noProof/>
        </w:rPr>
        <w:tab/>
        <w:t>кампилобактериоза</w:t>
      </w:r>
    </w:p>
    <w:p>
      <w:pPr>
        <w:pStyle w:val="Point1"/>
        <w:rPr>
          <w:noProof/>
        </w:rPr>
      </w:pPr>
      <w:r>
        <w:rPr>
          <w:noProof/>
        </w:rPr>
        <w:t>7)</w:t>
      </w:r>
      <w:r>
        <w:rPr>
          <w:noProof/>
        </w:rPr>
        <w:tab/>
        <w:t>класическа чума по свинете</w:t>
      </w:r>
    </w:p>
    <w:p>
      <w:pPr>
        <w:pStyle w:val="Point1"/>
        <w:rPr>
          <w:noProof/>
        </w:rPr>
      </w:pPr>
      <w:r>
        <w:rPr>
          <w:noProof/>
        </w:rPr>
        <w:t>8)</w:t>
      </w:r>
      <w:r>
        <w:rPr>
          <w:noProof/>
        </w:rPr>
        <w:tab/>
        <w:t>шап</w:t>
      </w:r>
    </w:p>
    <w:p>
      <w:pPr>
        <w:pStyle w:val="Point1"/>
        <w:rPr>
          <w:noProof/>
        </w:rPr>
      </w:pPr>
      <w:r>
        <w:rPr>
          <w:noProof/>
        </w:rPr>
        <w:t>9)</w:t>
      </w:r>
      <w:r>
        <w:rPr>
          <w:noProof/>
        </w:rPr>
        <w:tab/>
        <w:t>заразна плевропневмония по козите</w:t>
      </w:r>
    </w:p>
    <w:p>
      <w:pPr>
        <w:pStyle w:val="Point1"/>
        <w:rPr>
          <w:noProof/>
        </w:rPr>
      </w:pPr>
      <w:r>
        <w:rPr>
          <w:noProof/>
        </w:rPr>
        <w:t>10)</w:t>
      </w:r>
      <w:r>
        <w:rPr>
          <w:noProof/>
        </w:rPr>
        <w:tab/>
        <w:t>сап</w:t>
      </w:r>
    </w:p>
    <w:p>
      <w:pPr>
        <w:pStyle w:val="Point1"/>
        <w:rPr>
          <w:noProof/>
        </w:rPr>
      </w:pPr>
      <w:r>
        <w:rPr>
          <w:noProof/>
        </w:rPr>
        <w:t>11)</w:t>
      </w:r>
      <w:r>
        <w:rPr>
          <w:noProof/>
        </w:rPr>
        <w:tab/>
        <w:t xml:space="preserve">инфекция с вирус на болестта син език (серотипове 1—24) </w:t>
      </w:r>
    </w:p>
    <w:p>
      <w:pPr>
        <w:pStyle w:val="Point1"/>
        <w:rPr>
          <w:noProof/>
        </w:rPr>
      </w:pPr>
      <w:r>
        <w:rPr>
          <w:noProof/>
        </w:rPr>
        <w:t>12)</w:t>
      </w:r>
      <w:r>
        <w:rPr>
          <w:noProof/>
        </w:rPr>
        <w:tab/>
        <w:t>инфекция с Brucella abortus, B. melitensis и B. suis</w:t>
      </w:r>
    </w:p>
    <w:p>
      <w:pPr>
        <w:pStyle w:val="Point1"/>
        <w:rPr>
          <w:noProof/>
        </w:rPr>
      </w:pPr>
      <w:r>
        <w:rPr>
          <w:noProof/>
        </w:rPr>
        <w:t>13)</w:t>
      </w:r>
      <w:r>
        <w:rPr>
          <w:noProof/>
        </w:rPr>
        <w:tab/>
        <w:t>инфекция с вируса на епизоотичната хеморагична болест</w:t>
      </w:r>
    </w:p>
    <w:p>
      <w:pPr>
        <w:pStyle w:val="Point1"/>
        <w:rPr>
          <w:noProof/>
        </w:rPr>
      </w:pPr>
      <w:r>
        <w:rPr>
          <w:noProof/>
        </w:rPr>
        <w:t>14)</w:t>
      </w:r>
      <w:r>
        <w:rPr>
          <w:noProof/>
        </w:rPr>
        <w:tab/>
        <w:t xml:space="preserve">инфекция с вируса на заразния нодуларен дерматит </w:t>
      </w:r>
    </w:p>
    <w:p>
      <w:pPr>
        <w:pStyle w:val="Point1"/>
        <w:rPr>
          <w:noProof/>
        </w:rPr>
      </w:pPr>
      <w:r>
        <w:rPr>
          <w:noProof/>
        </w:rPr>
        <w:t>15)</w:t>
      </w:r>
      <w:r>
        <w:rPr>
          <w:noProof/>
        </w:rPr>
        <w:tab/>
        <w:t xml:space="preserve">инфекция с </w:t>
      </w:r>
      <w:r>
        <w:rPr>
          <w:i/>
          <w:noProof/>
        </w:rPr>
        <w:t>Mycoplasma mycoides</w:t>
      </w:r>
      <w:r>
        <w:rPr>
          <w:noProof/>
        </w:rPr>
        <w:t xml:space="preserve">, подвид mycoides SC (заразна плевропневмония по говедата) </w:t>
      </w:r>
    </w:p>
    <w:p>
      <w:pPr>
        <w:pStyle w:val="Point1"/>
        <w:rPr>
          <w:noProof/>
        </w:rPr>
      </w:pPr>
      <w:r>
        <w:rPr>
          <w:noProof/>
        </w:rPr>
        <w:t>16)</w:t>
      </w:r>
      <w:r>
        <w:rPr>
          <w:noProof/>
        </w:rPr>
        <w:tab/>
        <w:t>инфекция с комплекс Mycobacterium tuberculosis (M. bovis, M. caprae и M. tuberculosis)</w:t>
      </w:r>
    </w:p>
    <w:p>
      <w:pPr>
        <w:pStyle w:val="Point1"/>
        <w:rPr>
          <w:noProof/>
        </w:rPr>
      </w:pPr>
      <w:r>
        <w:rPr>
          <w:noProof/>
        </w:rPr>
        <w:t>17)</w:t>
      </w:r>
      <w:r>
        <w:rPr>
          <w:noProof/>
        </w:rPr>
        <w:tab/>
        <w:t>инфекция с вируса на нюкасълската болест</w:t>
      </w:r>
    </w:p>
    <w:p>
      <w:pPr>
        <w:pStyle w:val="Point1"/>
        <w:rPr>
          <w:noProof/>
        </w:rPr>
      </w:pPr>
      <w:r>
        <w:rPr>
          <w:noProof/>
        </w:rPr>
        <w:t>18)</w:t>
      </w:r>
      <w:r>
        <w:rPr>
          <w:noProof/>
        </w:rPr>
        <w:tab/>
        <w:t>инфекция с вируса на чумата по дребните преживни животни</w:t>
      </w:r>
    </w:p>
    <w:p>
      <w:pPr>
        <w:pStyle w:val="Point1"/>
        <w:rPr>
          <w:noProof/>
        </w:rPr>
      </w:pPr>
      <w:r>
        <w:rPr>
          <w:noProof/>
        </w:rPr>
        <w:t>19)</w:t>
      </w:r>
      <w:r>
        <w:rPr>
          <w:noProof/>
        </w:rPr>
        <w:tab/>
        <w:t>инфекция с вируса на бяс</w:t>
      </w:r>
    </w:p>
    <w:p>
      <w:pPr>
        <w:pStyle w:val="Point1"/>
        <w:rPr>
          <w:noProof/>
        </w:rPr>
      </w:pPr>
      <w:r>
        <w:rPr>
          <w:noProof/>
        </w:rPr>
        <w:t>20)</w:t>
      </w:r>
      <w:r>
        <w:rPr>
          <w:noProof/>
        </w:rPr>
        <w:tab/>
        <w:t>инфекция с вируса на треската от долината Рифт</w:t>
      </w:r>
    </w:p>
    <w:p>
      <w:pPr>
        <w:pStyle w:val="Point1"/>
        <w:rPr>
          <w:noProof/>
        </w:rPr>
      </w:pPr>
      <w:r>
        <w:rPr>
          <w:noProof/>
        </w:rPr>
        <w:t>21)</w:t>
      </w:r>
      <w:r>
        <w:rPr>
          <w:noProof/>
        </w:rPr>
        <w:tab/>
        <w:t>инфекция с вируси на чумата по говедата</w:t>
      </w:r>
    </w:p>
    <w:p>
      <w:pPr>
        <w:pStyle w:val="Point1"/>
        <w:rPr>
          <w:noProof/>
        </w:rPr>
      </w:pPr>
      <w:r>
        <w:rPr>
          <w:noProof/>
        </w:rPr>
        <w:t>22)</w:t>
      </w:r>
      <w:r>
        <w:rPr>
          <w:noProof/>
        </w:rPr>
        <w:tab/>
        <w:t>инфекция със серотипове на зоонозна салмонела</w:t>
      </w:r>
    </w:p>
    <w:p>
      <w:pPr>
        <w:pStyle w:val="Point1"/>
        <w:rPr>
          <w:noProof/>
        </w:rPr>
      </w:pPr>
      <w:r>
        <w:rPr>
          <w:noProof/>
        </w:rPr>
        <w:t>23)</w:t>
      </w:r>
      <w:r>
        <w:rPr>
          <w:noProof/>
        </w:rPr>
        <w:tab/>
        <w:t xml:space="preserve">инфекция с </w:t>
      </w:r>
      <w:r>
        <w:rPr>
          <w:i/>
          <w:noProof/>
        </w:rPr>
        <w:t>Echinococcus</w:t>
      </w:r>
      <w:r>
        <w:rPr>
          <w:noProof/>
        </w:rPr>
        <w:t xml:space="preserve"> </w:t>
      </w:r>
      <w:r>
        <w:rPr>
          <w:i/>
          <w:noProof/>
        </w:rPr>
        <w:t>spp</w:t>
      </w:r>
    </w:p>
    <w:p>
      <w:pPr>
        <w:pStyle w:val="Point1"/>
        <w:rPr>
          <w:noProof/>
        </w:rPr>
      </w:pPr>
      <w:r>
        <w:rPr>
          <w:noProof/>
        </w:rPr>
        <w:t>24)</w:t>
      </w:r>
      <w:r>
        <w:rPr>
          <w:noProof/>
        </w:rPr>
        <w:tab/>
        <w:t>листериоза</w:t>
      </w:r>
    </w:p>
    <w:p>
      <w:pPr>
        <w:pStyle w:val="Point1"/>
        <w:rPr>
          <w:noProof/>
        </w:rPr>
      </w:pPr>
      <w:r>
        <w:rPr>
          <w:noProof/>
        </w:rPr>
        <w:t>25)</w:t>
      </w:r>
      <w:r>
        <w:rPr>
          <w:noProof/>
        </w:rPr>
        <w:tab/>
        <w:t>шарка по овцете и шарка по козите</w:t>
      </w:r>
    </w:p>
    <w:p>
      <w:pPr>
        <w:pStyle w:val="Point1"/>
        <w:rPr>
          <w:noProof/>
        </w:rPr>
      </w:pPr>
      <w:r>
        <w:rPr>
          <w:noProof/>
        </w:rPr>
        <w:t>26)</w:t>
      </w:r>
      <w:r>
        <w:rPr>
          <w:noProof/>
        </w:rPr>
        <w:tab/>
        <w:t>трансмисивни спонгиформни енцефалопатии</w:t>
      </w:r>
    </w:p>
    <w:p>
      <w:pPr>
        <w:pStyle w:val="Point1"/>
        <w:rPr>
          <w:noProof/>
        </w:rPr>
      </w:pPr>
      <w:r>
        <w:rPr>
          <w:noProof/>
        </w:rPr>
        <w:t>27)</w:t>
      </w:r>
      <w:r>
        <w:rPr>
          <w:noProof/>
        </w:rPr>
        <w:tab/>
        <w:t>трихинелоза</w:t>
      </w:r>
    </w:p>
    <w:p>
      <w:pPr>
        <w:pStyle w:val="Point1"/>
        <w:rPr>
          <w:noProof/>
        </w:rPr>
      </w:pPr>
      <w:r>
        <w:rPr>
          <w:noProof/>
        </w:rPr>
        <w:t>28)</w:t>
      </w:r>
      <w:r>
        <w:rPr>
          <w:noProof/>
        </w:rPr>
        <w:tab/>
        <w:t>венецуелски енцефаломиелит по конете</w:t>
      </w:r>
    </w:p>
    <w:p>
      <w:pPr>
        <w:pStyle w:val="Point1"/>
        <w:rPr>
          <w:noProof/>
        </w:rPr>
      </w:pPr>
      <w:r>
        <w:rPr>
          <w:noProof/>
        </w:rPr>
        <w:t>29)</w:t>
      </w:r>
      <w:r>
        <w:rPr>
          <w:noProof/>
        </w:rPr>
        <w:tab/>
        <w:t>веротоксигенна Е. коли (Ешерихиа коли)</w:t>
      </w:r>
    </w:p>
    <w:p>
      <w:pPr>
        <w:spacing w:before="0" w:after="200" w:line="276" w:lineRule="auto"/>
        <w:jc w:val="left"/>
        <w:rPr>
          <w:noProof/>
        </w:rPr>
        <w:sect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IV</w:t>
      </w:r>
      <w:r>
        <w:rPr>
          <w:noProof/>
        </w:rPr>
        <w:br/>
        <w:t>ПОКАЗАТЕЛИ</w:t>
      </w:r>
    </w:p>
    <w:tbl>
      <w:tblPr>
        <w:tblStyle w:val="TableGrid"/>
        <w:tblpPr w:leftFromText="180" w:rightFromText="180" w:vertAnchor="text" w:horzAnchor="margin" w:tblpXSpec="right" w:tblpY="633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</w:rPr>
              <w:t>Цел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</w:rPr>
              <w:t>Показател</w:t>
            </w:r>
          </w:p>
        </w:tc>
      </w:tr>
      <w:tr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а)</w:t>
            </w:r>
          </w:p>
          <w:p>
            <w:pPr>
              <w:rPr>
                <w:b/>
                <w:noProof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</w:rPr>
            </w:pPr>
            <w:r>
              <w:rPr>
                <w:noProof/>
              </w:rPr>
              <w:t>1 — Брой нови жалби и случаи на несъответствие с изискванията в областта на свободното движение на стоки и услуги, както и със законодателството на Съюза в областта на обществените поръчки. 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2 — Индекс на рестриктивността на търговията с услуги.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3 — Брой посещения на портала „Вашата Европа“.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4 — Брой съвместни кампании за надзор на пазара.</w:t>
            </w:r>
          </w:p>
        </w:tc>
      </w:tr>
      <w:tr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б)</w:t>
            </w:r>
          </w:p>
          <w:p>
            <w:pPr>
              <w:rPr>
                <w:b/>
                <w:noProof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1 — Брой МСП, които получават подкрепа.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2 — Брой получаващи подкрепа дружества, сключили бизнес партньорства.</w:t>
            </w:r>
          </w:p>
        </w:tc>
      </w:tr>
      <w:tr>
        <w:trPr>
          <w:trHeight w:val="161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в)</w:t>
            </w:r>
          </w:p>
          <w:p>
            <w:pPr>
              <w:contextualSpacing/>
              <w:jc w:val="center"/>
              <w:rPr>
                <w:b/>
                <w:noProof/>
              </w:rPr>
            </w:pPr>
          </w:p>
          <w:p>
            <w:pPr>
              <w:contextualSpacing/>
              <w:rPr>
                <w:noProof/>
              </w:rPr>
            </w:pPr>
            <w:r>
              <w:rPr>
                <w:b/>
                <w:noProof/>
              </w:rPr>
              <w:t xml:space="preserve">i) </w:t>
            </w:r>
            <w:r>
              <w:rPr>
                <w:noProof/>
              </w:rPr>
              <w:t xml:space="preserve"> </w:t>
            </w: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 xml:space="preserve">ii)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1 — Дял на прилаганите от държавите европейски стандарти като национални стандарти от общия брой действащи европейски стандарти. 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2 — Процент на приетите от Съюза международни стандарти за финансово отчитане и одит.</w:t>
            </w:r>
          </w:p>
        </w:tc>
      </w:tr>
      <w:tr>
        <w:trPr>
          <w:trHeight w:val="13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contextualSpacing/>
              <w:jc w:val="center"/>
              <w:rPr>
                <w:b/>
                <w:noProof/>
              </w:rPr>
            </w:pPr>
          </w:p>
          <w:p>
            <w:pPr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г)</w:t>
            </w:r>
          </w:p>
          <w:p>
            <w:pPr>
              <w:contextualSpacing/>
              <w:rPr>
                <w:noProof/>
              </w:rPr>
            </w:pPr>
            <w:r>
              <w:rPr>
                <w:b/>
                <w:noProof/>
              </w:rPr>
              <w:t xml:space="preserve">i) </w:t>
            </w:r>
          </w:p>
          <w:p>
            <w:pPr>
              <w:contextualSpacing/>
              <w:rPr>
                <w:b/>
                <w:noProof/>
              </w:rPr>
            </w:pPr>
          </w:p>
          <w:p>
            <w:pPr>
              <w:contextualSpacing/>
              <w:rPr>
                <w:b/>
                <w:noProof/>
              </w:rPr>
            </w:pPr>
          </w:p>
          <w:p>
            <w:pPr>
              <w:contextualSpacing/>
              <w:rPr>
                <w:b/>
                <w:noProof/>
              </w:rPr>
            </w:pPr>
          </w:p>
          <w:p>
            <w:pPr>
              <w:contextualSpacing/>
              <w:rPr>
                <w:b/>
                <w:noProof/>
              </w:rPr>
            </w:pPr>
            <w:r>
              <w:rPr>
                <w:b/>
                <w:noProof/>
              </w:rPr>
              <w:t>ii)</w:t>
            </w:r>
            <w:r>
              <w:rPr>
                <w:noProof/>
              </w:rPr>
              <w:t xml:space="preserve"> </w:t>
            </w:r>
          </w:p>
          <w:p>
            <w:pPr>
              <w:contextualSpacing/>
              <w:jc w:val="left"/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</w:rPr>
            </w:pPr>
            <w:r>
              <w:rPr>
                <w:noProof/>
              </w:rPr>
              <w:t>1 — Индекс на условията за потребителите.</w:t>
            </w:r>
          </w:p>
          <w:p>
            <w:pPr>
              <w:rPr>
                <w:noProof/>
              </w:rPr>
            </w:pPr>
          </w:p>
          <w:p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2 — Брой документи за изразяване на позиция и отговори от бенефициери в рамките на публични консултации в областта на финансовите услуги.</w:t>
            </w:r>
          </w:p>
        </w:tc>
      </w:tr>
      <w:tr>
        <w:trPr>
          <w:trHeight w:val="2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contextualSpacing/>
              <w:rPr>
                <w:b/>
                <w:noProof/>
              </w:rPr>
            </w:pPr>
          </w:p>
          <w:p>
            <w:pPr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д)</w:t>
            </w:r>
          </w:p>
          <w:p>
            <w:pPr>
              <w:rPr>
                <w:b/>
                <w:noProof/>
              </w:rPr>
            </w:pPr>
          </w:p>
          <w:p>
            <w:pPr>
              <w:contextualSpacing/>
              <w:rPr>
                <w:b/>
                <w:noProof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noProof/>
              </w:rPr>
            </w:pPr>
          </w:p>
          <w:p>
            <w:pPr>
              <w:spacing w:before="0" w:after="0"/>
              <w:rPr>
                <w:noProof/>
              </w:rPr>
            </w:pPr>
            <w:r>
              <w:rPr>
                <w:noProof/>
              </w:rPr>
              <w:t>1 — Брой успешно изпълнени национални ветеринарни и фитосанитарни програми.</w:t>
            </w:r>
          </w:p>
          <w:p>
            <w:pPr>
              <w:spacing w:after="0"/>
              <w:rPr>
                <w:noProof/>
                <w:sz w:val="20"/>
              </w:rPr>
            </w:pPr>
          </w:p>
        </w:tc>
      </w:tr>
      <w:tr>
        <w:trPr>
          <w:trHeight w:val="2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rPr>
                <w:b/>
                <w:noProof/>
              </w:rPr>
            </w:pPr>
          </w:p>
          <w:p>
            <w:pPr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Цели, определени в член 3, параграф 2, буква е)</w:t>
            </w:r>
          </w:p>
          <w:p>
            <w:pPr>
              <w:contextualSpacing/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Въздействие на публикуваната в интернет статистика: брой споменавания в мрежата и положителни/отрицателни мнения.</w:t>
            </w:r>
          </w:p>
          <w:p>
            <w:pPr>
              <w:rPr>
                <w:noProof/>
              </w:rPr>
            </w:pPr>
          </w:p>
        </w:tc>
      </w:tr>
    </w:tbl>
    <w:p>
      <w:pPr>
        <w:tabs>
          <w:tab w:val="left" w:pos="3135"/>
        </w:tabs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Регламент (EС) 2016/2031 на Европейския парламент и на Съвета от 26 октомври 2016 г. за защитните мерки срещу вредителите по растенията, за изменение на регламенти (EС) № 228/2013, (EС) № 652/2014 и (EС) № 1143/2014 на Европейския парламент и на Съвета и за отмяна на директиви 69/464/EИО, 74/647/ EИО, 93/85/ EИО, 98/57/EО, 2000/29/EО, 2006/91/EО и 2007/33/EО на Съвета (ОВ L 317, 23.11.2016 г., стр. 4).</w:t>
      </w:r>
    </w:p>
    <w:p>
      <w:pPr>
        <w:pStyle w:val="FootnoteText"/>
      </w:pPr>
    </w:p>
  </w:footnote>
  <w:footnote w:id="2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  <w:t>Регламент (ЕС) 2017/625 на Европейския парламент и на Съвета от 15 март 2017 г.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(ЕО) № 396/2005, (ЕО) № 1069/2009, (ЕО) № 1107/2009, (ЕС) № 1151/2012, (ЕС) № 652/2014, (ЕС) 2016/429 и (ЕС) 2016/2031 на Европейския парламент и на Съвета, регламенти (ЕО) № 1/2005 и (ЕО) № 1099/2009 на Съвета и директиви 98/58/ЕО, 1999/74/ЕО, 2007/43/ЕО, 2008/119/ЕО и 2008/120/ЕО на Съвета, и за отмяна на регламенти (ЕО) № 854/2004 и (ЕО) № 882/2004 на Европейския парламент и на Съвета, директиви 89/608/ЕИО, 89/662/ЕИО, 90/425/ЕИО, 91/496/ЕИО, 96/23/ЕО, 96/93/ЕО и 97/78/ЕО на Съвета и Решение 92/438/ЕИО на Съвета (Регламент относно официалния контрол) (ОВ L 95, 7.4.2017 г., стр.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700BD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CFAC2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5AC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4F4C5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9861C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800B5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4741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242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2A70A0"/>
    <w:multiLevelType w:val="hybridMultilevel"/>
    <w:tmpl w:val="9A2610E2"/>
    <w:lvl w:ilvl="0" w:tplc="B95EE3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19"/>
  </w:num>
  <w:num w:numId="16">
    <w:abstractNumId w:val="12"/>
  </w:num>
  <w:num w:numId="17">
    <w:abstractNumId w:val="21"/>
  </w:num>
  <w:num w:numId="18">
    <w:abstractNumId w:val="11"/>
  </w:num>
  <w:num w:numId="19">
    <w:abstractNumId w:val="13"/>
  </w:num>
  <w:num w:numId="20">
    <w:abstractNumId w:val="9"/>
  </w:num>
  <w:num w:numId="21">
    <w:abstractNumId w:val="20"/>
  </w:num>
  <w:num w:numId="22">
    <w:abstractNumId w:val="8"/>
  </w:num>
  <w:num w:numId="23">
    <w:abstractNumId w:val="14"/>
  </w:num>
  <w:num w:numId="24">
    <w:abstractNumId w:val="17"/>
  </w:num>
  <w:num w:numId="25">
    <w:abstractNumId w:val="18"/>
  </w:num>
  <w:num w:numId="26">
    <w:abstractNumId w:val="10"/>
  </w:num>
  <w:num w:numId="27">
    <w:abstractNumId w:val="16"/>
  </w:num>
  <w:num w:numId="28">
    <w:abstractNumId w:val="22"/>
  </w:num>
  <w:num w:numId="29">
    <w:abstractNumId w:val="19"/>
  </w:num>
  <w:num w:numId="30">
    <w:abstractNumId w:val="12"/>
  </w:num>
  <w:num w:numId="31">
    <w:abstractNumId w:val="21"/>
  </w:num>
  <w:num w:numId="32">
    <w:abstractNumId w:val="11"/>
  </w:num>
  <w:num w:numId="33">
    <w:abstractNumId w:val="13"/>
  </w:num>
  <w:num w:numId="34">
    <w:abstractNumId w:val="9"/>
  </w:num>
  <w:num w:numId="35">
    <w:abstractNumId w:val="20"/>
  </w:num>
  <w:num w:numId="36">
    <w:abstractNumId w:val="8"/>
  </w:num>
  <w:num w:numId="37">
    <w:abstractNumId w:val="14"/>
  </w:num>
  <w:num w:numId="38">
    <w:abstractNumId w:val="17"/>
  </w:num>
  <w:num w:numId="39">
    <w:abstractNumId w:val="18"/>
  </w:num>
  <w:num w:numId="40">
    <w:abstractNumId w:val="10"/>
  </w:num>
  <w:num w:numId="41">
    <w:abstractNumId w:val="16"/>
  </w:num>
  <w:num w:numId="42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10:31:0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7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4"/>
    <w:docVar w:name="LW_ANNEX_UNIQUE" w:val="0"/>
    <w:docVar w:name="LW_CORRIGENDUM" w:val="&lt;UNUSED&gt;"/>
    <w:docVar w:name="LW_COVERPAGE_EXISTS" w:val="True"/>
    <w:docVar w:name="LW_COVERPAGE_GUID" w:val="D6C98923-DBEA-48C8-A5C7-8B3E3D294185"/>
    <w:docVar w:name="LW_COVERPAGE_TYPE" w:val="1"/>
    <w:docVar w:name="LW_CROSSREFERENCE" w:val="{SEC(2018) 294 final}_x000b_{SWD(2018) 320 final}"/>
    <w:docVar w:name="LW_DocType" w:val="ANNEX"/>
    <w:docVar w:name="LW_EMISSION" w:val="7.6.2018"/>
    <w:docVar w:name="LW_EMISSION_ISODATE" w:val="2018-06-07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 \u1079?\u1072? \u1077?\u1076?\u1080?\u1085?\u1085?\u1080?\u1103? \u1087?\u1072?\u1079?\u1072?\u1088?, \u1082?\u1086?\u1085?\u1082?\u1091?\u1088?\u1077?\u1085?\u1090?\u1086?\u1089?\u1087?\u1086?\u1089?\u1086?\u1073?\u1085?\u1086?\u1089?\u1090?\u1090?\u1072? \u1085?\u1072? \u1087?\u1088?\u1077?\u1076?\u1087?\u1088?\u1080?\u1103?\u1090?\u1080?\u1103?\u1090?\u1072?, \u1074?\u1082?\u1083?\u1102?\u1095?\u1080?\u1090?\u1077?\u1083?\u1085?\u1086? \u1084?\u1072?\u1083?\u1082?\u1080?\u1090?\u1077? \u1080? \u1089?\u1088?\u1077?\u1076?\u1085?\u1080?\u1090?\u1077? \u1087?\u1088?\u1077?\u1076?\u1087?\u1088?\u1080?\u1103?\u1090?\u1080?\u1103?, \u1080? \u1077?\u1074?\u1088?\u1086?\u1087?\u1077?\u1081?\u1089?\u1082?\u1072?\u1090?\u1072? \u1089?\u1090?\u1072?\u1090?\u1080?\u1089?\u1090?\u1080?\u1082?\u1072? \u1080? \u1079?\u1072? \u1086?\u1090?\u1084?\u1103?\u1085?\u1072? \u1085?\u1072? \u1088?\u1077?\u1075?\u1083?\u1072?\u1084?\u1077?\u1085?\u1090?\u1080? (\u1045?\u1057?) \u8470? 99/2013, (\u1045?\u1057?) \u8470? 1287/2013, (\u1045?\u1057?) \u8470? 254/2014, (\u1045?\u1057?) \u8470? 258/2014, (\u1045?\u1057?) \u8470? 652/2014 \u1080? (\u1045?\u1057?) 2017/826"/>
    <w:docVar w:name="LW_OBJETACTEPRINCIPAL.CP" w:val="\u1079?\u1072? \u1089?\u1098?\u1079?\u1076?\u1072?\u1074?\u1072?\u1085?\u1077? \u1085?\u1072? \u1087?\u1088?\u1086?\u1075?\u1088?\u1072?\u1084?\u1072? \u1079?\u1072? \u1077?\u1076?\u1080?\u1085?\u1085?\u1080?\u1103? \u1087?\u1072?\u1079?\u1072?\u1088?, \u1082?\u1086?\u1085?\u1082?\u1091?\u1088?\u1077?\u1085?\u1090?\u1086?\u1089?\u1087?\u1086?\u1089?\u1086?\u1073?\u1085?\u1086?\u1089?\u1090?\u1090?\u1072? \u1085?\u1072? \u1087?\u1088?\u1077?\u1076?\u1087?\u1088?\u1080?\u1103?\u1090?\u1080?\u1103?\u1090?\u1072?, \u1074?\u1082?\u1083?\u1102?\u1095?\u1080?\u1090?\u1077?\u1083?\u1085?\u1086? \u1084?\u1072?\u1083?\u1082?\u1080?\u1090?\u1077? \u1080? \u1089?\u1088?\u1077?\u1076?\u1085?\u1080?\u1090?\u1077? \u1087?\u1088?\u1077?\u1076?\u1087?\u1088?\u1080?\u1103?\u1090?\u1080?\u1103?, \u1080? \u1077?\u1074?\u1088?\u1086?\u1087?\u1077?\u1081?\u1089?\u1082?\u1072?\u1090?\u1072? \u1089?\u1090?\u1072?\u1090?\u1080?\u1089?\u1090?\u1080?\u1082?\u1072? \u1080? \u1079?\u1072? \u1086?\u1090?\u1084?\u1103?\u1085?\u1072? \u1085?\u1072? \u1088?\u1077?\u1075?\u1083?\u1072?\u1084?\u1077?\u1085?\u1090?\u1080? (\u1045?\u1057?) \u8470? 99/2013, (\u1045?\u1057?) \u8470? 1287/2013, (\u1045?\u1057?) \u8470? 254/2014, (\u1045?\u1057?) \u8470? 258/2014, (\u1045?\u1057?) \u8470? 652/2014 \u1080? (\u1045?\u1057?) 2017/826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4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67"/>
    <w:qFormat/>
    <w:pPr>
      <w:ind w:left="720"/>
      <w:contextualSpacing/>
    </w:p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67"/>
    <w:qFormat/>
    <w:locked/>
    <w:rPr>
      <w:rFonts w:ascii="Times New Roman" w:hAnsi="Times New Roman" w:cs="Times New Roman"/>
      <w:sz w:val="24"/>
      <w:lang w:val="bg-BG"/>
    </w:rPr>
  </w:style>
  <w:style w:type="table" w:styleId="TableGrid">
    <w:name w:val="Table Grid"/>
    <w:aliases w:val="Document Table,CV1,Standard table format,Simple table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67"/>
    <w:qFormat/>
    <w:pPr>
      <w:ind w:left="720"/>
      <w:contextualSpacing/>
    </w:pPr>
  </w:style>
  <w:style w:type="paragraph" w:customStyle="1" w:styleId="norm">
    <w:name w:val="norm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67"/>
    <w:qFormat/>
    <w:locked/>
    <w:rPr>
      <w:rFonts w:ascii="Times New Roman" w:hAnsi="Times New Roman" w:cs="Times New Roman"/>
      <w:sz w:val="24"/>
      <w:lang w:val="bg-BG"/>
    </w:rPr>
  </w:style>
  <w:style w:type="table" w:styleId="TableGrid">
    <w:name w:val="Table Grid"/>
    <w:aliases w:val="Document Table,CV1,Standard table format,Simple table"/>
    <w:basedOn w:val="Table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FA78-227D-4AFF-8FCB-54EC6D5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12</Pages>
  <Words>2922</Words>
  <Characters>17388</Characters>
  <Application>Microsoft Office Word</Application>
  <DocSecurity>0</DocSecurity>
  <Lines>414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ALESSANDRI Gregoire (ENTR)</dc:creator>
  <cp:lastModifiedBy>DIGIT/A3</cp:lastModifiedBy>
  <cp:revision>8</cp:revision>
  <dcterms:created xsi:type="dcterms:W3CDTF">2018-06-13T15:28:00Z</dcterms:created>
  <dcterms:modified xsi:type="dcterms:W3CDTF">2018-06-14T08:31:00Z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