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F9A325D-EE25-49CE-A431-220BDC8180CE" style="width:450.75pt;height:4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jc w:val="both"/>
        <w:rPr>
          <w:noProof/>
        </w:rPr>
      </w:pPr>
      <w:bookmarkStart w:id="0" w:name="_GoBack"/>
      <w:bookmarkEnd w:id="0"/>
      <w:r>
        <w:rPr>
          <w:noProof/>
        </w:rPr>
        <w:lastRenderedPageBreak/>
        <w:t>ОБЯСНИТЕЛЕН МЕМОРАНДУМ</w:t>
      </w:r>
    </w:p>
    <w:p>
      <w:pPr>
        <w:pStyle w:val="ManualHeading1"/>
        <w:spacing w:before="120"/>
        <w:rPr>
          <w:noProof/>
        </w:rPr>
      </w:pPr>
      <w:r>
        <w:rPr>
          <w:noProof/>
        </w:rPr>
        <w:t>1.</w:t>
      </w:r>
      <w:r>
        <w:rPr>
          <w:noProof/>
        </w:rPr>
        <w:tab/>
        <w:t>КОНТЕКСТ НА ПРЕДЛОЖЕНИЕТО</w:t>
      </w:r>
    </w:p>
    <w:p>
      <w:pPr>
        <w:pStyle w:val="ManualHeading2"/>
        <w:rPr>
          <w:noProof/>
        </w:rPr>
      </w:pPr>
      <w:r>
        <w:rPr>
          <w:noProof/>
        </w:rPr>
        <w:t>•</w:t>
      </w:r>
      <w:r>
        <w:rPr>
          <w:noProof/>
        </w:rPr>
        <w:tab/>
        <w:t>Основания и цели</w:t>
      </w:r>
    </w:p>
    <w:p>
      <w:pPr>
        <w:rPr>
          <w:noProof/>
        </w:rPr>
      </w:pPr>
      <w:r>
        <w:rPr>
          <w:noProof/>
        </w:rPr>
        <w:t>Европейският съюз е изграден върху солидарност — споделена ценност, която е силно осезаема в цялото европейско общество. Солидарността е в основата на европейския проект, като предоставя ясен ориентир, който да води европейската младеж в стремежа ѝ към изграждането на по-добър Съюз. В Декларацията от Рим по случай 60-ата годишнина от подписването на Договора от Рим ръководителите на 27 държави членки и на Европейския съвет, Европейския парламент и Европейската комисия потвърдиха своя ангажимент за укрепване на единството и солидарността с цел увеличаване на силата и устойчивостта на ЕС</w:t>
      </w:r>
      <w:r>
        <w:rPr>
          <w:rStyle w:val="FootnoteReference"/>
          <w:rFonts w:eastAsiaTheme="majorEastAsia"/>
          <w:noProof/>
        </w:rPr>
        <w:footnoteReference w:id="1"/>
      </w:r>
      <w:r>
        <w:rPr>
          <w:noProof/>
        </w:rPr>
        <w:t>.</w:t>
      </w:r>
    </w:p>
    <w:p>
      <w:pPr>
        <w:rPr>
          <w:noProof/>
        </w:rPr>
      </w:pPr>
      <w:r>
        <w:rPr>
          <w:noProof/>
        </w:rPr>
        <w:t>В своята реч от 14 септември 2016 г. за състоянието на Съюза председателят на европейската комисия подчерта необходимостта да се инвестира в младите хора и се обявява идеята за Европейския корпус за солидарност. Целта на Европейския корпус за солидарност ще бъде да се създадат възможности за младите хора в целия Европейски съюз да дадат своя принос за обществото, да проявяват солидарност и да развиват уменията си, като по този начин „ще получат не само работа, но и безценен човешки опит“. На Срещата на върха в Братислава на 16 септември 2016 г. бе отправен призив за по-силен политически импулс в подкрепа на младите европейци и за създаване на нови програми на ЕС, които да подобрят техните възможности. Със Съобщението на Комисията „Европейски корпус за солидарност“ от 7 декември 2016 г.</w:t>
      </w:r>
      <w:r>
        <w:rPr>
          <w:rStyle w:val="FootnoteReference"/>
          <w:rFonts w:eastAsiaTheme="majorEastAsia"/>
          <w:noProof/>
        </w:rPr>
        <w:footnoteReference w:id="2"/>
      </w:r>
      <w:r>
        <w:rPr>
          <w:noProof/>
        </w:rPr>
        <w:t xml:space="preserve"> бе поставено началото на корпуса за солидарност и бе потвърдена целта до 2020 г. броят на младите хора, участващи в него, да бъде 100 000 души. По време на този първи етап бе поставено началото на осем различни програми</w:t>
      </w:r>
      <w:r>
        <w:rPr>
          <w:rStyle w:val="FootnoteReference"/>
          <w:rFonts w:eastAsiaTheme="majorEastAsia"/>
          <w:noProof/>
        </w:rPr>
        <w:footnoteReference w:id="3"/>
      </w:r>
      <w:r>
        <w:rPr>
          <w:noProof/>
        </w:rPr>
        <w:t xml:space="preserve"> на ЕС, предлагащи възможности за младите хора в целия ЕС за доброволчество, стаж или работа.</w:t>
      </w:r>
    </w:p>
    <w:p>
      <w:pPr>
        <w:rPr>
          <w:noProof/>
        </w:rPr>
      </w:pPr>
      <w:r>
        <w:rPr>
          <w:noProof/>
        </w:rPr>
        <w:t>При наличието на потенциал за допълнително развитие на солидарността с жертвите на кризи и бедствия в държави извън ЕС в настоящото предложение се предвижда обхватът на Европейския корпус за солидарност да бъде разширен така, че да включва подкрепа за операции за хуманитарна помощ в държави извън ЕС, включително провежданите в съседство с най-отдалечените региони на ЕС. Както показва предварителната оценка, приложена към настоящото предложение, такова разширяване би обслужвало няколко цели, като например създаването на „единно гише за обслужване“ във връзка с дейностите за солидарност. Това ще включва доброволчество чрез доброволци за хуманитарна помощ — дейност, понастоящем подкрепяна по линия на инициативата „Доброволци на ЕС за хуманитарна помощ“. Инициативата допринася за укрепване на способността на ЕС да предоставя хуманитарна помощ въз основа на нуждите, както и за капацитета и устойчивостта на уязвимите или бедстващи общности в трети държави.</w:t>
      </w:r>
    </w:p>
    <w:p>
      <w:pPr>
        <w:rPr>
          <w:noProof/>
        </w:rPr>
      </w:pPr>
      <w:r>
        <w:rPr>
          <w:noProof/>
        </w:rPr>
        <w:t xml:space="preserve">С настоящото предложение се определя правната рамка за Европейския корпус за солидарност за създаването на повече възможности за младите хора да се включват в дейности за солидарност чрез разширяване на обхвата на дейността му, както и на географския му обхват в тази област. Предложението ще допринесе за справянето не само с неудовлетворени нужди на обществото в Европа, но и с хуманитарни предизвикателства в държави извън ЕС. То също така </w:t>
      </w:r>
      <w:r>
        <w:rPr>
          <w:noProof/>
        </w:rPr>
        <w:lastRenderedPageBreak/>
        <w:t>ще насърчава личностното, образователното, социалното, гражданското и професионалното развитие на младежите.</w:t>
      </w:r>
    </w:p>
    <w:p>
      <w:pPr>
        <w:rPr>
          <w:noProof/>
        </w:rPr>
      </w:pPr>
      <w:r>
        <w:rPr>
          <w:noProof/>
        </w:rPr>
        <w:t>Много млади хора желаят да участват в дейности за солидарност, а в различните общности са налице множество неудовлетворени потребности, които могат да бъдат посрещнати по-добре чрез участието на младите хора в тези дейности. Много организации търсят мотивирани млади хора, които да помогнат на техните усилия; ако бъдат подкрепени, тези организации биха могли да предложат още повече на общностите. Има обаче дисбаланс между търсенето и предлагането. Налице са също пречки пред наличието на ресурси, осигуряването на качество, различните правни аспекти.</w:t>
      </w:r>
    </w:p>
    <w:p>
      <w:pPr>
        <w:rPr>
          <w:noProof/>
        </w:rPr>
      </w:pPr>
      <w:r>
        <w:rPr>
          <w:noProof/>
        </w:rPr>
        <w:t>При липсата на мерки, които да обединят организациите и младите хора, с цел насърчаване на дейностите за солидарност, съществува риск да остане неизползван голям потенциал за дейности за солидарност. Това може да доведе до ненужна загуба на благосъстояние за организациите, младите хора и обществото като цяло. Наред с това, както показват предварителната и по-ранни оценки на програмата „Еразъм+“ и на инициативата „Доброволци на ЕС за хуманитарна помощ“, има възможности за подобрение посредством опростяване на процесите, както и чрез потенциалните ползи от увеличаването на ефективността в резултат на икономиите от мащаба и обхвата.</w:t>
      </w:r>
    </w:p>
    <w:p>
      <w:pPr>
        <w:rPr>
          <w:noProof/>
        </w:rPr>
      </w:pPr>
      <w:r>
        <w:rPr>
          <w:noProof/>
        </w:rPr>
        <w:t>В този контекст Европейският корпус за солидарност има за цел да повиши ангажираността на младите хора и на организациите по отношение на достъпни и висококачествени дейности за солидарност. Корпусът е средство за укрепване на сближаването, солидарността и демокрацията в Европа и чужбина, както и за справяне със социалните и хуманитарните предизвикателства по места, със специален акцент върху насърчаването на социалното приобщаване.</w:t>
      </w:r>
    </w:p>
    <w:p>
      <w:pPr>
        <w:rPr>
          <w:noProof/>
        </w:rPr>
      </w:pPr>
      <w:r>
        <w:rPr>
          <w:noProof/>
        </w:rPr>
        <w:t>За постигане на тази обща цел Европейският корпус за солидарност ще осигури за младите хора леснодостъпни възможности да участват в доброволческа дейност, стажове или работа в области, свързани със солидарността, както и да създават и разработват проекти за солидарност по собствена инициатива. Тя ще допринесе също така за личностното, социалното и професионалното развитие на младите хора, както и за пригодността им за заетост, като подобри техните умения и компетентности. Корпусът ще подкрепят също и дейностите за изграждане на мрежи за своите участниците и организациите. Те имат за цел да укрепят „духа“ на европейския корпус за солидарност и чувството за принадлежност към една по-широка общност, ангажирана с дейности за солидарност, както и обмена на полезни практики и опит. Корпусът също така се стреми да гарантира, че:</w:t>
      </w:r>
    </w:p>
    <w:p>
      <w:pPr>
        <w:pStyle w:val="ListBullet"/>
        <w:numPr>
          <w:ilvl w:val="0"/>
          <w:numId w:val="50"/>
        </w:numPr>
        <w:rPr>
          <w:rFonts w:eastAsia="Calibri"/>
          <w:noProof/>
        </w:rPr>
      </w:pPr>
      <w:r>
        <w:rPr>
          <w:noProof/>
        </w:rPr>
        <w:t>дейностите за солидарност, предлагани на младите участници, допринасят за преодоляване на конкретни предизвикателства пред обществото и за основани на нуждите операции за хуманитарна помощ, и спомага за укрепване на общностите; както и че</w:t>
      </w:r>
    </w:p>
    <w:p>
      <w:pPr>
        <w:pStyle w:val="ListBullet"/>
        <w:numPr>
          <w:ilvl w:val="0"/>
          <w:numId w:val="50"/>
        </w:numPr>
        <w:rPr>
          <w:rFonts w:eastAsia="Calibri"/>
          <w:noProof/>
        </w:rPr>
      </w:pPr>
      <w:r>
        <w:rPr>
          <w:noProof/>
        </w:rPr>
        <w:t>резултатите от обучението, получени в резултат на участието на младите хора в тази дейности са надлежно валидирани.</w:t>
      </w:r>
    </w:p>
    <w:p>
      <w:pPr>
        <w:rPr>
          <w:noProof/>
        </w:rPr>
      </w:pPr>
      <w:r>
        <w:rPr>
          <w:noProof/>
        </w:rPr>
        <w:t>Настоящото предложение предвижда датата му на прилагане да бъде 1 януари 2021 г. и е представено за Съюз от 27 държави членки в съответствие с уведомлението от страна на Обединеното кралство за намерението му да се оттегли от Европейския съюз и от Евратом на основание член 50 от Договора за Европейския съюз, получено от Европейския съвет на 29 март 2017 г.</w:t>
      </w:r>
    </w:p>
    <w:p>
      <w:pPr>
        <w:pStyle w:val="ManualHeading2"/>
        <w:rPr>
          <w:noProof/>
        </w:rPr>
      </w:pPr>
      <w:r>
        <w:rPr>
          <w:noProof/>
        </w:rPr>
        <w:t>•</w:t>
      </w:r>
      <w:r>
        <w:rPr>
          <w:noProof/>
        </w:rPr>
        <w:tab/>
        <w:t>Съгласуваност със съществуващите разпоредби в тази област на политиката</w:t>
      </w:r>
    </w:p>
    <w:p>
      <w:pPr>
        <w:rPr>
          <w:noProof/>
        </w:rPr>
      </w:pPr>
      <w:r>
        <w:rPr>
          <w:noProof/>
        </w:rPr>
        <w:t xml:space="preserve">Европейският корпус за солидарност се ползва от богатите и дългогодишни традиции и опит на държавите членки в дейности в полза на обществения интерес, например чрез доброволчество. </w:t>
      </w:r>
      <w:r>
        <w:rPr>
          <w:noProof/>
        </w:rPr>
        <w:lastRenderedPageBreak/>
        <w:t>Някои държави членки осъществяват национални програми за гражданска служба и предлагат на младите хора възможност да участват, докато други подпомагат дейностите, предприети от гражданското общество.</w:t>
      </w:r>
    </w:p>
    <w:p>
      <w:pPr>
        <w:rPr>
          <w:noProof/>
        </w:rPr>
      </w:pPr>
      <w:r>
        <w:rPr>
          <w:noProof/>
        </w:rPr>
        <w:t>На равнище ЕС от двадесет години насам Европейската доброволческа служба предоставя на младите хора възможности за участие в доброволческа дейност. Политики и програми като например „Гаранция за младежта“ и „Твоята първа работа с EURES“ помагат на младите хора да започнат стажове или работа. Започналата през 2014 г. инициатива „Доброволци на ЕС за хуманитарна помощ“, предлага възможност на граждани на ЕС да придобият доброволчески опит в държава извън ЕС. Този опит спомага за предоставянето на хуманитарна помощ там, където е най-необходима.</w:t>
      </w:r>
    </w:p>
    <w:p>
      <w:pPr>
        <w:rPr>
          <w:noProof/>
        </w:rPr>
      </w:pPr>
      <w:r>
        <w:rPr>
          <w:noProof/>
        </w:rPr>
        <w:t>Тези инициативи предоставят солидна основа, която Европейският корпус за солидарност не само надгражда, но и разширява, за да предлага нови възможности, повече видимост, както и по-голямо въздействие. Корпусът за солидарност ще предлага нови възможности в областта на хуманитарната помощ, които повече няма да се поддържат по инициативата „Доброволци на ЕС за хуманитарна помощ“ (която ще приключи след 2020 г.), като същевременно опростява достъпа както за интересуващите се млади хора, така и за организациите. Чрез своя портал корпусът ще продължи да предлага обособен леснодостъпен вход и ще има за цел да достигне до възможно най-широк кръг организации и участващите млади хора. Освен това корпусът ще разработи и подобри обучението, което ще се предлага преди дейността, както и подходящо подпомагане и валидиране на учебните резултати, придобити по време на дейността.</w:t>
      </w:r>
    </w:p>
    <w:p>
      <w:pPr>
        <w:rPr>
          <w:noProof/>
        </w:rPr>
      </w:pPr>
      <w:r>
        <w:rPr>
          <w:noProof/>
        </w:rPr>
        <w:t>За да се осигури ефикасно и ефективно изпълнение, Европейският корпус за солидарност ще използва в максимална степен вече въведените договорености за управление. Това ще позволи усилията да се насочат към постигане на максимални резултати, като в същото време се сведе до минимум административната тежест. Поради това изпълнението на Европейския корпус за солидарност ще бъде възложено на съществуващите структури.</w:t>
      </w:r>
    </w:p>
    <w:p>
      <w:pPr>
        <w:pStyle w:val="ManualHeading2"/>
        <w:rPr>
          <w:noProof/>
        </w:rPr>
      </w:pPr>
      <w:r>
        <w:rPr>
          <w:noProof/>
        </w:rPr>
        <w:t>•</w:t>
      </w:r>
      <w:r>
        <w:rPr>
          <w:noProof/>
        </w:rPr>
        <w:tab/>
        <w:t>Съгласуваност с другите политики на Съюза</w:t>
      </w:r>
    </w:p>
    <w:p>
      <w:pPr>
        <w:rPr>
          <w:noProof/>
        </w:rPr>
      </w:pPr>
      <w:r>
        <w:rPr>
          <w:noProof/>
        </w:rPr>
        <w:t>Дейностите на Европейския корпус за солидарност са съвместими с редица съответни политики и програми на ЕС и ги допълват. Сред тях са, по-специално, онези, които се отнасят до:</w:t>
      </w:r>
    </w:p>
    <w:p>
      <w:pPr>
        <w:pStyle w:val="ListBullet"/>
        <w:numPr>
          <w:ilvl w:val="0"/>
          <w:numId w:val="51"/>
        </w:numPr>
        <w:pBdr>
          <w:top w:val="nil"/>
          <w:left w:val="nil"/>
          <w:bottom w:val="nil"/>
          <w:right w:val="nil"/>
          <w:between w:val="nil"/>
          <w:bar w:val="nil"/>
        </w:pBdr>
        <w:tabs>
          <w:tab w:val="left" w:pos="360"/>
        </w:tabs>
        <w:rPr>
          <w:noProof/>
        </w:rPr>
      </w:pPr>
      <w:r>
        <w:rPr>
          <w:noProof/>
        </w:rPr>
        <w:t>образование и обучение,</w:t>
      </w:r>
    </w:p>
    <w:p>
      <w:pPr>
        <w:pStyle w:val="ListBullet"/>
        <w:numPr>
          <w:ilvl w:val="0"/>
          <w:numId w:val="51"/>
        </w:numPr>
        <w:pBdr>
          <w:top w:val="nil"/>
          <w:left w:val="nil"/>
          <w:bottom w:val="nil"/>
          <w:right w:val="nil"/>
          <w:between w:val="nil"/>
          <w:bar w:val="nil"/>
        </w:pBdr>
        <w:tabs>
          <w:tab w:val="left" w:pos="360"/>
        </w:tabs>
        <w:rPr>
          <w:noProof/>
        </w:rPr>
      </w:pPr>
      <w:r>
        <w:rPr>
          <w:noProof/>
        </w:rPr>
        <w:t>трудова заетост,</w:t>
      </w:r>
    </w:p>
    <w:p>
      <w:pPr>
        <w:pStyle w:val="ListBullet"/>
        <w:numPr>
          <w:ilvl w:val="0"/>
          <w:numId w:val="51"/>
        </w:numPr>
        <w:pBdr>
          <w:top w:val="nil"/>
          <w:left w:val="nil"/>
          <w:bottom w:val="nil"/>
          <w:right w:val="nil"/>
          <w:between w:val="nil"/>
          <w:bar w:val="nil"/>
        </w:pBdr>
        <w:tabs>
          <w:tab w:val="left" w:pos="360"/>
        </w:tabs>
        <w:rPr>
          <w:noProof/>
        </w:rPr>
      </w:pPr>
      <w:r>
        <w:rPr>
          <w:noProof/>
        </w:rPr>
        <w:t>равенство между половете,</w:t>
      </w:r>
    </w:p>
    <w:p>
      <w:pPr>
        <w:pStyle w:val="ListBullet"/>
        <w:numPr>
          <w:ilvl w:val="0"/>
          <w:numId w:val="51"/>
        </w:numPr>
        <w:pBdr>
          <w:top w:val="nil"/>
          <w:left w:val="nil"/>
          <w:bottom w:val="nil"/>
          <w:right w:val="nil"/>
          <w:between w:val="nil"/>
          <w:bar w:val="nil"/>
        </w:pBdr>
        <w:tabs>
          <w:tab w:val="left" w:pos="360"/>
        </w:tabs>
        <w:rPr>
          <w:noProof/>
        </w:rPr>
      </w:pPr>
      <w:r>
        <w:rPr>
          <w:noProof/>
        </w:rPr>
        <w:t>предприемачеството (по-специално социалното предприемачество),</w:t>
      </w:r>
    </w:p>
    <w:p>
      <w:pPr>
        <w:pStyle w:val="ListBullet"/>
        <w:numPr>
          <w:ilvl w:val="0"/>
          <w:numId w:val="51"/>
        </w:numPr>
        <w:pBdr>
          <w:top w:val="nil"/>
          <w:left w:val="nil"/>
          <w:bottom w:val="nil"/>
          <w:right w:val="nil"/>
          <w:between w:val="nil"/>
          <w:bar w:val="nil"/>
        </w:pBdr>
        <w:tabs>
          <w:tab w:val="left" w:pos="360"/>
        </w:tabs>
        <w:rPr>
          <w:noProof/>
        </w:rPr>
      </w:pPr>
      <w:r>
        <w:rPr>
          <w:noProof/>
        </w:rPr>
        <w:t>гражданство и демократично участие,</w:t>
      </w:r>
    </w:p>
    <w:p>
      <w:pPr>
        <w:pStyle w:val="ListBullet"/>
        <w:numPr>
          <w:ilvl w:val="0"/>
          <w:numId w:val="51"/>
        </w:numPr>
        <w:pBdr>
          <w:top w:val="nil"/>
          <w:left w:val="nil"/>
          <w:bottom w:val="nil"/>
          <w:right w:val="nil"/>
          <w:between w:val="nil"/>
          <w:bar w:val="nil"/>
        </w:pBdr>
        <w:tabs>
          <w:tab w:val="left" w:pos="360"/>
        </w:tabs>
        <w:rPr>
          <w:noProof/>
        </w:rPr>
      </w:pPr>
      <w:r>
        <w:rPr>
          <w:noProof/>
        </w:rPr>
        <w:t>околна среда и опазване на природата,</w:t>
      </w:r>
    </w:p>
    <w:p>
      <w:pPr>
        <w:pStyle w:val="ListBullet"/>
        <w:numPr>
          <w:ilvl w:val="0"/>
          <w:numId w:val="51"/>
        </w:numPr>
        <w:pBdr>
          <w:top w:val="nil"/>
          <w:left w:val="nil"/>
          <w:bottom w:val="nil"/>
          <w:right w:val="nil"/>
          <w:between w:val="nil"/>
          <w:bar w:val="nil"/>
        </w:pBdr>
        <w:tabs>
          <w:tab w:val="left" w:pos="360"/>
        </w:tabs>
        <w:rPr>
          <w:noProof/>
        </w:rPr>
      </w:pPr>
      <w:r>
        <w:rPr>
          <w:noProof/>
        </w:rPr>
        <w:t>действия по климата,</w:t>
      </w:r>
    </w:p>
    <w:p>
      <w:pPr>
        <w:pStyle w:val="ListBullet"/>
        <w:numPr>
          <w:ilvl w:val="0"/>
          <w:numId w:val="51"/>
        </w:numPr>
        <w:pBdr>
          <w:top w:val="nil"/>
          <w:left w:val="nil"/>
          <w:bottom w:val="nil"/>
          <w:right w:val="nil"/>
          <w:between w:val="nil"/>
          <w:bar w:val="nil"/>
        </w:pBdr>
        <w:tabs>
          <w:tab w:val="left" w:pos="360"/>
        </w:tabs>
        <w:rPr>
          <w:noProof/>
        </w:rPr>
      </w:pPr>
      <w:r>
        <w:rPr>
          <w:noProof/>
        </w:rPr>
        <w:t>предотвратяване на бедствия, готовност при бедствия и възстановяване след тях,</w:t>
      </w:r>
    </w:p>
    <w:p>
      <w:pPr>
        <w:pStyle w:val="ListBullet"/>
        <w:numPr>
          <w:ilvl w:val="0"/>
          <w:numId w:val="51"/>
        </w:numPr>
        <w:pBdr>
          <w:top w:val="nil"/>
          <w:left w:val="nil"/>
          <w:bottom w:val="nil"/>
          <w:right w:val="nil"/>
          <w:between w:val="nil"/>
          <w:bar w:val="nil"/>
        </w:pBdr>
        <w:tabs>
          <w:tab w:val="left" w:pos="360"/>
        </w:tabs>
        <w:rPr>
          <w:noProof/>
        </w:rPr>
      </w:pPr>
      <w:r>
        <w:rPr>
          <w:noProof/>
        </w:rPr>
        <w:t>земеделие и развитие на селските райони,</w:t>
      </w:r>
    </w:p>
    <w:p>
      <w:pPr>
        <w:pStyle w:val="ListBullet"/>
        <w:numPr>
          <w:ilvl w:val="0"/>
          <w:numId w:val="51"/>
        </w:numPr>
        <w:pBdr>
          <w:top w:val="nil"/>
          <w:left w:val="nil"/>
          <w:bottom w:val="nil"/>
          <w:right w:val="nil"/>
          <w:between w:val="nil"/>
          <w:bar w:val="nil"/>
        </w:pBdr>
        <w:tabs>
          <w:tab w:val="left" w:pos="360"/>
        </w:tabs>
        <w:rPr>
          <w:noProof/>
        </w:rPr>
      </w:pPr>
      <w:r>
        <w:rPr>
          <w:noProof/>
        </w:rPr>
        <w:t>осигуряване на хранителни и нехранителни продукти,</w:t>
      </w:r>
    </w:p>
    <w:p>
      <w:pPr>
        <w:pStyle w:val="ListBullet"/>
        <w:numPr>
          <w:ilvl w:val="0"/>
          <w:numId w:val="51"/>
        </w:numPr>
        <w:pBdr>
          <w:top w:val="nil"/>
          <w:left w:val="nil"/>
          <w:bottom w:val="nil"/>
          <w:right w:val="nil"/>
          <w:between w:val="nil"/>
          <w:bar w:val="nil"/>
        </w:pBdr>
        <w:tabs>
          <w:tab w:val="left" w:pos="360"/>
        </w:tabs>
        <w:rPr>
          <w:noProof/>
        </w:rPr>
      </w:pPr>
      <w:r>
        <w:rPr>
          <w:noProof/>
        </w:rPr>
        <w:t>здраве и благосъстояние,</w:t>
      </w:r>
    </w:p>
    <w:p>
      <w:pPr>
        <w:pStyle w:val="ListBullet"/>
        <w:numPr>
          <w:ilvl w:val="0"/>
          <w:numId w:val="51"/>
        </w:numPr>
        <w:pBdr>
          <w:top w:val="nil"/>
          <w:left w:val="nil"/>
          <w:bottom w:val="nil"/>
          <w:right w:val="nil"/>
          <w:between w:val="nil"/>
          <w:bar w:val="nil"/>
        </w:pBdr>
        <w:tabs>
          <w:tab w:val="left" w:pos="360"/>
        </w:tabs>
        <w:rPr>
          <w:noProof/>
        </w:rPr>
      </w:pPr>
      <w:r>
        <w:rPr>
          <w:noProof/>
        </w:rPr>
        <w:t>творчество и култура</w:t>
      </w:r>
    </w:p>
    <w:p>
      <w:pPr>
        <w:pStyle w:val="ListBullet"/>
        <w:numPr>
          <w:ilvl w:val="0"/>
          <w:numId w:val="51"/>
        </w:numPr>
        <w:pBdr>
          <w:top w:val="nil"/>
          <w:left w:val="nil"/>
          <w:bottom w:val="nil"/>
          <w:right w:val="nil"/>
          <w:between w:val="nil"/>
          <w:bar w:val="nil"/>
        </w:pBdr>
        <w:tabs>
          <w:tab w:val="left" w:pos="360"/>
        </w:tabs>
        <w:rPr>
          <w:noProof/>
        </w:rPr>
      </w:pPr>
      <w:r>
        <w:rPr>
          <w:noProof/>
        </w:rPr>
        <w:t>физическо възпитание и спорт,</w:t>
      </w:r>
    </w:p>
    <w:p>
      <w:pPr>
        <w:pStyle w:val="ListBullet"/>
        <w:numPr>
          <w:ilvl w:val="0"/>
          <w:numId w:val="51"/>
        </w:numPr>
        <w:pBdr>
          <w:top w:val="nil"/>
          <w:left w:val="nil"/>
          <w:bottom w:val="nil"/>
          <w:right w:val="nil"/>
          <w:between w:val="nil"/>
          <w:bar w:val="nil"/>
        </w:pBdr>
        <w:tabs>
          <w:tab w:val="left" w:pos="360"/>
        </w:tabs>
        <w:rPr>
          <w:noProof/>
        </w:rPr>
      </w:pPr>
      <w:r>
        <w:rPr>
          <w:noProof/>
        </w:rPr>
        <w:t>социално подпомагане и закрила,</w:t>
      </w:r>
    </w:p>
    <w:p>
      <w:pPr>
        <w:pStyle w:val="ListBullet"/>
        <w:numPr>
          <w:ilvl w:val="0"/>
          <w:numId w:val="51"/>
        </w:numPr>
        <w:pBdr>
          <w:top w:val="nil"/>
          <w:left w:val="nil"/>
          <w:bottom w:val="nil"/>
          <w:right w:val="nil"/>
          <w:between w:val="nil"/>
          <w:bar w:val="nil"/>
        </w:pBdr>
        <w:tabs>
          <w:tab w:val="left" w:pos="360"/>
        </w:tabs>
        <w:rPr>
          <w:noProof/>
        </w:rPr>
      </w:pPr>
      <w:r>
        <w:rPr>
          <w:noProof/>
        </w:rPr>
        <w:lastRenderedPageBreak/>
        <w:t>приемане и интеграция на граждани на трети държави,</w:t>
      </w:r>
    </w:p>
    <w:p>
      <w:pPr>
        <w:pStyle w:val="ListBullet"/>
        <w:numPr>
          <w:ilvl w:val="0"/>
          <w:numId w:val="51"/>
        </w:numPr>
        <w:pBdr>
          <w:top w:val="nil"/>
          <w:left w:val="nil"/>
          <w:bottom w:val="nil"/>
          <w:right w:val="nil"/>
          <w:between w:val="nil"/>
          <w:bar w:val="nil"/>
        </w:pBdr>
        <w:tabs>
          <w:tab w:val="left" w:pos="360"/>
        </w:tabs>
        <w:rPr>
          <w:noProof/>
        </w:rPr>
      </w:pPr>
      <w:r>
        <w:rPr>
          <w:noProof/>
        </w:rPr>
        <w:t>териториално сътрудничество и сближаване,</w:t>
      </w:r>
    </w:p>
    <w:p>
      <w:pPr>
        <w:pStyle w:val="ListBullet"/>
        <w:numPr>
          <w:ilvl w:val="0"/>
          <w:numId w:val="51"/>
        </w:numPr>
        <w:pBdr>
          <w:top w:val="nil"/>
          <w:left w:val="nil"/>
          <w:bottom w:val="nil"/>
          <w:right w:val="nil"/>
          <w:between w:val="nil"/>
          <w:bar w:val="nil"/>
        </w:pBdr>
        <w:tabs>
          <w:tab w:val="left" w:pos="360"/>
        </w:tabs>
        <w:rPr>
          <w:noProof/>
        </w:rPr>
      </w:pPr>
      <w:r>
        <w:rPr>
          <w:noProof/>
        </w:rPr>
        <w:t>трансгранично сътрудничество, както и</w:t>
      </w:r>
    </w:p>
    <w:p>
      <w:pPr>
        <w:pStyle w:val="ListBullet"/>
        <w:numPr>
          <w:ilvl w:val="0"/>
          <w:numId w:val="51"/>
        </w:numPr>
        <w:pBdr>
          <w:top w:val="nil"/>
          <w:left w:val="nil"/>
          <w:bottom w:val="nil"/>
          <w:right w:val="nil"/>
          <w:between w:val="nil"/>
          <w:bar w:val="nil"/>
        </w:pBdr>
        <w:tabs>
          <w:tab w:val="left" w:pos="360"/>
        </w:tabs>
        <w:rPr>
          <w:noProof/>
        </w:rPr>
      </w:pPr>
      <w:r>
        <w:rPr>
          <w:noProof/>
        </w:rPr>
        <w:t>хуманитарната помощ.</w:t>
      </w:r>
    </w:p>
    <w:p>
      <w:pPr>
        <w:rPr>
          <w:noProof/>
        </w:rPr>
      </w:pPr>
      <w:r>
        <w:rPr>
          <w:noProof/>
        </w:rPr>
        <w:t>През първия и втория етап на Европейския корпус за солидарност бяха мобилизирани различни програми на ЕС с цел на младите хора в целия ЕС да бъдат предложени възможности за доброволчество, стаж или работа.</w:t>
      </w:r>
    </w:p>
    <w:p>
      <w:pPr>
        <w:rPr>
          <w:noProof/>
        </w:rPr>
      </w:pPr>
      <w:r>
        <w:rPr>
          <w:noProof/>
        </w:rPr>
        <w:t>Настоящото предложение ще представлява основата за трети етап на Европейския корпус за солидарност, през който собствената му добре определена структура ще даде възможност всички дейности да бъдат разработени съгласно един и същ набор от правила и условия за дейности за солидарност, независимо от областта на политиката, обхваната от действието. Тъй като в новия разширен обхват се включват дейности, подпомагащи операции за хуманитарна помощ, за Европейския корпус за солидарност ще бъдат от полза допълнителни вноски в подкрепа на новия обхват на дейности. Изпълнението им ще се извършва в близко сътрудничество със съответните служби на Комисията.</w:t>
      </w:r>
    </w:p>
    <w:p>
      <w:pPr>
        <w:rPr>
          <w:noProof/>
        </w:rPr>
      </w:pPr>
      <w:r>
        <w:rPr>
          <w:noProof/>
        </w:rPr>
        <w:t>В предложението на Комисията за многогодишната финансова рамка за периода 2021—2027 г. се определя по-амбициозна цел по отношение на включването на свързаните с климата въпроси във всички програми на ЕС, като целта е с 25 % от разходите на ЕС да се допринася за постигането на целите в областта на климата</w:t>
      </w:r>
      <w:r>
        <w:rPr>
          <w:rStyle w:val="FootnoteReference"/>
          <w:rFonts w:eastAsiaTheme="majorEastAsia"/>
          <w:noProof/>
        </w:rPr>
        <w:footnoteReference w:id="4"/>
      </w:r>
      <w:r>
        <w:rPr>
          <w:noProof/>
        </w:rPr>
        <w:t>. Приносът на тази програма за постигане на общата цел ще бъде проследяван чрез система на ЕС от маркери за климата на подходящо ниво на разбивка, включително използване на по-точни методики, когато има такива. Комисията ще продължи да представя информацията ежегодно от гледна точка на бюджетните кредити за поети задължения в контекста на годишния проектобюджет.</w:t>
      </w:r>
    </w:p>
    <w:p>
      <w:pPr>
        <w:rPr>
          <w:noProof/>
        </w:rPr>
      </w:pPr>
      <w:r>
        <w:rPr>
          <w:noProof/>
        </w:rPr>
        <w:t>За да се подкрепи пълното оползотворяване на потенциала на програмата да допринесе за целите във връзка с климата, Комисията ще работи за определянето на съответните действия още при изготвянето на програмата, както и в процеса на нейното изпълнение, преглед и оценка.</w:t>
      </w:r>
    </w:p>
    <w:p>
      <w:pPr>
        <w:pStyle w:val="ManualHeading1"/>
        <w:spacing w:before="120"/>
        <w:rPr>
          <w:noProof/>
        </w:rPr>
      </w:pPr>
      <w:r>
        <w:rPr>
          <w:noProof/>
        </w:rPr>
        <w:t>2.</w:t>
      </w:r>
      <w:r>
        <w:rPr>
          <w:noProof/>
        </w:rPr>
        <w:tab/>
        <w:t>ПРАВНО ОСНОВАНИЕ, СУБСИДИАРНОСТ И ПРОПОРЦИОНАЛНОСТ</w:t>
      </w:r>
    </w:p>
    <w:p>
      <w:pPr>
        <w:pStyle w:val="ManualHeading2"/>
        <w:rPr>
          <w:noProof/>
        </w:rPr>
      </w:pPr>
      <w:r>
        <w:rPr>
          <w:noProof/>
        </w:rPr>
        <w:t>•</w:t>
      </w:r>
      <w:r>
        <w:rPr>
          <w:noProof/>
        </w:rPr>
        <w:tab/>
        <w:t>Правно основание</w:t>
      </w:r>
    </w:p>
    <w:p>
      <w:pPr>
        <w:rPr>
          <w:noProof/>
        </w:rPr>
      </w:pPr>
      <w:r>
        <w:rPr>
          <w:noProof/>
        </w:rPr>
        <w:t>Настоящото предложение се основава на две направления: „участието на младите хора в дейности за солидарност, преодоляващи предизвикателства пред обществото“ и „Европейски доброволчески корпус за хуманитарна помощ“.</w:t>
      </w:r>
    </w:p>
    <w:p>
      <w:pPr>
        <w:rPr>
          <w:noProof/>
        </w:rPr>
      </w:pPr>
      <w:r>
        <w:rPr>
          <w:noProof/>
        </w:rPr>
        <w:t>Поради това предложението се основава на член 165, параграф 4, член 166, параграф 4 и член 214, параграф 5 от Договора за функционирането на Европейския съюз. Член 165, параграф 4 дава възможност за действия на ЕС, насочени към „</w:t>
      </w:r>
      <w:r>
        <w:rPr>
          <w:i/>
          <w:noProof/>
        </w:rPr>
        <w:t>насърчаване на развитието на младежкия обмен (...) и насърчаване на участието на младите хора в демократичния живот на Европа</w:t>
      </w:r>
      <w:r>
        <w:rPr>
          <w:noProof/>
        </w:rPr>
        <w:t>“. Действията на ЕС, основани на член 166, параграф 4 представляват подходящо правно основание за акт като настоящото предложение, което има за цел да „</w:t>
      </w:r>
      <w:r>
        <w:rPr>
          <w:i/>
          <w:noProof/>
        </w:rPr>
        <w:t>подобри първоначалното и продължаващо професионално обучение с оглед подобряване на професионалната интеграция и реинтеграция на пазара на труда</w:t>
      </w:r>
      <w:r>
        <w:rPr>
          <w:noProof/>
        </w:rPr>
        <w:t>“, както и да „</w:t>
      </w:r>
      <w:r>
        <w:rPr>
          <w:i/>
          <w:noProof/>
        </w:rPr>
        <w:t>улесни достъпа до професионално обучение и да насърчава мобилността на обучаващите и обучаваните, и в частност на младите хора</w:t>
      </w:r>
      <w:r>
        <w:rPr>
          <w:noProof/>
        </w:rPr>
        <w:t xml:space="preserve">“. С член 214, параграф 5 се осигурява правно основание за установяване на </w:t>
      </w:r>
      <w:r>
        <w:rPr>
          <w:i/>
          <w:noProof/>
        </w:rPr>
        <w:t xml:space="preserve">„рамка за съвместен принос на младите европейски граждани към </w:t>
      </w:r>
      <w:r>
        <w:rPr>
          <w:i/>
          <w:noProof/>
        </w:rPr>
        <w:lastRenderedPageBreak/>
        <w:t>действията на Съюза в областта на хуманитарната помощ — Европейски доброволчески корпус за хуманитарна помощ“</w:t>
      </w:r>
      <w:r>
        <w:rPr>
          <w:noProof/>
        </w:rPr>
        <w:t>.</w:t>
      </w:r>
    </w:p>
    <w:p>
      <w:pPr>
        <w:pStyle w:val="ManualHeading2"/>
        <w:rPr>
          <w:noProof/>
        </w:rPr>
      </w:pPr>
      <w:r>
        <w:rPr>
          <w:noProof/>
        </w:rPr>
        <w:t>•</w:t>
      </w:r>
      <w:r>
        <w:rPr>
          <w:noProof/>
        </w:rPr>
        <w:tab/>
        <w:t>Субсидиарност (при неизключителна компетентност)</w:t>
      </w:r>
    </w:p>
    <w:p>
      <w:pPr>
        <w:rPr>
          <w:noProof/>
        </w:rPr>
      </w:pPr>
      <w:r>
        <w:rPr>
          <w:noProof/>
        </w:rPr>
        <w:t>Предвид на европейския мащаб на предложените цели — мобилизиране на млади хора за каузи на солидарност навсякъде в ЕС, както и млади доброволци, които да допринасят за предоставянето на хуманитарна помощ в държави извън ЕС — е подходящо действие на равнище ЕС.</w:t>
      </w:r>
    </w:p>
    <w:p>
      <w:pPr>
        <w:rPr>
          <w:noProof/>
        </w:rPr>
      </w:pPr>
      <w:r>
        <w:rPr>
          <w:noProof/>
        </w:rPr>
        <w:t>Действията чрез Европейския корпус за солидарност няма да заместят подобни действия на държавите членки за младите хора, а ще ги допълват и подкрепят при пълно спазване на принципа на субсидиарност. Във всички държави членки съществуват традиции за управление на програми и инструменти, подпомагащи дейности, които са в интерес на обществото, по-специално чрез доброволчество, като тези програми и инструменти са доста разнообразни. Практиката на някои държави предвижда държавна намеса, докато в други гражданското общество заема водещата роля. Съществуват и различни концепции и допълнителни аспекти на дейностите за солидарност и доброволчеството, а видовете дейности са различни по съдържание и продължителност. Освен това са налице различни разбирания по отношение на връзката на социалната закрила с доброволчеството, както и различни степени по отношение на правния статут, учебния процес и признаването. Всичко това води до разпокъсаност на равнище ЕС, което означава, че младите хора в ЕС имат неравен достъп до предлаганите възможности.</w:t>
      </w:r>
    </w:p>
    <w:p>
      <w:pPr>
        <w:rPr>
          <w:noProof/>
        </w:rPr>
      </w:pPr>
      <w:r>
        <w:rPr>
          <w:noProof/>
        </w:rPr>
        <w:t>Както е видно от предварителната оценка, приложена към това предложение, действията на ЕС чрез Европейския корпус за солидарност ще спомогнат да се преодолее тази разпокъсаност. В същото време дейността се основава на поуките от разнообразния опит в различните държави членки. Те също така стимулират доброволчеството в онези от тях, където днес то не е широко разпространено, както посочват заинтересованите страни, с които се консултирахме при подготовката на [Регламента за Европейския корпус за солидарност]</w:t>
      </w:r>
      <w:r>
        <w:rPr>
          <w:rStyle w:val="FootnoteReference"/>
          <w:noProof/>
        </w:rPr>
        <w:footnoteReference w:id="5"/>
      </w:r>
      <w:r>
        <w:rPr>
          <w:noProof/>
        </w:rPr>
        <w:t>. Европейският корпус за солидарност спомага за повишаване на качеството на различните дейности, предлагани на младите хора както в рамките на ЕС, така и в чужбина, и за валидиране на учебните резултати, придобити от тях. Това се постига чрез прилагането на редица гаранции за качество, като например знак за качество за участващите организации и принципите, очертани в Рамката за качество на стажовете</w:t>
      </w:r>
      <w:r>
        <w:rPr>
          <w:rStyle w:val="FootnoteReference"/>
          <w:noProof/>
        </w:rPr>
        <w:footnoteReference w:id="6"/>
      </w:r>
      <w:r>
        <w:rPr>
          <w:noProof/>
        </w:rPr>
        <w:t>.</w:t>
      </w:r>
    </w:p>
    <w:p>
      <w:pPr>
        <w:rPr>
          <w:noProof/>
        </w:rPr>
      </w:pPr>
      <w:r>
        <w:rPr>
          <w:noProof/>
        </w:rPr>
        <w:t>Освен това чрез разширяването на обхвата, така че да се включат дейности, подпомагащи операции за хуманитарна помощ, Европейският корпус за солидарност ще предлага на младите хора от целия ЕС и в чужбина единствен входен пункт към висококачествени доброволчески и професионални дейности. Понастоящем такива дейности са достъпни чрез две отделни схеми. Затова корпусът ще осигури за всички заинтересовани млади хора от ЕС равни възможности за по-широк кръг разнообразни дейности, и че те получават по-лесен достъп до тях. Обединяването на възможностите за участие в доброволческа дейност в подкрепа на хуманитарна помощ в рамките на съществуващата марка на Европейски корпус за солидарност ще допринесе и за повишаване на осведомеността и видимостта на наличните възможности за младите хора.</w:t>
      </w:r>
    </w:p>
    <w:p>
      <w:pPr>
        <w:rPr>
          <w:noProof/>
        </w:rPr>
      </w:pPr>
      <w:r>
        <w:rPr>
          <w:noProof/>
        </w:rPr>
        <w:t xml:space="preserve">Европейският корпус за солидарност ще предлага както дейности в държави извън държавата по пребиваване на участниците (дейности и доброволчество в подкрепа на хуманитарна помощ зад граница), така и такива, които могат да се поемат в държавата по пребиваване (дейности в страната). Що се отнася до дейностите зад граница, действията на отделните държави членки не могат да заменят действията на ЕС. Това се дължи на разпокъсаността в структурите и </w:t>
      </w:r>
      <w:r>
        <w:rPr>
          <w:noProof/>
        </w:rPr>
        <w:lastRenderedPageBreak/>
        <w:t>програмите, предлагащи доброволчество и стажове, и на разнообразието от разбирания и концепции в сектора, предлагащ дейности за солидарност. По отношение на дейностите в страната Европейският корпус за солидарност съдейства за справяне с местни или национални предизвикателства от гледна точка на по-широка европейска перспектива. По-специално действието на равнище ЕС може да спомогне за преодоляване на разпокъсаността в предлагането на дейности и да осигури включване за всички млади хора, включително и онези, които срещат пречки за участието си в международни дейности. Такова действие предлага също европейски контекст и помага за намирането на европейски решения на конкретни предизвикателства, излизащи извън националните граници.</w:t>
      </w:r>
    </w:p>
    <w:p>
      <w:pPr>
        <w:rPr>
          <w:noProof/>
        </w:rPr>
      </w:pPr>
      <w:r>
        <w:rPr>
          <w:noProof/>
        </w:rPr>
        <w:t>Накрая, но не на последно място, използването на съществуващите структури, доказали своята ефективност и ефикасност, осигурява ефективно и ефикасно изпълнение на Европейския корпус за солидарност. Освен това така се гарантира, че полезните взаимодействия и взаимното допълване с дейностите на държавите членки в полза на младежта и хуманитарната помощ са най-големи. Действително, независимо че чрез националните рамки биха могли да се постигнат подобни резултати, те биха били двойно по-скъпи, както се установи в междинната оценка на програмата „Еразъм+“ (за периода 2014—2020 г.)</w:t>
      </w:r>
      <w:r>
        <w:rPr>
          <w:rStyle w:val="FootnoteReference"/>
          <w:rFonts w:eastAsiaTheme="majorEastAsia"/>
          <w:noProof/>
        </w:rPr>
        <w:footnoteReference w:id="7"/>
      </w:r>
      <w:r>
        <w:rPr>
          <w:noProof/>
        </w:rPr>
        <w:t>.</w:t>
      </w:r>
    </w:p>
    <w:p>
      <w:pPr>
        <w:pStyle w:val="ManualHeading2"/>
        <w:rPr>
          <w:noProof/>
        </w:rPr>
      </w:pPr>
      <w:r>
        <w:rPr>
          <w:noProof/>
        </w:rPr>
        <w:t>•</w:t>
      </w:r>
      <w:r>
        <w:rPr>
          <w:noProof/>
        </w:rPr>
        <w:tab/>
        <w:t>Пропорционалност</w:t>
      </w:r>
    </w:p>
    <w:p>
      <w:pPr>
        <w:rPr>
          <w:noProof/>
        </w:rPr>
      </w:pPr>
      <w:r>
        <w:rPr>
          <w:noProof/>
        </w:rPr>
        <w:t>Предложените подобрения ще бъдат интегрирани в съществуващата структура на програмата и ще използват съществуващите механизми за изпълнение, за да се осигури възможно най-голяма приемственост и стабилност с предходните програми. Предложението е предназначено да преодолее установените пропуски в предлагането на леснодостъпни възможности за младите хора да участват в дейности за солидарност. То не отива по-далеч от необходимото, за да постигне заложените в него цели.</w:t>
      </w:r>
    </w:p>
    <w:p>
      <w:pPr>
        <w:pStyle w:val="ManualHeading2"/>
        <w:rPr>
          <w:noProof/>
        </w:rPr>
      </w:pPr>
      <w:r>
        <w:rPr>
          <w:noProof/>
        </w:rPr>
        <w:t>•</w:t>
      </w:r>
      <w:r>
        <w:rPr>
          <w:noProof/>
        </w:rPr>
        <w:tab/>
        <w:t>Избор на инструмент</w:t>
      </w:r>
    </w:p>
    <w:p>
      <w:pPr>
        <w:rPr>
          <w:noProof/>
        </w:rPr>
      </w:pPr>
      <w:r>
        <w:rPr>
          <w:noProof/>
        </w:rPr>
        <w:t>Предложеният инструмент е регламент на Европейския парламент и на Съвета.</w:t>
      </w:r>
    </w:p>
    <w:p>
      <w:pPr>
        <w:pStyle w:val="ManualHeading1"/>
        <w:spacing w:before="120"/>
        <w:rPr>
          <w:noProof/>
        </w:rPr>
      </w:pPr>
      <w:r>
        <w:rPr>
          <w:noProof/>
        </w:rPr>
        <w:t>3.</w:t>
      </w:r>
      <w:r>
        <w:rPr>
          <w:noProof/>
        </w:rPr>
        <w:tab/>
        <w:t>РЕЗУЛТАТИ ОТ РЕТРОСПЕКТИВНИТЕ ОЦЕНКИ, КОНСУЛТАЦИИТЕ СЪС ЗАИНТЕРЕСОВАНИТЕ СТРАНИ И ОЦЕНКИТЕ НА ВЪЗДЕЙСТВИЕТО</w:t>
      </w:r>
    </w:p>
    <w:p>
      <w:pPr>
        <w:pStyle w:val="ManualHeading2"/>
        <w:rPr>
          <w:noProof/>
        </w:rPr>
      </w:pPr>
      <w:r>
        <w:rPr>
          <w:noProof/>
        </w:rPr>
        <w:t>•</w:t>
      </w:r>
      <w:r>
        <w:rPr>
          <w:noProof/>
        </w:rPr>
        <w:tab/>
        <w:t>Ретроспективни оценки/проверки за пригодност на действащото законодателство</w:t>
      </w:r>
    </w:p>
    <w:p>
      <w:pPr>
        <w:rPr>
          <w:noProof/>
        </w:rPr>
      </w:pPr>
      <w:r>
        <w:rPr>
          <w:noProof/>
        </w:rPr>
        <w:t>Извършена бе междинна оценка</w:t>
      </w:r>
      <w:r>
        <w:rPr>
          <w:rStyle w:val="FootnoteReference"/>
          <w:rFonts w:eastAsiaTheme="majorEastAsia"/>
          <w:noProof/>
        </w:rPr>
        <w:footnoteReference w:id="8"/>
      </w:r>
      <w:r>
        <w:rPr>
          <w:noProof/>
        </w:rPr>
        <w:t xml:space="preserve"> на изпълнението на програмата „Доброволци на ЕС за хуманитарна помощ“ за периода от средата на 2014 г. до средата на 2017 г. Оценката предостави полезни аналитични и задълбочени данни за изпълнението на инициативата, включително за недостатъци и сфери, в които е необходимо допълнително подобрение. По-специално, трябва да бъде подчертан слабият прием на доброволци предвид на това, че първоначалната цел може да не бъде постигната. В доклада от външната оценка</w:t>
      </w:r>
      <w:r>
        <w:rPr>
          <w:rStyle w:val="FootnoteReference"/>
          <w:rFonts w:eastAsiaTheme="majorEastAsia"/>
          <w:noProof/>
        </w:rPr>
        <w:footnoteReference w:id="9"/>
      </w:r>
      <w:r>
        <w:rPr>
          <w:noProof/>
        </w:rPr>
        <w:t xml:space="preserve"> могат да се откроят няколко препоръки. Така например той съдържа препоръка за използването на единна марка и комуникационни дейности, което би увеличило видимостта на дейностите в подкрепа на операциите за хуманитарна помощ. Друга препоръка е възможността за преминаване от кандидатстване въз основа на свободните места (каквато е процедурата по инициатива „Доброволци на ЕС за хуманитарна помощ“) към набиране от списък с кандидати (каквато е практиката в Европейския корпус за солидарност). На последно място, в оценката се подчертава </w:t>
      </w:r>
      <w:r>
        <w:rPr>
          <w:noProof/>
        </w:rPr>
        <w:lastRenderedPageBreak/>
        <w:t>значението на допълнителното опростяване на процедурите, което би могло да се постигне чрез уеднаквяване на процеса със съществуващите процеси в Европейския корпус за солидарност.</w:t>
      </w:r>
    </w:p>
    <w:p>
      <w:pPr>
        <w:rPr>
          <w:noProof/>
        </w:rPr>
      </w:pPr>
      <w:r>
        <w:rPr>
          <w:noProof/>
        </w:rPr>
        <w:t>Освен това, тъй като Европейският корпус за солидарност намира солидна основа в предишната Европейска доброволческа служба, създадена по програма „Еразъм+“, е добре да се вземе предвид последната междинна оценка</w:t>
      </w:r>
      <w:r>
        <w:rPr>
          <w:rStyle w:val="FootnoteReference"/>
          <w:rFonts w:eastAsiaTheme="majorEastAsia"/>
          <w:noProof/>
        </w:rPr>
        <w:footnoteReference w:id="10"/>
      </w:r>
      <w:r>
        <w:rPr>
          <w:noProof/>
        </w:rPr>
        <w:t xml:space="preserve"> на програма „Еразъм+“. В основните резултати се подчертава ефективността на програмата „Еразъм+“ в развитието на умения и компетенции; безспорната европейска добавена стойност; високата степен на съгласуваност най-вече благодарение на обединяването на програми и единната марка; както и ефективността ѝ и опростения ѝ характер, които подчертават икономическата ефективност на дейностите по мобилност и намаляването на разходите за управление (по-малко от половина в сравнение с подобни национални схеми).</w:t>
      </w:r>
    </w:p>
    <w:p>
      <w:pPr>
        <w:rPr>
          <w:noProof/>
        </w:rPr>
      </w:pPr>
      <w:r>
        <w:rPr>
          <w:noProof/>
        </w:rPr>
        <w:t>Тези резултати подчертават идеята, че разширяването на обхвата на корпуса, така че да се включват дейности, които понастоящем се осъществяват по инициативата „Доброволци на ЕС за хуманитарна помощ“, би довело до повишаване на ефективността, по-ясни марка и позициониране и повече възможности, които се предлагат за младите хора.</w:t>
      </w:r>
    </w:p>
    <w:p>
      <w:pPr>
        <w:pStyle w:val="ManualHeading2"/>
        <w:rPr>
          <w:noProof/>
        </w:rPr>
      </w:pPr>
      <w:r>
        <w:rPr>
          <w:noProof/>
        </w:rPr>
        <w:t>•</w:t>
      </w:r>
      <w:r>
        <w:rPr>
          <w:noProof/>
        </w:rPr>
        <w:tab/>
        <w:t>Консултации със заинтересованите страни</w:t>
      </w:r>
    </w:p>
    <w:p>
      <w:pPr>
        <w:rPr>
          <w:noProof/>
        </w:rPr>
      </w:pPr>
      <w:r>
        <w:rPr>
          <w:noProof/>
        </w:rPr>
        <w:t>Проведената наскоро обществена консултация относно фондовете на ЕС в областта на ценностите и мобилността</w:t>
      </w:r>
      <w:r>
        <w:rPr>
          <w:rStyle w:val="FootnoteReference"/>
          <w:rFonts w:eastAsiaTheme="majorEastAsia"/>
          <w:noProof/>
        </w:rPr>
        <w:footnoteReference w:id="11"/>
      </w:r>
      <w:r>
        <w:rPr>
          <w:noProof/>
        </w:rPr>
        <w:t xml:space="preserve"> предоставя известна информация и анализи, които са от значение както за инициативата „Доброволци на ЕС за хуманитарна помощ“, така и за настоящия Европейски корпус за солидарност. Консултацията предизвика много голям отклик, като взеха участие 839 отделни респонденти, 1199 от които представляваха организации. Въпреки че все още не е изготвен подробен анализ за резултатите, могат да се направят някои предварителни наблюдения. Така например над 75 % от респондентите смятат за важни насърчаването на солидарността, социалното приобщаване и развитието на умения чрез мобилност. По-малко от 40 % от респондентите обаче са на мнение, че по тези въпроси се предприемат всички необходими мерки или адекватни такива. Въпреки това респондентите виждат ясно добавената стойност на действията на ЕС в тази област: над 75% считат, че действащите програми добавят стойност в сравнение с това, което държавите членки биха могли да постигнат на национално, регионално и/или местно равнище.</w:t>
      </w:r>
    </w:p>
    <w:p>
      <w:pPr>
        <w:rPr>
          <w:noProof/>
        </w:rPr>
      </w:pPr>
      <w:r>
        <w:rPr>
          <w:noProof/>
        </w:rPr>
        <w:t>Общо 135 от всички респонденти дадоха отговори за „Доброволци на ЕС за хуманитарна помощ“ и/или Европейския корпус за солидарност. От тях 82 % са на мнение, че липсата на бюджет, чрез който да се отговори на нуждите, е сред главните пречки сегашните програми да не могат да постигнат целите си поне до известна степен. Освен това, във връзка с опростяването, което се цели чрез интеграцията, трябва да се посочи, че над 68 % от респондентите смятат, че опростяването на формулярите и подборните процедури за предоставяне на безвъзмездни средства би помогнало за подобряването на резултатите от програмите.</w:t>
      </w:r>
    </w:p>
    <w:p>
      <w:pPr>
        <w:pStyle w:val="ManualHeading2"/>
        <w:rPr>
          <w:noProof/>
        </w:rPr>
      </w:pPr>
      <w:r>
        <w:rPr>
          <w:noProof/>
        </w:rPr>
        <w:t>•</w:t>
      </w:r>
      <w:r>
        <w:rPr>
          <w:noProof/>
        </w:rPr>
        <w:tab/>
        <w:t>Оценка на въздействието</w:t>
      </w:r>
    </w:p>
    <w:p>
      <w:pPr>
        <w:rPr>
          <w:noProof/>
        </w:rPr>
      </w:pPr>
      <w:r>
        <w:rPr>
          <w:noProof/>
        </w:rPr>
        <w:t>Не е извършена оценка на въздействието, тъй като съдържанието на настоящото предложение е съобразено със съществуващия Европейски корпус за солидарност. Предвид на това, че предложението обаче е свързано със значителни разходи, то се придружава от предварителна оценка, за да се изпълнят изискванията на финансовия регламент</w:t>
      </w:r>
      <w:r>
        <w:rPr>
          <w:rStyle w:val="FootnoteReference"/>
          <w:noProof/>
        </w:rPr>
        <w:footnoteReference w:id="12"/>
      </w:r>
      <w:r>
        <w:rPr>
          <w:noProof/>
        </w:rPr>
        <w:t>.</w:t>
      </w:r>
    </w:p>
    <w:p>
      <w:pPr>
        <w:rPr>
          <w:noProof/>
        </w:rPr>
      </w:pPr>
      <w:r>
        <w:rPr>
          <w:noProof/>
        </w:rPr>
        <w:lastRenderedPageBreak/>
        <w:t>В оценката се разглеждат предизвикателствата, които могат да възникнат в резултат на разширяването на обхвата на дейностите и на географския обхват, както и такива, установени при реализацията на сегашния Европейски корпус за солидарност и изпълнението на инициативата „Доброволци на ЕС за хуманитарна помощ“. В оценката се посочва необходимостта ЕС да отговори на следните важни предизвикателства в рамките на разширения Европейски корпус за солидарност:</w:t>
      </w:r>
    </w:p>
    <w:p>
      <w:pPr>
        <w:pStyle w:val="ListBullet"/>
        <w:numPr>
          <w:ilvl w:val="0"/>
          <w:numId w:val="50"/>
        </w:numPr>
        <w:rPr>
          <w:rFonts w:eastAsia="Calibri"/>
          <w:noProof/>
        </w:rPr>
      </w:pPr>
      <w:r>
        <w:rPr>
          <w:noProof/>
        </w:rPr>
        <w:t>Пояснения: през първата фаза на Европейския корпус за солидарност сред потенциалните участници имаше известно объркване относно неговата роля. Това се отнася най-вече за основополагащите програми, които са част от етап 1, както и за разликите с инициативата „Доброволци на ЕС за хуманитарна помощ;</w:t>
      </w:r>
    </w:p>
    <w:p>
      <w:pPr>
        <w:pStyle w:val="ListBullet"/>
        <w:numPr>
          <w:ilvl w:val="0"/>
          <w:numId w:val="50"/>
        </w:numPr>
        <w:rPr>
          <w:rFonts w:eastAsia="Calibri"/>
          <w:noProof/>
        </w:rPr>
      </w:pPr>
      <w:r>
        <w:rPr>
          <w:noProof/>
        </w:rPr>
        <w:t>Последователност: двете най-видими доброволчески схеми на ЕС са отделни.</w:t>
      </w:r>
    </w:p>
    <w:p>
      <w:pPr>
        <w:pStyle w:val="ListBullet"/>
        <w:numPr>
          <w:ilvl w:val="0"/>
          <w:numId w:val="50"/>
        </w:numPr>
        <w:rPr>
          <w:rFonts w:eastAsia="Calibri"/>
          <w:noProof/>
        </w:rPr>
      </w:pPr>
      <w:r>
        <w:rPr>
          <w:noProof/>
        </w:rPr>
        <w:t>Бавно оползотворяване на професионалните дейности: предлаганите дейности за стаж и работа са по-малко от очакваното.</w:t>
      </w:r>
    </w:p>
    <w:p>
      <w:pPr>
        <w:pStyle w:val="ListBullet"/>
        <w:numPr>
          <w:ilvl w:val="0"/>
          <w:numId w:val="50"/>
        </w:numPr>
        <w:rPr>
          <w:rFonts w:eastAsia="Calibri"/>
          <w:noProof/>
        </w:rPr>
      </w:pPr>
      <w:r>
        <w:rPr>
          <w:noProof/>
        </w:rPr>
        <w:t>Сътрудничество с национални схеми: сътрудничеството с национални рамки, инициативи и схеми, като например програми за гражданска служба или частни инициативи, следва да се увеличи с цел избягване на евентуалното припокриване на програми;</w:t>
      </w:r>
    </w:p>
    <w:p>
      <w:pPr>
        <w:pStyle w:val="ListBullet"/>
        <w:numPr>
          <w:ilvl w:val="0"/>
          <w:numId w:val="50"/>
        </w:numPr>
        <w:rPr>
          <w:rFonts w:eastAsia="Calibri"/>
          <w:noProof/>
        </w:rPr>
      </w:pPr>
      <w:r>
        <w:rPr>
          <w:noProof/>
        </w:rPr>
        <w:t>Измерение, свързано с приемствеността между поколенията: няма връзка между предишните, настоящите и бъдещите участници. Това води до загуба на експертен опит, който не се предава от едно поколение участници на следващото.</w:t>
      </w:r>
    </w:p>
    <w:p>
      <w:pPr>
        <w:pStyle w:val="ListBullet"/>
        <w:numPr>
          <w:ilvl w:val="0"/>
          <w:numId w:val="50"/>
        </w:numPr>
        <w:rPr>
          <w:rFonts w:eastAsia="Calibri"/>
          <w:noProof/>
        </w:rPr>
      </w:pPr>
      <w:r>
        <w:rPr>
          <w:noProof/>
        </w:rPr>
        <w:t>Изграждане на общности: придобитите чрез опита в Европейския корпус за солидарност умения не бива да са от полза само за вече приключилите проекти, а по-скоро да се обменят сред младите хора и не само. Корпусът не оползотворява това познание и възможностите от обмена на опит.</w:t>
      </w:r>
    </w:p>
    <w:p>
      <w:pPr>
        <w:pStyle w:val="ListBullet"/>
        <w:numPr>
          <w:ilvl w:val="0"/>
          <w:numId w:val="50"/>
        </w:numPr>
        <w:rPr>
          <w:rFonts w:eastAsia="Calibri"/>
          <w:noProof/>
        </w:rPr>
      </w:pPr>
      <w:r>
        <w:rPr>
          <w:noProof/>
        </w:rPr>
        <w:t>Създаване на система за управление на знанията: от събиране на данни до установяване и разпространение на най-добри практики при управлението на проекти — програмата ще трябва да се занимае по-адекватно с този въпрос, за да се подобри качеството на отчитане на резултатите.</w:t>
      </w:r>
    </w:p>
    <w:p>
      <w:pPr>
        <w:pStyle w:val="ListBullet"/>
        <w:numPr>
          <w:ilvl w:val="0"/>
          <w:numId w:val="50"/>
        </w:numPr>
        <w:rPr>
          <w:rFonts w:eastAsia="Calibri"/>
          <w:noProof/>
        </w:rPr>
      </w:pPr>
      <w:r>
        <w:rPr>
          <w:noProof/>
        </w:rPr>
        <w:t>Опростяване на процеса и процедурите за управление на програмата: подобряването на достъпа до електронни формуляри и опростяването им би довело до увеличаване на броя на предложенията от организации. Предизвикателства могат да възникнат във връзка със сложността на регламента или законодателните актове, които нямат гъвкавостта да бъдат адаптирани към променящите се нужди на програмата.</w:t>
      </w:r>
    </w:p>
    <w:p>
      <w:pPr>
        <w:pStyle w:val="ListBullet"/>
        <w:numPr>
          <w:ilvl w:val="0"/>
          <w:numId w:val="50"/>
        </w:numPr>
        <w:rPr>
          <w:rFonts w:eastAsia="Calibri"/>
          <w:noProof/>
        </w:rPr>
      </w:pPr>
      <w:r>
        <w:rPr>
          <w:noProof/>
        </w:rPr>
        <w:t>Разпределяне на доброволци за дейности по хуманитарна помощ: едно от основните предизвикателства е продължителният срок между времето на регистрация на кандидатите и разпределението им.</w:t>
      </w:r>
    </w:p>
    <w:p>
      <w:pPr>
        <w:rPr>
          <w:noProof/>
        </w:rPr>
      </w:pPr>
      <w:r>
        <w:rPr>
          <w:noProof/>
        </w:rPr>
        <w:t>Всички тези предизвикателства са обяснени по-подробно в оценката, придружаваща настоящото предложение. Тези предизвикателства са разгледани в настоящия регламент.</w:t>
      </w:r>
    </w:p>
    <w:p>
      <w:pPr>
        <w:pStyle w:val="ManualHeading2"/>
        <w:rPr>
          <w:noProof/>
        </w:rPr>
      </w:pPr>
      <w:r>
        <w:rPr>
          <w:noProof/>
        </w:rPr>
        <w:t>•</w:t>
      </w:r>
      <w:r>
        <w:rPr>
          <w:noProof/>
        </w:rPr>
        <w:tab/>
        <w:t>Опростяване</w:t>
      </w:r>
    </w:p>
    <w:p>
      <w:pPr>
        <w:rPr>
          <w:noProof/>
        </w:rPr>
      </w:pPr>
      <w:r>
        <w:rPr>
          <w:noProof/>
        </w:rPr>
        <w:t>С настоящото предложение се въвеждат няколко опростявания в три основни категории.</w:t>
      </w:r>
    </w:p>
    <w:p>
      <w:pPr>
        <w:pStyle w:val="ListBullet"/>
        <w:numPr>
          <w:ilvl w:val="0"/>
          <w:numId w:val="50"/>
        </w:numPr>
        <w:rPr>
          <w:rFonts w:eastAsia="Calibri"/>
          <w:noProof/>
        </w:rPr>
      </w:pPr>
      <w:r>
        <w:rPr>
          <w:noProof/>
        </w:rPr>
        <w:t>За граждани: Разширяването на обхвата би означавало, че всички доброволчески дейности и такива, свързани със солидарност, са по една и съща програма. Това много ще опрости достъпа до възможности за младите хора, които искат да се включат в дейности за солидарност.</w:t>
      </w:r>
    </w:p>
    <w:p>
      <w:pPr>
        <w:pStyle w:val="ListBullet"/>
        <w:numPr>
          <w:ilvl w:val="0"/>
          <w:numId w:val="50"/>
        </w:numPr>
        <w:rPr>
          <w:rFonts w:eastAsia="Calibri"/>
          <w:noProof/>
        </w:rPr>
      </w:pPr>
      <w:r>
        <w:rPr>
          <w:noProof/>
        </w:rPr>
        <w:lastRenderedPageBreak/>
        <w:t>За организации: Уеднаквяването на правилата на програмата — от кандидатстването за акредитация до изискванията относно докладването в края на проекта — очевидно ще опростят работата на участващите организации на всички етапи на цикъла на проекта. Също така броят на поканите за представяне на предложения ще бъде намален, което ще намали работната натовареност на организациите;</w:t>
      </w:r>
    </w:p>
    <w:p>
      <w:pPr>
        <w:pStyle w:val="ListBullet"/>
        <w:numPr>
          <w:ilvl w:val="0"/>
          <w:numId w:val="50"/>
        </w:numPr>
        <w:rPr>
          <w:rFonts w:eastAsia="Calibri"/>
          <w:noProof/>
        </w:rPr>
      </w:pPr>
      <w:r>
        <w:rPr>
          <w:noProof/>
        </w:rPr>
        <w:t>На институционално равнище: Интегрирането в Европейския корпус за солидарност на дейности, които в момента се изпълняват от „Доброволци на ЕС за хуманитарна помощ“, ще подпомогне опростяването на работата, която се изисква за всеки елемент от програмата. Така например, за застраховането ще се изисква една покана за представяне на оферти, а не две. Друг пример са оценката на получените предложения както на национално, така и на централизирано ниво, които ще бъдат комбинирани при съобразяване със спецификите на всяка дейност.</w:t>
      </w:r>
    </w:p>
    <w:p>
      <w:pPr>
        <w:rPr>
          <w:noProof/>
        </w:rPr>
      </w:pPr>
      <w:r>
        <w:rPr>
          <w:noProof/>
        </w:rPr>
        <w:t>Освен това се обмисля допълнително опростяване на действащите процедури. Добър пример са електронните формуляри, които организациите трябва да попълват, за да кандидатстват за финансиране или знака за качество. Тези формуляри търпят постоянно опростяване, като изискват по-малко работа от организациите и същевременно остават гаранции за високото качество на предлаганите дейности.</w:t>
      </w:r>
    </w:p>
    <w:p>
      <w:pPr>
        <w:pStyle w:val="ManualHeading2"/>
        <w:rPr>
          <w:noProof/>
        </w:rPr>
      </w:pPr>
      <w:r>
        <w:rPr>
          <w:noProof/>
        </w:rPr>
        <w:t>•</w:t>
      </w:r>
      <w:r>
        <w:rPr>
          <w:noProof/>
        </w:rPr>
        <w:tab/>
        <w:t>Основни права</w:t>
      </w:r>
    </w:p>
    <w:p>
      <w:pPr>
        <w:rPr>
          <w:noProof/>
        </w:rPr>
      </w:pPr>
      <w:r>
        <w:rPr>
          <w:noProof/>
        </w:rPr>
        <w:t>Настоящото предложение е изцяло в съответствие с Хартата на основните права на ЕС</w:t>
      </w:r>
      <w:r>
        <w:rPr>
          <w:rStyle w:val="FootnoteReference"/>
          <w:rFonts w:eastAsiaTheme="majorEastAsia"/>
          <w:noProof/>
        </w:rPr>
        <w:footnoteReference w:id="13"/>
      </w:r>
      <w:r>
        <w:rPr>
          <w:noProof/>
        </w:rPr>
        <w:t>, която потвърждава, че солидарността е една от всеобщите ценности, на които се основава ЕС. По-специално, в настоящото предложение изцяло са взети под внимание правата и забраните, предвидени в следните членове от Хартата:</w:t>
      </w:r>
    </w:p>
    <w:p>
      <w:pPr>
        <w:pStyle w:val="ListBullet"/>
        <w:numPr>
          <w:ilvl w:val="0"/>
          <w:numId w:val="52"/>
        </w:numPr>
        <w:pBdr>
          <w:top w:val="nil"/>
          <w:left w:val="nil"/>
          <w:bottom w:val="nil"/>
          <w:right w:val="nil"/>
          <w:between w:val="nil"/>
          <w:bar w:val="nil"/>
        </w:pBdr>
        <w:tabs>
          <w:tab w:val="left" w:pos="360"/>
        </w:tabs>
        <w:rPr>
          <w:rFonts w:eastAsia="Calibri"/>
          <w:noProof/>
        </w:rPr>
      </w:pPr>
      <w:r>
        <w:rPr>
          <w:noProof/>
        </w:rPr>
        <w:t>5 (Забрана на робството и на принудителния труд);</w:t>
      </w:r>
    </w:p>
    <w:p>
      <w:pPr>
        <w:pStyle w:val="ListBullet"/>
        <w:numPr>
          <w:ilvl w:val="0"/>
          <w:numId w:val="52"/>
        </w:numPr>
        <w:pBdr>
          <w:top w:val="nil"/>
          <w:left w:val="nil"/>
          <w:bottom w:val="nil"/>
          <w:right w:val="nil"/>
          <w:between w:val="nil"/>
          <w:bar w:val="nil"/>
        </w:pBdr>
        <w:tabs>
          <w:tab w:val="left" w:pos="360"/>
        </w:tabs>
        <w:rPr>
          <w:rFonts w:eastAsia="Calibri"/>
          <w:noProof/>
        </w:rPr>
      </w:pPr>
      <w:r>
        <w:rPr>
          <w:noProof/>
        </w:rPr>
        <w:t>14 (Право на образование);</w:t>
      </w:r>
    </w:p>
    <w:p>
      <w:pPr>
        <w:pStyle w:val="ListBullet"/>
        <w:numPr>
          <w:ilvl w:val="0"/>
          <w:numId w:val="52"/>
        </w:numPr>
        <w:pBdr>
          <w:top w:val="nil"/>
          <w:left w:val="nil"/>
          <w:bottom w:val="nil"/>
          <w:right w:val="nil"/>
          <w:between w:val="nil"/>
          <w:bar w:val="nil"/>
        </w:pBdr>
        <w:tabs>
          <w:tab w:val="left" w:pos="360"/>
        </w:tabs>
        <w:rPr>
          <w:rFonts w:eastAsia="Calibri"/>
          <w:noProof/>
        </w:rPr>
      </w:pPr>
      <w:r>
        <w:rPr>
          <w:noProof/>
        </w:rPr>
        <w:t>15 (Свобода при избор на професия и право на труд);</w:t>
      </w:r>
    </w:p>
    <w:p>
      <w:pPr>
        <w:pStyle w:val="ListBullet"/>
        <w:numPr>
          <w:ilvl w:val="0"/>
          <w:numId w:val="52"/>
        </w:numPr>
        <w:pBdr>
          <w:top w:val="nil"/>
          <w:left w:val="nil"/>
          <w:bottom w:val="nil"/>
          <w:right w:val="nil"/>
          <w:between w:val="nil"/>
          <w:bar w:val="nil"/>
        </w:pBdr>
        <w:tabs>
          <w:tab w:val="left" w:pos="360"/>
        </w:tabs>
        <w:rPr>
          <w:rFonts w:eastAsia="Calibri"/>
          <w:noProof/>
        </w:rPr>
      </w:pPr>
      <w:r>
        <w:rPr>
          <w:noProof/>
        </w:rPr>
        <w:t>21 (Недискриминация);</w:t>
      </w:r>
    </w:p>
    <w:p>
      <w:pPr>
        <w:pStyle w:val="ListBullet"/>
        <w:numPr>
          <w:ilvl w:val="0"/>
          <w:numId w:val="52"/>
        </w:numPr>
        <w:pBdr>
          <w:top w:val="nil"/>
          <w:left w:val="nil"/>
          <w:bottom w:val="nil"/>
          <w:right w:val="nil"/>
          <w:between w:val="nil"/>
          <w:bar w:val="nil"/>
        </w:pBdr>
        <w:tabs>
          <w:tab w:val="left" w:pos="360"/>
        </w:tabs>
        <w:rPr>
          <w:rFonts w:eastAsia="Calibri"/>
          <w:noProof/>
        </w:rPr>
      </w:pPr>
      <w:r>
        <w:rPr>
          <w:noProof/>
        </w:rPr>
        <w:t>23 (Равенство между жените и мъжете):</w:t>
      </w:r>
    </w:p>
    <w:p>
      <w:pPr>
        <w:pStyle w:val="ListBullet"/>
        <w:numPr>
          <w:ilvl w:val="0"/>
          <w:numId w:val="52"/>
        </w:numPr>
        <w:pBdr>
          <w:top w:val="nil"/>
          <w:left w:val="nil"/>
          <w:bottom w:val="nil"/>
          <w:right w:val="nil"/>
          <w:between w:val="nil"/>
          <w:bar w:val="nil"/>
        </w:pBdr>
        <w:tabs>
          <w:tab w:val="left" w:pos="360"/>
        </w:tabs>
        <w:rPr>
          <w:rFonts w:eastAsia="Calibri"/>
          <w:noProof/>
        </w:rPr>
      </w:pPr>
      <w:r>
        <w:rPr>
          <w:noProof/>
        </w:rPr>
        <w:t>24 (Правата на детето);</w:t>
      </w:r>
    </w:p>
    <w:p>
      <w:pPr>
        <w:pStyle w:val="ListBullet"/>
        <w:numPr>
          <w:ilvl w:val="0"/>
          <w:numId w:val="52"/>
        </w:numPr>
        <w:pBdr>
          <w:top w:val="nil"/>
          <w:left w:val="nil"/>
          <w:bottom w:val="nil"/>
          <w:right w:val="nil"/>
          <w:between w:val="nil"/>
          <w:bar w:val="nil"/>
        </w:pBdr>
        <w:tabs>
          <w:tab w:val="left" w:pos="360"/>
        </w:tabs>
        <w:rPr>
          <w:rFonts w:eastAsia="Calibri"/>
          <w:noProof/>
        </w:rPr>
      </w:pPr>
      <w:r>
        <w:rPr>
          <w:noProof/>
        </w:rPr>
        <w:t>26 (Интеграция на хората с увреждания</w:t>
      </w:r>
    </w:p>
    <w:p>
      <w:pPr>
        <w:pStyle w:val="ListBullet"/>
        <w:numPr>
          <w:ilvl w:val="0"/>
          <w:numId w:val="52"/>
        </w:numPr>
        <w:pBdr>
          <w:top w:val="nil"/>
          <w:left w:val="nil"/>
          <w:bottom w:val="nil"/>
          <w:right w:val="nil"/>
          <w:between w:val="nil"/>
          <w:bar w:val="nil"/>
        </w:pBdr>
        <w:tabs>
          <w:tab w:val="left" w:pos="360"/>
        </w:tabs>
        <w:rPr>
          <w:rFonts w:eastAsia="Calibri"/>
          <w:noProof/>
        </w:rPr>
      </w:pPr>
      <w:r>
        <w:rPr>
          <w:noProof/>
        </w:rPr>
        <w:t>31 (Справедливи и равни условия на труд); както и</w:t>
      </w:r>
    </w:p>
    <w:p>
      <w:pPr>
        <w:pStyle w:val="ListBullet"/>
        <w:numPr>
          <w:ilvl w:val="0"/>
          <w:numId w:val="52"/>
        </w:numPr>
        <w:pBdr>
          <w:top w:val="nil"/>
          <w:left w:val="nil"/>
          <w:bottom w:val="nil"/>
          <w:right w:val="nil"/>
          <w:between w:val="nil"/>
          <w:bar w:val="nil"/>
        </w:pBdr>
        <w:tabs>
          <w:tab w:val="left" w:pos="360"/>
        </w:tabs>
        <w:rPr>
          <w:rFonts w:eastAsia="Calibri"/>
          <w:noProof/>
        </w:rPr>
      </w:pPr>
      <w:r>
        <w:rPr>
          <w:noProof/>
        </w:rPr>
        <w:t>32 (Забрана на детския труд и защита на младите хора на работното място).</w:t>
      </w:r>
    </w:p>
    <w:p>
      <w:pPr>
        <w:rPr>
          <w:noProof/>
        </w:rPr>
      </w:pPr>
      <w:r>
        <w:rPr>
          <w:noProof/>
        </w:rPr>
        <w:t>Наред с това разширяването на обхвата чрез включване на подкрепа за операции за хуманитарна помощ в държави извън ЕС ще спомогне за изпълнението на дейностите за подпомагане, помощ и защита в тези държави на недискриминационен принцип. Освен това е възможно някои дейности да бъда насочени към подпомагане на уязвими групи в държави извън ЕС, организации на гражданското общество, работещи по въпроси, свързани с миграцията, или подкрепа при осигуряването на хранителни и нехранителни продукти непосредствено след природни бедствия. Във всеки случай, независимо от целите им, дейностите в подкрепа на хуманитарна помощ биха популяризирали още повече ценностите на ЕС, включително зачитането на основните права, в общностите, в които те се осъществяват.</w:t>
      </w:r>
    </w:p>
    <w:p>
      <w:pPr>
        <w:pStyle w:val="ManualHeading1"/>
        <w:spacing w:before="120"/>
        <w:rPr>
          <w:noProof/>
        </w:rPr>
      </w:pPr>
      <w:r>
        <w:rPr>
          <w:noProof/>
        </w:rPr>
        <w:lastRenderedPageBreak/>
        <w:t>4.</w:t>
      </w:r>
      <w:r>
        <w:rPr>
          <w:noProof/>
        </w:rPr>
        <w:tab/>
        <w:t>ОТРАЖЕНИЕ ВЪРХУ БЮДЖЕТА</w:t>
      </w:r>
    </w:p>
    <w:p>
      <w:pPr>
        <w:rPr>
          <w:noProof/>
        </w:rPr>
      </w:pPr>
      <w:r>
        <w:rPr>
          <w:noProof/>
        </w:rPr>
        <w:t>В съответствие с предложението на Комисията за многогодишната финансова рамка за периода 2021—2027 г., финансовите средства, отпуснати за изпълнението на програмата за този период се определят на 1 260 000 000 EUR по текущи цени</w:t>
      </w:r>
      <w:r>
        <w:rPr>
          <w:rStyle w:val="FootnoteReference"/>
          <w:rFonts w:eastAsiaTheme="majorEastAsia"/>
          <w:noProof/>
        </w:rPr>
        <w:footnoteReference w:id="14"/>
      </w:r>
      <w:r>
        <w:rPr>
          <w:noProof/>
        </w:rPr>
        <w:t>.</w:t>
      </w:r>
    </w:p>
    <w:p>
      <w:pPr>
        <w:rPr>
          <w:noProof/>
        </w:rPr>
      </w:pPr>
      <w:r>
        <w:rPr>
          <w:noProof/>
        </w:rPr>
        <w:t>В законодателната и финансова обосновка, придружаваща настоящото предложение, е предоставена допълнителна информация относно отражението върху бюджета и необходимите човешки и административни ресурси.</w:t>
      </w:r>
    </w:p>
    <w:p>
      <w:pPr>
        <w:pStyle w:val="ManualHeading1"/>
        <w:spacing w:before="120"/>
        <w:rPr>
          <w:noProof/>
        </w:rPr>
      </w:pPr>
      <w:r>
        <w:rPr>
          <w:noProof/>
        </w:rPr>
        <w:t>5.</w:t>
      </w:r>
      <w:r>
        <w:rPr>
          <w:noProof/>
        </w:rPr>
        <w:tab/>
        <w:t>ДРУГИ ЕЛЕМЕНТИ</w:t>
      </w:r>
    </w:p>
    <w:p>
      <w:pPr>
        <w:pStyle w:val="ManualHeading2"/>
        <w:rPr>
          <w:noProof/>
        </w:rPr>
      </w:pPr>
      <w:r>
        <w:rPr>
          <w:noProof/>
        </w:rPr>
        <w:t>•</w:t>
      </w:r>
      <w:r>
        <w:rPr>
          <w:noProof/>
        </w:rPr>
        <w:tab/>
        <w:t>Планове за изпълнение и механизми за мониторинг, оценка и докладване</w:t>
      </w:r>
    </w:p>
    <w:p>
      <w:pPr>
        <w:rPr>
          <w:noProof/>
        </w:rPr>
      </w:pPr>
      <w:r>
        <w:rPr>
          <w:noProof/>
        </w:rPr>
        <w:t>Европейският корпус за солидарност ще използва съществуващите механизми за управление и изпълнение, вече създадени за програмата „Еразъм+“. Тази практика е в съответствие с анализа, извършен в рамките на предварителната оценка, която придружава настоящото предложение. Тя също така ще осигури ефективно и ефикасно изпълнение и полезни взаимодействия и ще намали до минимум административната тежест.</w:t>
      </w:r>
    </w:p>
    <w:p>
      <w:pPr>
        <w:rPr>
          <w:noProof/>
        </w:rPr>
      </w:pPr>
      <w:r>
        <w:rPr>
          <w:noProof/>
        </w:rPr>
        <w:t>Механизмът за мониторинг и оценка на Европейския корпус за солидарност ще обхваща постоянен мониторинг за определяне на напредъка и оценка за оценяване на наличните данни относно ефективността на постигнатите резултати.</w:t>
      </w:r>
    </w:p>
    <w:p>
      <w:pPr>
        <w:rPr>
          <w:noProof/>
        </w:rPr>
      </w:pPr>
      <w:r>
        <w:rPr>
          <w:noProof/>
        </w:rPr>
        <w:t>Мерките за мониторинг ще се основават на обстоен анализ на количествените и качествените крайни продукти на корпуса. Количествените крайни продукти ще се събират систематично чрез информационните системи, въведени за управлението на дейността на корпуса. Качествените крайни продукти ще се наблюдават чрез периодични проучвания, обхващащи както участващи граждани, така и участващи организации. Мерките за докладване и оценка от всички изпълнителни органи ще осигурят подробно наблюдение на изпълнението на предложението.</w:t>
      </w:r>
    </w:p>
    <w:p>
      <w:pPr>
        <w:rPr>
          <w:noProof/>
        </w:rPr>
      </w:pPr>
      <w:r>
        <w:rPr>
          <w:noProof/>
        </w:rPr>
        <w:t>Програмата ще бъде също подложена на независима оценка 4 години след датата на приемането ѝ, за да се оценят качествените крайни продукти от подпомаганите дейности. Това ще включва тяхното въздействие върху младите хора и организациите, както и наблюдаваното през първите четири години увеличаване на ефективността. При оценката следва да се вземат под внимание съществуващите данни за ефективността и отражението на резултатите, постигнати от корпуса. Източниците за проверка ще включват данните от мониторинг, информацията, включена в работните планове и в докладите на изпълнителните органи, резултатите от разпространението на информация, основани на факти проучвания, анкети и др.</w:t>
      </w:r>
    </w:p>
    <w:p>
      <w:pPr>
        <w:rPr>
          <w:noProof/>
        </w:rPr>
      </w:pPr>
      <w:r>
        <w:rPr>
          <w:noProof/>
        </w:rPr>
        <w:t>Оценките ще се извършват в съответствие с параграфи 22 и 23 от Междуинституционалното споразумение от 13 април 2016 г.</w:t>
      </w:r>
      <w:r>
        <w:rPr>
          <w:rStyle w:val="FootnoteReference"/>
          <w:rFonts w:eastAsiaTheme="majorEastAsia"/>
          <w:noProof/>
        </w:rPr>
        <w:footnoteReference w:id="15"/>
      </w:r>
      <w:r>
        <w:rPr>
          <w:noProof/>
        </w:rPr>
        <w:t xml:space="preserve">, в което трите институции потвърдиха, че оценките на действащото законодателство и политика следва да служат като база за оценки на въздействието на вариантите за по-нататъшни действия. С оценките ще се преценява въздействието на програмата на място въз основа на показателите/целите на програмата и ще бъде извършен подробен анализ на степента, до която програмата може да се счита за значима, ефективна, ефикасна, осигуряваща достатъчно добавена стойност за ЕС и съгласувана с другите политики на ЕС. Те ще включват извлечени поуки, за да се установят всички недостатъци/проблеми или потенциал за допълнително подобряване на действията или техните </w:t>
      </w:r>
      <w:r>
        <w:rPr>
          <w:noProof/>
        </w:rPr>
        <w:lastRenderedPageBreak/>
        <w:t>резултати и за да се подпомогне увеличаването в максимална степен на тяхното използване/въздействие.</w:t>
      </w:r>
    </w:p>
    <w:p>
      <w:pPr>
        <w:pStyle w:val="ManualHeading2"/>
        <w:rPr>
          <w:noProof/>
        </w:rPr>
      </w:pPr>
      <w:r>
        <w:rPr>
          <w:noProof/>
        </w:rPr>
        <w:t>•</w:t>
      </w:r>
      <w:r>
        <w:rPr>
          <w:noProof/>
        </w:rPr>
        <w:tab/>
        <w:t>Подробни разяснения на отделните разпоредби на предложението</w:t>
      </w:r>
    </w:p>
    <w:p>
      <w:pPr>
        <w:rPr>
          <w:noProof/>
        </w:rPr>
      </w:pPr>
      <w:r>
        <w:rPr>
          <w:noProof/>
        </w:rPr>
        <w:t>В глава I — Общи разпоредби от предложения регламент се определя неговият предмет, определенията на някои повтарящи се понятия, общите и конкретните цели на дейностите на Европейския корпус за солидарност. Корпусът има за цел да се повиши ангажираността на младите хора и на организациите по отношение на достъпни за всички млади хора висококачествени дейности за солидарност. Той е начин да се допринесе за по-тясното сближаване и солидарност в Европа и в чужбина, да се подпомогнат общностите и да се намери отговор на обществените и хуманитарните предизвикателства.</w:t>
      </w:r>
    </w:p>
    <w:p>
      <w:pPr>
        <w:rPr>
          <w:noProof/>
        </w:rPr>
      </w:pPr>
      <w:r>
        <w:rPr>
          <w:noProof/>
        </w:rPr>
        <w:t>В глава II — дейност на Европейския корпус за солидарност, се описват дейностите, предвидени за постигането на целите на предложения регламент. Мерките на Съюза за подпомагане включват доброволчество, стажове, работа, проекти и дейности за изграждане на мрежи, разделени в две направления, както и мерки за качество и подпомагане, които са общи и за двете направления.</w:t>
      </w:r>
    </w:p>
    <w:p>
      <w:pPr>
        <w:rPr>
          <w:noProof/>
        </w:rPr>
      </w:pPr>
      <w:r>
        <w:rPr>
          <w:noProof/>
        </w:rPr>
        <w:t>В глава III — Участие на млади хора в дейности за солидарност, преодоляващи предизвикателства пред обществото се описват дейностите, които ще бъдат изпълнени по това първо направление. Сред тях са доброволчество, стажове и професионални дейности, както и проекти за солидарност.</w:t>
      </w:r>
    </w:p>
    <w:p>
      <w:pPr>
        <w:rPr>
          <w:noProof/>
        </w:rPr>
      </w:pPr>
      <w:r>
        <w:rPr>
          <w:noProof/>
        </w:rPr>
        <w:t>В глава IV — Европейски доброволчески корпус за хуманитарна помощ се описват дейностите, които ще се изпълняват по второто направление, състоящи се само от доброволчески дейности.</w:t>
      </w:r>
    </w:p>
    <w:p>
      <w:pPr>
        <w:rPr>
          <w:noProof/>
        </w:rPr>
      </w:pPr>
      <w:r>
        <w:rPr>
          <w:noProof/>
        </w:rPr>
        <w:t>В глава V — Финансови разпоредби, подробно се описва отпуснатият за програмата бюджет.</w:t>
      </w:r>
    </w:p>
    <w:p>
      <w:pPr>
        <w:rPr>
          <w:noProof/>
        </w:rPr>
      </w:pPr>
      <w:r>
        <w:rPr>
          <w:noProof/>
        </w:rPr>
        <w:t>Глава VI — Участие в Европейския корпус за солидарност определя критериите за участващите държави, граждани и организации. Участващите държави са държавите — членки на ЕС, държави извън ЕС, асоциирани към програмата, и неасоциирани трети държави. Младите хора на възраст между 17 и 30 години могат да се регистрират в портала на Европейския корпус за солидарност, но могат да започнат да участват едва когато навършат 18. Участваща организация, която може да отправя предложения за дейности за солидарност към регистрирани лица, е всеки публичен или частен субект или международна организация, който/която изпълнява дейности за солидарност, при условие че е получил/а знак за качество.</w:t>
      </w:r>
    </w:p>
    <w:p>
      <w:pPr>
        <w:rPr>
          <w:noProof/>
        </w:rPr>
      </w:pPr>
      <w:r>
        <w:rPr>
          <w:noProof/>
        </w:rPr>
        <w:t>В Глава VII – Програмиране, мониторинг и оценка се посочват изискванията по отношение на мониторинга и оценката и се предоставя списък с три показателя, които трябва да се следят.</w:t>
      </w:r>
    </w:p>
    <w:p>
      <w:pPr>
        <w:rPr>
          <w:noProof/>
        </w:rPr>
      </w:pPr>
      <w:r>
        <w:rPr>
          <w:noProof/>
        </w:rPr>
        <w:t>В глава VIII — Информация, комуникация и разпространение се определят изискванията по отношение на комуникациите.</w:t>
      </w:r>
    </w:p>
    <w:p>
      <w:pPr>
        <w:rPr>
          <w:noProof/>
        </w:rPr>
      </w:pPr>
      <w:r>
        <w:rPr>
          <w:noProof/>
        </w:rPr>
        <w:t xml:space="preserve">В Глава IX — Система за управление и одит се определят изпълнителните органи на Европейския корпус за солидарност. По отношение на управлението предложеният метод за изпълнение е съчетание от непряко управление. Съчетаването на различни модели на управление се основава на положителния опит от изпълнението на програма „Еразъм+“ и на съществуващите структури на същата програма. </w:t>
      </w:r>
    </w:p>
    <w:p>
      <w:pPr>
        <w:rPr>
          <w:noProof/>
        </w:rPr>
      </w:pPr>
      <w:r>
        <w:rPr>
          <w:noProof/>
        </w:rPr>
        <w:t>В глава X — Система за контрол се определя необходимата система за надзор, предназначена да гарантира, че защитата на финансовите интереси на ЕС надлежно се взема под внимание при изпълнението на дейности, финансирани съгласно Регламента за Европейския корпус за солидарност.</w:t>
      </w:r>
    </w:p>
    <w:p>
      <w:pPr>
        <w:rPr>
          <w:noProof/>
        </w:rPr>
      </w:pPr>
      <w:r>
        <w:rPr>
          <w:noProof/>
        </w:rPr>
        <w:lastRenderedPageBreak/>
        <w:t>В глава XI — Взаимно допълване се подчертава съгласуваността и допълването с други политики и програми на Съюза. Предвиждат се също конкретни правила, които да позволят допълване между програмата и европейските структурни и инвестиционни фондове.</w:t>
      </w:r>
    </w:p>
    <w:p>
      <w:pPr>
        <w:rPr>
          <w:noProof/>
        </w:rPr>
      </w:pPr>
      <w:r>
        <w:rPr>
          <w:noProof/>
        </w:rPr>
        <w:t>В глава XII — Преходни и заключителни разпоредби се определят необходимите разпоредби за предоставяне на определени правомощия на Комисията да приема работни програми чрез актове за изпълнение, както датата на влизане в сила предложения регламент. То е задължително в своята цялост и се прилага пряко във всички държави членки от 1 януари 2021 г.</w:t>
      </w:r>
    </w:p>
    <w:p>
      <w:pPr>
        <w:rPr>
          <w:noProof/>
        </w:rPr>
      </w:pPr>
      <w:r>
        <w:rPr>
          <w:noProof/>
        </w:rPr>
        <w:br w:type="column"/>
      </w:r>
    </w:p>
    <w:p>
      <w:pPr>
        <w:pStyle w:val="Rfrenceinterinstitutionnelle"/>
        <w:rPr>
          <w:noProof/>
        </w:rPr>
      </w:pPr>
      <w:r>
        <w:rPr>
          <w:noProof/>
        </w:rPr>
        <w:t>2018/0230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програмата „Европейски корпус за солидарност“ и за отмяна на [Регламента за Европейския корпус за солидарност] и Регламент (ЕС) № 375/2014</w:t>
      </w:r>
    </w:p>
    <w:p>
      <w:pPr>
        <w:pStyle w:val="IntrtEEE"/>
        <w:rPr>
          <w:noProof/>
        </w:rPr>
      </w:pPr>
      <w:r>
        <w:rPr>
          <w:noProof/>
        </w:rPr>
        <w:t>(текст от значение за ЕИП)</w:t>
      </w:r>
    </w:p>
    <w:p>
      <w:pPr>
        <w:pStyle w:val="Institutionquiagit"/>
        <w:spacing w:before="120"/>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165, параграф 4, член 166, параграф 4 и член 214, параграф 5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i/>
          <w:iCs/>
          <w:noProof/>
        </w:rPr>
      </w:pPr>
      <w:r>
        <w:rPr>
          <w:noProof/>
        </w:rPr>
        <w:t>като взеха предвид становището на Европейския икономически и социален комитет</w:t>
      </w:r>
      <w:r>
        <w:rPr>
          <w:rStyle w:val="FootnoteReference"/>
          <w:rFonts w:eastAsiaTheme="majorEastAsia"/>
          <w:noProof/>
        </w:rPr>
        <w:footnoteReference w:id="16"/>
      </w:r>
      <w:r>
        <w:rPr>
          <w:noProof/>
        </w:rPr>
        <w:t>,</w:t>
      </w:r>
    </w:p>
    <w:p>
      <w:pPr>
        <w:rPr>
          <w:noProof/>
        </w:rPr>
      </w:pPr>
      <w:r>
        <w:rPr>
          <w:noProof/>
        </w:rPr>
        <w:t>като взеха предвид становището на Комитета на регионите</w:t>
      </w:r>
      <w:r>
        <w:rPr>
          <w:rStyle w:val="FootnoteReference"/>
          <w:rFonts w:eastAsiaTheme="majorEastAsia"/>
          <w:noProof/>
        </w:rPr>
        <w:footnoteReference w:id="17"/>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Европейският съюз се гради на солидарност между неговите граждани и между държавите членки. Тази обща ценност ръководи неговите действия и осигурява необходимото единство за справяне със сегашните и бъдещите обществени предизвикателства, за преодоляването на които младите европейци имат желание да помогнат като изразят своята солидарност на практика.</w:t>
      </w:r>
    </w:p>
    <w:p>
      <w:pPr>
        <w:pStyle w:val="ManualConsidrant"/>
        <w:rPr>
          <w:noProof/>
        </w:rPr>
      </w:pPr>
      <w:r>
        <w:t>(2)</w:t>
      </w:r>
      <w:r>
        <w:tab/>
      </w:r>
      <w:r>
        <w:rPr>
          <w:noProof/>
        </w:rPr>
        <w:t>В речта от 14 септември 2016 г. за състоянието на Съюза се подчерта необходимостта да се инвестира в младите хора и се обявява създаването на Европейски корпус за солидарност (Програмата) с цел да се създадат възможности за младите хора в целия Европейски съюз, за да могат да допринасят в значителна степен за обществото, да проявяват солидарност и да развиват уменията си, като по този начин ще получат не само с работа, но и безценен човешки опит.</w:t>
      </w:r>
    </w:p>
    <w:p>
      <w:pPr>
        <w:pStyle w:val="ManualConsidrant"/>
        <w:rPr>
          <w:noProof/>
        </w:rPr>
      </w:pPr>
      <w:r>
        <w:t>(3)</w:t>
      </w:r>
      <w:r>
        <w:tab/>
      </w:r>
      <w:r>
        <w:rPr>
          <w:noProof/>
        </w:rPr>
        <w:t>В своето съобщение от 7 декември 2016 г.</w:t>
      </w:r>
      <w:r>
        <w:rPr>
          <w:rStyle w:val="FootnoteReference"/>
          <w:noProof/>
        </w:rPr>
        <w:footnoteReference w:id="18"/>
      </w:r>
      <w:r>
        <w:rPr>
          <w:noProof/>
        </w:rPr>
        <w:t xml:space="preserve">, озаглавено „Европейски корпус за солидарност“, Комисията изтъкна необходимостта да се укрепят основите за предприемането на действия за солидарност в цяла Европа, да се предоставят на младите хора повече и по-добри възможности за дейности за солидарност, които обхващат много различни области, и да се подпомагат националните и местните действащи лица в техните усилия за справяне с различни предизвикателства и кризи. Комисията даде началото първия етап на Европейския корпус за солидарност, при който бяха </w:t>
      </w:r>
      <w:r>
        <w:rPr>
          <w:noProof/>
        </w:rPr>
        <w:lastRenderedPageBreak/>
        <w:t>мобилизирани осем различни програми на Съюза с цел на младите хора в целия Съюз да бъдат предложени възможности за доброволчество, стаж или работа.</w:t>
      </w:r>
    </w:p>
    <w:p>
      <w:pPr>
        <w:pStyle w:val="ManualConsidrant"/>
        <w:rPr>
          <w:noProof/>
        </w:rPr>
      </w:pPr>
      <w:r>
        <w:t>(4)</w:t>
      </w:r>
      <w:r>
        <w:tab/>
      </w:r>
      <w:r>
        <w:rPr>
          <w:noProof/>
        </w:rPr>
        <w:t>В член 2 от Договора за Европейския съюз солидарността се откроява като един от принципите от съществено значение за Европейския съюз. Този принцип се посочва също и в член 21, параграф 1 от Договора за функционирането на Европейския съюз като една от основите на външните действия на ЕС.</w:t>
      </w:r>
    </w:p>
    <w:p>
      <w:pPr>
        <w:pStyle w:val="ManualConsidrant"/>
        <w:rPr>
          <w:noProof/>
        </w:rPr>
      </w:pPr>
      <w:r>
        <w:t>(5)</w:t>
      </w:r>
      <w:r>
        <w:tab/>
      </w:r>
      <w:r>
        <w:rPr>
          <w:noProof/>
        </w:rPr>
        <w:t>На младите хора би трябвало да се предоставят лесно достъпни възможности за участие в дейности за солидарност, които могат да им дадат възможност да изразят ангажираността си в полза на общностите, като същевременно придобиват полезен опит, умения и компетенции за своето личностно, образователно, социално, гражданско и професионално развитие и по този начин подобряват своята пригодност за заетост. С тези дейности следва също да бъде подкрепяна мобилността на младите доброволци, стажанти и работещи лица.</w:t>
      </w:r>
    </w:p>
    <w:p>
      <w:pPr>
        <w:pStyle w:val="ManualConsidrant"/>
        <w:rPr>
          <w:noProof/>
        </w:rPr>
      </w:pPr>
      <w:r>
        <w:t>(6)</w:t>
      </w:r>
      <w:r>
        <w:tab/>
      </w:r>
      <w:r>
        <w:rPr>
          <w:noProof/>
        </w:rPr>
        <w:t>Дейностите за солидарност, предлагани на младите хора, следва да са с високо качество, в смисъл, че следва да отговарят на неудовлетворени обществени потребности, да допринасят за укрепване на общностите, да предлагат на младите хора възможност да придобият ценни знания и компетенции, да са финансово достъпни за младите хора и да се изпълняват в безопасни и здравословни условия.</w:t>
      </w:r>
    </w:p>
    <w:p>
      <w:pPr>
        <w:pStyle w:val="ManualConsidrant"/>
        <w:rPr>
          <w:noProof/>
        </w:rPr>
      </w:pPr>
      <w:r>
        <w:t>(7)</w:t>
      </w:r>
      <w:r>
        <w:tab/>
      </w:r>
      <w:r>
        <w:rPr>
          <w:noProof/>
        </w:rPr>
        <w:t>Европейският корпус за солидарност осигурява единствен входен пункт към дейностите за солидарност в целия Европейски съюз и извън него. Следва да се осигури съгласуваност и допълване с други уместни политики и програми на Съюза. Европейският корпус за солидарност е изграден върху полезните взаимодействия и опита от предишни и съществуващи програми, особено на Европейската доброволческа служба</w:t>
      </w:r>
      <w:r>
        <w:rPr>
          <w:rStyle w:val="FootnoteReference"/>
          <w:noProof/>
        </w:rPr>
        <w:footnoteReference w:id="19"/>
      </w:r>
      <w:r>
        <w:rPr>
          <w:noProof/>
        </w:rPr>
        <w:t xml:space="preserve"> и инициатива „Доброволци на ЕС за хуманитарна помощ“</w:t>
      </w:r>
      <w:r>
        <w:rPr>
          <w:rStyle w:val="FootnoteReference"/>
          <w:noProof/>
        </w:rPr>
        <w:footnoteReference w:id="20"/>
      </w:r>
      <w:r>
        <w:rPr>
          <w:noProof/>
        </w:rPr>
        <w:t>. Той също така допълва усилията на държавите членки за подкрепа на младите хора и за улесняване на прехода от училищния към трудовия живот чрез програмата „Гаранция за младежта“, предоставяйки им допълнителни възможности за старт на пазара на труда под формата на стажове или работа в области, свързани със солидарността, в собствените им държави членки или в чужбина. Осигурява се също и взаимно допълване със съществуващи мрежи на равнище ЕС, свързани с дейностите на Европейския корпус за солидарност, като например Европейската мрежа на публичните служби по заетостта, „EURES“ и мрежата „Евродеск“. Освен това следва да се осигури взаимно допълване между съществуващи схеми, свързани със солидарността, по-специално национални схеми за солидарност и схеми за мобилност на млади хора, и Европейския корпус за солидарност, като се основават на добрите практики, където е целесъобразно.</w:t>
      </w:r>
    </w:p>
    <w:p>
      <w:pPr>
        <w:pStyle w:val="ManualConsidrant"/>
        <w:rPr>
          <w:noProof/>
        </w:rPr>
      </w:pPr>
      <w:r>
        <w:t>(8)</w:t>
      </w:r>
      <w:r>
        <w:tab/>
      </w:r>
      <w:r>
        <w:rPr>
          <w:noProof/>
        </w:rPr>
        <w:t>По отношение на тълкуването на съответното законодателство на равнище ЕС както доброволческите дейности в чужбина на Европейския корпус за солидарност, така и доброволческите дейности, чието подпомагане ще продължи съгласно Регламент (ЕС) № 1288/2013, следва да се считат равностойни на дейностите, изпълнявани от Европейската доброволческа служба.</w:t>
      </w:r>
    </w:p>
    <w:p>
      <w:pPr>
        <w:pStyle w:val="ManualConsidrant"/>
        <w:rPr>
          <w:noProof/>
        </w:rPr>
      </w:pPr>
      <w:r>
        <w:t>(9)</w:t>
      </w:r>
      <w:r>
        <w:tab/>
      </w:r>
      <w:r>
        <w:rPr>
          <w:noProof/>
        </w:rPr>
        <w:t xml:space="preserve">Европейският корпус за солидарност разкрива нови възможности за младите хора да изпълняват дейности за участие в доброволческа дейност, стажове или професионална </w:t>
      </w:r>
      <w:r>
        <w:rPr>
          <w:noProof/>
        </w:rPr>
        <w:lastRenderedPageBreak/>
        <w:t>работа в области, свързани със солидарността, както и да създават и разработват проекти за солидарност по собствена инициатива. Тези възможности допринасят за тяхното личностно, образователно, социално, гражданско и професионално развитие. Европейският корпус за солидарност също така подпомага дейности за изграждане на мрежи за участниците в корпуса и за организациите, както и прилага мерки за осигуряване на качеството на подпомаганите дейности и подобрява процеса на валидиране на учебните резултати, придобити от тях. Така той ще допринася и за европейското сътрудничество, важно за младите хора и с оглед повишаване на осведомеността за положителното му въздействие.</w:t>
      </w:r>
    </w:p>
    <w:p>
      <w:pPr>
        <w:pStyle w:val="ManualConsidrant"/>
        <w:rPr>
          <w:noProof/>
        </w:rPr>
      </w:pPr>
      <w:r>
        <w:t>(10)</w:t>
      </w:r>
      <w:r>
        <w:tab/>
      </w:r>
      <w:r>
        <w:rPr>
          <w:noProof/>
        </w:rPr>
        <w:t>От тези дейности следва да се възползват общностите, като същевременно подпомагат личностното, образователното, социалното, гражданското и професионалното развитие на гражданина, като могат да бъдат под формата на доброволчество, стажове и работни места, проекти за солидарност, дейности за изграждане на мрежи, разработени във връзка с различни области, като например образование и обучение, заетост, равенство между половете, предприемачество, по-специално социално предприемачество, гражданство и демократично участие, околна среда и опазване на природата, действия в областта на климата, предотвратяване на бедствия, готовност при бедствия и възстановяване след тях, селско стопанство и развитие на селските райони, осигуряване на хранителни и нехранителни продукти, здраве и благосъстояние, творчество и култура, физическо възпитание и спорт, социално подпомагане и закрила, приемане и интегриране на граждани на трети държави, териториално сътрудничество и сближаване, както и трансгранично сътрудничество; Такива дейности за солидарност следва да включват стабилно измерение за учене и обучение чрез адекватни дейности, които могат да се предлагат на участниците преди, по време на и след дейностите за солидарност.</w:t>
      </w:r>
    </w:p>
    <w:p>
      <w:pPr>
        <w:pStyle w:val="ManualConsidrant"/>
        <w:rPr>
          <w:noProof/>
        </w:rPr>
      </w:pPr>
      <w:r>
        <w:t>(11)</w:t>
      </w:r>
      <w:r>
        <w:tab/>
      </w:r>
      <w:r>
        <w:rPr>
          <w:noProof/>
        </w:rPr>
        <w:t>Доброволческите дейности (както в Съюза, така и извън него) предоставят възможности за натрупване на богат опит в контекста на неформалното и самостоятелното учене, което спомага за личностното, социално-образователното и професионалното развитие на младите хора, активно гражданско участие и пригодност за заетост. Доброволческите дейности не бива да оказват неблагоприятно въздействие върху потенциална или съществуваща платена професионална дейност, както и да не се разглеждат като заместител на такава дейност. Комисията и държавите членки следва да си сътрудничат по отношение на доброволчеството политики в областта на младежта чрез отворения метод на координация.</w:t>
      </w:r>
    </w:p>
    <w:p>
      <w:pPr>
        <w:pStyle w:val="ManualConsidrant"/>
        <w:rPr>
          <w:noProof/>
        </w:rPr>
      </w:pPr>
      <w:r>
        <w:t>(12)</w:t>
      </w:r>
      <w:r>
        <w:tab/>
      </w:r>
      <w:r>
        <w:rPr>
          <w:noProof/>
        </w:rPr>
        <w:t>Стажовете и работата в области, свързани със солидарността, могат да предложат на младите хора допълнителни възможности за старт на пазара на труда, като в същото време допринасят за справяне с ключови обществени предизвикателства. Това може да подпомогне пригодността на младите хора за заетост и тяхната продуктивност, като улесни прехода им от образование към заетост, който е от основно значение за подобряване на шансовете им на пазара на труда. Условията за стажове, предлагани по линия на Европейския корпус за солидарност, спазват принципите за качество, описани в Препоръката на Съвета относно рамка за качество на стажовете</w:t>
      </w:r>
      <w:r>
        <w:rPr>
          <w:rStyle w:val="FootnoteReference"/>
          <w:noProof/>
        </w:rPr>
        <w:footnoteReference w:id="21"/>
      </w:r>
      <w:r>
        <w:rPr>
          <w:noProof/>
        </w:rPr>
        <w:t xml:space="preserve">. Предлаганите стажове и работни позиции служат като трамплин за младите хора към пазара на труда и по тази причина са съпътствани от подходящо подпомагане след дейността. Участието в стажове и дейности за работа се улеснява от съответните участници на пазара на труда, по-специално публични и частни служби по заетостта, социални партньори и търговски камари, и се заплаща от участващата организация. Като участващи организации те следва да кандидатстват за финансиране чрез компетентния изпълнителен орган на </w:t>
      </w:r>
      <w:r>
        <w:rPr>
          <w:noProof/>
        </w:rPr>
        <w:lastRenderedPageBreak/>
        <w:t>Европейския корпус за солидарност с цел да посредничат между младите участници и работодателите, предлагащи стажове и дейности за работа в области, свързани със солидарността.</w:t>
      </w:r>
    </w:p>
    <w:p>
      <w:pPr>
        <w:pStyle w:val="ManualConsidrant"/>
        <w:rPr>
          <w:noProof/>
        </w:rPr>
      </w:pPr>
      <w:r>
        <w:t>(13)</w:t>
      </w:r>
      <w:r>
        <w:tab/>
      </w:r>
      <w:r>
        <w:rPr>
          <w:noProof/>
        </w:rPr>
        <w:t>Инициативността на младите хора е важен актив за обществото и за пазара на труда. Европейският корпус за солидарност допринася за поощряване на този аспект като предлага на младите хора възможност да създават и реализират собствени проекти, насочени към конкретни предизвикателства в полза на техните местни общности. Такива проекти са възможност за изпробване на идеи и за поощряване на младите хора да бъдат сами двигатели на дейности за солидарност. Проектите също така служат за трамплин към бъдещо участие в дейности за солидарност и са първата крачка към насърчаване на участниците в Европейския корпус за солидарност да работят като самонаети лица или да създават сдружения, неправителствени организации или други органи, действащи в области, свързани със солидарността, с дейностите с нестопанска цел и с младежта.</w:t>
      </w:r>
    </w:p>
    <w:p>
      <w:pPr>
        <w:pStyle w:val="ManualConsidrant"/>
        <w:rPr>
          <w:noProof/>
        </w:rPr>
      </w:pPr>
      <w:r>
        <w:t>(14)</w:t>
      </w:r>
      <w:r>
        <w:tab/>
      </w:r>
      <w:r>
        <w:rPr>
          <w:noProof/>
        </w:rPr>
        <w:t>Младите хора и организациите, участващи в Европейския корпус за солидарност, следва да имат чувство за принадлежност към общност от граждани и субекти, ангажирани с укрепването на солидарността в цяла Европа. Същевременно участващите организации имат нужда от подпомагане, за да укрепват своя капацитет за предлагане на дейности с добро качество на нарастващ брой участници. Европейският корпус за солидарност подпомага дейностите за изграждане на мрежи, насочени към засилване на ангажираността на младите хора и на участващите организации в тази общност, към насърчаване на формирането на дух на Европейския корпус за солидарност и към обмена на полезни практики и опит. Тези дейности спомагат за популяризирането на Европейския корпус за солидарност в публичния и в частния сектор и за събирането на обратна информация от участниците и участващите организации относно изпълнението на Европейския корпус за солидарност.</w:t>
      </w:r>
    </w:p>
    <w:p>
      <w:pPr>
        <w:pStyle w:val="ManualConsidrant"/>
        <w:rPr>
          <w:noProof/>
        </w:rPr>
      </w:pPr>
      <w:r>
        <w:t>(15)</w:t>
      </w:r>
      <w:r>
        <w:tab/>
      </w:r>
      <w:r>
        <w:rPr>
          <w:noProof/>
        </w:rPr>
        <w:t>Следва да се обърне специално внимание на осигуряването на качеството на дейностите и на другите възможности, предлагани от Европейския корпус за солидарност, по-специално като на участниците бъде предложено обучение, езикова помощ, застраховка, административна помощ и подпомагане след дейността, както и валидиране на знанията, уменията и компетенциите, придобити по време на опита от участието им в Европейския корпус за солидарност. Сигурността и безопасността на доброволците остават от изключително значение, като не бива да се разпределят доброволци за операции, които се извършват в точки на международни и вътрешни въоръжени конфликти.</w:t>
      </w:r>
    </w:p>
    <w:p>
      <w:pPr>
        <w:pStyle w:val="ManualConsidrant"/>
        <w:rPr>
          <w:noProof/>
        </w:rPr>
      </w:pPr>
      <w:r>
        <w:t>(16)</w:t>
      </w:r>
      <w:r>
        <w:tab/>
      </w:r>
      <w:r>
        <w:rPr>
          <w:noProof/>
        </w:rPr>
        <w:t>За да се гарантира влиянието на дейностите в Европейския корпус за солидарност върху личностното, образователното, социалното, гражданското и професионалното развитие на участниците, знанията, уменията и компетенциите, които са учебните резултати, придобити по време на тези дейности, следва да бъдат установени и документирани по подходящ начин, в съответствие с националните условия и особености, както се препоръчва в Препоръка на Съвета от 20 декември 2012 г. относно валидирането на неформалното и самостоятелното учене</w:t>
      </w:r>
      <w:r>
        <w:rPr>
          <w:rStyle w:val="FootnoteReference"/>
          <w:noProof/>
        </w:rPr>
        <w:footnoteReference w:id="22"/>
      </w:r>
      <w:r>
        <w:rPr>
          <w:noProof/>
        </w:rPr>
        <w:t>.</w:t>
      </w:r>
    </w:p>
    <w:p>
      <w:pPr>
        <w:pStyle w:val="ManualConsidrant"/>
        <w:rPr>
          <w:noProof/>
        </w:rPr>
      </w:pPr>
      <w:r>
        <w:t>(17)</w:t>
      </w:r>
      <w:r>
        <w:tab/>
      </w:r>
      <w:r>
        <w:rPr>
          <w:noProof/>
        </w:rPr>
        <w:t>Знак за качество следва да гарантира, че участващите организации спазват принципите и изискванията на Хартата на Европейския корпус за солидарност по отношение на техните права и отговорности за всички етапи от дейностите за солидарност. Получаването на знак за качество е предварително условие, но не следва да води автоматично до финансиране по линия на Европейския корпус за солидарност.</w:t>
      </w:r>
    </w:p>
    <w:p>
      <w:pPr>
        <w:pStyle w:val="ManualConsidrant"/>
        <w:rPr>
          <w:noProof/>
        </w:rPr>
      </w:pPr>
      <w:r>
        <w:lastRenderedPageBreak/>
        <w:t>(18)</w:t>
      </w:r>
      <w:r>
        <w:tab/>
      </w:r>
      <w:r>
        <w:rPr>
          <w:noProof/>
        </w:rPr>
        <w:t>Субект, който желае да участва в Европейския корпус за солидарност, следва да получи знак за качество, при условие че са изпълнени съответните условия. Процесът на присъждане на знак за качество трябва да се извършва постоянно от изпълнителните органи на Европейския корпус за солидарност. Присъденият знак за качество следва да се подлага на периодични проверки и може да бъде отнет, ако в контекста на извършваните проверки се установи, че условията, довели за неговото присъждане, вече не се изпълняват.</w:t>
      </w:r>
    </w:p>
    <w:p>
      <w:pPr>
        <w:pStyle w:val="ManualConsidrant"/>
        <w:rPr>
          <w:noProof/>
        </w:rPr>
      </w:pPr>
      <w:r>
        <w:t>(19)</w:t>
      </w:r>
      <w:r>
        <w:tab/>
      </w:r>
      <w:r>
        <w:rPr>
          <w:noProof/>
        </w:rPr>
        <w:t>Всеки субект, желаещ да кандидатства за финансиране, за да предлага дейности в рамките на Европейския корпус за солидарност, първо трябва да е получил знак за качество като предварително условие. Това изискване не се прилага за физически лица, търсещи финансова помощ от името на неформална група участници в Европейския корпус за солидарност за техните проекти за солидарност.</w:t>
      </w:r>
    </w:p>
    <w:p>
      <w:pPr>
        <w:pStyle w:val="ManualConsidrant"/>
        <w:rPr>
          <w:noProof/>
        </w:rPr>
      </w:pPr>
      <w:r>
        <w:t>(20)</w:t>
      </w:r>
      <w:r>
        <w:tab/>
      </w:r>
      <w:r>
        <w:rPr>
          <w:noProof/>
        </w:rPr>
        <w:t>Участващите организации могат да изпълняват няколко функции в рамките на Европейския корпус за солидарност. При изпълнение на приемаща функция, те ще извършват дейности, свързани с приема на участниците, включително организиране на дейности, напътстване и подкрепа за участниците по време на дейността за солидарност, в зависимост от случая. При изпълнение на поддържащи функции те ще извършват дейности, свързани с изпращането и подготовката на участниците преди заминаването им, по време и след дейността за солидарност, включително обучение и напътстване на участниците към местните организации след дейността.</w:t>
      </w:r>
    </w:p>
    <w:p>
      <w:pPr>
        <w:pStyle w:val="ManualConsidrant"/>
        <w:rPr>
          <w:noProof/>
        </w:rPr>
      </w:pPr>
      <w:r>
        <w:t>(21)</w:t>
      </w:r>
      <w:r>
        <w:tab/>
      </w:r>
      <w:r>
        <w:rPr>
          <w:noProof/>
        </w:rPr>
        <w:t>Разширяването на проектите по „Европейския корпус за солидарност“ следва да бъде улеснено. Следва да се въведат специфични мерки, които да подпомагат организаторите на проекти по „Европейския корпус за солидарност“ да кандидатстват за отпускането на безвъзмездни средства, да развиват взаимодействия чрез подкрепата по линия на европейските структурни и инвестиционни фондове и програмите, свързани с миграцията, сигурността, правосъдието и гражданството, здравеопазването и културата.</w:t>
      </w:r>
    </w:p>
    <w:p>
      <w:pPr>
        <w:pStyle w:val="ManualConsidrant"/>
        <w:rPr>
          <w:noProof/>
        </w:rPr>
      </w:pPr>
      <w:r>
        <w:t>(22)</w:t>
      </w:r>
      <w:r>
        <w:tab/>
      </w:r>
      <w:r>
        <w:rPr>
          <w:noProof/>
        </w:rPr>
        <w:t>Ресурсните центрове на Европейския корпус за солидарност следва да подпомагат изпълнителните органи, участващите организации и младите хора, участващи в Европейския корпус за солидарност, за да се повиши качеството на изпълнението на дейностите на корпуса и да се улесни установяването и валидирането на компетенциите, придобити чрез тези дейности, включително чрез издаването на сертификати Youthpass.</w:t>
      </w:r>
    </w:p>
    <w:p>
      <w:pPr>
        <w:pStyle w:val="ManualConsidrant"/>
        <w:rPr>
          <w:noProof/>
        </w:rPr>
      </w:pPr>
      <w:r>
        <w:t>(23)</w:t>
      </w:r>
      <w:r>
        <w:tab/>
      </w:r>
      <w:r>
        <w:rPr>
          <w:noProof/>
        </w:rPr>
        <w:t>Постоянно следва да се развива порталът на Европейския корпус за солидарност, за да се осигури лесен достъп до корпуса и „обслужване на едно гише“ за интересуващите се — както граждани, така и организации — във връзка, между другото, с регистрацията, идентификацията и съчетаването на профили и възможности, дейностите за изграждане на мрежи и виртуалния обмен, онлайн обучението, езиковата помощ и подпомагането след дейността, както и други полезни функционалности, които могат да станат необходими в бъдеще.</w:t>
      </w:r>
    </w:p>
    <w:p>
      <w:pPr>
        <w:pStyle w:val="ManualConsidrant"/>
        <w:rPr>
          <w:noProof/>
        </w:rPr>
      </w:pPr>
      <w:r>
        <w:t>(24)</w:t>
      </w:r>
      <w:r>
        <w:tab/>
      </w:r>
      <w:r>
        <w:rPr>
          <w:noProof/>
        </w:rPr>
        <w:t>Порталът на Европейския корпус за солидарност следва да бъде доразвит, като се вземе под внимание Европейската рамка за оперативна съвместимост</w:t>
      </w:r>
      <w:r>
        <w:rPr>
          <w:rStyle w:val="FootnoteReference"/>
          <w:noProof/>
        </w:rPr>
        <w:footnoteReference w:id="23"/>
      </w:r>
      <w:r>
        <w:rPr>
          <w:noProof/>
        </w:rPr>
        <w:t xml:space="preserve">, която дава конкретни насоки относно начините за създаване на оперативно съвместими цифрови обществени услуги и се прилага в държавите членки и от другите членове на Европейското икономическо пространство посредством националните рамки за оперативна съвместимост. Той предоставя на публичните администрации 47 конкретни препоръки относно начините, по които могат да подобрят управлението на своите дейности за </w:t>
      </w:r>
      <w:r>
        <w:rPr>
          <w:noProof/>
        </w:rPr>
        <w:lastRenderedPageBreak/>
        <w:t>оперативна съвместимост, да изградят взаимоотношения между отделните организации, да рационализират процесите, осигуряващи цялостни цифрови услуги, и да гарантират, че съществуващото и новото законодателство не застрашават усилията за постигане на оперативна съвместимост.</w:t>
      </w:r>
    </w:p>
    <w:p>
      <w:pPr>
        <w:pStyle w:val="ManualConsidrant"/>
        <w:rPr>
          <w:noProof/>
        </w:rPr>
      </w:pPr>
      <w:r>
        <w:t>(25)</w:t>
      </w:r>
      <w:r>
        <w:tab/>
      </w:r>
      <w:r>
        <w:rPr>
          <w:noProof/>
        </w:rPr>
        <w:t xml:space="preserve">Регламент [новият Финансов регламент] </w:t>
      </w:r>
      <w:r>
        <w:rPr>
          <w:rStyle w:val="FootnoteReference"/>
          <w:noProof/>
        </w:rPr>
        <w:footnoteReference w:id="24"/>
      </w:r>
      <w:r>
        <w:rPr>
          <w:noProof/>
        </w:rPr>
        <w:t xml:space="preserve"> („Финансовият регламент“) не се прилага за тази програма. В него са определени правилата относно изпълнението на бюджета на Съюза, включително правилата относно безвъзмездните средства, наградите, обществените поръчки, непрякото изпълнение, финансовата помощ, финансовите инструменти и бюджетните гаранции.</w:t>
      </w:r>
    </w:p>
    <w:p>
      <w:pPr>
        <w:pStyle w:val="ManualConsidrant"/>
        <w:rPr>
          <w:noProof/>
        </w:rPr>
      </w:pPr>
      <w:r>
        <w:t>(26)</w:t>
      </w:r>
      <w:r>
        <w:tab/>
      </w:r>
      <w:r>
        <w:rPr>
          <w:noProof/>
        </w:rPr>
        <w:t>По-специално в съответствие с Регламент (ЕС, Евратом) № 883/2013 на Европейския парламент и Съвета</w:t>
      </w:r>
      <w:r>
        <w:rPr>
          <w:rStyle w:val="FootnoteReference"/>
          <w:noProof/>
        </w:rPr>
        <w:footnoteReference w:id="25"/>
      </w:r>
      <w:r>
        <w:rPr>
          <w:noProof/>
        </w:rPr>
        <w:t xml:space="preserve"> и Регламент (Евратом, ЕО) № 2185/96 на Съвета</w:t>
      </w:r>
      <w:r>
        <w:rPr>
          <w:rStyle w:val="FootnoteReference"/>
          <w:noProof/>
        </w:rPr>
        <w:footnoteReference w:id="26"/>
      </w:r>
      <w:r>
        <w:rPr>
          <w:noProof/>
        </w:rPr>
        <w:t xml:space="preserve"> ,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на Съвета</w:t>
      </w:r>
      <w:r>
        <w:rPr>
          <w:rStyle w:val="FootnoteReference"/>
          <w:noProof/>
        </w:rPr>
        <w:footnoteReference w:id="27"/>
      </w:r>
      <w:r>
        <w:rPr>
          <w:noProof/>
        </w:rPr>
        <w:t>, Европейската прокуратура може да разследва и да преследва по наказателен ред измами и други престъпления, засягащи финансовите интереси на Съюза, както е предвидено в Директива (ЕС) 2017/1371 на Европейския парламент и на Съвета</w:t>
      </w:r>
      <w:r>
        <w:rPr>
          <w:rStyle w:val="FootnoteReference"/>
          <w:noProof/>
        </w:rPr>
        <w:footnoteReference w:id="28"/>
      </w:r>
      <w:r>
        <w:rPr>
          <w:noProof/>
        </w:rPr>
        <w:t>. В съответствие с Финансовия регламент всички лица или субекти, получаващи средства на Съюза, оказват пълно сътрудничество за защита на финансовите интереси на Съюза, предоставят необходимите права и достъп на Комисията, на OLAF, на Европейската прокуратура и на Европейската сметна палата (ЕСП) и гарантират, че всички трети страни, участващи в изпълнението на средства на Съюза, предоставят равностойни права.</w:t>
      </w:r>
    </w:p>
    <w:p>
      <w:pPr>
        <w:pStyle w:val="ManualConsidrant"/>
        <w:rPr>
          <w:noProof/>
        </w:rPr>
      </w:pPr>
      <w:r>
        <w:t>(27)</w:t>
      </w:r>
      <w:r>
        <w:tab/>
      </w:r>
      <w:r>
        <w:rPr>
          <w:noProof/>
        </w:rPr>
        <w:t>Европейският корпус за солидарност е предназначен за млади хора на възраст между 18 и 30 години, а за участието в дейностите, предлагани от Европейския корпус за солидарност, следва да се изисква предварителна регистрация в портала на Европейския корпус за солидарност.</w:t>
      </w:r>
    </w:p>
    <w:p>
      <w:pPr>
        <w:pStyle w:val="ManualConsidrant"/>
        <w:rPr>
          <w:noProof/>
        </w:rPr>
      </w:pPr>
      <w:r>
        <w:t>(28)</w:t>
      </w:r>
      <w:r>
        <w:tab/>
      </w:r>
      <w:r>
        <w:rPr>
          <w:noProof/>
        </w:rPr>
        <w:t xml:space="preserve">Специално внимание трябва да се обърне на осигуряването на достъпност до дейностите, подпомагани от Европейския корпус за солидарност, за всички млади хора, особено за онези, които са в най-неравностойно положение. По тази причина следва да бъдат въведени мерки, насърчаващи социалното приобщаване, участието на млади хора в неравностойно положение, и такива с цел да се вземат предвид ограниченията, дължащи се на периферното местоположение на редица селски райони и на най-отдалечените райони на Съюза и на отвъдморските страни и територии. Също така участващите държави трябва да положат усилия да приемат всички подходящи мерки за премахване на правните и административните пречки за доброто функциониране на Европейския корпус за солидарност. Това би следва да реши, когато е възможно и без да се засягат достиженията на правото от Шенген и законодателството на Съюза за влизане и </w:t>
      </w:r>
      <w:r>
        <w:rPr>
          <w:noProof/>
        </w:rPr>
        <w:lastRenderedPageBreak/>
        <w:t>пребиваване на граждани на трети държави, административните проблеми, които създават затруднения при получаването на визи и разрешения за пребиваване, както и издаването на европейска здравноосигурителна карта в случай на трансгранични дейности в рамките на Европейския съюз.</w:t>
      </w:r>
    </w:p>
    <w:p>
      <w:pPr>
        <w:pStyle w:val="ManualConsidrant"/>
        <w:rPr>
          <w:noProof/>
        </w:rPr>
      </w:pPr>
      <w:r>
        <w:t>(29)</w:t>
      </w:r>
      <w:r>
        <w:tab/>
      </w:r>
      <w:r>
        <w:rPr>
          <w:noProof/>
        </w:rPr>
        <w:t>Като се има предвид значението на действията за справяне с изменението на климата в съответствие с ангажиментите на Съюза за изпълнение на Парижкото споразумение и постигане на целите на ООН за устойчиво развитие, настоящата програма ще допринася за интегрирането на действията в областта на изменението на климата и за постигането на общата цел 25 % от бюджетните разходи на Съюза да са в подкрепа на целите в областта на климата. Съответните действия ще бъдат определени по време на подготовката и изпълнението на програмата и ще бъдат преразгледани в контекста на съответните оценки и процеси на преразглеждане.</w:t>
      </w:r>
    </w:p>
    <w:p>
      <w:pPr>
        <w:pStyle w:val="ManualConsidrant"/>
        <w:rPr>
          <w:noProof/>
        </w:rPr>
      </w:pPr>
      <w:r>
        <w:t>(30)</w:t>
      </w:r>
      <w:r>
        <w:tab/>
      </w:r>
      <w:r>
        <w:rPr>
          <w:noProof/>
        </w:rPr>
        <w:t>С настоящия регламент се определя финансов пакет за периода 2021—2027 г., който да представлява основната референтна сума по смисъла на точка 17 от Междуинституционалното споразумение между Европейския парламент, Съвета и Комисията за бюджетната дисциплина, за сътрудничеството по бюджетните въпроси и за доброто финансово управление, за Европейския парламент и за Съвета в рамките на годишната бюджетна процедура</w:t>
      </w:r>
      <w:r>
        <w:rPr>
          <w:rStyle w:val="FootnoteReference"/>
          <w:noProof/>
        </w:rPr>
        <w:footnoteReference w:id="29"/>
      </w:r>
      <w:r>
        <w:rPr>
          <w:noProof/>
        </w:rPr>
        <w:t>.</w:t>
      </w:r>
    </w:p>
    <w:p>
      <w:pPr>
        <w:pStyle w:val="ManualConsidrant"/>
        <w:rPr>
          <w:noProof/>
        </w:rPr>
      </w:pPr>
      <w:r>
        <w:t>(31)</w:t>
      </w:r>
      <w:r>
        <w:tab/>
      </w:r>
      <w:r>
        <w:rPr>
          <w:noProof/>
        </w:rPr>
        <w:t>Видовете финансиране и методите за изпълнение съгласно настоящия регламент се избират в зависимост от възможностите им за осъществяване на конкретните цели на действията и за постигане на резултати, като се вземат предвид, по-специално разходите за проверки, административната тежест и очакваният риск от несъответствие. По отношение на безвъзмездните средства това включва разглеждане на възможността за използване на еднократни суми, единни ставки и скали за разходи за единица.</w:t>
      </w:r>
    </w:p>
    <w:p>
      <w:pPr>
        <w:pStyle w:val="ManualConsidrant"/>
        <w:rPr>
          <w:noProof/>
        </w:rPr>
      </w:pPr>
      <w:r>
        <w:t>(32)</w:t>
      </w:r>
      <w:r>
        <w:tab/>
      </w:r>
      <w:r>
        <w:rPr>
          <w:noProof/>
        </w:rPr>
        <w:t>Трети държави, които са членки на Европейското икономическо пространство (ЕИП), могат да участват в програмата в рамките на сътрудничеството, установено по линия на Споразумението за Европейското икономическо пространство (ЕИП), в което се предвижда изпълнението на програми на Съюза с решение по линия на това споразумение. Третите държави могат също така да участват въз основа на друга правни инструменти. Настоящият регламент следва да предоставя необходимите права и достъп на отговорния разпоредител с бюджетни кредити, Европейската служба за борба с измамите (OLAF), както и Европейската сметна палата да упражняват цялостно съответните им правомощия. Пълноценното участие на трети държави в програмата следва да отговаря на условията, посочени в конкретни споразумения, обхващащи участието на съответната трета държава в програмата. Освен това пълното участие води до задължението да се създаде национална агенция и да се управляват някои от действията по програмата на децентрализирано равнище. Физическите лица и образуванията от трети държави, които не са асоциирани към програмата, следва да могат да участват в някои от действията на програмата, във вида, в който са определени в работната програма и в публикуваните от Комисията покани за представяне на предложения.</w:t>
      </w:r>
    </w:p>
    <w:p>
      <w:pPr>
        <w:pStyle w:val="ManualConsidrant"/>
        <w:rPr>
          <w:noProof/>
        </w:rPr>
      </w:pPr>
      <w:r>
        <w:t>(33)</w:t>
      </w:r>
      <w:r>
        <w:tab/>
      </w:r>
      <w:r>
        <w:rPr>
          <w:noProof/>
        </w:rPr>
        <w:t>За да се увеличи до възможно най-голяма степен въздействието на Европейския корпус за солидарност, следва да се създадат разпоредби, позволяващи участващите държави и другите програми на Съюза да предоставят допълнително национално, регионално или местно финансиране в съответствие с правилата на Европейския корпус за солидарност.</w:t>
      </w:r>
    </w:p>
    <w:p>
      <w:pPr>
        <w:pStyle w:val="ManualConsidrant"/>
        <w:rPr>
          <w:noProof/>
        </w:rPr>
      </w:pPr>
      <w:r>
        <w:lastRenderedPageBreak/>
        <w:t>(34)</w:t>
      </w:r>
      <w:r>
        <w:tab/>
      </w:r>
      <w:r>
        <w:rPr>
          <w:noProof/>
        </w:rPr>
        <w:t>В съответствие с [член 88 от ново Решение на Съвета относно ОСТ]</w:t>
      </w:r>
      <w:r>
        <w:rPr>
          <w:rStyle w:val="FootnoteReference"/>
          <w:noProof/>
        </w:rPr>
        <w:footnoteReference w:id="30"/>
      </w:r>
      <w:r>
        <w:rPr>
          <w:noProof/>
        </w:rPr>
        <w:t xml:space="preserve"> физически лица и организации, установени в отвъдморски страни и територии, имат право да получават финансиране при спазване на правилата и целите на програмата и на евентуалните договорености, приложими по отношение на държавата членка, с която е свързана съответната отвъдморска страна или територия.</w:t>
      </w:r>
    </w:p>
    <w:p>
      <w:pPr>
        <w:pStyle w:val="ManualConsidrant"/>
        <w:rPr>
          <w:noProof/>
        </w:rPr>
      </w:pPr>
      <w:r>
        <w:t>(35)</w:t>
      </w:r>
      <w:r>
        <w:tab/>
      </w:r>
      <w:r>
        <w:rPr>
          <w:noProof/>
        </w:rPr>
        <w:t>В съответствие със Съобщението на Комисията „Засилено и обновено стратегическо партньорство с най-отдалечените региони на Съюза“</w:t>
      </w:r>
      <w:r>
        <w:rPr>
          <w:rStyle w:val="FootnoteReference"/>
          <w:noProof/>
        </w:rPr>
        <w:footnoteReference w:id="31"/>
      </w:r>
      <w:r>
        <w:rPr>
          <w:noProof/>
        </w:rPr>
        <w:t xml:space="preserve"> програмата следва да отчита специфичната ситуация на тези региони. Ще бъдат предприети мерки за увеличаване на участието на най-отдалечените региони във всички дейности. Тази мерки ще бъдат наблюдавани редовно и оценявани.</w:t>
      </w:r>
    </w:p>
    <w:p>
      <w:pPr>
        <w:pStyle w:val="ManualConsidrant"/>
        <w:rPr>
          <w:noProof/>
        </w:rPr>
      </w:pPr>
      <w:r>
        <w:t>(36)</w:t>
      </w:r>
      <w:r>
        <w:tab/>
      </w:r>
      <w:r>
        <w:rPr>
          <w:noProof/>
        </w:rPr>
        <w:t>В съответствие с Финансовия регламент Комисията следва да приема работни програми и да информира Европейския парламент и Съвета за тях. Работната програма следва да определя мерките, необходими за нейното изпълнение в съответствие с общите и специфичните цели на програмата, критериите за подбор и отпускане на безвъзмездни средства, както и всички други необходими елементи. Работните програми и всички техни изменения следва да се приемат чрез актове за изпълнение в съответствие с процедурата по разглеждане.</w:t>
      </w:r>
    </w:p>
    <w:p>
      <w:pPr>
        <w:pStyle w:val="ManualConsidrant"/>
        <w:rPr>
          <w:noProof/>
        </w:rPr>
      </w:pPr>
      <w:r>
        <w:t>(37)</w:t>
      </w:r>
      <w:r>
        <w:tab/>
      </w:r>
      <w:r>
        <w:rPr>
          <w:noProof/>
        </w:rPr>
        <w:t>Съгласно точки 22 и 23 от Междуинституционалното споразумение за по-добро законотворчество от 13 април 2016 г. тази програма трябва да бъде оценена въз основа на информацията, събрана чрез специфични изисквания за мониторинг, като се избягват свръхрегулирането и административната тежест, по-специално по отношение на държавите членки. Тези изисквания следва да включват специфични, измерими и реалистични показатели, които могат да се измерват във времето като основа за оценка на въздействието на програмата на място.</w:t>
      </w:r>
    </w:p>
    <w:p>
      <w:pPr>
        <w:pStyle w:val="ManualConsidrant"/>
        <w:rPr>
          <w:noProof/>
        </w:rPr>
      </w:pPr>
      <w:r>
        <w:t>(38)</w:t>
      </w:r>
      <w:r>
        <w:tab/>
      </w:r>
      <w:r>
        <w:rPr>
          <w:noProof/>
        </w:rPr>
        <w:t>На европейско, национално и местно равнище следва да се осигурят подходящи разяснителни кампании, популяризиране и разпространяване на възможностите за участие и на резултатите от дейностите, подпомагани от програмата. Следва да се обърне специално внимание на социалните предприятия, като те бъдат насърчени да подкрепят дейностите на европейския корпус за солидарност. Разяснителните кампании, популяризирането и разпространяването следва да разчитат на всички изпълнителни органи за програмата, включително, когато е целесъобразно, на подкрепата на други основни заинтересовани страни.</w:t>
      </w:r>
    </w:p>
    <w:p>
      <w:pPr>
        <w:pStyle w:val="ManualConsidrant"/>
        <w:rPr>
          <w:noProof/>
        </w:rPr>
      </w:pPr>
      <w:r>
        <w:t>(39)</w:t>
      </w:r>
      <w:r>
        <w:tab/>
      </w:r>
      <w:r>
        <w:rPr>
          <w:noProof/>
        </w:rPr>
        <w:t>За да се постигнат в по-голяма степен целите на програмата, Комисията, държавите членки и националните агенции следва да работят в тясно сътрудничество в партньорство с неправителствени организации, младежки организации и местни участници с опит в дейности за солидарност.</w:t>
      </w:r>
    </w:p>
    <w:p>
      <w:pPr>
        <w:pStyle w:val="ManualConsidrant"/>
        <w:rPr>
          <w:noProof/>
        </w:rPr>
      </w:pPr>
      <w:r>
        <w:t>(40)</w:t>
      </w:r>
      <w:r>
        <w:tab/>
      </w:r>
      <w:r>
        <w:rPr>
          <w:noProof/>
        </w:rPr>
        <w:t>За да се осигури по-ефикасно информиране на широката общественост и по-силно полезно взаимодействие между комуникационните дейности, предприемани по инициатива на Комисията, ресурсите, отпуснати за комуникационни действия съгласно настоящия регламент, следва да допринасят и за обезпечаването на институционалната комуникация във връзка с политическите приоритети на Съюза, при условие че те са свързани с общата цел на настоящия регламент.</w:t>
      </w:r>
    </w:p>
    <w:p>
      <w:pPr>
        <w:pStyle w:val="ManualConsidrant"/>
        <w:rPr>
          <w:noProof/>
        </w:rPr>
      </w:pPr>
      <w:r>
        <w:lastRenderedPageBreak/>
        <w:t>(41)</w:t>
      </w:r>
      <w:r>
        <w:tab/>
      </w:r>
      <w:r>
        <w:rPr>
          <w:noProof/>
        </w:rPr>
        <w:t>За да осигури ефективно и ефикасно изпълнение на настоящия регламент, програмата следва да използва в максимална степен вече въведените и съществуващи договорености за управление. По тази причина изпълнението на програмата следва да бъде е възложено на съществуващите структури, а именно Европейската комисия и националните агенции, определени за управлението на дейностите, посочени в глава III на [новия регламент за програмата „Еразъм“]. Комисията следва да провежда редовни консултации с възлови заинтересовани страни, в т.ч. участващите организации, относно изпълнението на Европейския корпус за солидарност.</w:t>
      </w:r>
    </w:p>
    <w:p>
      <w:pPr>
        <w:pStyle w:val="ManualConsidrant"/>
        <w:rPr>
          <w:noProof/>
        </w:rPr>
      </w:pPr>
      <w:r>
        <w:t>(42)</w:t>
      </w:r>
      <w:r>
        <w:tab/>
      </w:r>
      <w:r>
        <w:rPr>
          <w:noProof/>
        </w:rPr>
        <w:t>За да се осигурят добро финансово управление и правна сигурност във всяка участваща държава, всеки национален орган следва да определи независим одитен орган. Когато е възможно и с цел постигане на максимална ефективност независимият одитен орган може да бъде същият като този, определен за дейностите, посочени в [Глава III на новия регламент за програмата „Еразъм“].</w:t>
      </w:r>
    </w:p>
    <w:p>
      <w:pPr>
        <w:pStyle w:val="ManualConsidrant"/>
        <w:rPr>
          <w:noProof/>
        </w:rPr>
      </w:pPr>
      <w:r>
        <w:t>(43)</w:t>
      </w:r>
      <w:r>
        <w:tab/>
      </w:r>
      <w:r>
        <w:rPr>
          <w:noProof/>
        </w:rPr>
        <w:t>Държавите членки следва да се стремят да приемат всички подходящи мерки за отстраняване на правните и административни пречки за правилното действие на програмата. Това включва решаване, когато е възможно и без да се засяга законодателството на Съюза за влизане и пребиваване на граждани на трети държави, на въпросите, които създават затруднения при получаването на визи и разрешения за пребиваване. В съответствие с Директива (ЕС) 2016/801 на Европейския парламент и на Съвета</w:t>
      </w:r>
      <w:r>
        <w:rPr>
          <w:rStyle w:val="FootnoteReference"/>
          <w:noProof/>
        </w:rPr>
        <w:footnoteReference w:id="32"/>
      </w:r>
      <w:r>
        <w:rPr>
          <w:noProof/>
        </w:rPr>
        <w:t>, държавите членки се насърчават да въведат ускорени процедури за прием.</w:t>
      </w:r>
    </w:p>
    <w:p>
      <w:pPr>
        <w:pStyle w:val="ManualConsidrant"/>
        <w:rPr>
          <w:noProof/>
        </w:rPr>
      </w:pPr>
      <w:r>
        <w:t>(44)</w:t>
      </w:r>
      <w:r>
        <w:tab/>
      </w:r>
      <w:r>
        <w:rPr>
          <w:noProof/>
        </w:rPr>
        <w:t>Системата за отчитане на изпълнението следва да гарантира ефикасното, ефективно и навременно и с подходящо ниво на подробности събиране на данните за мониторинга на изпълнението на програмата и на нейната оценка. Тези данни следва да се съобщават на Комисията по начин, който е приведен в съответствие със съответните правила за защита на данните.</w:t>
      </w:r>
    </w:p>
    <w:p>
      <w:pPr>
        <w:pStyle w:val="ManualConsidrant"/>
        <w:rPr>
          <w:noProof/>
        </w:rPr>
      </w:pPr>
      <w:r>
        <w:t>(45)</w:t>
      </w:r>
      <w:r>
        <w:tab/>
      </w:r>
      <w:r>
        <w:rPr>
          <w:noProof/>
        </w:rPr>
        <w:t>За да се гарантират еднакви условия за прилагането на настоящия регламент, на Комисията следва да се предоставят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33"/>
      </w:r>
      <w:r>
        <w:rPr>
          <w:noProof/>
        </w:rPr>
        <w:t>.</w:t>
      </w:r>
    </w:p>
    <w:p>
      <w:pPr>
        <w:pStyle w:val="ManualConsidrant"/>
        <w:rPr>
          <w:noProof/>
        </w:rPr>
      </w:pPr>
      <w:r>
        <w:t>(46)</w:t>
      </w:r>
      <w:r>
        <w:tab/>
      </w:r>
      <w:r>
        <w:rPr>
          <w:noProof/>
        </w:rPr>
        <w:t>За да се опростят изискванията към бенефициерите би трябвало във възможно най-голяма степен да се използва опростено отпускане на безвъзмездни средства под формата на финансиране чрез еднократни суми, единични разходи и единни ставки. Опростеното отпускане на безвъзмездни средства за подкрепа на действията за мобилност на програмата, както е определено от Комисията, следва да взема предвид издръжката за живот в приемащата държава. В съответствие с националното право държавите членки следва също така да бъдат насърчавани да освобождават тези средства от всякакви данъци и социални плащания. Същото освобождаване следва да се прилага за публични или частни субекти, които посредничат при предоставяне на посочената финансова подкрепа на съответните лица.</w:t>
      </w:r>
    </w:p>
    <w:p>
      <w:pPr>
        <w:pStyle w:val="ManualConsidrant"/>
        <w:rPr>
          <w:noProof/>
        </w:rPr>
      </w:pPr>
      <w:r>
        <w:lastRenderedPageBreak/>
        <w:t>(47)</w:t>
      </w:r>
      <w:r>
        <w:tab/>
      </w:r>
      <w:r>
        <w:rPr>
          <w:noProof/>
        </w:rPr>
        <w:t>В съответствие с Финансовия регламент, Регламент (ЕС, Евратом) № 883/2013 на Европейския парламент и на Съвета, Регламент (ЕО, Евратом) № 2988/95</w:t>
      </w:r>
      <w:r>
        <w:rPr>
          <w:rStyle w:val="FootnoteReference"/>
          <w:noProof/>
        </w:rPr>
        <w:footnoteReference w:id="34"/>
      </w:r>
      <w:r>
        <w:rPr>
          <w:noProof/>
        </w:rPr>
        <w:t xml:space="preserve"> на Съвета, Регламент (Евратом, ЕО) № 2185/96 на Съвета и Регламент (ЕС) 2017/1939 на Съвета финансовите интереси на Съюза следва да се защитават посредством пропорционални мерки, включително посредством предотвратяване, разкриване, коригиране и разследване на нередности, включително измами, събиране на изгубени, недължимо платени или неправилно използвани средства и когато е целесъобразно, налагане на административни санкции. С цел преразглеждане и/или допълване на показателите за изпълнението на програмата на Комисията следва да се делегира правомощието да приема актове в съответствие с член 290 от Договора за функционирането на Европейския съюз.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равностойно участие при подготовката на делегираните актове, Европейският парламент и Съветът следва да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(48)</w:t>
      </w:r>
      <w:r>
        <w:tab/>
      </w:r>
      <w:r>
        <w:rPr>
          <w:noProof/>
        </w:rPr>
        <w:t>Настоящият регламент е съобразен с основните права и принципите, признати в частност от Хартата на основните права на Европейския съюз</w:t>
      </w:r>
      <w:r>
        <w:rPr>
          <w:rStyle w:val="FootnoteReference"/>
          <w:noProof/>
        </w:rPr>
        <w:footnoteReference w:id="35"/>
      </w:r>
      <w:r>
        <w:rPr>
          <w:noProof/>
        </w:rPr>
        <w:t>. По-специално, настоящият регламент цели да гарантира пълното зачитане на правото на равенство между мъжете и жените и правото на недискриминация, основана на пол, расов или етнически произход, религия или убеждения, увреждания, възраст или сексуална ориентация, и да насърчава прилагане на членове 21 и 23 от Хартата на основните права на Европейския съюз.</w:t>
      </w:r>
    </w:p>
    <w:p>
      <w:pPr>
        <w:pStyle w:val="ManualConsidrant"/>
        <w:rPr>
          <w:noProof/>
        </w:rPr>
      </w:pPr>
      <w:r>
        <w:t>(49)</w:t>
      </w:r>
      <w:r>
        <w:tab/>
      </w:r>
      <w:r>
        <w:rPr>
          <w:noProof/>
        </w:rPr>
        <w:t>Хоризонталните финансови правила, приети от Европейския парламент и от Съвета на основание на член 322 от Договора за функционирането на Европейския съюз, се прилагат за настоящия регламент. Тези правила са установени във Финансовия регламент и определят по-специално реда и условията за изготвяне и изпълнение на бюджета чрез безвъзмездни средства, обществени поръчки, награди, непряко управление, а също и контрола върху отговорността на финансовите оператори. Правилата, приети на основание на член 322 от Договора за функционирането на Европейския съюз, се отнасят също до защитата на бюджета на ЕС в случай на всеобщи слабости в прилагането на принципите на правовата държава в държавите членки, тъй като прилагането на принципите на правовата държава е съществена предпоставка за добро финансово управление и за ефективно финансиране от Съюза.</w:t>
      </w:r>
    </w:p>
    <w:p>
      <w:pPr>
        <w:pStyle w:val="ManualConsidrant"/>
        <w:rPr>
          <w:noProof/>
        </w:rPr>
      </w:pPr>
      <w:r>
        <w:t>(50)</w:t>
      </w:r>
      <w:r>
        <w:tab/>
      </w:r>
      <w:r>
        <w:rPr>
          <w:noProof/>
        </w:rPr>
        <w:t>Тъй като целта на настоящия регламент, а именно да се повиши ангажираността на младите хора и на организациите по отношение на достъпни и висококачествени дейности за солидарност, не може да бъде постигната в достатъчна степен от държавите членки, a поради своя мащаб и ефект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тези цели.</w:t>
      </w:r>
    </w:p>
    <w:p>
      <w:pPr>
        <w:pStyle w:val="ManualConsidrant"/>
        <w:rPr>
          <w:noProof/>
          <w:u w:color="000000"/>
          <w:bdr w:val="nil"/>
        </w:rPr>
      </w:pPr>
      <w:r>
        <w:lastRenderedPageBreak/>
        <w:t>(51)</w:t>
      </w:r>
      <w:r>
        <w:tab/>
      </w:r>
      <w:r>
        <w:rPr>
          <w:noProof/>
        </w:rPr>
        <w:t>[Регламентът за Европейския корпус за солидарност] следва са бъде отменен с действие от 1 януари 2021 г.</w:t>
      </w:r>
    </w:p>
    <w:p>
      <w:pPr>
        <w:pStyle w:val="ManualConsidrant"/>
        <w:rPr>
          <w:noProof/>
        </w:rPr>
      </w:pPr>
      <w:r>
        <w:t>(52)</w:t>
      </w:r>
      <w:r>
        <w:tab/>
      </w:r>
      <w:r>
        <w:rPr>
          <w:noProof/>
        </w:rPr>
        <w:t>За да се осигури непрекъснатост на финансовата подкрепа, предвидена по програмата, настоящият регламент следва да се прилага считано от 1 януари 2021 г.</w:t>
      </w:r>
    </w:p>
    <w:p>
      <w:pPr>
        <w:pStyle w:val="Formuledadoption"/>
        <w:rPr>
          <w:noProof/>
        </w:rPr>
      </w:pPr>
      <w:r>
        <w:rPr>
          <w:noProof/>
        </w:rPr>
        <w:t>ПРИЕХА НАСТОЯЩИЯ РЕГЛАМЕНТ:</w:t>
      </w:r>
    </w:p>
    <w:p>
      <w:pPr>
        <w:pStyle w:val="Titrearticle"/>
        <w:spacing w:before="120"/>
        <w:rPr>
          <w:noProof/>
        </w:rPr>
      </w:pPr>
      <w:r>
        <w:rPr>
          <w:noProof/>
        </w:rPr>
        <w:t>ГЛАВА I</w:t>
      </w:r>
    </w:p>
    <w:p>
      <w:pPr>
        <w:pStyle w:val="Titrearticle"/>
        <w:spacing w:before="120"/>
        <w:rPr>
          <w:noProof/>
        </w:rPr>
      </w:pPr>
      <w:r>
        <w:rPr>
          <w:noProof/>
        </w:rPr>
        <w:t>Общи разпоредби</w:t>
      </w:r>
    </w:p>
    <w:p>
      <w:pPr>
        <w:pStyle w:val="Titrearticle"/>
        <w:spacing w:before="120"/>
        <w:rPr>
          <w:noProof/>
        </w:rPr>
      </w:pPr>
      <w:r>
        <w:rPr>
          <w:noProof/>
        </w:rPr>
        <w:t>Член 1</w:t>
      </w:r>
    </w:p>
    <w:p>
      <w:pPr>
        <w:pStyle w:val="Titrearticle"/>
        <w:spacing w:before="120"/>
        <w:rPr>
          <w:noProof/>
        </w:rPr>
      </w:pPr>
      <w:r>
        <w:rPr>
          <w:noProof/>
        </w:rPr>
        <w:t>Предмет</w:t>
      </w:r>
    </w:p>
    <w:p>
      <w:pPr>
        <w:rPr>
          <w:noProof/>
        </w:rPr>
      </w:pPr>
      <w:r>
        <w:rPr>
          <w:noProof/>
        </w:rPr>
        <w:t>С настоящия регламент се създава Европейският корпус за солидарност („програмата“).</w:t>
      </w:r>
    </w:p>
    <w:p>
      <w:pPr>
        <w:rPr>
          <w:noProof/>
        </w:rPr>
      </w:pPr>
      <w:r>
        <w:rPr>
          <w:noProof/>
        </w:rPr>
        <w:t>С него се определят целите на програмата, бюджетът за периода 2021—2027 г., формите на финансиране от Съюза и правилата за предоставяне на такова финансиране.</w:t>
      </w:r>
    </w:p>
    <w:p>
      <w:pPr>
        <w:pStyle w:val="Titrearticle"/>
        <w:spacing w:before="120"/>
        <w:rPr>
          <w:noProof/>
        </w:rPr>
      </w:pPr>
      <w:r>
        <w:rPr>
          <w:noProof/>
        </w:rPr>
        <w:t>Член 2</w:t>
      </w:r>
    </w:p>
    <w:p>
      <w:pPr>
        <w:pStyle w:val="Titrearticle"/>
        <w:spacing w:before="120"/>
        <w:rPr>
          <w:noProof/>
        </w:rPr>
      </w:pPr>
      <w:r>
        <w:rPr>
          <w:noProof/>
        </w:rPr>
        <w:t>Определения</w:t>
      </w:r>
    </w:p>
    <w:p>
      <w:pPr>
        <w:rPr>
          <w:noProof/>
        </w:rPr>
      </w:pPr>
      <w:r>
        <w:rPr>
          <w:noProof/>
        </w:rPr>
        <w:t>За целите на настоящия регламент се прилагат следните определения:</w:t>
      </w:r>
    </w:p>
    <w:p>
      <w:pPr>
        <w:pStyle w:val="Point0number"/>
        <w:numPr>
          <w:ilvl w:val="0"/>
          <w:numId w:val="11"/>
        </w:numPr>
        <w:pBdr>
          <w:top w:val="nil"/>
          <w:left w:val="nil"/>
          <w:bottom w:val="nil"/>
          <w:right w:val="nil"/>
          <w:between w:val="nil"/>
          <w:bar w:val="nil"/>
        </w:pBdr>
        <w:tabs>
          <w:tab w:val="left" w:pos="850"/>
        </w:tabs>
        <w:rPr>
          <w:noProof/>
        </w:rPr>
      </w:pPr>
      <w:r>
        <w:rPr>
          <w:i/>
          <w:noProof/>
        </w:rPr>
        <w:t>„дейност за солидарност“</w:t>
      </w:r>
      <w:r>
        <w:rPr>
          <w:noProof/>
        </w:rPr>
        <w:t xml:space="preserve"> означава висококачествена временна дейност, допринасяща за постигане на целите на Европейския корпус за солидарност, която може да бъде във вид на доброволчество, стажове, работа, проекти за солидарност и дейности за изграждане на мрежи в различни области, включително посочените в параграф 13, осигуряващи европейската добавена стойност и съответствие с разпоредбите относно здравето и безопасността;</w:t>
      </w:r>
    </w:p>
    <w:p>
      <w:pPr>
        <w:pStyle w:val="Point0number"/>
        <w:numPr>
          <w:ilvl w:val="0"/>
          <w:numId w:val="11"/>
        </w:numPr>
        <w:pBdr>
          <w:top w:val="nil"/>
          <w:left w:val="nil"/>
          <w:bottom w:val="nil"/>
          <w:right w:val="nil"/>
          <w:between w:val="nil"/>
          <w:bar w:val="nil"/>
        </w:pBdr>
        <w:tabs>
          <w:tab w:val="left" w:pos="850"/>
        </w:tabs>
        <w:rPr>
          <w:noProof/>
        </w:rPr>
      </w:pPr>
      <w:r>
        <w:rPr>
          <w:i/>
          <w:noProof/>
        </w:rPr>
        <w:t>„регистриран кандидат“</w:t>
      </w:r>
      <w:r>
        <w:rPr>
          <w:noProof/>
        </w:rPr>
        <w:t xml:space="preserve"> означава лице на възраст между 17 и 30 години, което пребивава законно в участваща държава и се е регистрирало на портала на Европейския корпус за солидарност, за да изрази интерес към участие в дейност за солидарност, но все още не участва в такава дейност;</w:t>
      </w:r>
    </w:p>
    <w:p>
      <w:pPr>
        <w:pStyle w:val="Point0number"/>
        <w:numPr>
          <w:ilvl w:val="0"/>
          <w:numId w:val="11"/>
        </w:numPr>
        <w:pBdr>
          <w:top w:val="nil"/>
          <w:left w:val="nil"/>
          <w:bottom w:val="nil"/>
          <w:right w:val="nil"/>
          <w:between w:val="nil"/>
          <w:bar w:val="nil"/>
        </w:pBdr>
        <w:tabs>
          <w:tab w:val="left" w:pos="850"/>
        </w:tabs>
        <w:rPr>
          <w:noProof/>
        </w:rPr>
      </w:pPr>
      <w:r>
        <w:rPr>
          <w:i/>
          <w:noProof/>
        </w:rPr>
        <w:t>„участник“</w:t>
      </w:r>
      <w:r>
        <w:rPr>
          <w:noProof/>
        </w:rPr>
        <w:t xml:space="preserve"> означава лице на възраст между 18 и 30 години, което се е регистрирало в портала на Европейския корпус за солидарност и участва в дейност за солидарност в рамките на Европейския корпус за солидарност;</w:t>
      </w:r>
    </w:p>
    <w:p>
      <w:pPr>
        <w:pStyle w:val="Point0number"/>
        <w:numPr>
          <w:ilvl w:val="0"/>
          <w:numId w:val="11"/>
        </w:numPr>
        <w:pBdr>
          <w:top w:val="nil"/>
          <w:left w:val="nil"/>
          <w:bottom w:val="nil"/>
          <w:right w:val="nil"/>
          <w:between w:val="nil"/>
          <w:bar w:val="nil"/>
        </w:pBdr>
        <w:tabs>
          <w:tab w:val="left" w:pos="850"/>
        </w:tabs>
        <w:rPr>
          <w:noProof/>
        </w:rPr>
      </w:pPr>
      <w:r>
        <w:rPr>
          <w:i/>
          <w:noProof/>
        </w:rPr>
        <w:t>„млади хора с по-малко възможности“</w:t>
      </w:r>
      <w:r>
        <w:rPr>
          <w:noProof/>
        </w:rPr>
        <w:t xml:space="preserve"> означава млади хора, изправени пред известни пречки, които възпрепятстват реалния им достъп до възможности по програмата поради икономически, социални, културни, географски или здравословни причини или поради увреждания и образователни затруднения;</w:t>
      </w:r>
    </w:p>
    <w:p>
      <w:pPr>
        <w:pStyle w:val="Point0number"/>
        <w:numPr>
          <w:ilvl w:val="0"/>
          <w:numId w:val="11"/>
        </w:numPr>
        <w:pBdr>
          <w:top w:val="nil"/>
          <w:left w:val="nil"/>
          <w:bottom w:val="nil"/>
          <w:right w:val="nil"/>
          <w:between w:val="nil"/>
          <w:bar w:val="nil"/>
        </w:pBdr>
        <w:tabs>
          <w:tab w:val="left" w:pos="850"/>
        </w:tabs>
        <w:rPr>
          <w:noProof/>
        </w:rPr>
      </w:pPr>
      <w:r>
        <w:rPr>
          <w:i/>
          <w:noProof/>
        </w:rPr>
        <w:t>„участваща организация“</w:t>
      </w:r>
      <w:r>
        <w:rPr>
          <w:noProof/>
        </w:rPr>
        <w:t xml:space="preserve"> означава публичен или частен субект, независимо дали местен, регионален, национален или международен, на който е присъден знакът за качество на Европейския корпус за солидарност;</w:t>
      </w:r>
    </w:p>
    <w:p>
      <w:pPr>
        <w:pStyle w:val="Point0number"/>
        <w:numPr>
          <w:ilvl w:val="0"/>
          <w:numId w:val="11"/>
        </w:numPr>
        <w:pBdr>
          <w:top w:val="nil"/>
          <w:left w:val="nil"/>
          <w:bottom w:val="nil"/>
          <w:right w:val="nil"/>
          <w:between w:val="nil"/>
          <w:bar w:val="nil"/>
        </w:pBdr>
        <w:tabs>
          <w:tab w:val="left" w:pos="850"/>
        </w:tabs>
        <w:rPr>
          <w:noProof/>
        </w:rPr>
      </w:pPr>
      <w:r>
        <w:rPr>
          <w:i/>
          <w:noProof/>
        </w:rPr>
        <w:t>„доброволчество“</w:t>
      </w:r>
      <w:r>
        <w:rPr>
          <w:noProof/>
        </w:rPr>
        <w:t xml:space="preserve"> означава дейност за солидарност, която се осъществява като доброволна неплатена дейност за период до 12 месеца.</w:t>
      </w:r>
    </w:p>
    <w:p>
      <w:pPr>
        <w:pStyle w:val="Point0number"/>
        <w:numPr>
          <w:ilvl w:val="0"/>
          <w:numId w:val="11"/>
        </w:numPr>
        <w:pBdr>
          <w:top w:val="nil"/>
          <w:left w:val="nil"/>
          <w:bottom w:val="nil"/>
          <w:right w:val="nil"/>
          <w:between w:val="nil"/>
          <w:bar w:val="nil"/>
        </w:pBdr>
        <w:tabs>
          <w:tab w:val="left" w:pos="850"/>
        </w:tabs>
        <w:rPr>
          <w:noProof/>
        </w:rPr>
      </w:pPr>
      <w:r>
        <w:rPr>
          <w:i/>
          <w:noProof/>
        </w:rPr>
        <w:t>„стаж“</w:t>
      </w:r>
      <w:r>
        <w:rPr>
          <w:noProof/>
        </w:rPr>
        <w:t xml:space="preserve"> означава дейност за солидарност за период от два до шест месеца, с възможност за еднократно подновяване и за максимален срок от 12 месеца, която се предлага и заплаща от участващата организация, приемаща участника в Европейския корпус за солидарност;</w:t>
      </w:r>
    </w:p>
    <w:p>
      <w:pPr>
        <w:pStyle w:val="Point0number"/>
        <w:numPr>
          <w:ilvl w:val="0"/>
          <w:numId w:val="11"/>
        </w:numPr>
        <w:pBdr>
          <w:top w:val="nil"/>
          <w:left w:val="nil"/>
          <w:bottom w:val="nil"/>
          <w:right w:val="nil"/>
          <w:between w:val="nil"/>
          <w:bar w:val="nil"/>
        </w:pBdr>
        <w:tabs>
          <w:tab w:val="left" w:pos="850"/>
        </w:tabs>
        <w:rPr>
          <w:noProof/>
        </w:rPr>
      </w:pPr>
      <w:r>
        <w:rPr>
          <w:i/>
          <w:noProof/>
        </w:rPr>
        <w:lastRenderedPageBreak/>
        <w:t>„работа“</w:t>
      </w:r>
      <w:r>
        <w:rPr>
          <w:noProof/>
        </w:rPr>
        <w:t xml:space="preserve"> означава дейност за солидарност за период от 2 до 12 месеца, която се заплаща от участващата организация, приемаща участника от Европейския корпус за солидарност;</w:t>
      </w:r>
    </w:p>
    <w:p>
      <w:pPr>
        <w:pStyle w:val="Point0number"/>
        <w:numPr>
          <w:ilvl w:val="0"/>
          <w:numId w:val="11"/>
        </w:numPr>
        <w:pBdr>
          <w:top w:val="nil"/>
          <w:left w:val="nil"/>
          <w:bottom w:val="nil"/>
          <w:right w:val="nil"/>
          <w:between w:val="nil"/>
          <w:bar w:val="nil"/>
        </w:pBdr>
        <w:tabs>
          <w:tab w:val="left" w:pos="850"/>
        </w:tabs>
        <w:rPr>
          <w:noProof/>
        </w:rPr>
      </w:pPr>
      <w:r>
        <w:rPr>
          <w:i/>
          <w:noProof/>
        </w:rPr>
        <w:t>„проект за солидарност“</w:t>
      </w:r>
      <w:r>
        <w:rPr>
          <w:noProof/>
        </w:rPr>
        <w:t xml:space="preserve"> означава неплатена дейност за солидарност в страната за период не по-дълъг от дванадесет месеца, изпълняван от групи от минимум пет участници в Европейския корпус за солидарност с цел преодоляване на съществени предизвикателства в рамките на техните общности, като същевременно предоставят ясна европейска добавена стойност.</w:t>
      </w:r>
    </w:p>
    <w:p>
      <w:pPr>
        <w:pStyle w:val="Point0number"/>
        <w:numPr>
          <w:ilvl w:val="0"/>
          <w:numId w:val="11"/>
        </w:numPr>
        <w:pBdr>
          <w:top w:val="nil"/>
          <w:left w:val="nil"/>
          <w:bottom w:val="nil"/>
          <w:right w:val="nil"/>
          <w:between w:val="nil"/>
          <w:bar w:val="nil"/>
        </w:pBdr>
        <w:tabs>
          <w:tab w:val="left" w:pos="850"/>
        </w:tabs>
        <w:rPr>
          <w:noProof/>
        </w:rPr>
      </w:pPr>
      <w:r>
        <w:rPr>
          <w:i/>
          <w:noProof/>
        </w:rPr>
        <w:t>„знак за качество“</w:t>
      </w:r>
      <w:r>
        <w:rPr>
          <w:noProof/>
        </w:rPr>
        <w:t xml:space="preserve"> означава сертифициране, предоставено на участваща организация, която желае да предоставя дейности за солидарност в рамките на Европейския корпус за солидарност като домакин и/или като изпълнител на поддържаща функция.</w:t>
      </w:r>
    </w:p>
    <w:p>
      <w:pPr>
        <w:pStyle w:val="Point0number"/>
        <w:numPr>
          <w:ilvl w:val="0"/>
          <w:numId w:val="11"/>
        </w:numPr>
        <w:pBdr>
          <w:top w:val="nil"/>
          <w:left w:val="nil"/>
          <w:bottom w:val="nil"/>
          <w:right w:val="nil"/>
          <w:between w:val="nil"/>
          <w:bar w:val="nil"/>
        </w:pBdr>
        <w:tabs>
          <w:tab w:val="left" w:pos="850"/>
        </w:tabs>
        <w:rPr>
          <w:noProof/>
        </w:rPr>
      </w:pPr>
      <w:r>
        <w:rPr>
          <w:i/>
          <w:noProof/>
        </w:rPr>
        <w:t>„ресурсни центрове на Европейския корпус за солидарност“</w:t>
      </w:r>
      <w:r>
        <w:rPr>
          <w:noProof/>
        </w:rPr>
        <w:t xml:space="preserve"> означава допълнителните функции, изпълнявани от определени национални агенции, в подкрепа на разработването, изпълнението и качеството на дейности в рамките на Европейския корпус за солидарност, както и на установяването на компетентностите, придобити от участниците чрез извършваните от тях дейности за солидарност;</w:t>
      </w:r>
    </w:p>
    <w:p>
      <w:pPr>
        <w:pStyle w:val="Point0number"/>
        <w:numPr>
          <w:ilvl w:val="0"/>
          <w:numId w:val="11"/>
        </w:numPr>
        <w:pBdr>
          <w:top w:val="nil"/>
          <w:left w:val="nil"/>
          <w:bottom w:val="nil"/>
          <w:right w:val="nil"/>
          <w:between w:val="nil"/>
          <w:bar w:val="nil"/>
        </w:pBdr>
        <w:tabs>
          <w:tab w:val="left" w:pos="850"/>
        </w:tabs>
        <w:rPr>
          <w:noProof/>
        </w:rPr>
      </w:pPr>
      <w:r>
        <w:rPr>
          <w:i/>
          <w:noProof/>
        </w:rPr>
        <w:t>„инструменти на Съюза за прозрачност и признаване“</w:t>
      </w:r>
      <w:r>
        <w:rPr>
          <w:noProof/>
        </w:rPr>
        <w:t xml:space="preserve"> означава инструменти, които помагат на заинтересованите страни да разберат, да оценят, а когато е целесъобразно — да признаят резултатите от неформалното и самостоятелното учене в рамките на Съюза. След приключване на дейностите всички участници ще получат сертификат за резултатите от ученето и развитите по време на дейностите умения, като например „Youthpass“ или „Europass“;</w:t>
      </w:r>
    </w:p>
    <w:p>
      <w:pPr>
        <w:pStyle w:val="Point0number"/>
        <w:numPr>
          <w:ilvl w:val="0"/>
          <w:numId w:val="11"/>
        </w:numPr>
        <w:pBdr>
          <w:top w:val="nil"/>
          <w:left w:val="nil"/>
          <w:bottom w:val="nil"/>
          <w:right w:val="nil"/>
          <w:between w:val="nil"/>
          <w:bar w:val="nil"/>
        </w:pBdr>
        <w:tabs>
          <w:tab w:val="left" w:pos="850"/>
        </w:tabs>
        <w:rPr>
          <w:noProof/>
          <w:u w:color="0000FF"/>
        </w:rPr>
      </w:pPr>
      <w:r>
        <w:rPr>
          <w:i/>
          <w:noProof/>
        </w:rPr>
        <w:t>„дейност за хуманитарна помощ“</w:t>
      </w:r>
      <w:r>
        <w:rPr>
          <w:noProof/>
        </w:rPr>
        <w:t xml:space="preserve"> означава дейности и операции в трети държави, чиято цел е да се осигури спешно подпомагане въз основа на нуждите, насочено към запазването на човешки живот, предотвратяването и облекчаването на човешко страдание и запазването на човешкото достойнство при предизвикани от човека кризи или природни бедствия, включително операции за подпомагане, помощ и защита при хуманитарни кризи или непосредствено след тях, подкрепящи мерки за осигуряване на достъп до нуждаещите се и за улесняване на свободното движение на помощи, както и действия, целящи подобряването на подготвеността за бедствия и намаляването на риска от тях, установяване на връзка между помощ, възстановяване и развитие, и допринасящи за укрепване на устойчивостта и за увеличаване на капацитета за справяне с кризи и възстановяване след тях;</w:t>
      </w:r>
    </w:p>
    <w:p>
      <w:pPr>
        <w:pStyle w:val="Point0number"/>
        <w:numPr>
          <w:ilvl w:val="0"/>
          <w:numId w:val="11"/>
        </w:numPr>
        <w:pBdr>
          <w:top w:val="nil"/>
          <w:left w:val="nil"/>
          <w:bottom w:val="nil"/>
          <w:right w:val="nil"/>
          <w:between w:val="nil"/>
          <w:bar w:val="nil"/>
        </w:pBdr>
        <w:tabs>
          <w:tab w:val="left" w:pos="850"/>
        </w:tabs>
        <w:rPr>
          <w:noProof/>
          <w:u w:color="0000FF"/>
        </w:rPr>
      </w:pPr>
      <w:r>
        <w:rPr>
          <w:i/>
          <w:noProof/>
        </w:rPr>
        <w:t>„трета държава“</w:t>
      </w:r>
      <w:r>
        <w:rPr>
          <w:noProof/>
        </w:rPr>
        <w:t xml:space="preserve"> означава държава, която не е членка на Съюза;</w:t>
      </w:r>
    </w:p>
    <w:p>
      <w:pPr>
        <w:pStyle w:val="Point0number"/>
        <w:numPr>
          <w:ilvl w:val="0"/>
          <w:numId w:val="11"/>
        </w:numPr>
        <w:pBdr>
          <w:top w:val="nil"/>
          <w:left w:val="nil"/>
          <w:bottom w:val="nil"/>
          <w:right w:val="nil"/>
          <w:between w:val="nil"/>
          <w:bar w:val="nil"/>
        </w:pBdr>
        <w:tabs>
          <w:tab w:val="left" w:pos="850"/>
        </w:tabs>
        <w:rPr>
          <w:noProof/>
          <w:u w:color="0000FF"/>
        </w:rPr>
      </w:pPr>
      <w:r>
        <w:rPr>
          <w:i/>
          <w:noProof/>
        </w:rPr>
        <w:t>„трета държава, асоциирана към програмата“</w:t>
      </w:r>
      <w:r>
        <w:rPr>
          <w:noProof/>
        </w:rPr>
        <w:t xml:space="preserve"> означава трета държава, която е страна по споразумение със Съюза, позволяващо участието ѝ в програмата, и която изпълнява всички задължения, посочени в настоящия регламент по отношение на държавите членки;</w:t>
      </w:r>
    </w:p>
    <w:p>
      <w:pPr>
        <w:pStyle w:val="Point0number"/>
        <w:numPr>
          <w:ilvl w:val="0"/>
          <w:numId w:val="11"/>
        </w:numPr>
        <w:pBdr>
          <w:top w:val="nil"/>
          <w:left w:val="nil"/>
          <w:bottom w:val="nil"/>
          <w:right w:val="nil"/>
          <w:between w:val="nil"/>
          <w:bar w:val="nil"/>
        </w:pBdr>
        <w:tabs>
          <w:tab w:val="left" w:pos="850"/>
        </w:tabs>
        <w:rPr>
          <w:noProof/>
          <w:u w:color="0000FF"/>
        </w:rPr>
      </w:pPr>
      <w:r>
        <w:rPr>
          <w:i/>
          <w:noProof/>
        </w:rPr>
        <w:t>„трета държава, която не е асоциирана към програмата“</w:t>
      </w:r>
      <w:r>
        <w:rPr>
          <w:noProof/>
        </w:rPr>
        <w:t xml:space="preserve"> означава трета държава, която не участва изцяло в програмата, но чиито правни субекти могат по изключение да се възползват от програмата в надлежно обосновани случаи в интерес на Съюза;</w:t>
      </w:r>
    </w:p>
    <w:p>
      <w:pPr>
        <w:pStyle w:val="Titrearticle"/>
        <w:spacing w:before="120"/>
        <w:rPr>
          <w:noProof/>
        </w:rPr>
      </w:pPr>
      <w:r>
        <w:rPr>
          <w:noProof/>
        </w:rPr>
        <w:t>Член 3</w:t>
      </w:r>
    </w:p>
    <w:p>
      <w:pPr>
        <w:pStyle w:val="Titrearticle"/>
        <w:spacing w:before="120"/>
        <w:rPr>
          <w:noProof/>
        </w:rPr>
      </w:pPr>
      <w:r>
        <w:rPr>
          <w:noProof/>
        </w:rPr>
        <w:t>Цели на програмата</w:t>
      </w:r>
    </w:p>
    <w:p>
      <w:pPr>
        <w:pStyle w:val="ManualNumPar1"/>
        <w:rPr>
          <w:noProof/>
        </w:rPr>
      </w:pPr>
      <w:r>
        <w:t>1.</w:t>
      </w:r>
      <w:r>
        <w:tab/>
      </w:r>
      <w:r>
        <w:rPr>
          <w:noProof/>
        </w:rPr>
        <w:t xml:space="preserve">Общата цел на Европейския корпус за солидарност е да се повиши ангажираността на младите хора и на организациите по отношение на достъпни и висококачествени дейности за солидарност, като начин да се допринесе за по-голямо сближаване, </w:t>
      </w:r>
      <w:r>
        <w:rPr>
          <w:noProof/>
        </w:rPr>
        <w:lastRenderedPageBreak/>
        <w:t>солидарност и демокрация в Съюза, като същевременно се даде отговор на обществените предизвикателства, като се положат специални усилия за насърчаване на социалното приобщаване.</w:t>
      </w:r>
    </w:p>
    <w:p>
      <w:pPr>
        <w:pStyle w:val="ManualNumPar1"/>
        <w:rPr>
          <w:noProof/>
        </w:rPr>
      </w:pPr>
      <w:r>
        <w:t>2.</w:t>
      </w:r>
      <w:r>
        <w:tab/>
      </w:r>
      <w:r>
        <w:rPr>
          <w:noProof/>
        </w:rPr>
        <w:t>Конкретната цел на програмата е да се предоставят на младите хора, включително на тези с по-малко възможности, леснодостъпни възможности за участие в дейности за солидарност в Европа и чужбина, като същевременно се подобряват и надлежно валидират техните компетенции и се улеснява тяхната пригодност за заетост и преходът им към пазара на труда.</w:t>
      </w:r>
    </w:p>
    <w:p>
      <w:pPr>
        <w:pStyle w:val="ManualNumPar1"/>
        <w:rPr>
          <w:noProof/>
        </w:rPr>
      </w:pPr>
      <w:r>
        <w:t>3.</w:t>
      </w:r>
      <w:r>
        <w:tab/>
      </w:r>
      <w:r>
        <w:rPr>
          <w:noProof/>
        </w:rPr>
        <w:t>Целите на програмата следва да се изпълняват чрез дейности в следните направления.</w:t>
      </w:r>
    </w:p>
    <w:p>
      <w:pPr>
        <w:pStyle w:val="Point1"/>
        <w:rPr>
          <w:noProof/>
        </w:rPr>
      </w:pPr>
      <w:r>
        <w:rPr>
          <w:noProof/>
        </w:rPr>
        <w:t>а)</w:t>
      </w:r>
      <w:r>
        <w:rPr>
          <w:noProof/>
        </w:rPr>
        <w:tab/>
        <w:t>участието на младите хора в дейности за солидарност, преодоляващи предизвикателства пред обществото, както е посочено в член 6;</w:t>
      </w:r>
    </w:p>
    <w:p>
      <w:pPr>
        <w:pStyle w:val="Point1"/>
        <w:rPr>
          <w:noProof/>
        </w:rPr>
      </w:pPr>
      <w:r>
        <w:rPr>
          <w:noProof/>
        </w:rPr>
        <w:t>б)</w:t>
      </w:r>
      <w:r>
        <w:rPr>
          <w:noProof/>
        </w:rPr>
        <w:tab/>
        <w:t>Участие на млади хора в дейности за солидарност, свързани с хуманитарна помощ (Европейски доброволчески корпус за хуманитарна помощ), както е посочено в член 10.</w:t>
      </w:r>
    </w:p>
    <w:p>
      <w:pPr>
        <w:pStyle w:val="Titrearticle"/>
        <w:spacing w:before="120"/>
        <w:rPr>
          <w:noProof/>
        </w:rPr>
      </w:pPr>
      <w:r>
        <w:rPr>
          <w:noProof/>
        </w:rPr>
        <w:t>ГЛАВА II</w:t>
      </w:r>
    </w:p>
    <w:p>
      <w:pPr>
        <w:pStyle w:val="Titrearticle"/>
        <w:spacing w:before="120"/>
        <w:rPr>
          <w:noProof/>
        </w:rPr>
      </w:pPr>
      <w:r>
        <w:rPr>
          <w:noProof/>
        </w:rPr>
        <w:t>ДЕЙНОСТИ НА ЕВРОПЕЙСКИЯ КОРПУС ЗА СОЛИДАРНОСТ</w:t>
      </w:r>
    </w:p>
    <w:p>
      <w:pPr>
        <w:pStyle w:val="Titrearticle"/>
        <w:spacing w:before="120"/>
        <w:rPr>
          <w:noProof/>
        </w:rPr>
      </w:pPr>
      <w:r>
        <w:rPr>
          <w:noProof/>
        </w:rPr>
        <w:t>Член 4</w:t>
      </w:r>
    </w:p>
    <w:p>
      <w:pPr>
        <w:pStyle w:val="Titrearticle"/>
        <w:spacing w:before="120"/>
        <w:rPr>
          <w:noProof/>
        </w:rPr>
      </w:pPr>
      <w:r>
        <w:rPr>
          <w:noProof/>
        </w:rPr>
        <w:t>Дейности на Европейския корпус за солидарност</w:t>
      </w:r>
    </w:p>
    <w:p>
      <w:pPr>
        <w:pStyle w:val="ManualNumPar1"/>
        <w:rPr>
          <w:noProof/>
        </w:rPr>
      </w:pPr>
      <w:r>
        <w:t>1.</w:t>
      </w:r>
      <w:r>
        <w:tab/>
      </w:r>
      <w:r>
        <w:rPr>
          <w:noProof/>
        </w:rPr>
        <w:t>Програмата е предназначена да изпълнява зададените ѝ цели, посочени в член 3, чрез следните видове действия:</w:t>
      </w:r>
    </w:p>
    <w:p>
      <w:pPr>
        <w:pStyle w:val="Point1"/>
        <w:rPr>
          <w:noProof/>
        </w:rPr>
      </w:pPr>
      <w:r>
        <w:rPr>
          <w:noProof/>
        </w:rPr>
        <w:t>а)</w:t>
      </w:r>
      <w:r>
        <w:rPr>
          <w:noProof/>
        </w:rPr>
        <w:tab/>
        <w:t>доброволчество, както е посочено в членове 7 и 11;</w:t>
      </w:r>
    </w:p>
    <w:p>
      <w:pPr>
        <w:pStyle w:val="Point1"/>
        <w:rPr>
          <w:noProof/>
        </w:rPr>
      </w:pPr>
      <w:r>
        <w:rPr>
          <w:noProof/>
        </w:rPr>
        <w:t>б)</w:t>
      </w:r>
      <w:r>
        <w:rPr>
          <w:noProof/>
        </w:rPr>
        <w:tab/>
        <w:t>стажове и работни позиции, както е посочено в член 8;</w:t>
      </w:r>
    </w:p>
    <w:p>
      <w:pPr>
        <w:pStyle w:val="Point1"/>
        <w:rPr>
          <w:noProof/>
        </w:rPr>
      </w:pPr>
      <w:r>
        <w:rPr>
          <w:noProof/>
        </w:rPr>
        <w:t>в)</w:t>
      </w:r>
      <w:r>
        <w:rPr>
          <w:noProof/>
        </w:rPr>
        <w:tab/>
        <w:t>проекти за солидарност, както е посочено в член 9;</w:t>
      </w:r>
    </w:p>
    <w:p>
      <w:pPr>
        <w:pStyle w:val="Point1"/>
        <w:rPr>
          <w:noProof/>
        </w:rPr>
      </w:pPr>
      <w:r>
        <w:rPr>
          <w:noProof/>
        </w:rPr>
        <w:t>г)</w:t>
      </w:r>
      <w:r>
        <w:rPr>
          <w:noProof/>
        </w:rPr>
        <w:tab/>
        <w:t>дейности за изграждане на мрежи, както е посочено в член 5;</w:t>
      </w:r>
    </w:p>
    <w:p>
      <w:pPr>
        <w:pStyle w:val="Point1"/>
        <w:rPr>
          <w:noProof/>
        </w:rPr>
      </w:pPr>
      <w:r>
        <w:rPr>
          <w:noProof/>
        </w:rPr>
        <w:t>д)</w:t>
      </w:r>
      <w:r>
        <w:rPr>
          <w:noProof/>
        </w:rPr>
        <w:tab/>
        <w:t>мерки за качество и подпомагане, както е посочено в член 5.</w:t>
      </w:r>
    </w:p>
    <w:p>
      <w:pPr>
        <w:pStyle w:val="ManualNumPar1"/>
        <w:rPr>
          <w:noProof/>
        </w:rPr>
      </w:pPr>
      <w:r>
        <w:t>2.</w:t>
      </w:r>
      <w:r>
        <w:tab/>
      </w:r>
      <w:r>
        <w:rPr>
          <w:noProof/>
        </w:rPr>
        <w:t>Програмата ще подкрепя дейностите за солидарност, които осигуряват ясна европейска добавена стойност, например поради:</w:t>
      </w:r>
    </w:p>
    <w:p>
      <w:pPr>
        <w:pStyle w:val="Point1"/>
        <w:rPr>
          <w:noProof/>
        </w:rPr>
      </w:pPr>
      <w:r>
        <w:rPr>
          <w:noProof/>
        </w:rPr>
        <w:t>а)</w:t>
      </w:r>
      <w:r>
        <w:rPr>
          <w:noProof/>
        </w:rPr>
        <w:tab/>
        <w:t>транснационалния им характер, в частност по отношение на мобилността с учебна цел и сътрудничеството;</w:t>
      </w:r>
    </w:p>
    <w:p>
      <w:pPr>
        <w:pStyle w:val="Point1"/>
        <w:rPr>
          <w:noProof/>
        </w:rPr>
      </w:pPr>
      <w:r>
        <w:rPr>
          <w:noProof/>
        </w:rPr>
        <w:t>б)</w:t>
      </w:r>
      <w:r>
        <w:rPr>
          <w:noProof/>
        </w:rPr>
        <w:tab/>
        <w:t>способността им да допълват други програми и политики на местно, регионално, национално и международно равнище и на равнището на Съюза;</w:t>
      </w:r>
    </w:p>
    <w:p>
      <w:pPr>
        <w:pStyle w:val="Point1"/>
        <w:rPr>
          <w:noProof/>
        </w:rPr>
      </w:pPr>
      <w:r>
        <w:rPr>
          <w:noProof/>
        </w:rPr>
        <w:t>в)</w:t>
      </w:r>
      <w:r>
        <w:rPr>
          <w:noProof/>
        </w:rPr>
        <w:tab/>
        <w:t>европейското им измерение по отношение на теми, цели, подходи, очаквани резултати и други аспекти на тези дейности за солидарност;</w:t>
      </w:r>
    </w:p>
    <w:p>
      <w:pPr>
        <w:pStyle w:val="Point1"/>
        <w:rPr>
          <w:noProof/>
        </w:rPr>
      </w:pPr>
      <w:r>
        <w:rPr>
          <w:noProof/>
        </w:rPr>
        <w:t>г)</w:t>
      </w:r>
      <w:r>
        <w:rPr>
          <w:noProof/>
        </w:rPr>
        <w:tab/>
        <w:t>техния подход, който приобщава млади хора с различен произход;</w:t>
      </w:r>
    </w:p>
    <w:p>
      <w:pPr>
        <w:pStyle w:val="Point1"/>
        <w:rPr>
          <w:noProof/>
        </w:rPr>
      </w:pPr>
      <w:r>
        <w:rPr>
          <w:noProof/>
        </w:rPr>
        <w:t>д)</w:t>
      </w:r>
      <w:r>
        <w:rPr>
          <w:noProof/>
        </w:rPr>
        <w:tab/>
        <w:t>техния принос към ефективното използване на инструментите на Съюза за прозрачност и признаване.</w:t>
      </w:r>
    </w:p>
    <w:p>
      <w:pPr>
        <w:pStyle w:val="ManualNumPar1"/>
        <w:rPr>
          <w:noProof/>
        </w:rPr>
      </w:pPr>
      <w:r>
        <w:t>3.</w:t>
      </w:r>
      <w:r>
        <w:tab/>
      </w:r>
      <w:r>
        <w:rPr>
          <w:noProof/>
        </w:rPr>
        <w:t>Дейностите за солидарност се осъществяват в съответствие със специфичните изисквания, определени за всеки вид дейност, която се извършва в рамките на програмата, както е посочени в членове посочено в членове 5,7,8, 9 и 11 и приложимите регулаторни уредби в участващите държави.</w:t>
      </w:r>
    </w:p>
    <w:p>
      <w:pPr>
        <w:pStyle w:val="ManualNumPar1"/>
        <w:rPr>
          <w:noProof/>
        </w:rPr>
      </w:pPr>
      <w:r>
        <w:lastRenderedPageBreak/>
        <w:t>4.</w:t>
      </w:r>
      <w:r>
        <w:tab/>
      </w:r>
      <w:r>
        <w:rPr>
          <w:noProof/>
        </w:rPr>
        <w:t>Позоваванията на Европейската доброволческа служба в законодателството на Съюза, следва да се разбират като включващи доброволческите дейности съгласно Регламент (ЕС) № 1288/2013 и настоящия регламент.</w:t>
      </w:r>
    </w:p>
    <w:p>
      <w:pPr>
        <w:pStyle w:val="Titrearticle"/>
        <w:spacing w:before="120"/>
        <w:rPr>
          <w:noProof/>
        </w:rPr>
      </w:pPr>
      <w:r>
        <w:rPr>
          <w:noProof/>
        </w:rPr>
        <w:t>Член 5</w:t>
      </w:r>
    </w:p>
    <w:p>
      <w:pPr>
        <w:pStyle w:val="Titrearticle"/>
        <w:spacing w:before="120"/>
        <w:rPr>
          <w:noProof/>
        </w:rPr>
      </w:pPr>
      <w:r>
        <w:rPr>
          <w:noProof/>
        </w:rPr>
        <w:t>Общи дейности за двете направления</w:t>
      </w:r>
    </w:p>
    <w:p>
      <w:pPr>
        <w:pStyle w:val="ManualNumPar1"/>
        <w:rPr>
          <w:noProof/>
        </w:rPr>
      </w:pPr>
      <w:r>
        <w:t>1.</w:t>
      </w:r>
      <w:r>
        <w:tab/>
      </w:r>
      <w:r>
        <w:rPr>
          <w:noProof/>
        </w:rPr>
        <w:t>Дейностите за изграждане на мрежи, посочени в член 4, параграф 1, буква г), имат за цел:</w:t>
      </w:r>
    </w:p>
    <w:p>
      <w:pPr>
        <w:pStyle w:val="Point1"/>
        <w:rPr>
          <w:noProof/>
        </w:rPr>
      </w:pPr>
      <w:r>
        <w:rPr>
          <w:noProof/>
        </w:rPr>
        <w:t>а)</w:t>
      </w:r>
      <w:r>
        <w:rPr>
          <w:noProof/>
        </w:rPr>
        <w:tab/>
        <w:t>укрепване на капацитета на участващите организации да предлагат качествени проекти на растящ брой участници в Европейския корпус за солидарност;</w:t>
      </w:r>
    </w:p>
    <w:p>
      <w:pPr>
        <w:pStyle w:val="Point1"/>
        <w:rPr>
          <w:noProof/>
        </w:rPr>
      </w:pPr>
      <w:r>
        <w:rPr>
          <w:noProof/>
        </w:rPr>
        <w:t>б)</w:t>
      </w:r>
      <w:r>
        <w:rPr>
          <w:noProof/>
        </w:rPr>
        <w:tab/>
        <w:t>привличане на нови участници, както младежи, така и участващи организации;</w:t>
      </w:r>
    </w:p>
    <w:p>
      <w:pPr>
        <w:pStyle w:val="Point1"/>
        <w:rPr>
          <w:noProof/>
        </w:rPr>
      </w:pPr>
      <w:r>
        <w:rPr>
          <w:noProof/>
        </w:rPr>
        <w:t>в)</w:t>
      </w:r>
      <w:r>
        <w:rPr>
          <w:noProof/>
        </w:rPr>
        <w:tab/>
        <w:t>предоставяне на възможности за обратна връзка по дейности за солидарност; както и</w:t>
      </w:r>
    </w:p>
    <w:p>
      <w:pPr>
        <w:pStyle w:val="Point1"/>
        <w:rPr>
          <w:noProof/>
        </w:rPr>
      </w:pPr>
      <w:r>
        <w:rPr>
          <w:noProof/>
        </w:rPr>
        <w:t>г)</w:t>
      </w:r>
      <w:r>
        <w:rPr>
          <w:noProof/>
        </w:rPr>
        <w:tab/>
        <w:t>принос към обмена на опит и укрепване на чувството за принадлежност след лицата и организациите, участващи в Европейския корпус за солидарност, по този начин се подпомага постигането на по-широко положително въздействие.</w:t>
      </w:r>
    </w:p>
    <w:p>
      <w:pPr>
        <w:pStyle w:val="ManualNumPar1"/>
        <w:rPr>
          <w:noProof/>
        </w:rPr>
      </w:pPr>
      <w:r>
        <w:t>2.</w:t>
      </w:r>
      <w:r>
        <w:tab/>
      </w:r>
      <w:r>
        <w:rPr>
          <w:noProof/>
        </w:rPr>
        <w:t>Мерките за качество и подпомагане, посочени в член 4, параграф 1, буква д), включват:</w:t>
      </w:r>
    </w:p>
    <w:p>
      <w:pPr>
        <w:pStyle w:val="Point1"/>
        <w:rPr>
          <w:noProof/>
        </w:rPr>
      </w:pPr>
      <w:r>
        <w:rPr>
          <w:noProof/>
        </w:rPr>
        <w:t>а)</w:t>
      </w:r>
      <w:r>
        <w:rPr>
          <w:noProof/>
        </w:rPr>
        <w:tab/>
        <w:t>мерките, чиято цел е да гарантират качеството на доброволческа дейност, стажове или работни места, включително обучение, езикова подкрепа, административна подкрепа за участниците и участващите организации, допълнително застраховане, подкрепа преди или след дейност за солидарност, както и по-широкото използване на Youthpass, който да идентифицира и документира компетентностите, придобити по време на дейностите за солидарност;</w:t>
      </w:r>
    </w:p>
    <w:p>
      <w:pPr>
        <w:pStyle w:val="Point1"/>
        <w:rPr>
          <w:noProof/>
        </w:rPr>
      </w:pPr>
      <w:r>
        <w:rPr>
          <w:noProof/>
        </w:rPr>
        <w:t>б)</w:t>
      </w:r>
      <w:r>
        <w:rPr>
          <w:noProof/>
        </w:rPr>
        <w:tab/>
        <w:t>разработването и поддържането на знак за качество за субекти, желаещи да предоставят дейности за солидарност в рамките на Европейския корпус за солидарност;</w:t>
      </w:r>
    </w:p>
    <w:p>
      <w:pPr>
        <w:pStyle w:val="Point1"/>
        <w:rPr>
          <w:noProof/>
        </w:rPr>
      </w:pPr>
      <w:r>
        <w:rPr>
          <w:noProof/>
        </w:rPr>
        <w:t>в)</w:t>
      </w:r>
      <w:r>
        <w:rPr>
          <w:noProof/>
        </w:rPr>
        <w:tab/>
        <w:t>дейностите на Ресурсните центрове на Европейския корпус за солидарност за подпомагане и повишаване на качеството на изпълнение на действията на Европейския корпус за солидарност и за подобряване на валидирането на резултатите от тях;</w:t>
      </w:r>
    </w:p>
    <w:p>
      <w:pPr>
        <w:pStyle w:val="Point1"/>
        <w:rPr>
          <w:noProof/>
        </w:rPr>
      </w:pPr>
      <w:r>
        <w:rPr>
          <w:noProof/>
        </w:rPr>
        <w:t>г)</w:t>
      </w:r>
      <w:r>
        <w:rPr>
          <w:noProof/>
        </w:rPr>
        <w:tab/>
        <w:t>създаването, поддръжката и актуализирането на портала на Европейския корпус за солидарност и други уместни онлайн услуги, както и необходимите информационни системи за поддръжка и онлайн инструменти.</w:t>
      </w:r>
    </w:p>
    <w:p>
      <w:pPr>
        <w:pStyle w:val="Titrearticle"/>
        <w:spacing w:before="120"/>
        <w:rPr>
          <w:noProof/>
        </w:rPr>
      </w:pPr>
      <w:r>
        <w:rPr>
          <w:noProof/>
        </w:rPr>
        <w:t>ГЛАВА III</w:t>
      </w:r>
    </w:p>
    <w:p>
      <w:pPr>
        <w:pStyle w:val="Titrearticle"/>
        <w:spacing w:before="120"/>
        <w:rPr>
          <w:noProof/>
        </w:rPr>
      </w:pPr>
      <w:r>
        <w:rPr>
          <w:noProof/>
        </w:rPr>
        <w:t>УЧАСТИЕ НА МЛАДИ ХОРА В ДЕЙНОСТИ ЗА СОЛИДАРНОСТ, ПРЕОДОЛЯВАЩИ ПРЕДИЗВИКАТЕЛСТВА ПРЕД ОБЩЕСТВОТО</w:t>
      </w:r>
    </w:p>
    <w:p>
      <w:pPr>
        <w:pStyle w:val="Titrearticle"/>
        <w:spacing w:before="120"/>
        <w:rPr>
          <w:noProof/>
        </w:rPr>
      </w:pPr>
      <w:r>
        <w:rPr>
          <w:noProof/>
        </w:rPr>
        <w:t>Член 6</w:t>
      </w:r>
    </w:p>
    <w:p>
      <w:pPr>
        <w:pStyle w:val="Titrearticle"/>
        <w:spacing w:before="120"/>
        <w:rPr>
          <w:noProof/>
        </w:rPr>
      </w:pPr>
      <w:r>
        <w:rPr>
          <w:noProof/>
        </w:rPr>
        <w:t>Цел и видове дейности</w:t>
      </w:r>
    </w:p>
    <w:p>
      <w:pPr>
        <w:pStyle w:val="ManualNumPar1"/>
        <w:rPr>
          <w:noProof/>
        </w:rPr>
      </w:pPr>
      <w:r>
        <w:t>1.</w:t>
      </w:r>
      <w:r>
        <w:tab/>
      </w:r>
      <w:r>
        <w:rPr>
          <w:noProof/>
        </w:rPr>
        <w:t>Дейности, които се изпълняват по направление „Участие на млади хора в дейности за солидарност, преодоляващи предизвикателства пред обществото“, следва в частност да допринасят за укрепването на сближаването, солидарността и демокрацията в Съюза и в чужбина, както и за справяне със социалните и хуманитарните трудности, като се полагат особени усилия за насърчаване на социалното приобщаване.</w:t>
      </w:r>
    </w:p>
    <w:p>
      <w:pPr>
        <w:pStyle w:val="ManualNumPar1"/>
        <w:rPr>
          <w:noProof/>
        </w:rPr>
      </w:pPr>
      <w:r>
        <w:lastRenderedPageBreak/>
        <w:t>2.</w:t>
      </w:r>
      <w:r>
        <w:tab/>
      </w:r>
      <w:r>
        <w:rPr>
          <w:noProof/>
        </w:rPr>
        <w:t>В това направление се подкрепят дейностите, посочени в член 4, параграф 1, букви а), б), в), г) и д)] по следните начини:</w:t>
      </w:r>
    </w:p>
    <w:p>
      <w:pPr>
        <w:pStyle w:val="Point1"/>
        <w:rPr>
          <w:noProof/>
        </w:rPr>
      </w:pPr>
      <w:bookmarkStart w:id="1" w:name="_Ref513121280"/>
      <w:r>
        <w:rPr>
          <w:noProof/>
        </w:rPr>
        <w:t>а)</w:t>
      </w:r>
      <w:r>
        <w:rPr>
          <w:noProof/>
        </w:rPr>
        <w:tab/>
        <w:t>доброволчество, както е посочено в параграф 7;</w:t>
      </w:r>
      <w:bookmarkEnd w:id="1"/>
    </w:p>
    <w:p>
      <w:pPr>
        <w:pStyle w:val="Point1"/>
        <w:rPr>
          <w:noProof/>
        </w:rPr>
      </w:pPr>
      <w:r>
        <w:rPr>
          <w:noProof/>
        </w:rPr>
        <w:t>б)</w:t>
      </w:r>
      <w:r>
        <w:rPr>
          <w:noProof/>
        </w:rPr>
        <w:tab/>
        <w:t>стажове и работни позиции, както е посочено в член 8;</w:t>
      </w:r>
    </w:p>
    <w:p>
      <w:pPr>
        <w:pStyle w:val="Point1"/>
        <w:rPr>
          <w:noProof/>
        </w:rPr>
      </w:pPr>
      <w:r>
        <w:rPr>
          <w:noProof/>
        </w:rPr>
        <w:t>в)</w:t>
      </w:r>
      <w:r>
        <w:rPr>
          <w:noProof/>
        </w:rPr>
        <w:tab/>
        <w:t>проекти за солидарност, както е посочено в член 9;</w:t>
      </w:r>
    </w:p>
    <w:p>
      <w:pPr>
        <w:pStyle w:val="Point1"/>
        <w:rPr>
          <w:noProof/>
        </w:rPr>
      </w:pPr>
      <w:r>
        <w:rPr>
          <w:noProof/>
        </w:rPr>
        <w:t>г)</w:t>
      </w:r>
      <w:r>
        <w:rPr>
          <w:noProof/>
        </w:rPr>
        <w:tab/>
        <w:t>дейности за изграждане на мрежи за лица и организации, участващи по това направление съгласно член 5;</w:t>
      </w:r>
    </w:p>
    <w:p>
      <w:pPr>
        <w:pStyle w:val="Point1"/>
        <w:rPr>
          <w:noProof/>
        </w:rPr>
      </w:pPr>
      <w:r>
        <w:rPr>
          <w:noProof/>
        </w:rPr>
        <w:t>д)</w:t>
      </w:r>
      <w:r>
        <w:rPr>
          <w:noProof/>
        </w:rPr>
        <w:tab/>
        <w:t>мерки за качество и подпомагане съгласно член 5.</w:t>
      </w:r>
    </w:p>
    <w:p>
      <w:pPr>
        <w:pStyle w:val="Titrearticle"/>
        <w:spacing w:before="120"/>
        <w:rPr>
          <w:noProof/>
        </w:rPr>
      </w:pPr>
      <w:r>
        <w:rPr>
          <w:noProof/>
        </w:rPr>
        <w:t>Член 7</w:t>
      </w:r>
    </w:p>
    <w:p>
      <w:pPr>
        <w:pStyle w:val="Titrearticle"/>
        <w:spacing w:before="120"/>
        <w:rPr>
          <w:noProof/>
        </w:rPr>
      </w:pPr>
      <w:r>
        <w:rPr>
          <w:noProof/>
        </w:rPr>
        <w:t>Доброволно участие в дейности за солидарност</w:t>
      </w:r>
    </w:p>
    <w:p>
      <w:pPr>
        <w:pStyle w:val="ManualNumPar1"/>
        <w:rPr>
          <w:noProof/>
        </w:rPr>
      </w:pPr>
      <w:r>
        <w:t>1.</w:t>
      </w:r>
      <w:r>
        <w:tab/>
      </w:r>
      <w:r>
        <w:rPr>
          <w:noProof/>
        </w:rPr>
        <w:t>Доброволчеството, както се посочва в член 4, параграф 1, буква а), включва компонент за учене и обучение, не заменя стажовете или работните позиции, не се приравнява на трудова заетост и се основава на писмено споразумение за доброволчество.</w:t>
      </w:r>
    </w:p>
    <w:p>
      <w:pPr>
        <w:pStyle w:val="ManualNumPar1"/>
        <w:rPr>
          <w:noProof/>
        </w:rPr>
      </w:pPr>
      <w:r>
        <w:t>2.</w:t>
      </w:r>
      <w:r>
        <w:tab/>
      </w:r>
      <w:r>
        <w:rPr>
          <w:noProof/>
        </w:rPr>
        <w:t>Доброволчеството може да се извършва в държава, различна от държавата по пребиваване на участника (зад граница) или в държавата по пребиваване на участника (в страната).</w:t>
      </w:r>
    </w:p>
    <w:p>
      <w:pPr>
        <w:pStyle w:val="Titrearticle"/>
        <w:spacing w:before="120"/>
        <w:rPr>
          <w:noProof/>
        </w:rPr>
      </w:pPr>
      <w:r>
        <w:rPr>
          <w:noProof/>
        </w:rPr>
        <w:t>Член 8</w:t>
      </w:r>
    </w:p>
    <w:p>
      <w:pPr>
        <w:pStyle w:val="Titrearticle"/>
        <w:spacing w:before="120"/>
        <w:rPr>
          <w:noProof/>
        </w:rPr>
      </w:pPr>
      <w:r>
        <w:rPr>
          <w:noProof/>
        </w:rPr>
        <w:t>Стажове и работни позиции</w:t>
      </w:r>
    </w:p>
    <w:p>
      <w:pPr>
        <w:pStyle w:val="ManualNumPar1"/>
        <w:rPr>
          <w:noProof/>
        </w:rPr>
      </w:pPr>
      <w:r>
        <w:t>1.</w:t>
      </w:r>
      <w:r>
        <w:tab/>
      </w:r>
      <w:r>
        <w:rPr>
          <w:noProof/>
        </w:rPr>
        <w:t>Стаж, както се посочва в член 4, параграф 1, буква б), се основава на писмен договор за стажуване в съответствие с действащата нормативна уредба на страната, в която се осъществява стажът, в зависимост от случая, и като се вземат предвид принципите на рамката за качество на стажовете (2014/C 88/01). Стажовете не могат да заместват работни позиции.</w:t>
      </w:r>
    </w:p>
    <w:p>
      <w:pPr>
        <w:pStyle w:val="ManualNumPar1"/>
        <w:rPr>
          <w:noProof/>
        </w:rPr>
      </w:pPr>
      <w:r>
        <w:t>2.</w:t>
      </w:r>
      <w:r>
        <w:tab/>
      </w:r>
      <w:r>
        <w:rPr>
          <w:noProof/>
        </w:rPr>
        <w:t>Работна позиция, както се посочва в член 4, параграф 1, буква б), се основава на договор за наемане на работа в съответствие с националната нормативна уредба на участващата държава, където се извършва работата; Финансовата подкрепа за участващите организации, предлагащи работни места, не трябва да надвишава 12 месеца, в случаите, когато продължителността на трудовия договор надвишава 12 месеца.</w:t>
      </w:r>
    </w:p>
    <w:p>
      <w:pPr>
        <w:pStyle w:val="ManualNumPar1"/>
        <w:rPr>
          <w:noProof/>
        </w:rPr>
      </w:pPr>
      <w:r>
        <w:t>3.</w:t>
      </w:r>
      <w:r>
        <w:tab/>
      </w:r>
      <w:r>
        <w:rPr>
          <w:noProof/>
        </w:rPr>
        <w:t>Стажовете и работните позиции включват компонент за учене и обучение.</w:t>
      </w:r>
    </w:p>
    <w:p>
      <w:pPr>
        <w:pStyle w:val="ManualNumPar1"/>
        <w:rPr>
          <w:noProof/>
        </w:rPr>
      </w:pPr>
      <w:r>
        <w:t>4.</w:t>
      </w:r>
      <w:r>
        <w:tab/>
      </w:r>
      <w:r>
        <w:rPr>
          <w:noProof/>
        </w:rPr>
        <w:t>Стажовете и работните позиции могат да се осъществяват в държава, различна от държавата по пребиваване на участника (стажове зад граница) или в държавата по пребиваване на участника (стажове в страната).</w:t>
      </w:r>
    </w:p>
    <w:p>
      <w:pPr>
        <w:pStyle w:val="Titrearticle"/>
        <w:spacing w:before="120"/>
        <w:rPr>
          <w:noProof/>
        </w:rPr>
      </w:pPr>
      <w:r>
        <w:rPr>
          <w:noProof/>
        </w:rPr>
        <w:t>Член 9</w:t>
      </w:r>
    </w:p>
    <w:p>
      <w:pPr>
        <w:pStyle w:val="Titrearticle"/>
        <w:spacing w:before="120"/>
        <w:rPr>
          <w:noProof/>
        </w:rPr>
      </w:pPr>
      <w:r>
        <w:rPr>
          <w:noProof/>
        </w:rPr>
        <w:t>Проекти за солидарност</w:t>
      </w:r>
    </w:p>
    <w:p>
      <w:pPr>
        <w:rPr>
          <w:noProof/>
        </w:rPr>
      </w:pPr>
      <w:r>
        <w:rPr>
          <w:noProof/>
        </w:rPr>
        <w:t>Проект за солидарност, както се посочва в член 4, параграф 1, буква в), не заменя стажовете и/или работните позиции.</w:t>
      </w:r>
    </w:p>
    <w:p>
      <w:pPr>
        <w:pStyle w:val="Titrearticle"/>
        <w:spacing w:before="120"/>
        <w:rPr>
          <w:noProof/>
        </w:rPr>
      </w:pPr>
      <w:r>
        <w:rPr>
          <w:noProof/>
        </w:rPr>
        <w:lastRenderedPageBreak/>
        <w:t>ГЛАВА IV</w:t>
      </w:r>
    </w:p>
    <w:p>
      <w:pPr>
        <w:pStyle w:val="Titrearticle"/>
        <w:spacing w:before="120"/>
        <w:rPr>
          <w:noProof/>
        </w:rPr>
      </w:pPr>
      <w:r>
        <w:rPr>
          <w:noProof/>
        </w:rPr>
        <w:t>ЕВРОПЕЙСКИ ДОБРОВОЛЧЕСКИ КОРПУС ЗА ХУМАНИТАРНА ПОМОЩ</w:t>
      </w:r>
    </w:p>
    <w:p>
      <w:pPr>
        <w:pStyle w:val="Titrearticle"/>
        <w:spacing w:before="120"/>
        <w:rPr>
          <w:noProof/>
        </w:rPr>
      </w:pPr>
      <w:r>
        <w:rPr>
          <w:noProof/>
        </w:rPr>
        <w:t>Член 10</w:t>
      </w:r>
    </w:p>
    <w:p>
      <w:pPr>
        <w:pStyle w:val="Titrearticle"/>
        <w:spacing w:before="120"/>
        <w:rPr>
          <w:noProof/>
        </w:rPr>
      </w:pPr>
      <w:r>
        <w:rPr>
          <w:noProof/>
        </w:rPr>
        <w:t>Цел и видове дейности</w:t>
      </w:r>
    </w:p>
    <w:p>
      <w:pPr>
        <w:pStyle w:val="ManualNumPar1"/>
        <w:rPr>
          <w:noProof/>
        </w:rPr>
      </w:pPr>
      <w:r>
        <w:t>1.</w:t>
      </w:r>
      <w:r>
        <w:tab/>
      </w:r>
      <w:r>
        <w:rPr>
          <w:noProof/>
        </w:rPr>
        <w:t>Дейностите, изпълнявани по направление „Европейски доброволчески корпус за хуманитарна помощ“, допринасят в частност за предоставянето на хуманитарна помощ въз основа на нуждите, насочена към запазването на човешки живот, предотвратяването и облекчаването на човешко страдание и запазването на човешкото достойнство и за укрепване на капацитета и устойчивостта на общности, които са уязвими и засегнати от бедствия.</w:t>
      </w:r>
    </w:p>
    <w:p>
      <w:pPr>
        <w:pStyle w:val="ManualNumPar1"/>
        <w:rPr>
          <w:noProof/>
        </w:rPr>
      </w:pPr>
      <w:r>
        <w:t>2.</w:t>
      </w:r>
      <w:r>
        <w:tab/>
      </w:r>
      <w:r>
        <w:rPr>
          <w:noProof/>
        </w:rPr>
        <w:t>Дейностите в тази глава се извършват в съответствие с принципите на хуманитарната помощ — човечност, неутралност, безпристрастност и независимост.</w:t>
      </w:r>
    </w:p>
    <w:p>
      <w:pPr>
        <w:pStyle w:val="ManualNumPar1"/>
        <w:rPr>
          <w:noProof/>
        </w:rPr>
      </w:pPr>
      <w:r>
        <w:t>3.</w:t>
      </w:r>
      <w:r>
        <w:tab/>
      </w:r>
      <w:r>
        <w:rPr>
          <w:noProof/>
        </w:rPr>
        <w:t>В това направление се подпомагат дейностите, посочени в член 4, параграф 1, букви а), г) и д)] по следните начини:</w:t>
      </w:r>
    </w:p>
    <w:p>
      <w:pPr>
        <w:pStyle w:val="Point1"/>
        <w:rPr>
          <w:noProof/>
        </w:rPr>
      </w:pPr>
      <w:r>
        <w:rPr>
          <w:noProof/>
        </w:rPr>
        <w:t>а)</w:t>
      </w:r>
      <w:r>
        <w:rPr>
          <w:noProof/>
        </w:rPr>
        <w:tab/>
        <w:t>доброволчество, както е посочено в параграф 11;</w:t>
      </w:r>
    </w:p>
    <w:p>
      <w:pPr>
        <w:pStyle w:val="Point1"/>
        <w:rPr>
          <w:noProof/>
        </w:rPr>
      </w:pPr>
      <w:r>
        <w:rPr>
          <w:noProof/>
        </w:rPr>
        <w:t>б)</w:t>
      </w:r>
      <w:r>
        <w:rPr>
          <w:noProof/>
        </w:rPr>
        <w:tab/>
        <w:t>дейности за изграждане на мрежи за лица и организации, участващи по това направление съгласно член 5;</w:t>
      </w:r>
    </w:p>
    <w:p>
      <w:pPr>
        <w:pStyle w:val="Point1"/>
        <w:rPr>
          <w:noProof/>
        </w:rPr>
      </w:pPr>
      <w:r>
        <w:rPr>
          <w:noProof/>
        </w:rPr>
        <w:t>в)</w:t>
      </w:r>
      <w:r>
        <w:rPr>
          <w:noProof/>
        </w:rPr>
        <w:tab/>
        <w:t>мерки за качество и подпомагане съгласно член 5 с особен акцент върху мерките за гарантиране на сигурността и безопасността на участниците.</w:t>
      </w:r>
    </w:p>
    <w:p>
      <w:pPr>
        <w:pStyle w:val="Titrearticle"/>
        <w:spacing w:before="120"/>
        <w:rPr>
          <w:i w:val="0"/>
          <w:iCs/>
          <w:noProof/>
          <w:u w:color="0000FF"/>
        </w:rPr>
      </w:pPr>
      <w:r>
        <w:rPr>
          <w:noProof/>
        </w:rPr>
        <w:t>Член 11</w:t>
      </w:r>
    </w:p>
    <w:p>
      <w:pPr>
        <w:pStyle w:val="Titrearticle"/>
        <w:spacing w:before="120"/>
        <w:rPr>
          <w:i w:val="0"/>
          <w:iCs/>
          <w:noProof/>
        </w:rPr>
      </w:pPr>
      <w:r>
        <w:rPr>
          <w:noProof/>
        </w:rPr>
        <w:t>Доброволчество в подкрепа на операции за хуманитарна помощ</w:t>
      </w:r>
    </w:p>
    <w:p>
      <w:pPr>
        <w:pStyle w:val="ManualNumPar1"/>
        <w:rPr>
          <w:noProof/>
        </w:rPr>
      </w:pPr>
      <w:r>
        <w:t>1.</w:t>
      </w:r>
      <w:r>
        <w:tab/>
      </w:r>
      <w:r>
        <w:rPr>
          <w:noProof/>
        </w:rPr>
        <w:t>Доброволчеството в подкрепа на операции за хуманитарна помощ, както се посочва в член 4, параграф 1, буква а), включва компонент за учене и обучение, не може да заменя стажовете или работните позиции и се основава на писмено споразумение за доброволчество.</w:t>
      </w:r>
    </w:p>
    <w:p>
      <w:pPr>
        <w:pStyle w:val="ManualNumPar1"/>
        <w:rPr>
          <w:noProof/>
        </w:rPr>
      </w:pPr>
      <w:r>
        <w:t>2.</w:t>
      </w:r>
      <w:r>
        <w:tab/>
      </w:r>
      <w:r>
        <w:rPr>
          <w:noProof/>
        </w:rPr>
        <w:t>Доброволчеството по това направление може да се извършва само в трети държави:</w:t>
      </w:r>
    </w:p>
    <w:p>
      <w:pPr>
        <w:pStyle w:val="Point1"/>
        <w:rPr>
          <w:noProof/>
        </w:rPr>
      </w:pPr>
      <w:r>
        <w:rPr>
          <w:noProof/>
        </w:rPr>
        <w:t>а)</w:t>
      </w:r>
      <w:r>
        <w:rPr>
          <w:noProof/>
        </w:rPr>
        <w:tab/>
        <w:t>в които се провеждат дейности и операции за хуманитарна помощ; както и</w:t>
      </w:r>
    </w:p>
    <w:p>
      <w:pPr>
        <w:pStyle w:val="Point1"/>
        <w:rPr>
          <w:noProof/>
        </w:rPr>
      </w:pPr>
      <w:r>
        <w:rPr>
          <w:noProof/>
        </w:rPr>
        <w:t>б)</w:t>
      </w:r>
      <w:r>
        <w:rPr>
          <w:noProof/>
        </w:rPr>
        <w:tab/>
        <w:t>в които няма текущи международни или вътрешни въоръжени конфликти.</w:t>
      </w:r>
    </w:p>
    <w:p>
      <w:pPr>
        <w:pStyle w:val="TitrearticleA"/>
        <w:spacing w:before="120"/>
        <w:rPr>
          <w:rFonts w:cs="Times New Roman"/>
          <w:noProof/>
          <w:color w:val="auto"/>
          <w:u w:color="0000FF"/>
        </w:rPr>
      </w:pPr>
      <w:r>
        <w:rPr>
          <w:noProof/>
          <w:color w:val="auto"/>
        </w:rPr>
        <w:t>ГЛАВА V</w:t>
      </w:r>
    </w:p>
    <w:p>
      <w:pPr>
        <w:pStyle w:val="TitrearticleA"/>
        <w:spacing w:before="120"/>
        <w:rPr>
          <w:rFonts w:cs="Times New Roman"/>
          <w:noProof/>
          <w:color w:val="auto"/>
        </w:rPr>
      </w:pPr>
      <w:r>
        <w:rPr>
          <w:noProof/>
          <w:color w:val="auto"/>
        </w:rPr>
        <w:t>ФИНАНСОВИ РАЗПОРЕДБИ</w:t>
      </w:r>
    </w:p>
    <w:p>
      <w:pPr>
        <w:pStyle w:val="Titrearticle"/>
        <w:spacing w:before="120"/>
        <w:rPr>
          <w:noProof/>
        </w:rPr>
      </w:pPr>
      <w:r>
        <w:rPr>
          <w:noProof/>
        </w:rPr>
        <w:t>Член 12</w:t>
      </w:r>
    </w:p>
    <w:p>
      <w:pPr>
        <w:pStyle w:val="TitrearticleA"/>
        <w:spacing w:before="120"/>
        <w:rPr>
          <w:rFonts w:cs="Times New Roman"/>
          <w:noProof/>
          <w:color w:val="auto"/>
        </w:rPr>
      </w:pPr>
      <w:r>
        <w:rPr>
          <w:noProof/>
          <w:color w:val="auto"/>
        </w:rPr>
        <w:t>Бюджет</w:t>
      </w:r>
    </w:p>
    <w:p>
      <w:pPr>
        <w:pStyle w:val="ManualNumPar1"/>
        <w:rPr>
          <w:noProof/>
        </w:rPr>
      </w:pPr>
      <w:r>
        <w:t>1.</w:t>
      </w:r>
      <w:r>
        <w:tab/>
      </w:r>
      <w:r>
        <w:rPr>
          <w:noProof/>
        </w:rPr>
        <w:t>Финансовият пакет за изпълнение на програмата за периода 2021—2027 г. е 1 260 000 000 евро по текущи цени.</w:t>
      </w:r>
    </w:p>
    <w:p>
      <w:pPr>
        <w:pStyle w:val="ManualNumPar1"/>
        <w:rPr>
          <w:noProof/>
        </w:rPr>
      </w:pPr>
      <w:r>
        <w:t>2.</w:t>
      </w:r>
      <w:r>
        <w:tab/>
      </w:r>
      <w:r>
        <w:rPr>
          <w:noProof/>
        </w:rPr>
        <w:t>Сумата, посочена в параграф 1, може да бъде използвана за техническа и административна помощ за изпълнението на програмата, например подготвителни, мониторингови, контролни и одитни дейности и дейности за оценка, включително корпоративни информационни системи.</w:t>
      </w:r>
    </w:p>
    <w:p>
      <w:pPr>
        <w:pStyle w:val="ManualNumPar1"/>
        <w:rPr>
          <w:noProof/>
        </w:rPr>
      </w:pPr>
      <w:r>
        <w:t>3.</w:t>
      </w:r>
      <w:r>
        <w:tab/>
      </w:r>
      <w:r>
        <w:rPr>
          <w:noProof/>
        </w:rPr>
        <w:t>Без да се засяга Финансовият регламент, разходите за действия, произтичащи от проекти, включени в първата работна програма, могат да бъдат допустими от 1 януари 2021 г.</w:t>
      </w:r>
    </w:p>
    <w:p>
      <w:pPr>
        <w:pStyle w:val="ManualNumPar1"/>
        <w:rPr>
          <w:noProof/>
        </w:rPr>
      </w:pPr>
      <w:r>
        <w:lastRenderedPageBreak/>
        <w:t>4.</w:t>
      </w:r>
      <w:r>
        <w:tab/>
      </w:r>
      <w:r>
        <w:rPr>
          <w:noProof/>
        </w:rPr>
        <w:t>Ресурсите, отпуснати на държавите членки в режим на споделено управление, могат по искане на държавите членки да бъдат прехвърлени към програмата. Комисията изпълнява тези ресурси пряко в съответствие с член 62, параграф 1, буква а) от Финансовия регламент или непряко — в съответствие с буква в) от посочения член и параграф. Когато е възможно, тези ресурси се използват в полза на съответната държава членка.</w:t>
      </w:r>
    </w:p>
    <w:p>
      <w:pPr>
        <w:pStyle w:val="Titrearticle"/>
        <w:spacing w:before="120"/>
        <w:rPr>
          <w:noProof/>
        </w:rPr>
      </w:pPr>
      <w:r>
        <w:rPr>
          <w:noProof/>
        </w:rPr>
        <w:t>Член 13</w:t>
      </w:r>
    </w:p>
    <w:p>
      <w:pPr>
        <w:pStyle w:val="Titrearticle"/>
        <w:spacing w:before="120"/>
        <w:rPr>
          <w:noProof/>
        </w:rPr>
      </w:pPr>
      <w:r>
        <w:rPr>
          <w:noProof/>
        </w:rPr>
        <w:t>Форми на финансиране от ЕС и методи на изпълнение</w:t>
      </w:r>
    </w:p>
    <w:p>
      <w:pPr>
        <w:pStyle w:val="ManualNumPar1"/>
        <w:rPr>
          <w:noProof/>
        </w:rPr>
      </w:pPr>
      <w:r>
        <w:t>1.</w:t>
      </w:r>
      <w:r>
        <w:tab/>
      </w:r>
      <w:r>
        <w:rPr>
          <w:noProof/>
        </w:rPr>
        <w:t>Програмата се изпълнява по последователен начин при пряко управление в съответствие с Финансовия регламент и при непряко управление с органите, определени в член 62, параграф 1, буква в) от Финансовия регламент.</w:t>
      </w:r>
    </w:p>
    <w:p>
      <w:pPr>
        <w:pStyle w:val="ManualNumPar1"/>
        <w:rPr>
          <w:noProof/>
        </w:rPr>
      </w:pPr>
      <w:r>
        <w:t>2.</w:t>
      </w:r>
      <w:r>
        <w:tab/>
      </w:r>
      <w:r>
        <w:rPr>
          <w:noProof/>
        </w:rPr>
        <w:t>Програмата може да предоставя финансиране чрез всяка една от формите, предвидени във Финансовия регламент, по-специално безвъзмездни средства, награди, обществени поръчки.</w:t>
      </w:r>
    </w:p>
    <w:p>
      <w:pPr>
        <w:pStyle w:val="ManualNumPar1"/>
        <w:rPr>
          <w:noProof/>
        </w:rPr>
      </w:pPr>
      <w:r>
        <w:t>3.</w:t>
      </w:r>
      <w:r>
        <w:tab/>
      </w:r>
      <w:r>
        <w:rPr>
          <w:noProof/>
        </w:rPr>
        <w:t>Вноските във взаимен застрахователен механизъм могат да покриват риска, свързан с възстановяването на средства, които получателите дължат, и следва да бъдат считани за достатъчна гаранция съгласно Финансовия регламент. Прилагат се разпоредбите, посочени в [член X от] Регламент (ЕС) № ХХХ [</w:t>
      </w:r>
      <w:r>
        <w:rPr>
          <w:i/>
          <w:noProof/>
        </w:rPr>
        <w:t>приемник на Регламента относно Гаранционния фонд</w:t>
      </w:r>
      <w:r>
        <w:rPr>
          <w:noProof/>
        </w:rPr>
        <w:t>].</w:t>
      </w:r>
    </w:p>
    <w:p>
      <w:pPr>
        <w:pStyle w:val="ManualNumPar1"/>
        <w:rPr>
          <w:noProof/>
        </w:rPr>
      </w:pPr>
      <w:r>
        <w:t>4.</w:t>
      </w:r>
      <w:r>
        <w:tab/>
      </w:r>
      <w:r>
        <w:rPr>
          <w:noProof/>
        </w:rPr>
        <w:t>При процедури за подбор както при пряко, така и при непряко управление комисията за оценка може да бъде съставена от външни експерти.</w:t>
      </w:r>
    </w:p>
    <w:p>
      <w:pPr>
        <w:pStyle w:val="Titrearticle"/>
        <w:spacing w:before="120"/>
        <w:rPr>
          <w:noProof/>
        </w:rPr>
      </w:pPr>
      <w:r>
        <w:rPr>
          <w:noProof/>
        </w:rPr>
        <w:t>ГЛАВА VI</w:t>
      </w:r>
    </w:p>
    <w:p>
      <w:pPr>
        <w:pStyle w:val="Titrearticle"/>
        <w:spacing w:before="120"/>
        <w:rPr>
          <w:noProof/>
        </w:rPr>
      </w:pPr>
      <w:r>
        <w:rPr>
          <w:noProof/>
        </w:rPr>
        <w:t>УЧАСТИЕ В ЕВРОПЕЙСКИЯ КОРПУС ЗА СОЛИДАРНОСТ</w:t>
      </w:r>
    </w:p>
    <w:p>
      <w:pPr>
        <w:pStyle w:val="Text"/>
        <w:keepNext/>
        <w:jc w:val="center"/>
        <w:rPr>
          <w:i/>
          <w:iCs/>
          <w:noProof/>
          <w:color w:val="auto"/>
        </w:rPr>
      </w:pPr>
      <w:r>
        <w:rPr>
          <w:i/>
          <w:noProof/>
          <w:color w:val="auto"/>
        </w:rPr>
        <w:t>Член 14</w:t>
      </w:r>
    </w:p>
    <w:p>
      <w:pPr>
        <w:pStyle w:val="Text"/>
        <w:keepNext/>
        <w:jc w:val="center"/>
        <w:rPr>
          <w:i/>
          <w:iCs/>
          <w:noProof/>
          <w:color w:val="auto"/>
        </w:rPr>
      </w:pPr>
      <w:r>
        <w:rPr>
          <w:i/>
          <w:noProof/>
          <w:color w:val="auto"/>
        </w:rPr>
        <w:t>Участващи държави</w:t>
      </w:r>
    </w:p>
    <w:p>
      <w:pPr>
        <w:pStyle w:val="ManualNumPar1"/>
        <w:rPr>
          <w:noProof/>
        </w:rPr>
      </w:pPr>
      <w:r>
        <w:t>1.</w:t>
      </w:r>
      <w:r>
        <w:tab/>
      </w:r>
      <w:r>
        <w:rPr>
          <w:noProof/>
        </w:rPr>
        <w:t>Доброволчеството, стажовете, работните позиции, проектите за солидарност, дейностите за изграждане на мрежи и мерките за качество и подкрепа, посочени в членове 5, 7, 8, 9 и 11, са отворени за участие за държавите членки и отвъдморски страни и територии.</w:t>
      </w:r>
    </w:p>
    <w:p>
      <w:pPr>
        <w:pStyle w:val="ManualNumPar1"/>
        <w:rPr>
          <w:noProof/>
        </w:rPr>
      </w:pPr>
      <w:r>
        <w:t>2.</w:t>
      </w:r>
      <w:r>
        <w:tab/>
      </w:r>
      <w:r>
        <w:rPr>
          <w:noProof/>
        </w:rPr>
        <w:t>Доброволчеството, дейностите за изграждане на мрежи и мерките за качество и подкрепа, посочени в членове 5 и 7, са отворени за участието на:</w:t>
      </w:r>
    </w:p>
    <w:p>
      <w:pPr>
        <w:pStyle w:val="Point1"/>
        <w:rPr>
          <w:noProof/>
        </w:rPr>
      </w:pPr>
      <w:r>
        <w:rPr>
          <w:noProof/>
        </w:rPr>
        <w:t>а)</w:t>
      </w:r>
      <w:r>
        <w:rPr>
          <w:noProof/>
        </w:rPr>
        <w:tab/>
        <w:t>членки на Европейската асоциация за свободна търговия, които са членки на Европейското икономическо пространство (ЕИП) — в съответствие с условията, определени в Споразумението за Европейското икономическо пространство;</w:t>
      </w:r>
    </w:p>
    <w:p>
      <w:pPr>
        <w:pStyle w:val="Point1"/>
        <w:rPr>
          <w:noProof/>
        </w:rPr>
      </w:pPr>
      <w:r>
        <w:rPr>
          <w:noProof/>
        </w:rPr>
        <w:t>б)</w:t>
      </w:r>
      <w:r>
        <w:rPr>
          <w:noProof/>
        </w:rPr>
        <w:tab/>
        <w:t>присъединяващи се държави, държави кандидатки и потенциални държави кандидатки — в съответствие с общите принципи и условия за участието на тези държави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pPr>
        <w:pStyle w:val="Point1"/>
        <w:rPr>
          <w:noProof/>
        </w:rPr>
      </w:pPr>
      <w:r>
        <w:rPr>
          <w:noProof/>
        </w:rPr>
        <w:t>в)</w:t>
      </w:r>
      <w:r>
        <w:rPr>
          <w:noProof/>
        </w:rPr>
        <w:tab/>
        <w:t xml:space="preserve">държави, попадащи в обхвата на Европейската политика за съседство — в съответствие с общите принципи и условия за участието на тези държави в програми на Съюза, определени в съответните рамкови споразумения и решения </w:t>
      </w:r>
      <w:r>
        <w:rPr>
          <w:noProof/>
        </w:rPr>
        <w:lastRenderedPageBreak/>
        <w:t>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pPr>
        <w:pStyle w:val="Point1"/>
        <w:rPr>
          <w:noProof/>
        </w:rPr>
      </w:pPr>
      <w:r>
        <w:rPr>
          <w:noProof/>
        </w:rPr>
        <w:t>г)</w:t>
      </w:r>
      <w:r>
        <w:rPr>
          <w:noProof/>
        </w:rPr>
        <w:tab/>
        <w:t>други трети държави в съответствие с условията, определени в специфично споразумение относно участието на третата държава в програми на Съюза, при условие че споразумението:</w:t>
      </w:r>
    </w:p>
    <w:p>
      <w:pPr>
        <w:pStyle w:val="Tiret2"/>
        <w:numPr>
          <w:ilvl w:val="0"/>
          <w:numId w:val="27"/>
        </w:numPr>
        <w:pBdr>
          <w:top w:val="nil"/>
          <w:left w:val="nil"/>
          <w:bottom w:val="nil"/>
          <w:right w:val="nil"/>
          <w:between w:val="nil"/>
          <w:bar w:val="nil"/>
        </w:pBdr>
        <w:tabs>
          <w:tab w:val="left" w:pos="1984"/>
        </w:tabs>
        <w:rPr>
          <w:noProof/>
        </w:rPr>
      </w:pPr>
      <w:r>
        <w:rPr>
          <w:noProof/>
        </w:rPr>
        <w:t>гарантира справедлив баланс по отношение на вноските на третата държава, която участва в програмите на Съюза, и ползите за нея;</w:t>
      </w:r>
    </w:p>
    <w:p>
      <w:pPr>
        <w:pStyle w:val="Tiret2"/>
        <w:numPr>
          <w:ilvl w:val="0"/>
          <w:numId w:val="27"/>
        </w:numPr>
        <w:pBdr>
          <w:top w:val="nil"/>
          <w:left w:val="nil"/>
          <w:bottom w:val="nil"/>
          <w:right w:val="nil"/>
          <w:between w:val="nil"/>
          <w:bar w:val="nil"/>
        </w:pBdr>
        <w:tabs>
          <w:tab w:val="left" w:pos="1984"/>
        </w:tabs>
        <w:rPr>
          <w:noProof/>
        </w:rPr>
      </w:pPr>
      <w:r>
        <w:rPr>
          <w:noProof/>
        </w:rPr>
        <w:t>определя условията за участие в програмите, включително изчислението на финансовите вноски за отделните програми и техните административни разходи. Тези вноски представляват целеви приходи в съответствие с [член 21, параграф 5] от Финансовия регламент;</w:t>
      </w:r>
    </w:p>
    <w:p>
      <w:pPr>
        <w:pStyle w:val="Tiret2"/>
        <w:numPr>
          <w:ilvl w:val="0"/>
          <w:numId w:val="27"/>
        </w:numPr>
        <w:pBdr>
          <w:top w:val="nil"/>
          <w:left w:val="nil"/>
          <w:bottom w:val="nil"/>
          <w:right w:val="nil"/>
          <w:between w:val="nil"/>
          <w:bar w:val="nil"/>
        </w:pBdr>
        <w:tabs>
          <w:tab w:val="left" w:pos="1984"/>
        </w:tabs>
        <w:rPr>
          <w:noProof/>
        </w:rPr>
      </w:pPr>
      <w:r>
        <w:rPr>
          <w:noProof/>
        </w:rPr>
        <w:t>не предоставя на третата държава правомощия за вземане на решения по отношение на програмата;</w:t>
      </w:r>
    </w:p>
    <w:p>
      <w:pPr>
        <w:pStyle w:val="Tiret2"/>
        <w:numPr>
          <w:ilvl w:val="0"/>
          <w:numId w:val="27"/>
        </w:numPr>
        <w:pBdr>
          <w:top w:val="nil"/>
          <w:left w:val="nil"/>
          <w:bottom w:val="nil"/>
          <w:right w:val="nil"/>
          <w:between w:val="nil"/>
          <w:bar w:val="nil"/>
        </w:pBdr>
        <w:tabs>
          <w:tab w:val="left" w:pos="1984"/>
        </w:tabs>
        <w:rPr>
          <w:noProof/>
        </w:rPr>
      </w:pPr>
      <w:r>
        <w:rPr>
          <w:noProof/>
        </w:rPr>
        <w:t>гарантира правата на Съюза да осигурява добро финансово управление и да защитава своите финансови интереси.</w:t>
      </w:r>
    </w:p>
    <w:p>
      <w:pPr>
        <w:pStyle w:val="ManualNumPar1"/>
        <w:rPr>
          <w:noProof/>
        </w:rPr>
      </w:pPr>
      <w:r>
        <w:t>3.</w:t>
      </w:r>
      <w:r>
        <w:tab/>
      </w:r>
      <w:r>
        <w:rPr>
          <w:noProof/>
        </w:rPr>
        <w:t>Държавите, посочени в параграф 2, следва да участват изцяло в програмата само доколкото те изпълняват всички задължения, които настоящият регламент налага на държавите членки.</w:t>
      </w:r>
    </w:p>
    <w:p>
      <w:pPr>
        <w:pStyle w:val="ManualNumPar1"/>
        <w:rPr>
          <w:noProof/>
        </w:rPr>
      </w:pPr>
      <w:r>
        <w:t>4.</w:t>
      </w:r>
      <w:r>
        <w:tab/>
      </w:r>
      <w:r>
        <w:rPr>
          <w:noProof/>
        </w:rPr>
        <w:t>Доброволчеството и изграждането на мрежи, посочени в членове 5 и 7, могат да бъдат открити за участие на всяка трета държава, която не е асоциирана към програмата, по-специално съседните на ЕС държави.</w:t>
      </w:r>
    </w:p>
    <w:p>
      <w:pPr>
        <w:pStyle w:val="Titrearticle"/>
        <w:rPr>
          <w:noProof/>
        </w:rPr>
      </w:pPr>
      <w:r>
        <w:rPr>
          <w:noProof/>
        </w:rPr>
        <w:t>Член 15</w:t>
      </w:r>
    </w:p>
    <w:p>
      <w:pPr>
        <w:pStyle w:val="Titrearticle"/>
        <w:spacing w:before="120"/>
        <w:rPr>
          <w:noProof/>
        </w:rPr>
      </w:pPr>
      <w:r>
        <w:rPr>
          <w:noProof/>
        </w:rPr>
        <w:t>Участие на физически лица</w:t>
      </w:r>
    </w:p>
    <w:p>
      <w:pPr>
        <w:rPr>
          <w:noProof/>
        </w:rPr>
      </w:pPr>
      <w:r>
        <w:rPr>
          <w:noProof/>
        </w:rPr>
        <w:t>Младите хора на възраст от 17 до 30 години, които желаят да участват в Европейския корпус за солидарност, се регистрират в портала на Европейския корпус за солидарност. Въпреки това към момента на започване на доброволческата дейност, стажа, назначението на работа или проекта за солидарност младият човек трябва да е на възраст от минимум 18 години и не повече от 30 години.</w:t>
      </w:r>
    </w:p>
    <w:p>
      <w:pPr>
        <w:pStyle w:val="Titrearticle"/>
        <w:spacing w:before="120"/>
        <w:rPr>
          <w:i w:val="0"/>
          <w:iCs/>
          <w:noProof/>
          <w:u w:color="0000FF"/>
        </w:rPr>
      </w:pPr>
      <w:r>
        <w:rPr>
          <w:noProof/>
        </w:rPr>
        <w:t>Член 16</w:t>
      </w:r>
    </w:p>
    <w:p>
      <w:pPr>
        <w:pStyle w:val="Titrearticle"/>
        <w:spacing w:before="120"/>
        <w:rPr>
          <w:noProof/>
        </w:rPr>
      </w:pPr>
      <w:r>
        <w:rPr>
          <w:noProof/>
        </w:rPr>
        <w:t>Участващи организации</w:t>
      </w:r>
    </w:p>
    <w:p>
      <w:pPr>
        <w:pStyle w:val="ManualNumPar1"/>
        <w:rPr>
          <w:noProof/>
        </w:rPr>
      </w:pPr>
      <w:r>
        <w:t>1.</w:t>
      </w:r>
      <w:r>
        <w:tab/>
      </w:r>
      <w:r>
        <w:rPr>
          <w:noProof/>
        </w:rPr>
        <w:t>Европейският корпус за солидарност е отворен за участието на публични или частни субекти и международни организации, при условие че са получили знак за качество на Европейския корпус за солидарност.</w:t>
      </w:r>
    </w:p>
    <w:p>
      <w:pPr>
        <w:pStyle w:val="ManualNumPar1"/>
        <w:rPr>
          <w:noProof/>
        </w:rPr>
      </w:pPr>
      <w:r>
        <w:t>2.</w:t>
      </w:r>
      <w:r>
        <w:tab/>
      </w:r>
      <w:r>
        <w:rPr>
          <w:noProof/>
        </w:rPr>
        <w:t>Кандидатура на субект да стане участваща организация в Европейския корпус за солидарност се оценява от компетентния изпълнителен орган на Европейския корпус за солидарност въз основа на принципите на равнопоставено третиране, равни възможности и недискриминация, избягване на замяната на работни места, предоставяне на висококачествени дейности с образователно измерение и акцент върху личностното, социално-образователното и професионалното развитие, подходящо условия за обучение, работа и доброволчество, безопасни и достойни условия и околната среда и принципа на недопускане на печалба в съответствие с Финансовия регламент. Горепосочените принципи позволяват да се установи дали дейностите на въпросния субект отговарят на изискванията на Европейския корпус за солидарност.</w:t>
      </w:r>
    </w:p>
    <w:p>
      <w:pPr>
        <w:pStyle w:val="ManualNumPar1"/>
        <w:rPr>
          <w:noProof/>
        </w:rPr>
      </w:pPr>
      <w:r>
        <w:lastRenderedPageBreak/>
        <w:t>3.</w:t>
      </w:r>
      <w:r>
        <w:tab/>
      </w:r>
      <w:r>
        <w:rPr>
          <w:noProof/>
        </w:rPr>
        <w:t>В резултат на тази оценка на дадения субект може да бъде предоставен знакът за качество на Европейския корпус за солидарност. Полученият знак за качество периодично се подлага на нова оценка и може да бъде отнет.</w:t>
      </w:r>
    </w:p>
    <w:p>
      <w:pPr>
        <w:pStyle w:val="ManualNumPar1"/>
        <w:rPr>
          <w:noProof/>
        </w:rPr>
      </w:pPr>
      <w:r>
        <w:t>4.</w:t>
      </w:r>
      <w:r>
        <w:tab/>
      </w:r>
      <w:r>
        <w:rPr>
          <w:noProof/>
        </w:rPr>
        <w:t>На всеки субект, който е получил знака за качество на Европейския корпус за солидарност, се осигурява достъп до портала на Европейския корпус за солидарност като изпълнител на функцията домакин, и поддържаща функция, или и двете, и той може да отправя към регистрираните кандидати предложения за дейности за солидарност.</w:t>
      </w:r>
    </w:p>
    <w:p>
      <w:pPr>
        <w:pStyle w:val="ManualNumPar1"/>
        <w:rPr>
          <w:noProof/>
        </w:rPr>
      </w:pPr>
      <w:r>
        <w:t>5.</w:t>
      </w:r>
      <w:r>
        <w:tab/>
      </w:r>
      <w:r>
        <w:rPr>
          <w:noProof/>
        </w:rPr>
        <w:t>Знакът за качество на Европейския корпус за солидарност не предоставя автоматично право на получаване на финансиране по линия на Европейския корпус за солидарност.</w:t>
      </w:r>
    </w:p>
    <w:p>
      <w:pPr>
        <w:pStyle w:val="ManualNumPar1"/>
        <w:rPr>
          <w:noProof/>
        </w:rPr>
      </w:pPr>
      <w:r>
        <w:t>6.</w:t>
      </w:r>
      <w:r>
        <w:tab/>
      </w:r>
      <w:r>
        <w:rPr>
          <w:noProof/>
        </w:rPr>
        <w:t>Дейностите за солидарност и свързаните с тях мерки за качество и подпомагане, предложени от участваща организация, може да бъдат финансирани по линия на Европейския корпус за солидарност или от други източници на финансиране, които не зависят от бюджета на Съюза.</w:t>
      </w:r>
    </w:p>
    <w:p>
      <w:pPr>
        <w:pStyle w:val="ManualNumPar1"/>
        <w:rPr>
          <w:noProof/>
        </w:rPr>
      </w:pPr>
      <w:r>
        <w:t>7.</w:t>
      </w:r>
      <w:r>
        <w:tab/>
      </w:r>
      <w:r>
        <w:rPr>
          <w:noProof/>
        </w:rPr>
        <w:t>За организации, участващи в контекста на дейностите, посочени в член 11, сигурността и безопасността на доброволците е приоритет.</w:t>
      </w:r>
    </w:p>
    <w:p>
      <w:pPr>
        <w:pStyle w:val="Titrearticle"/>
        <w:spacing w:before="120"/>
        <w:rPr>
          <w:noProof/>
        </w:rPr>
      </w:pPr>
      <w:r>
        <w:rPr>
          <w:noProof/>
        </w:rPr>
        <w:t>Член 17</w:t>
      </w:r>
    </w:p>
    <w:p>
      <w:pPr>
        <w:pStyle w:val="Titrearticle"/>
        <w:spacing w:before="120"/>
        <w:rPr>
          <w:noProof/>
        </w:rPr>
      </w:pPr>
      <w:r>
        <w:rPr>
          <w:noProof/>
        </w:rPr>
        <w:t>Достъп до финансиране по линия на Европейския корпус за солидарност</w:t>
      </w:r>
    </w:p>
    <w:p>
      <w:pPr>
        <w:rPr>
          <w:noProof/>
        </w:rPr>
      </w:pPr>
      <w:r>
        <w:rPr>
          <w:noProof/>
        </w:rPr>
        <w:t>Всеки публичен или частен субект, учреден в участваща държава, както и международни организации могат да кандидатстват за финансиране по линия на Европейския корпус за солидарност. За дейностите, посочени в членове 7, 8 и 11, участващата организация следва да получи знак за качество като предварително условие за получаване на финансиране по линия на Европейския корпус за солидарност. Що се отнася до проектите за солидарност, посочени в член 9, за финансиране могат да кандидатстват също така физически лица от името на неформални групи, съставени от участници в Европейския корпус за солидарност.</w:t>
      </w:r>
    </w:p>
    <w:p>
      <w:pPr>
        <w:pStyle w:val="Titrearticle"/>
        <w:spacing w:before="120"/>
        <w:rPr>
          <w:noProof/>
        </w:rPr>
      </w:pPr>
      <w:r>
        <w:rPr>
          <w:noProof/>
        </w:rPr>
        <w:t>ГЛАВА VII</w:t>
      </w:r>
    </w:p>
    <w:p>
      <w:pPr>
        <w:pStyle w:val="Titrearticle"/>
        <w:spacing w:before="120"/>
        <w:rPr>
          <w:noProof/>
        </w:rPr>
      </w:pPr>
      <w:r>
        <w:rPr>
          <w:noProof/>
        </w:rPr>
        <w:t>ПРОГРАМИРАНЕ, МОНИТОРИНГ И ОЦЕНКА</w:t>
      </w:r>
    </w:p>
    <w:p>
      <w:pPr>
        <w:pStyle w:val="Titrearticle"/>
        <w:spacing w:before="120"/>
        <w:rPr>
          <w:noProof/>
        </w:rPr>
      </w:pPr>
      <w:r>
        <w:rPr>
          <w:noProof/>
        </w:rPr>
        <w:t>Член 18</w:t>
      </w:r>
    </w:p>
    <w:p>
      <w:pPr>
        <w:pStyle w:val="Titrearticle"/>
        <w:spacing w:before="120"/>
        <w:rPr>
          <w:iCs/>
          <w:noProof/>
          <w:u w:color="008000"/>
        </w:rPr>
      </w:pPr>
      <w:r>
        <w:rPr>
          <w:noProof/>
        </w:rPr>
        <w:t>Работна програма</w:t>
      </w:r>
    </w:p>
    <w:p>
      <w:pPr>
        <w:rPr>
          <w:noProof/>
        </w:rPr>
      </w:pPr>
      <w:r>
        <w:rPr>
          <w:noProof/>
        </w:rPr>
        <w:t>Програмата се изпълнява чрез работните програми, посочени в член 110 от Финансовия регламент. Освен това работната програма ще предоставя информация за сумата, разпределена за всяко действие и за разпределението на финансовите средства между държавите членки и трети държави, асоциирани по програмата, за действията, управлявани чрез националните агенции. След това работната програма се приема от Комисията чрез акт за изпълнение. Тези актове за изпълнение се приемат в съответствие с процедурата по разглеждане, посочена в член 30.</w:t>
      </w:r>
    </w:p>
    <w:p>
      <w:pPr>
        <w:pStyle w:val="Titrearticle"/>
        <w:rPr>
          <w:noProof/>
        </w:rPr>
      </w:pPr>
      <w:r>
        <w:rPr>
          <w:noProof/>
        </w:rPr>
        <w:t>Член 19</w:t>
      </w:r>
    </w:p>
    <w:p>
      <w:pPr>
        <w:pStyle w:val="Titrearticle"/>
        <w:spacing w:before="120"/>
        <w:rPr>
          <w:noProof/>
        </w:rPr>
      </w:pPr>
      <w:r>
        <w:rPr>
          <w:noProof/>
        </w:rPr>
        <w:t>Мониторинг и докладване</w:t>
      </w:r>
    </w:p>
    <w:p>
      <w:pPr>
        <w:pStyle w:val="ManualNumPar1"/>
        <w:rPr>
          <w:noProof/>
        </w:rPr>
      </w:pPr>
      <w:r>
        <w:t>1.</w:t>
      </w:r>
      <w:r>
        <w:tab/>
      </w:r>
      <w:r>
        <w:rPr>
          <w:noProof/>
        </w:rPr>
        <w:t>Показателите за докладване относно напредъка на програмата по отношение на изпълнението на общите и специфичните цели, определени в член 3, се съдържат в приложението.</w:t>
      </w:r>
    </w:p>
    <w:p>
      <w:pPr>
        <w:pStyle w:val="ManualNumPar1"/>
        <w:rPr>
          <w:noProof/>
        </w:rPr>
      </w:pPr>
      <w:r>
        <w:t>2.</w:t>
      </w:r>
      <w:r>
        <w:tab/>
      </w:r>
      <w:r>
        <w:rPr>
          <w:noProof/>
        </w:rPr>
        <w:t xml:space="preserve">За да се гарантира ефективна оценка на програмата относно постигането на целите ѝ, на Комисията се предоставя правомощието да приема делегирани актове в </w:t>
      </w:r>
      <w:r>
        <w:rPr>
          <w:noProof/>
        </w:rPr>
        <w:lastRenderedPageBreak/>
        <w:t>съответствие с член 29 за изменение на приложението с цел преразглеждане и допълване на показателите, когато това е необходимо, както и за допълване на настоящия регламент с разпоредби относно създаването на рамка за мониторинг и оценка.</w:t>
      </w:r>
    </w:p>
    <w:p>
      <w:pPr>
        <w:pStyle w:val="ManualNumPar1"/>
        <w:rPr>
          <w:noProof/>
        </w:rPr>
      </w:pPr>
      <w:r>
        <w:t>3.</w:t>
      </w:r>
      <w:r>
        <w:tab/>
      </w:r>
      <w:r>
        <w:rPr>
          <w:noProof/>
        </w:rPr>
        <w:t>Системата за отчитане на изпълнението гарантира ефикасното, ефективно и навременно и с подходящо ниво на подробности събиране на данни за мониторинга на изпълнението на програмата и на нейната оценка от бенефициерите, получаващи средства на Съюза по смисъла на член 2, параграф 5 от Финансовия регламент. За тази цел на бенефициерите на средства от Съюза и на държавите членки се налагат пропорционални изисквания за докладване.</w:t>
      </w:r>
    </w:p>
    <w:p>
      <w:pPr>
        <w:pStyle w:val="Titrearticle"/>
        <w:spacing w:before="120"/>
        <w:rPr>
          <w:noProof/>
        </w:rPr>
      </w:pPr>
      <w:r>
        <w:rPr>
          <w:noProof/>
        </w:rPr>
        <w:t>Член 20</w:t>
      </w:r>
    </w:p>
    <w:p>
      <w:pPr>
        <w:pStyle w:val="Titrearticle"/>
        <w:spacing w:before="120"/>
        <w:rPr>
          <w:noProof/>
        </w:rPr>
      </w:pPr>
      <w:r>
        <w:rPr>
          <w:noProof/>
        </w:rPr>
        <w:t>Оценка</w:t>
      </w:r>
    </w:p>
    <w:p>
      <w:pPr>
        <w:pStyle w:val="ManualNumPar1"/>
        <w:rPr>
          <w:noProof/>
        </w:rPr>
      </w:pPr>
      <w:r>
        <w:t>1.</w:t>
      </w:r>
      <w:r>
        <w:tab/>
      </w:r>
      <w:r>
        <w:rPr>
          <w:noProof/>
        </w:rPr>
        <w:t>Провеждат се навременни оценки, които да послужат в процеса на вземане на решения.</w:t>
      </w:r>
    </w:p>
    <w:p>
      <w:pPr>
        <w:pStyle w:val="ManualNumPar1"/>
        <w:rPr>
          <w:noProof/>
        </w:rPr>
      </w:pPr>
      <w:r>
        <w:t>2.</w:t>
      </w:r>
      <w:r>
        <w:tab/>
      </w:r>
      <w:r>
        <w:rPr>
          <w:noProof/>
        </w:rPr>
        <w:t>Междинната оценка на програмата се извършва, след като за изпълнението на програмата се натрупа достатъчно информация, но не по-късно от четири години след започване на изпълнението ѝ. Междинната оценка трябва също така да се придружава от окончателната оценка на предходната програма.</w:t>
      </w:r>
    </w:p>
    <w:p>
      <w:pPr>
        <w:pStyle w:val="ManualNumPar1"/>
        <w:rPr>
          <w:noProof/>
        </w:rPr>
      </w:pPr>
      <w:r>
        <w:t>3.</w:t>
      </w:r>
      <w:r>
        <w:tab/>
      </w:r>
      <w:r>
        <w:rPr>
          <w:noProof/>
        </w:rPr>
        <w:t>Без да се засягат изискванията, посочени в глава IX, и задълженията на националните агенции, посочени в член 23, до 30 април 2024 г. държавите членки предават на Комисията доклад за изпълнението и въздействието на програмата на териториите им.</w:t>
      </w:r>
    </w:p>
    <w:p>
      <w:pPr>
        <w:pStyle w:val="ManualNumPar1"/>
        <w:rPr>
          <w:noProof/>
        </w:rPr>
      </w:pPr>
      <w:r>
        <w:t>4.</w:t>
      </w:r>
      <w:r>
        <w:tab/>
      </w:r>
      <w:r>
        <w:rPr>
          <w:noProof/>
        </w:rPr>
        <w:t>В края на изпълнението на програмата, но не по-късно от четири години след края на периода, посочен в член 1, Комисията извършва окончателна оценка на програмата.</w:t>
      </w:r>
    </w:p>
    <w:p>
      <w:pPr>
        <w:pStyle w:val="ManualNumPar1"/>
        <w:rPr>
          <w:noProof/>
        </w:rPr>
      </w:pPr>
      <w:r>
        <w:t>5.</w:t>
      </w:r>
      <w:r>
        <w:tab/>
      </w:r>
      <w:r>
        <w:rPr>
          <w:noProof/>
        </w:rPr>
        <w:t>Комисията представя заключенията от оценките и своите наблюдения на Европейския парламент, Съвета, Европейския икономически и социален комитет и Комитета на регионите.</w:t>
      </w:r>
    </w:p>
    <w:p>
      <w:pPr>
        <w:pStyle w:val="Titrearticle"/>
        <w:spacing w:before="120"/>
        <w:rPr>
          <w:noProof/>
        </w:rPr>
      </w:pPr>
      <w:r>
        <w:rPr>
          <w:noProof/>
        </w:rPr>
        <w:t>ГЛАВА VIII</w:t>
      </w:r>
    </w:p>
    <w:p>
      <w:pPr>
        <w:pStyle w:val="Titrearticle"/>
        <w:spacing w:before="120"/>
        <w:rPr>
          <w:noProof/>
        </w:rPr>
      </w:pPr>
      <w:r>
        <w:rPr>
          <w:noProof/>
        </w:rPr>
        <w:t>ИНФОРМАЦИЯ, КОМУНИКАЦИЯ И РАЗПРОСТРАНЕНИЕ</w:t>
      </w:r>
    </w:p>
    <w:p>
      <w:pPr>
        <w:pStyle w:val="Titrearticle"/>
        <w:spacing w:before="120"/>
        <w:rPr>
          <w:noProof/>
        </w:rPr>
      </w:pPr>
      <w:r>
        <w:rPr>
          <w:noProof/>
        </w:rPr>
        <w:t>Член 21</w:t>
      </w:r>
    </w:p>
    <w:p>
      <w:pPr>
        <w:pStyle w:val="Titrearticle"/>
        <w:spacing w:before="120"/>
        <w:rPr>
          <w:noProof/>
        </w:rPr>
      </w:pPr>
      <w:r>
        <w:rPr>
          <w:noProof/>
        </w:rPr>
        <w:t>Информация, комуникация и разпространение</w:t>
      </w:r>
    </w:p>
    <w:p>
      <w:pPr>
        <w:pStyle w:val="ManualNumPar1"/>
        <w:rPr>
          <w:noProof/>
        </w:rPr>
      </w:pPr>
      <w:r>
        <w:t>1.</w:t>
      </w:r>
      <w:r>
        <w:tab/>
      </w:r>
      <w:r>
        <w:rPr>
          <w:noProof/>
        </w:rPr>
        <w:t>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pPr>
        <w:pStyle w:val="ManualNumPar1"/>
        <w:rPr>
          <w:noProof/>
        </w:rPr>
      </w:pPr>
      <w:r>
        <w:t>2.</w:t>
      </w:r>
      <w:r>
        <w:tab/>
      </w:r>
      <w:r>
        <w:rPr>
          <w:noProof/>
        </w:rPr>
        <w:t>Комисията осъществява информационни и комуникационни дейности по отношение на програмата и нейните действия и резултати. Финансовите ресурси, отпуснати за програмата, допринасят също така за институционалната комуникация на политическите приоритети на Съюза, доколкото те са свързани с целите, посочени в член 3.</w:t>
      </w:r>
    </w:p>
    <w:p>
      <w:pPr>
        <w:pStyle w:val="ManualNumPar1"/>
        <w:rPr>
          <w:noProof/>
        </w:rPr>
      </w:pPr>
      <w:r>
        <w:t>3.</w:t>
      </w:r>
      <w:r>
        <w:tab/>
      </w:r>
      <w:r>
        <w:rPr>
          <w:noProof/>
        </w:rPr>
        <w:t xml:space="preserve">Националните агенции, посочени в член 23, разработват последователна стратегия с цел ефективно достигане, както и разпространение и използване на резултатите от дейностите, подкрепяни в рамките на действията, управлявани по програмата от посочените национални агенции, подпомагат Комисията в изпълнението на общата ѝ задача за разпространение на информация относно програмата, включително </w:t>
      </w:r>
      <w:r>
        <w:rPr>
          <w:noProof/>
        </w:rPr>
        <w:lastRenderedPageBreak/>
        <w:t>информация за действията и дейностите, управлявани на национално равнище и на равнището на Съюза, и резултатите от нея, и информират съответните целеви групи относно действията и дейностите, предприети в тяхната държава.</w:t>
      </w:r>
    </w:p>
    <w:p>
      <w:pPr>
        <w:pStyle w:val="Titrearticle"/>
        <w:spacing w:before="120"/>
        <w:rPr>
          <w:noProof/>
        </w:rPr>
      </w:pPr>
      <w:r>
        <w:rPr>
          <w:noProof/>
        </w:rPr>
        <w:t>ГЛАВА IХ</w:t>
      </w:r>
    </w:p>
    <w:p>
      <w:pPr>
        <w:pStyle w:val="Titrearticle"/>
        <w:spacing w:before="120"/>
        <w:rPr>
          <w:noProof/>
        </w:rPr>
      </w:pPr>
      <w:r>
        <w:rPr>
          <w:noProof/>
        </w:rPr>
        <w:t>СИСТЕМА ЗА УПРАВЛЕНИЕ И ОДИТ</w:t>
      </w:r>
    </w:p>
    <w:p>
      <w:pPr>
        <w:pStyle w:val="Titrearticle"/>
        <w:spacing w:before="120"/>
        <w:rPr>
          <w:noProof/>
        </w:rPr>
      </w:pPr>
      <w:r>
        <w:rPr>
          <w:noProof/>
        </w:rPr>
        <w:t>Член 22</w:t>
      </w:r>
    </w:p>
    <w:p>
      <w:pPr>
        <w:pStyle w:val="Titrearticle"/>
        <w:spacing w:before="120"/>
        <w:rPr>
          <w:noProof/>
        </w:rPr>
      </w:pPr>
      <w:r>
        <w:rPr>
          <w:noProof/>
        </w:rPr>
        <w:t>Национален орган</w:t>
      </w:r>
    </w:p>
    <w:p>
      <w:pPr>
        <w:rPr>
          <w:noProof/>
        </w:rPr>
      </w:pPr>
      <w:r>
        <w:rPr>
          <w:noProof/>
        </w:rPr>
        <w:t>Във всяка държава, участваща в Европейския корпус за солидарност, националните органи, на които е възложено управлението на действията, посочени в глава III от [новия регламент за програмата „Еразъм“], действат също и като национални органи в рамката на Европейския корпус за солидарност. Параграфи 1, 2, 6, 7, 9, 10, 11, 12, 13 и 14 от член 23 от [новия регламент за програмата „Еразъм“] важат за Европейския корпус за солидарност по аналогия.</w:t>
      </w:r>
    </w:p>
    <w:p>
      <w:pPr>
        <w:pStyle w:val="Titrearticle"/>
        <w:spacing w:before="120"/>
        <w:rPr>
          <w:noProof/>
        </w:rPr>
      </w:pPr>
      <w:r>
        <w:rPr>
          <w:noProof/>
        </w:rPr>
        <w:t>Член 23</w:t>
      </w:r>
    </w:p>
    <w:p>
      <w:pPr>
        <w:pStyle w:val="Titrearticle"/>
        <w:spacing w:before="120"/>
        <w:rPr>
          <w:noProof/>
        </w:rPr>
      </w:pPr>
      <w:r>
        <w:rPr>
          <w:noProof/>
        </w:rPr>
        <w:t>Национална агенция</w:t>
      </w:r>
    </w:p>
    <w:p>
      <w:pPr>
        <w:pStyle w:val="ManualNumPar1"/>
        <w:rPr>
          <w:noProof/>
        </w:rPr>
      </w:pPr>
      <w:r>
        <w:t>1.</w:t>
      </w:r>
      <w:r>
        <w:tab/>
      </w:r>
      <w:r>
        <w:rPr>
          <w:noProof/>
        </w:rPr>
        <w:t>Във всяка държава, участваща в Европейския корпус за солидарност, националните агенции, на които е възложено управлението на действията, посочени в глава III от [новия регламент за програмата „Еразъм“], действат също и като национални агенции в рамката на Европейския корпус за солидарност в съответните си държави.</w:t>
      </w:r>
    </w:p>
    <w:p>
      <w:pPr>
        <w:pStyle w:val="Text1"/>
        <w:rPr>
          <w:noProof/>
        </w:rPr>
      </w:pPr>
      <w:r>
        <w:rPr>
          <w:noProof/>
        </w:rPr>
        <w:t>Параграфи 1, 2, 3, 4, 5 и 6 от член 24 от [новия регламент за програмата „Еразъм“] важат за Европейския корпус за солидарност по аналогия.</w:t>
      </w:r>
    </w:p>
    <w:p>
      <w:pPr>
        <w:pStyle w:val="ManualNumPar1"/>
        <w:rPr>
          <w:noProof/>
        </w:rPr>
      </w:pPr>
      <w:r>
        <w:t>2.</w:t>
      </w:r>
      <w:r>
        <w:tab/>
      </w:r>
      <w:r>
        <w:rPr>
          <w:noProof/>
        </w:rPr>
        <w:t>Без да се засягат разпоредбите на член 24, параграф 2 от [новия регламент за програмата „Еразъм“], националната агенция отговаря също и за управлението на всички етапи от жизнения цикъл на проектите по онези действия на Европейския корпус за солидарност, които са изброени в актовете за изпълнение, посочени в член 18, в съответствие с [член 62, параграф 1, буква в) v) и vi) от новия финансов регламент.</w:t>
      </w:r>
    </w:p>
    <w:p>
      <w:pPr>
        <w:pStyle w:val="ManualNumPar1"/>
        <w:rPr>
          <w:noProof/>
        </w:rPr>
      </w:pPr>
      <w:r>
        <w:t>3.</w:t>
      </w:r>
      <w:r>
        <w:tab/>
      </w:r>
      <w:r>
        <w:rPr>
          <w:noProof/>
        </w:rPr>
        <w:t>За държавите, посочени в член 14, параграф 2 от настоящия регламент, когато за дадената държава не е определена национална агенция, такава агенция се създава в съответствие с член 24, параграфи 1, 3, 4, 5 и 6 от [новия регламент за програмата „Еразъм“].</w:t>
      </w:r>
    </w:p>
    <w:p>
      <w:pPr>
        <w:pStyle w:val="Titrearticle"/>
        <w:spacing w:before="120"/>
        <w:rPr>
          <w:noProof/>
        </w:rPr>
      </w:pPr>
      <w:r>
        <w:rPr>
          <w:noProof/>
        </w:rPr>
        <w:t>Член 24</w:t>
      </w:r>
    </w:p>
    <w:p>
      <w:pPr>
        <w:pStyle w:val="Titrearticle"/>
        <w:spacing w:before="120"/>
        <w:rPr>
          <w:noProof/>
        </w:rPr>
      </w:pPr>
      <w:r>
        <w:rPr>
          <w:noProof/>
        </w:rPr>
        <w:t>Европейска комисия</w:t>
      </w:r>
    </w:p>
    <w:p>
      <w:pPr>
        <w:pStyle w:val="ManualNumPar1"/>
        <w:rPr>
          <w:noProof/>
        </w:rPr>
      </w:pPr>
      <w:r>
        <w:t>1.</w:t>
      </w:r>
      <w:r>
        <w:tab/>
      </w:r>
      <w:r>
        <w:rPr>
          <w:noProof/>
        </w:rPr>
        <w:t>Правилата относно отношенията между Комисията и дадена национална агенция се определят в член 24 от [новия регламент за програмата „Еразъм“] чрез писмен документ, в който:</w:t>
      </w:r>
    </w:p>
    <w:p>
      <w:pPr>
        <w:pStyle w:val="Point1"/>
        <w:rPr>
          <w:noProof/>
        </w:rPr>
      </w:pPr>
      <w:r>
        <w:rPr>
          <w:noProof/>
        </w:rPr>
        <w:t>а)</w:t>
      </w:r>
      <w:r>
        <w:rPr>
          <w:noProof/>
        </w:rPr>
        <w:tab/>
        <w:t>се установяват стандартите за вътрешен контрол за съответните национални агенции, както и правилата за управление на финансовите средства на Съюза за отпускане на безвъзмездни средства от националните агенции;</w:t>
      </w:r>
    </w:p>
    <w:p>
      <w:pPr>
        <w:pStyle w:val="Point1"/>
        <w:rPr>
          <w:noProof/>
        </w:rPr>
      </w:pPr>
      <w:r>
        <w:rPr>
          <w:noProof/>
        </w:rPr>
        <w:t>б)</w:t>
      </w:r>
      <w:r>
        <w:rPr>
          <w:noProof/>
        </w:rPr>
        <w:tab/>
        <w:t>се съдържа работната програма на националната агенция, в която са включени управленските задачи на националната агенция, за които се предоставя подкрепа от Съюза;</w:t>
      </w:r>
    </w:p>
    <w:p>
      <w:pPr>
        <w:pStyle w:val="Point1"/>
        <w:rPr>
          <w:noProof/>
        </w:rPr>
      </w:pPr>
      <w:r>
        <w:rPr>
          <w:noProof/>
        </w:rPr>
        <w:t>в)</w:t>
      </w:r>
      <w:r>
        <w:rPr>
          <w:noProof/>
        </w:rPr>
        <w:tab/>
        <w:t>се посочват изискванията за докладване за националната агенция.</w:t>
      </w:r>
    </w:p>
    <w:p>
      <w:pPr>
        <w:pStyle w:val="ManualNumPar1"/>
        <w:rPr>
          <w:noProof/>
        </w:rPr>
      </w:pPr>
      <w:r>
        <w:lastRenderedPageBreak/>
        <w:t>2.</w:t>
      </w:r>
      <w:r>
        <w:tab/>
      </w:r>
      <w:r>
        <w:rPr>
          <w:noProof/>
        </w:rPr>
        <w:t>Комисията предоставя ежегодно на националната агенция следните финансови средства:</w:t>
      </w:r>
    </w:p>
    <w:p>
      <w:pPr>
        <w:pStyle w:val="Point1"/>
        <w:rPr>
          <w:noProof/>
        </w:rPr>
      </w:pPr>
      <w:r>
        <w:rPr>
          <w:noProof/>
        </w:rPr>
        <w:t>а)</w:t>
      </w:r>
      <w:r>
        <w:rPr>
          <w:noProof/>
        </w:rPr>
        <w:tab/>
        <w:t>финансови средства за отпускане на безвъзмездни средства в съответната участваща държава за действията на Европейския корпус за солидарност, чието управление е поверено на националната агенция;</w:t>
      </w:r>
    </w:p>
    <w:p>
      <w:pPr>
        <w:pStyle w:val="Point1"/>
        <w:rPr>
          <w:noProof/>
        </w:rPr>
      </w:pPr>
      <w:r>
        <w:rPr>
          <w:noProof/>
        </w:rPr>
        <w:t>б)</w:t>
      </w:r>
      <w:r>
        <w:rPr>
          <w:noProof/>
        </w:rPr>
        <w:tab/>
        <w:t>финансово участие в подкрепа на управленските задачи на националната агенция, определени съгласно условията, посочени в член 25, параграф 3, буква б) от [новия регламент за програмата „Еразъм“].</w:t>
      </w:r>
    </w:p>
    <w:p>
      <w:pPr>
        <w:pStyle w:val="ManualNumPar1"/>
        <w:rPr>
          <w:noProof/>
        </w:rPr>
      </w:pPr>
      <w:r>
        <w:t>3.</w:t>
      </w:r>
      <w:r>
        <w:tab/>
      </w:r>
      <w:r>
        <w:rPr>
          <w:noProof/>
        </w:rPr>
        <w:t>Комисията определя изискванията за работната програма на националната агенция. Комисията не предоставя на националната агенция финансови средства на Европейския корпус за солидарност, докато не одобри официално работната програма на националната агенция.</w:t>
      </w:r>
    </w:p>
    <w:p>
      <w:pPr>
        <w:pStyle w:val="ManualNumPar1"/>
        <w:rPr>
          <w:noProof/>
        </w:rPr>
      </w:pPr>
      <w:r>
        <w:t>4.</w:t>
      </w:r>
      <w:r>
        <w:tab/>
      </w:r>
      <w:r>
        <w:rPr>
          <w:noProof/>
        </w:rPr>
        <w:t>Въз основа на изискванията за съответствие за националните агенции, посочени в член 23, параграф 3 от [новия регламент за програмата „Еразъм“], Комисията прави преглед на националните системи за управление и контрол, на декларацията за управлението на националната агенция и на становището на независимия одитен орган по нея, като надлежно отчита информацията, предоставена от националния орган, за извършените от него дейности по мониторинг и надзор по отношение на Европейския корпус за солидарност.</w:t>
      </w:r>
    </w:p>
    <w:p>
      <w:pPr>
        <w:pStyle w:val="ManualNumPar1"/>
        <w:rPr>
          <w:noProof/>
        </w:rPr>
      </w:pPr>
      <w:r>
        <w:t>5.</w:t>
      </w:r>
      <w:r>
        <w:tab/>
      </w:r>
      <w:r>
        <w:rPr>
          <w:noProof/>
        </w:rPr>
        <w:t>След като направи оценка на годишната декларация за управлението и на становището на независимия одитен орган по нея, Комисията изпраща становището и бележките си на националната агенция и на националния орган.</w:t>
      </w:r>
    </w:p>
    <w:p>
      <w:pPr>
        <w:pStyle w:val="Titrearticle"/>
        <w:spacing w:before="120"/>
        <w:rPr>
          <w:noProof/>
        </w:rPr>
      </w:pPr>
      <w:r>
        <w:rPr>
          <w:noProof/>
        </w:rPr>
        <w:t>Член 25</w:t>
      </w:r>
    </w:p>
    <w:p>
      <w:pPr>
        <w:pStyle w:val="Titrearticle"/>
        <w:spacing w:before="120"/>
        <w:rPr>
          <w:noProof/>
        </w:rPr>
      </w:pPr>
      <w:r>
        <w:rPr>
          <w:noProof/>
        </w:rPr>
        <w:t>Одити</w:t>
      </w:r>
    </w:p>
    <w:p>
      <w:pPr>
        <w:pStyle w:val="ManualNumPar1"/>
        <w:rPr>
          <w:noProof/>
        </w:rPr>
      </w:pPr>
      <w:r>
        <w:t>1.</w:t>
      </w:r>
      <w:r>
        <w:tab/>
      </w:r>
      <w:r>
        <w:rPr>
          <w:noProof/>
        </w:rPr>
        <w:t>Одити на използването на средствата от Съюза, извършвани от лица или образувания, включително различни от тези, на които институции или органи на Съюза са възложили извършването на одити, представляват основата за общото ниво на увереност в съответствие с [член 127] от Финансовия регламент.</w:t>
      </w:r>
    </w:p>
    <w:p>
      <w:pPr>
        <w:pStyle w:val="ManualNumPar1"/>
        <w:rPr>
          <w:noProof/>
        </w:rPr>
      </w:pPr>
      <w:r>
        <w:t>2.</w:t>
      </w:r>
      <w:r>
        <w:tab/>
      </w:r>
      <w:r>
        <w:rPr>
          <w:noProof/>
        </w:rPr>
        <w:t>Националният орган определя независим одитен орган. Независимият одитен орган изготвя одитно становище относно декларацията за управлението, посочена в [член 155, параграф 1] от Финансовия регламент.</w:t>
      </w:r>
    </w:p>
    <w:p>
      <w:pPr>
        <w:pStyle w:val="ManualNumPar1"/>
        <w:rPr>
          <w:noProof/>
        </w:rPr>
      </w:pPr>
      <w:r>
        <w:t>3.</w:t>
      </w:r>
      <w:r>
        <w:tab/>
      </w:r>
      <w:r>
        <w:rPr>
          <w:noProof/>
        </w:rPr>
        <w:t>Независимият одитен орган трябва да:</w:t>
      </w:r>
    </w:p>
    <w:p>
      <w:pPr>
        <w:pStyle w:val="Point1"/>
        <w:rPr>
          <w:noProof/>
        </w:rPr>
      </w:pPr>
      <w:r>
        <w:rPr>
          <w:noProof/>
        </w:rPr>
        <w:t>а)</w:t>
      </w:r>
      <w:r>
        <w:rPr>
          <w:noProof/>
        </w:rPr>
        <w:tab/>
        <w:t>притежава необходимата професионална компетентност за извършване на одити в публичния сектор;</w:t>
      </w:r>
    </w:p>
    <w:p>
      <w:pPr>
        <w:pStyle w:val="Point1"/>
        <w:rPr>
          <w:noProof/>
        </w:rPr>
      </w:pPr>
      <w:r>
        <w:rPr>
          <w:noProof/>
        </w:rPr>
        <w:t>б)</w:t>
      </w:r>
      <w:r>
        <w:rPr>
          <w:noProof/>
        </w:rPr>
        <w:tab/>
        <w:t>гарантира, че при своите одити взема предвид международно признатите одитни стандарти; както и</w:t>
      </w:r>
    </w:p>
    <w:p>
      <w:pPr>
        <w:pStyle w:val="Point1"/>
        <w:rPr>
          <w:noProof/>
        </w:rPr>
      </w:pPr>
      <w:r>
        <w:rPr>
          <w:noProof/>
        </w:rPr>
        <w:t>в)</w:t>
      </w:r>
      <w:r>
        <w:rPr>
          <w:noProof/>
        </w:rPr>
        <w:tab/>
        <w:t>не е в положение на конфликт на интереси по отношение на правния субект, в чиято структура е посочената в член 23 национална агенция, и да е независим по отношение на своите функции от правния субект, в чиято структура е националната агенция.</w:t>
      </w:r>
    </w:p>
    <w:p>
      <w:pPr>
        <w:pStyle w:val="ManualNumPar1"/>
        <w:rPr>
          <w:noProof/>
        </w:rPr>
      </w:pPr>
      <w:r>
        <w:t>4.</w:t>
      </w:r>
      <w:r>
        <w:tab/>
      </w:r>
      <w:r>
        <w:rPr>
          <w:noProof/>
        </w:rPr>
        <w:t>Независимият одитен орган предоставя на Комисията и на нейните представители, както и на Сметната палата, пълен достъп до всички документи и доклади, подкрепящи одитното становище, което той изготвя относно годишната декларация за управлението на националната агенция.</w:t>
      </w:r>
    </w:p>
    <w:p>
      <w:pPr>
        <w:pStyle w:val="Titrearticle"/>
        <w:spacing w:before="120"/>
        <w:rPr>
          <w:noProof/>
        </w:rPr>
      </w:pPr>
      <w:r>
        <w:rPr>
          <w:noProof/>
        </w:rPr>
        <w:lastRenderedPageBreak/>
        <w:t>ГЛАВА Х</w:t>
      </w:r>
    </w:p>
    <w:p>
      <w:pPr>
        <w:pStyle w:val="Titrearticle"/>
        <w:spacing w:before="120"/>
        <w:rPr>
          <w:noProof/>
        </w:rPr>
      </w:pPr>
      <w:r>
        <w:rPr>
          <w:i w:val="0"/>
          <w:noProof/>
        </w:rPr>
        <w:t xml:space="preserve"> </w:t>
      </w:r>
      <w:r>
        <w:rPr>
          <w:noProof/>
        </w:rPr>
        <w:t>СИСТЕМА ЗА КОНТРОЛ</w:t>
      </w:r>
    </w:p>
    <w:p>
      <w:pPr>
        <w:pStyle w:val="Titrearticle"/>
        <w:spacing w:before="120"/>
        <w:rPr>
          <w:noProof/>
        </w:rPr>
      </w:pPr>
      <w:r>
        <w:rPr>
          <w:noProof/>
        </w:rPr>
        <w:t>Член 26</w:t>
      </w:r>
    </w:p>
    <w:p>
      <w:pPr>
        <w:pStyle w:val="Titrearticle"/>
        <w:spacing w:before="120"/>
        <w:rPr>
          <w:noProof/>
        </w:rPr>
      </w:pPr>
      <w:r>
        <w:rPr>
          <w:noProof/>
        </w:rPr>
        <w:t>Принципи на системата за контрол</w:t>
      </w:r>
    </w:p>
    <w:p>
      <w:pPr>
        <w:pStyle w:val="ManualNumPar1"/>
        <w:rPr>
          <w:noProof/>
        </w:rPr>
      </w:pPr>
      <w:r>
        <w:t>1.</w:t>
      </w:r>
      <w:r>
        <w:tab/>
      </w:r>
      <w:r>
        <w:rPr>
          <w:noProof/>
        </w:rPr>
        <w:t>Комисията отговаря за надзорните проверки по отношение на действията на Европейския корпус за солидарност, които се управляват от националните агенции. Тя определя минималните изисквания за проверките, извършвани от националната агенция и от независимия одитен орган.</w:t>
      </w:r>
    </w:p>
    <w:p>
      <w:pPr>
        <w:pStyle w:val="ManualNumPar1"/>
        <w:rPr>
          <w:noProof/>
        </w:rPr>
      </w:pPr>
      <w:r>
        <w:t>2.</w:t>
      </w:r>
      <w:r>
        <w:tab/>
      </w:r>
      <w:r>
        <w:rPr>
          <w:noProof/>
        </w:rPr>
        <w:t>Националните агенции отговарят за първичните проверки на бенефициерите на безвъзмездни средства за действията на Европейския корпус за солидарност. Тези проверки трябва да осигуряват достатъчно гаранции, че отпуснатите безвъзмездни средства са използвани по предназначение и в съответствие с приложимите правила на Съюза.</w:t>
      </w:r>
    </w:p>
    <w:p>
      <w:pPr>
        <w:pStyle w:val="ManualNumPar1"/>
        <w:rPr>
          <w:noProof/>
        </w:rPr>
      </w:pPr>
      <w:r>
        <w:t>3.</w:t>
      </w:r>
      <w:r>
        <w:tab/>
      </w:r>
      <w:r>
        <w:rPr>
          <w:noProof/>
        </w:rPr>
        <w:t>По отношение на финансовите средства, преведени на националните агенции, Комисията гарантира подходяща координация на своите проверки с националните органи и националните агенции въз основа на принципа на единния одит и на анализ на риска. Настоящата разпоредба не се прилага за разследванията, провеждани от Европейската служба за борба с измамите (OLAF).</w:t>
      </w:r>
    </w:p>
    <w:p>
      <w:pPr>
        <w:pStyle w:val="Titrearticle"/>
        <w:spacing w:before="120"/>
        <w:rPr>
          <w:noProof/>
        </w:rPr>
      </w:pPr>
      <w:r>
        <w:rPr>
          <w:noProof/>
        </w:rPr>
        <w:t>Член 27</w:t>
      </w:r>
    </w:p>
    <w:p>
      <w:pPr>
        <w:pStyle w:val="Titrearticle"/>
        <w:spacing w:before="120"/>
        <w:rPr>
          <w:noProof/>
        </w:rPr>
      </w:pPr>
      <w:r>
        <w:rPr>
          <w:noProof/>
        </w:rPr>
        <w:t>Защита на финансовите интереси на Съюза</w:t>
      </w:r>
    </w:p>
    <w:p>
      <w:pPr>
        <w:rPr>
          <w:noProof/>
        </w:rPr>
      </w:pPr>
      <w:r>
        <w:rPr>
          <w:noProof/>
        </w:rPr>
        <w:t>Когато трета държава участва в програмата по силата на решение по международно споразумение или по силата на друг правен инструмент, тази трета държава предоставя необходимите права и достъп на отговорния разпоредител с бюджетни кредити, на Европейската служба за борба с измамите (OLAF) и на Европейската сметна палата, за да може те да упражняват цялостно своите компетенции. По отношение на Европейската служба за борба с измамите тези права включват правото да се извършват разследвания, включително проверки и инспекции на място, предвидени в Регламент (ЕС, Евратом) № 883/2013 на Европейския парламент и на Съвета относно разследванията, провеждани от Европейската служба за борба с измамите (OLAF).</w:t>
      </w:r>
    </w:p>
    <w:p>
      <w:pPr>
        <w:pStyle w:val="Titrearticle"/>
        <w:spacing w:before="120"/>
        <w:rPr>
          <w:noProof/>
        </w:rPr>
      </w:pPr>
      <w:r>
        <w:rPr>
          <w:noProof/>
        </w:rPr>
        <w:t>ГЛАВА XI</w:t>
      </w:r>
    </w:p>
    <w:p>
      <w:pPr>
        <w:pStyle w:val="Titrearticle"/>
        <w:spacing w:before="120"/>
        <w:rPr>
          <w:noProof/>
        </w:rPr>
      </w:pPr>
      <w:r>
        <w:rPr>
          <w:noProof/>
        </w:rPr>
        <w:t>ВЗАИМНО ДОПЪЛВАНЕ</w:t>
      </w:r>
    </w:p>
    <w:p>
      <w:pPr>
        <w:pStyle w:val="Titrearticle"/>
        <w:spacing w:before="120"/>
        <w:rPr>
          <w:noProof/>
        </w:rPr>
      </w:pPr>
      <w:r>
        <w:rPr>
          <w:noProof/>
        </w:rPr>
        <w:t>Член 28</w:t>
      </w:r>
    </w:p>
    <w:p>
      <w:pPr>
        <w:pStyle w:val="Titrearticle"/>
        <w:spacing w:before="120"/>
        <w:rPr>
          <w:noProof/>
        </w:rPr>
      </w:pPr>
      <w:r>
        <w:rPr>
          <w:noProof/>
        </w:rPr>
        <w:t>Взаимно допълване на действията на Съюза</w:t>
      </w:r>
    </w:p>
    <w:p>
      <w:pPr>
        <w:pStyle w:val="ManualNumPar1"/>
        <w:rPr>
          <w:noProof/>
        </w:rPr>
      </w:pPr>
      <w:r>
        <w:t>1.</w:t>
      </w:r>
      <w:r>
        <w:tab/>
      </w:r>
      <w:r>
        <w:rPr>
          <w:noProof/>
        </w:rPr>
        <w:t>Дейностите на Европейския корпус за солидарност са съвместими и допълват съответните политики, инструменти и програми и на равнището на Съюза, по-специално програма „Еразъм+“, както и със съществуващите мрежи на равнището на Съюза, които са от значение за дейностите на Европейския корпус за солидарност.</w:t>
      </w:r>
    </w:p>
    <w:p>
      <w:pPr>
        <w:pStyle w:val="ManualNumPar1"/>
        <w:rPr>
          <w:noProof/>
        </w:rPr>
      </w:pPr>
      <w:r>
        <w:t>2.</w:t>
      </w:r>
      <w:r>
        <w:tab/>
      </w:r>
      <w:r>
        <w:rPr>
          <w:noProof/>
        </w:rPr>
        <w:t xml:space="preserve">Дейностите на Европейския корпус за солидарност трябва също да са съобразени и да допълват съответните политики, програми и инструменти на национално равнище в участващите държави. За тази цел Комисията, националните органи и националните агенции обменят информация относно съществуващите национални схеми и приоритети, свързани със солидарността и младежта, от една страна, и дейностите по линия на Европейския корпус за солидарност, от друга страна, с оглед на </w:t>
      </w:r>
      <w:r>
        <w:rPr>
          <w:noProof/>
        </w:rPr>
        <w:lastRenderedPageBreak/>
        <w:t>надграждането на съответните добри практики и постигането на ефикасност и ефективност.</w:t>
      </w:r>
    </w:p>
    <w:p>
      <w:pPr>
        <w:pStyle w:val="ManualNumPar1"/>
        <w:rPr>
          <w:noProof/>
        </w:rPr>
      </w:pPr>
      <w:r>
        <w:t>3.</w:t>
      </w:r>
      <w:r>
        <w:tab/>
      </w:r>
      <w:r>
        <w:rPr>
          <w:noProof/>
        </w:rPr>
        <w:t>Дейностите на Европейския корпус за солидарност в трети държави, посочени в член 11, в частност са съвместими с други сфери от външната дейност на Съюза, най-вече политиката за хуманитарната помощ, политиката за сътрудничество за развитие, политиката за разширяването, политиката за съседство и механизма за гражданска защита на Съюза, и ги допълват.</w:t>
      </w:r>
    </w:p>
    <w:p>
      <w:pPr>
        <w:pStyle w:val="ManualNumPar1"/>
        <w:rPr>
          <w:noProof/>
        </w:rPr>
      </w:pPr>
      <w:r>
        <w:t>4.</w:t>
      </w:r>
      <w:r>
        <w:tab/>
      </w:r>
      <w:r>
        <w:rPr>
          <w:noProof/>
        </w:rPr>
        <w:t>Действие, за което е предоставен принос по програмата, може също така да получава принос от която и да е друга програма на Съюза, при условие че приносът не обхваща едни и същи разходи. За всеки принос на програма на Съюза към действието се прилагат правилата на съответната програма. Кумулативното финансиране не може да превишава общия размер на допустимите разходи за действието, а подпомагането от различните програми на Съюза може да бъде изчислено на пропорционална основа в съответствие с документите, в които се определят условията за предоставяне на подпомагане.</w:t>
      </w:r>
    </w:p>
    <w:p>
      <w:pPr>
        <w:pStyle w:val="ManualNumPar1"/>
        <w:rPr>
          <w:noProof/>
        </w:rPr>
      </w:pPr>
      <w:r>
        <w:t>5.</w:t>
      </w:r>
      <w:r>
        <w:tab/>
      </w:r>
      <w:r>
        <w:rPr>
          <w:noProof/>
        </w:rPr>
        <w:t>Когато програмата и европейските структурни и инвестиционни (ЕСИ), посочени в член 1 от [Регламент (ЕС)ХХ РОР] предоставят съвместно финансова подкрепа за едно и също действие, то се изпълнява в съответствие с правилата, посочени в настоящия регламент, включително правилата относно възстановяването на неправомерно изплатени суми.</w:t>
      </w:r>
    </w:p>
    <w:p>
      <w:pPr>
        <w:pStyle w:val="ManualNumPar1"/>
        <w:rPr>
          <w:noProof/>
        </w:rPr>
      </w:pPr>
      <w:r>
        <w:t>6.</w:t>
      </w:r>
      <w:r>
        <w:tab/>
      </w:r>
      <w:r>
        <w:rPr>
          <w:noProof/>
        </w:rPr>
        <w:t>Действията, допустими за финансиране по програмата, които са били оценени в покана за представяне на предложения по програмата и които отговарят на минималните качествени изисквания на тази покана за представяне на предложения, но които не са финансирани поради бюджетни ограничения, могат да получават подкрепа от Европейския фонд за регионално развитие, Кохезионния фонд, Европейския социален фонд +, Европейския земеделски фонд за развитие на селските райони, в съответствие с член [65], параграф 7 от Регламент (ЕС) XX [Регламент за определяне на общоприложими разпоредби] и член [8] или Регламент (ЕС) XX [финансирането, управлението и мониторинга на Общата селскостопанска политика], при условие че тези действия са в съответствие с целите на съответната програма. Прилагат се правилата на фонда, предоставящ подпомагането.</w:t>
      </w:r>
    </w:p>
    <w:p>
      <w:pPr>
        <w:pStyle w:val="Titrearticle"/>
        <w:spacing w:before="120"/>
        <w:rPr>
          <w:noProof/>
        </w:rPr>
      </w:pPr>
      <w:r>
        <w:rPr>
          <w:noProof/>
        </w:rPr>
        <w:t>ГЛАВА XII</w:t>
      </w:r>
    </w:p>
    <w:p>
      <w:pPr>
        <w:pStyle w:val="Titrearticle"/>
        <w:spacing w:before="120"/>
        <w:rPr>
          <w:noProof/>
        </w:rPr>
      </w:pPr>
      <w:r>
        <w:rPr>
          <w:noProof/>
        </w:rPr>
        <w:t>ПРЕХОДНИ И ЗАКЛЮЧИТЕЛНИ РАЗПОРЕДБИ</w:t>
      </w:r>
    </w:p>
    <w:p>
      <w:pPr>
        <w:pStyle w:val="Titrearticle"/>
        <w:spacing w:before="120"/>
        <w:rPr>
          <w:noProof/>
        </w:rPr>
      </w:pPr>
      <w:r>
        <w:rPr>
          <w:noProof/>
        </w:rPr>
        <w:t>Член 29</w:t>
      </w:r>
    </w:p>
    <w:p>
      <w:pPr>
        <w:pStyle w:val="Titrearticle"/>
        <w:spacing w:before="120"/>
        <w:rPr>
          <w:noProof/>
        </w:rPr>
      </w:pPr>
      <w:r>
        <w:rPr>
          <w:noProof/>
        </w:rPr>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Правомощието да приема делегирани актове по член 19 се предоставя на Комисията за целия период на действие на програмата.</w:t>
      </w:r>
    </w:p>
    <w:p>
      <w:pPr>
        <w:pStyle w:val="ManualNumPar1"/>
        <w:rPr>
          <w:noProof/>
        </w:rPr>
      </w:pPr>
      <w:r>
        <w:t>3.</w:t>
      </w:r>
      <w:r>
        <w:tab/>
      </w:r>
      <w:r>
        <w:rPr>
          <w:noProof/>
        </w:rPr>
        <w:t>Делегирането на правомощия, посочено в член 19,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lastRenderedPageBreak/>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p>
    <w:p>
      <w:pPr>
        <w:pStyle w:val="ManualNumPar1"/>
        <w:rPr>
          <w:noProof/>
        </w:rPr>
      </w:pPr>
      <w:r>
        <w:t>5.</w:t>
      </w:r>
      <w:r>
        <w:tab/>
      </w:r>
      <w:r>
        <w:rPr>
          <w:noProof/>
        </w:rPr>
        <w:t>Веднага след като приеме делегиран акт, Комисията нотифицира акта едновременно на Европейския парламент и на Съвета.</w:t>
      </w:r>
    </w:p>
    <w:p>
      <w:pPr>
        <w:pStyle w:val="ManualNumPar1"/>
        <w:rPr>
          <w:noProof/>
        </w:rPr>
      </w:pPr>
      <w:r>
        <w:t>6.</w:t>
      </w:r>
      <w:r>
        <w:tab/>
      </w:r>
      <w:r>
        <w:rPr>
          <w:noProof/>
        </w:rPr>
        <w:t>Делегиран акт, приет съгласно член 19,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pPr>
        <w:pStyle w:val="Titrearticle"/>
        <w:spacing w:before="120"/>
        <w:rPr>
          <w:noProof/>
        </w:rPr>
      </w:pPr>
      <w:r>
        <w:rPr>
          <w:noProof/>
        </w:rPr>
        <w:t>Член 30</w:t>
      </w:r>
    </w:p>
    <w:p>
      <w:pPr>
        <w:pStyle w:val="Titrearticle"/>
        <w:spacing w:before="120"/>
        <w:rPr>
          <w:noProof/>
        </w:rPr>
      </w:pPr>
      <w:r>
        <w:rPr>
          <w:noProof/>
        </w:rPr>
        <w:t>Процедура на комитет</w:t>
      </w:r>
    </w:p>
    <w:p>
      <w:pPr>
        <w:pStyle w:val="ManualNumPar1"/>
        <w:rPr>
          <w:noProof/>
        </w:rPr>
      </w:pPr>
      <w:r>
        <w:t>1.</w:t>
      </w:r>
      <w:r>
        <w:tab/>
      </w:r>
      <w:r>
        <w:rPr>
          <w:noProof/>
        </w:rPr>
        <w:t>Комисията се подпомага от комитет по смисъла на Регламент (ЕС) № 182/2011.</w:t>
      </w:r>
    </w:p>
    <w:p>
      <w:pPr>
        <w:pStyle w:val="ManualNumPar1"/>
        <w:rPr>
          <w:noProof/>
        </w:rPr>
      </w:pPr>
      <w:r>
        <w:t>2.</w:t>
      </w:r>
      <w:r>
        <w:tab/>
      </w:r>
      <w:r>
        <w:rPr>
          <w:noProof/>
        </w:rPr>
        <w:t>При позоваване на настоящия параграф се прилага член 5 от Регламент (ЕС) № 182/2011.</w:t>
      </w:r>
    </w:p>
    <w:p>
      <w:pPr>
        <w:pStyle w:val="Titrearticle"/>
        <w:spacing w:before="120"/>
        <w:rPr>
          <w:noProof/>
        </w:rPr>
      </w:pPr>
      <w:r>
        <w:rPr>
          <w:noProof/>
        </w:rPr>
        <w:t>Член 31</w:t>
      </w:r>
    </w:p>
    <w:p>
      <w:pPr>
        <w:pStyle w:val="Titrearticle"/>
        <w:spacing w:before="120"/>
        <w:rPr>
          <w:noProof/>
        </w:rPr>
      </w:pPr>
      <w:r>
        <w:rPr>
          <w:noProof/>
        </w:rPr>
        <w:t>Отмяна</w:t>
      </w:r>
    </w:p>
    <w:p>
      <w:pPr>
        <w:rPr>
          <w:noProof/>
        </w:rPr>
      </w:pPr>
      <w:r>
        <w:rPr>
          <w:noProof/>
        </w:rPr>
        <w:t>Регламент (ЕС) [Регламента за Европейския корпус за солидарност] и Регламент (ЕС) № 375/2014 се отменят с действие от 1 януари 2021 г.</w:t>
      </w:r>
    </w:p>
    <w:p>
      <w:pPr>
        <w:pStyle w:val="Titrearticle"/>
        <w:spacing w:before="120"/>
        <w:rPr>
          <w:noProof/>
        </w:rPr>
      </w:pPr>
      <w:r>
        <w:rPr>
          <w:noProof/>
        </w:rPr>
        <w:t>Член 32</w:t>
      </w:r>
    </w:p>
    <w:p>
      <w:pPr>
        <w:pStyle w:val="Titrearticle"/>
        <w:spacing w:before="120"/>
        <w:rPr>
          <w:noProof/>
        </w:rPr>
      </w:pPr>
      <w:r>
        <w:rPr>
          <w:noProof/>
        </w:rPr>
        <w:t>Преходни разпоредби</w:t>
      </w:r>
    </w:p>
    <w:p>
      <w:pPr>
        <w:pStyle w:val="ManualNumPar1"/>
        <w:rPr>
          <w:noProof/>
        </w:rPr>
      </w:pPr>
      <w:r>
        <w:t>1.</w:t>
      </w:r>
      <w:r>
        <w:tab/>
      </w:r>
      <w:r>
        <w:rPr>
          <w:noProof/>
        </w:rPr>
        <w:t>Настоящият регламент не засяга продължаването или изменението на съответните дейности — до тяхното приключване — съгласно [Регламента за Европейския корпус за солидарност] или съгласно Регламент (ЕС) № 375/2014. Тези регламенти продължават да се прилагат за съответните действия до приключването им.</w:t>
      </w:r>
    </w:p>
    <w:p>
      <w:pPr>
        <w:pStyle w:val="ManualNumPar1"/>
        <w:rPr>
          <w:noProof/>
        </w:rPr>
      </w:pPr>
      <w:r>
        <w:t>2.</w:t>
      </w:r>
      <w:r>
        <w:tab/>
      </w:r>
      <w:r>
        <w:rPr>
          <w:noProof/>
        </w:rPr>
        <w:t>Финансовият пакет за програмата може да обхваща и разходи за техническа и административна помощ, необходими, за да се гарантира преходът между програмата и мерките, приети съгласно [Регламента за Европейския корпус за солидарност] или съгласно Регламент (ЕС) № 375/2014.</w:t>
      </w:r>
    </w:p>
    <w:p>
      <w:pPr>
        <w:pStyle w:val="ManualNumPar1"/>
        <w:rPr>
          <w:noProof/>
        </w:rPr>
      </w:pPr>
      <w:r>
        <w:t>3.</w:t>
      </w:r>
      <w:r>
        <w:tab/>
      </w:r>
      <w:r>
        <w:rPr>
          <w:noProof/>
        </w:rPr>
        <w:t>Ако е необходимо, в бюджета могат да се записват бюджетни кредити за поети задължения след 2027 г. за покриване на разходите, предвидени в член 12, параграф 2, с цел да се гарантира управлението на действията и дейностите, които не са приключили до 31 декември 2027 г.</w:t>
      </w:r>
    </w:p>
    <w:p>
      <w:pPr>
        <w:pStyle w:val="ManualNumPar1"/>
        <w:rPr>
          <w:i/>
          <w:iCs/>
          <w:noProof/>
        </w:rPr>
      </w:pPr>
      <w:r>
        <w:t>4.</w:t>
      </w:r>
      <w:r>
        <w:tab/>
      </w:r>
      <w:r>
        <w:rPr>
          <w:noProof/>
        </w:rPr>
        <w:t>Държавите членки гарантират на национално равнище безпрепятствения преход между действията, които се осъществяват в контекста на програма „Европейски корпус за солидарност“ (2018—2020 г.), и тези, които ще бъдат осъществени по настоящата програма.</w:t>
      </w:r>
    </w:p>
    <w:p>
      <w:pPr>
        <w:pStyle w:val="Titrearticle"/>
        <w:spacing w:before="120"/>
        <w:rPr>
          <w:i w:val="0"/>
          <w:iCs/>
          <w:noProof/>
          <w:u w:color="0000FF"/>
        </w:rPr>
      </w:pPr>
      <w:r>
        <w:rPr>
          <w:noProof/>
        </w:rPr>
        <w:t>Член 33</w:t>
      </w:r>
    </w:p>
    <w:p>
      <w:pPr>
        <w:pStyle w:val="Titrearticle"/>
        <w:spacing w:before="120"/>
        <w:rPr>
          <w:noProof/>
        </w:rPr>
      </w:pPr>
      <w:r>
        <w:rPr>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spacing w:before="120"/>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tabs>
          <w:tab w:val="clear" w:pos="4252"/>
          <w:tab w:val="left" w:pos="5387"/>
        </w:tabs>
        <w:spacing w:before="120" w:after="120"/>
        <w:rPr>
          <w:noProof/>
        </w:rPr>
      </w:pPr>
      <w:r>
        <w:rPr>
          <w:noProof/>
        </w:rPr>
        <w:t>За Европейския парламент</w:t>
      </w:r>
      <w:r>
        <w:rPr>
          <w:noProof/>
        </w:rPr>
        <w:tab/>
        <w:t>За Съвета</w:t>
      </w:r>
    </w:p>
    <w:p>
      <w:pPr>
        <w:pStyle w:val="Personnequisigne"/>
        <w:tabs>
          <w:tab w:val="clear" w:pos="4252"/>
          <w:tab w:val="left" w:pos="5387"/>
        </w:tabs>
        <w:spacing w:before="120" w:after="120"/>
        <w:rPr>
          <w:noProof/>
        </w:rPr>
      </w:pPr>
      <w:r>
        <w:rPr>
          <w:noProof/>
        </w:rPr>
        <w:t>Председател</w:t>
      </w:r>
      <w:r>
        <w:rPr>
          <w:noProof/>
        </w:rPr>
        <w:tab/>
        <w:t>Председател</w:t>
      </w:r>
    </w:p>
    <w:p>
      <w:pPr>
        <w:rPr>
          <w:noProof/>
        </w:rPr>
      </w:pPr>
      <w:r>
        <w:rPr>
          <w:noProof/>
        </w:rPr>
        <w:br w:type="page"/>
      </w:r>
    </w:p>
    <w:p>
      <w:pPr>
        <w:pStyle w:val="Fichefinanciretitre"/>
        <w:rPr>
          <w:noProof/>
        </w:rPr>
      </w:pPr>
      <w:r>
        <w:rPr>
          <w:noProof/>
        </w:rPr>
        <w:lastRenderedPageBreak/>
        <w:t>ЗАКОНОДАТЕЛНА ФИНАНСОВА ОБОСНОВКА</w:t>
      </w:r>
    </w:p>
    <w:p>
      <w:pPr>
        <w:pStyle w:val="ManualHeading1"/>
        <w:spacing w:before="120"/>
        <w:rPr>
          <w:noProof/>
        </w:rPr>
      </w:pPr>
      <w:r>
        <w:rPr>
          <w:noProof/>
        </w:rPr>
        <w:t>1.</w:t>
      </w:r>
      <w:r>
        <w:rPr>
          <w:noProof/>
        </w:rPr>
        <w:tab/>
        <w:t>РАМКА НА ПРЕДЛОЖЕНИЕТО/ИНИЦИАТИВАТА</w:t>
      </w:r>
    </w:p>
    <w:p>
      <w:pPr>
        <w:pStyle w:val="ManualHeading2"/>
        <w:rPr>
          <w:b w:val="0"/>
          <w:bCs/>
          <w:noProof/>
        </w:rPr>
      </w:pPr>
      <w:r>
        <w:rPr>
          <w:noProof/>
        </w:rPr>
        <w:tab/>
      </w:r>
      <w:r>
        <w:rPr>
          <w:b w:val="0"/>
          <w:noProof/>
        </w:rPr>
        <w:t>1.1.</w:t>
      </w:r>
      <w:r>
        <w:rPr>
          <w:noProof/>
        </w:rPr>
        <w:tab/>
      </w:r>
      <w:r>
        <w:rPr>
          <w:b w:val="0"/>
          <w:noProof/>
        </w:rPr>
        <w:t>Наименование на предложението/инициативата</w:t>
      </w:r>
    </w:p>
    <w:p>
      <w:pPr>
        <w:pStyle w:val="ManualHeading2"/>
        <w:rPr>
          <w:b w:val="0"/>
          <w:bCs/>
          <w:noProof/>
        </w:rPr>
      </w:pPr>
      <w:r>
        <w:rPr>
          <w:noProof/>
        </w:rPr>
        <w:tab/>
      </w:r>
      <w:r>
        <w:rPr>
          <w:b w:val="0"/>
          <w:noProof/>
        </w:rPr>
        <w:t>1.2.</w:t>
      </w:r>
      <w:r>
        <w:rPr>
          <w:noProof/>
        </w:rPr>
        <w:tab/>
      </w:r>
      <w:r>
        <w:rPr>
          <w:b w:val="0"/>
          <w:noProof/>
        </w:rPr>
        <w:t xml:space="preserve">Съответни области на политиката </w:t>
      </w:r>
      <w:r>
        <w:rPr>
          <w:b w:val="0"/>
          <w:i/>
          <w:noProof/>
        </w:rPr>
        <w:t>(програмен клъстер)</w:t>
      </w:r>
    </w:p>
    <w:p>
      <w:pPr>
        <w:pStyle w:val="ManualHeading2"/>
        <w:rPr>
          <w:b w:val="0"/>
          <w:bCs/>
          <w:noProof/>
        </w:rPr>
      </w:pPr>
      <w:r>
        <w:rPr>
          <w:noProof/>
        </w:rPr>
        <w:tab/>
      </w:r>
      <w:r>
        <w:rPr>
          <w:b w:val="0"/>
          <w:noProof/>
        </w:rPr>
        <w:t>1.3.</w:t>
      </w:r>
      <w:r>
        <w:rPr>
          <w:noProof/>
        </w:rPr>
        <w:tab/>
      </w:r>
      <w:r>
        <w:rPr>
          <w:b w:val="0"/>
          <w:noProof/>
        </w:rPr>
        <w:t>Естество на предложението/инициативата</w:t>
      </w:r>
    </w:p>
    <w:p>
      <w:pPr>
        <w:pStyle w:val="ManualHeading2"/>
        <w:rPr>
          <w:b w:val="0"/>
          <w:bCs/>
          <w:noProof/>
        </w:rPr>
      </w:pPr>
      <w:r>
        <w:rPr>
          <w:noProof/>
        </w:rPr>
        <w:tab/>
      </w:r>
      <w:r>
        <w:rPr>
          <w:b w:val="0"/>
          <w:noProof/>
        </w:rPr>
        <w:t>1.4.</w:t>
      </w:r>
      <w:r>
        <w:rPr>
          <w:noProof/>
        </w:rPr>
        <w:tab/>
      </w:r>
      <w:r>
        <w:rPr>
          <w:b w:val="0"/>
          <w:noProof/>
        </w:rPr>
        <w:t>Мотиви за предложението/инициативата</w:t>
      </w:r>
    </w:p>
    <w:p>
      <w:pPr>
        <w:pStyle w:val="ManualHeading2"/>
        <w:rPr>
          <w:b w:val="0"/>
          <w:bCs/>
          <w:noProof/>
        </w:rPr>
      </w:pPr>
      <w:r>
        <w:rPr>
          <w:noProof/>
        </w:rPr>
        <w:tab/>
      </w:r>
      <w:r>
        <w:rPr>
          <w:b w:val="0"/>
          <w:noProof/>
        </w:rPr>
        <w:t>1.5.</w:t>
      </w:r>
      <w:r>
        <w:rPr>
          <w:noProof/>
        </w:rPr>
        <w:tab/>
      </w:r>
      <w:r>
        <w:rPr>
          <w:b w:val="0"/>
          <w:noProof/>
        </w:rPr>
        <w:t>Срок на действие и финансово отражение</w:t>
      </w:r>
    </w:p>
    <w:p>
      <w:pPr>
        <w:pStyle w:val="ManualHeading2"/>
        <w:rPr>
          <w:b w:val="0"/>
          <w:bCs/>
          <w:noProof/>
        </w:rPr>
      </w:pPr>
      <w:r>
        <w:rPr>
          <w:noProof/>
        </w:rPr>
        <w:tab/>
      </w:r>
      <w:r>
        <w:rPr>
          <w:b w:val="0"/>
          <w:noProof/>
        </w:rPr>
        <w:t>1.6.</w:t>
      </w:r>
      <w:r>
        <w:rPr>
          <w:noProof/>
        </w:rPr>
        <w:tab/>
      </w:r>
      <w:r>
        <w:rPr>
          <w:b w:val="0"/>
          <w:noProof/>
        </w:rPr>
        <w:t>Планирани методи на управление</w:t>
      </w:r>
    </w:p>
    <w:p>
      <w:pPr>
        <w:pStyle w:val="ManualHeading1"/>
        <w:spacing w:before="120"/>
        <w:rPr>
          <w:noProof/>
        </w:rPr>
      </w:pPr>
      <w:r>
        <w:rPr>
          <w:noProof/>
        </w:rPr>
        <w:t>2.</w:t>
      </w:r>
      <w:r>
        <w:rPr>
          <w:noProof/>
        </w:rPr>
        <w:tab/>
        <w:t>МЕРКИ ЗА УПРАВЛЕНИЕ</w:t>
      </w:r>
    </w:p>
    <w:p>
      <w:pPr>
        <w:pStyle w:val="ManualHeading2"/>
        <w:rPr>
          <w:b w:val="0"/>
          <w:bCs/>
          <w:noProof/>
        </w:rPr>
      </w:pPr>
      <w:r>
        <w:rPr>
          <w:noProof/>
        </w:rPr>
        <w:tab/>
      </w:r>
      <w:r>
        <w:rPr>
          <w:b w:val="0"/>
          <w:noProof/>
        </w:rPr>
        <w:t>2.1.</w:t>
      </w:r>
      <w:r>
        <w:rPr>
          <w:noProof/>
        </w:rPr>
        <w:tab/>
      </w:r>
      <w:r>
        <w:rPr>
          <w:b w:val="0"/>
          <w:noProof/>
        </w:rPr>
        <w:t>Правила за мониторинг и докладване</w:t>
      </w:r>
    </w:p>
    <w:p>
      <w:pPr>
        <w:pStyle w:val="ManualHeading2"/>
        <w:rPr>
          <w:b w:val="0"/>
          <w:bCs/>
          <w:noProof/>
        </w:rPr>
      </w:pPr>
      <w:r>
        <w:rPr>
          <w:noProof/>
        </w:rPr>
        <w:tab/>
      </w:r>
      <w:r>
        <w:rPr>
          <w:b w:val="0"/>
          <w:noProof/>
        </w:rPr>
        <w:t>2.2.</w:t>
      </w:r>
      <w:r>
        <w:rPr>
          <w:noProof/>
        </w:rPr>
        <w:tab/>
      </w:r>
      <w:r>
        <w:rPr>
          <w:b w:val="0"/>
          <w:noProof/>
        </w:rPr>
        <w:t>Система за управление и одит</w:t>
      </w:r>
    </w:p>
    <w:p>
      <w:pPr>
        <w:pStyle w:val="ManualHeading2"/>
        <w:rPr>
          <w:b w:val="0"/>
          <w:bCs/>
          <w:noProof/>
        </w:rPr>
      </w:pPr>
      <w:r>
        <w:rPr>
          <w:noProof/>
        </w:rPr>
        <w:tab/>
      </w:r>
      <w:r>
        <w:rPr>
          <w:b w:val="0"/>
          <w:noProof/>
        </w:rPr>
        <w:t>2.3.</w:t>
      </w:r>
      <w:r>
        <w:rPr>
          <w:noProof/>
        </w:rPr>
        <w:tab/>
      </w:r>
      <w:r>
        <w:rPr>
          <w:b w:val="0"/>
          <w:noProof/>
        </w:rPr>
        <w:t>Мерки за предотвратяване на измами и нередности</w:t>
      </w:r>
    </w:p>
    <w:p>
      <w:pPr>
        <w:pStyle w:val="ManualHeading1"/>
        <w:spacing w:before="120"/>
        <w:rPr>
          <w:noProof/>
        </w:rPr>
      </w:pPr>
      <w:r>
        <w:rPr>
          <w:noProof/>
        </w:rPr>
        <w:t>3.</w:t>
      </w:r>
      <w:r>
        <w:rPr>
          <w:noProof/>
        </w:rPr>
        <w:tab/>
        <w:t>ОЧАКВАНО ФИНАНСОВО ОТРАЖЕНИЕ НА ПРЕДЛОЖЕНИЕТО/ИНИЦИАТИВАТА</w:t>
      </w:r>
    </w:p>
    <w:p>
      <w:pPr>
        <w:pStyle w:val="ManualHeading2"/>
        <w:rPr>
          <w:b w:val="0"/>
          <w:bCs/>
          <w:noProof/>
        </w:rPr>
      </w:pPr>
      <w:r>
        <w:rPr>
          <w:noProof/>
        </w:rPr>
        <w:tab/>
      </w:r>
      <w:r>
        <w:rPr>
          <w:b w:val="0"/>
          <w:noProof/>
        </w:rPr>
        <w:t>3.1.</w:t>
      </w:r>
      <w:r>
        <w:rPr>
          <w:noProof/>
        </w:rPr>
        <w:tab/>
      </w:r>
      <w:r>
        <w:rPr>
          <w:b w:val="0"/>
          <w:noProof/>
        </w:rPr>
        <w:t>Съответни функции от многогодишната финансова рамка и разходни бюджетни редове</w:t>
      </w:r>
    </w:p>
    <w:p>
      <w:pPr>
        <w:pStyle w:val="ManualHeading2"/>
        <w:rPr>
          <w:noProof/>
        </w:rPr>
      </w:pPr>
      <w:r>
        <w:rPr>
          <w:noProof/>
        </w:rPr>
        <w:tab/>
      </w:r>
      <w:r>
        <w:rPr>
          <w:b w:val="0"/>
          <w:noProof/>
        </w:rPr>
        <w:t>3.2.</w:t>
      </w:r>
      <w:r>
        <w:rPr>
          <w:noProof/>
        </w:rPr>
        <w:tab/>
      </w:r>
      <w:r>
        <w:rPr>
          <w:b w:val="0"/>
          <w:noProof/>
        </w:rPr>
        <w:t>Очаквано отражение върху разходите</w:t>
      </w:r>
    </w:p>
    <w:p>
      <w:pPr>
        <w:pStyle w:val="ManualHeading3"/>
        <w:rPr>
          <w:noProof/>
        </w:rPr>
      </w:pPr>
      <w:r>
        <w:rPr>
          <w:noProof/>
        </w:rPr>
        <w:tab/>
        <w:t>3.2.1.</w:t>
      </w:r>
      <w:r>
        <w:rPr>
          <w:noProof/>
        </w:rPr>
        <w:tab/>
        <w:t>Обобщение на очакваното отражение върху разходите</w:t>
      </w:r>
    </w:p>
    <w:p>
      <w:pPr>
        <w:pStyle w:val="ManualHeading3"/>
        <w:rPr>
          <w:noProof/>
        </w:rPr>
      </w:pPr>
      <w:r>
        <w:rPr>
          <w:noProof/>
        </w:rPr>
        <w:tab/>
        <w:t>3.2.2.</w:t>
      </w:r>
      <w:r>
        <w:rPr>
          <w:noProof/>
        </w:rPr>
        <w:tab/>
        <w:t>Очаквано отражение върху бюджетните кредити за административни разходи</w:t>
      </w:r>
    </w:p>
    <w:p>
      <w:pPr>
        <w:pStyle w:val="ManualHeading3"/>
        <w:rPr>
          <w:noProof/>
        </w:rPr>
      </w:pPr>
      <w:r>
        <w:rPr>
          <w:noProof/>
        </w:rPr>
        <w:tab/>
        <w:t>3.2.3.</w:t>
      </w:r>
      <w:r>
        <w:rPr>
          <w:noProof/>
        </w:rPr>
        <w:tab/>
        <w:t>Финансов принос от трети страни</w:t>
      </w:r>
    </w:p>
    <w:p>
      <w:pPr>
        <w:pStyle w:val="ManualHeading2"/>
        <w:jc w:val="left"/>
        <w:rPr>
          <w:noProof/>
        </w:rPr>
        <w:sectPr>
          <w:headerReference w:type="default" r:id="rId16"/>
          <w:footerReference w:type="default" r:id="rId17"/>
          <w:headerReference w:type="first" r:id="rId18"/>
          <w:footerReference w:type="first" r:id="rId19"/>
          <w:pgSz w:w="11900" w:h="16840"/>
          <w:pgMar w:top="709" w:right="992" w:bottom="851" w:left="993" w:header="709" w:footer="709" w:gutter="0"/>
          <w:pgNumType w:start="1"/>
          <w:cols w:space="720"/>
          <w:docGrid w:linePitch="326"/>
        </w:sectPr>
      </w:pPr>
      <w:r>
        <w:rPr>
          <w:noProof/>
        </w:rPr>
        <w:tab/>
      </w:r>
      <w:r>
        <w:rPr>
          <w:b w:val="0"/>
          <w:noProof/>
        </w:rPr>
        <w:t>3.3.</w:t>
      </w:r>
      <w:r>
        <w:rPr>
          <w:noProof/>
        </w:rPr>
        <w:tab/>
      </w:r>
      <w:r>
        <w:rPr>
          <w:b w:val="0"/>
          <w:noProof/>
        </w:rPr>
        <w:t>Очаквано отражение върху приходите</w:t>
      </w:r>
    </w:p>
    <w:p>
      <w:pPr>
        <w:pStyle w:val="Text"/>
        <w:jc w:val="center"/>
        <w:rPr>
          <w:b/>
          <w:bCs/>
          <w:noProof/>
          <w:color w:val="auto"/>
          <w:u w:val="single"/>
        </w:rPr>
      </w:pPr>
      <w:r>
        <w:rPr>
          <w:b/>
          <w:noProof/>
          <w:color w:val="auto"/>
          <w:u w:val="single"/>
        </w:rPr>
        <w:t>ЗАКОНОДАТЕЛНА ФИНАНСОВА ОБОСНОВКА</w:t>
      </w:r>
    </w:p>
    <w:p>
      <w:pPr>
        <w:pStyle w:val="ManualHeading1"/>
        <w:rPr>
          <w:noProof/>
        </w:rPr>
      </w:pPr>
      <w:r>
        <w:t>1.</w:t>
      </w:r>
      <w:r>
        <w:tab/>
      </w:r>
      <w:r>
        <w:rPr>
          <w:noProof/>
        </w:rPr>
        <w:t>РАМКА НА ПРЕДЛОЖЕНИЕТО/ИНИЦИАТИВАТА</w:t>
      </w:r>
    </w:p>
    <w:p>
      <w:pPr>
        <w:pStyle w:val="ManualHeading2"/>
        <w:rPr>
          <w:noProof/>
        </w:rPr>
      </w:pPr>
      <w:r>
        <w:t>1.1.</w:t>
      </w:r>
      <w:r>
        <w:tab/>
      </w:r>
      <w:r>
        <w:rPr>
          <w:noProof/>
        </w:rPr>
        <w:t>Наименование на предложението/инициативата</w:t>
      </w:r>
    </w:p>
    <w:p>
      <w:pPr>
        <w:pStyle w:val="Text1"/>
        <w:pBdr>
          <w:top w:val="single" w:sz="4" w:space="0" w:color="000000"/>
          <w:left w:val="single" w:sz="4" w:space="0" w:color="000000"/>
          <w:bottom w:val="single" w:sz="4" w:space="0" w:color="000000"/>
          <w:right w:val="single" w:sz="4" w:space="0" w:color="000000"/>
        </w:pBdr>
        <w:rPr>
          <w:noProof/>
        </w:rPr>
      </w:pPr>
      <w:r>
        <w:rPr>
          <w:noProof/>
        </w:rPr>
        <w:t>Предложение за регламент на Европейския парламент и на Съвета за създаване на програма програма „Европейски корпус за солидарност“.</w:t>
      </w:r>
    </w:p>
    <w:p>
      <w:pPr>
        <w:pStyle w:val="ManualHeading2"/>
        <w:rPr>
          <w:noProof/>
        </w:rPr>
      </w:pPr>
      <w:r>
        <w:t>1.2.</w:t>
      </w:r>
      <w:r>
        <w:tab/>
      </w:r>
      <w:r>
        <w:rPr>
          <w:noProof/>
        </w:rPr>
        <w:t>Съответни области на политиката (програмен клъстер)</w:t>
      </w:r>
    </w:p>
    <w:p>
      <w:pPr>
        <w:pStyle w:val="Text1"/>
        <w:pBdr>
          <w:top w:val="single" w:sz="4" w:space="0" w:color="000000"/>
          <w:left w:val="single" w:sz="4" w:space="0" w:color="000000"/>
          <w:bottom w:val="single" w:sz="4" w:space="0" w:color="000000"/>
          <w:right w:val="single" w:sz="4" w:space="0" w:color="000000"/>
        </w:pBdr>
        <w:rPr>
          <w:noProof/>
        </w:rPr>
      </w:pPr>
      <w:r>
        <w:rPr>
          <w:noProof/>
        </w:rPr>
        <w:t>7. Инвестиции в хора, социално сближаване и ценности</w:t>
      </w:r>
    </w:p>
    <w:p>
      <w:pPr>
        <w:pStyle w:val="ManualHeading2"/>
        <w:rPr>
          <w:noProof/>
        </w:rPr>
      </w:pPr>
      <w:r>
        <w:t>1.3.</w:t>
      </w:r>
      <w:r>
        <w:tab/>
      </w:r>
      <w:r>
        <w:rPr>
          <w:noProof/>
        </w:rPr>
        <w:t>Предложението/инициативата е във връзка с:</w:t>
      </w:r>
    </w:p>
    <w:p>
      <w:pPr>
        <w:pStyle w:val="Text1"/>
        <w:rPr>
          <w:b/>
          <w:noProof/>
          <w:sz w:val="22"/>
        </w:rPr>
      </w:pPr>
      <w:r>
        <w:rPr>
          <w:noProof/>
          <w:sz w:val="22"/>
        </w:rPr>
        <w:sym w:font="Wingdings" w:char="F0FE"/>
      </w:r>
      <w:r>
        <w:rPr>
          <w:noProof/>
          <w:sz w:val="22"/>
        </w:rPr>
        <w:t xml:space="preserve"> </w:t>
      </w:r>
      <w:r>
        <w:rPr>
          <w:b/>
          <w:noProof/>
          <w:sz w:val="22"/>
        </w:rPr>
        <w:t>ново действие</w:t>
      </w:r>
    </w:p>
    <w:p>
      <w:pPr>
        <w:pStyle w:val="Text1"/>
        <w:rPr>
          <w:b/>
          <w:noProof/>
          <w:sz w:val="22"/>
        </w:rPr>
      </w:pPr>
      <w:r>
        <w:rPr>
          <w:noProof/>
          <w:sz w:val="22"/>
        </w:rPr>
        <w:sym w:font="Wingdings" w:char="F0A8"/>
      </w:r>
      <w:r>
        <w:rPr>
          <w:noProof/>
          <w:sz w:val="22"/>
        </w:rPr>
        <w:t xml:space="preserve"> </w:t>
      </w:r>
      <w:r>
        <w:rPr>
          <w:b/>
          <w:noProof/>
          <w:sz w:val="22"/>
        </w:rPr>
        <w:t>ново действие след пилотен проект/подготвително действие</w:t>
      </w:r>
      <w:r>
        <w:rPr>
          <w:rStyle w:val="FootnoteReference"/>
          <w:noProof/>
        </w:rPr>
        <w:footnoteReference w:id="36"/>
      </w:r>
    </w:p>
    <w:p>
      <w:pPr>
        <w:pStyle w:val="Text1"/>
        <w:rPr>
          <w:b/>
          <w:noProof/>
          <w:sz w:val="22"/>
        </w:rPr>
      </w:pPr>
      <w:r>
        <w:rPr>
          <w:noProof/>
          <w:sz w:val="22"/>
        </w:rPr>
        <w:sym w:font="Wingdings" w:char="F0A8"/>
      </w:r>
      <w:r>
        <w:rPr>
          <w:noProof/>
          <w:sz w:val="22"/>
        </w:rPr>
        <w:t xml:space="preserve"> </w:t>
      </w:r>
      <w:r>
        <w:rPr>
          <w:b/>
          <w:noProof/>
          <w:sz w:val="22"/>
        </w:rPr>
        <w:t>продължаване на съществуващо действие</w:t>
      </w:r>
    </w:p>
    <w:p>
      <w:pPr>
        <w:pStyle w:val="Text1"/>
        <w:rPr>
          <w:b/>
          <w:noProof/>
          <w:sz w:val="22"/>
        </w:rPr>
      </w:pPr>
      <w:r>
        <w:rPr>
          <w:noProof/>
          <w:sz w:val="22"/>
        </w:rPr>
        <w:sym w:font="Wingdings" w:char="F0A8"/>
      </w:r>
      <w:r>
        <w:rPr>
          <w:noProof/>
          <w:sz w:val="22"/>
        </w:rPr>
        <w:t xml:space="preserve"> </w:t>
      </w:r>
      <w:r>
        <w:rPr>
          <w:b/>
          <w:noProof/>
          <w:sz w:val="22"/>
        </w:rPr>
        <w:t>сливане или пренасочване на едно или няколко действия към друго/ново действие</w:t>
      </w:r>
    </w:p>
    <w:p>
      <w:pPr>
        <w:pStyle w:val="ManualHeading2"/>
        <w:rPr>
          <w:noProof/>
        </w:rPr>
      </w:pPr>
      <w:r>
        <w:t>1.4.</w:t>
      </w:r>
      <w:r>
        <w:tab/>
      </w:r>
      <w:r>
        <w:rPr>
          <w:noProof/>
        </w:rPr>
        <w:t>Мотиви за предложението/инициативата</w:t>
      </w:r>
    </w:p>
    <w:p>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Text1"/>
        <w:pBdr>
          <w:top w:val="single" w:sz="4" w:space="0" w:color="000000"/>
          <w:left w:val="single" w:sz="4" w:space="0" w:color="000000"/>
          <w:bottom w:val="single" w:sz="4" w:space="0" w:color="000000"/>
          <w:right w:val="single" w:sz="4" w:space="0" w:color="000000"/>
        </w:pBdr>
        <w:rPr>
          <w:noProof/>
        </w:rPr>
      </w:pPr>
      <w:r>
        <w:rPr>
          <w:noProof/>
        </w:rPr>
        <w:t>Да се създаде корпус от мотивирани млади европейци, които имат желание да участват в доброволчески дейности, стажове или работа в области, свързани със солидарността, в своята страна или в чужбина.</w:t>
      </w:r>
    </w:p>
    <w:p>
      <w:pPr>
        <w:pStyle w:val="Text1"/>
        <w:pBdr>
          <w:top w:val="single" w:sz="4" w:space="0" w:color="000000"/>
          <w:left w:val="single" w:sz="4" w:space="0" w:color="000000"/>
          <w:bottom w:val="single" w:sz="4" w:space="0" w:color="000000"/>
          <w:right w:val="single" w:sz="4" w:space="0" w:color="000000"/>
        </w:pBdr>
        <w:rPr>
          <w:noProof/>
        </w:rPr>
      </w:pPr>
      <w:r>
        <w:rPr>
          <w:noProof/>
        </w:rPr>
        <w:t>До 2027 г. се очаква програмата да е предложила възможности на 350 000 млади европейци.</w:t>
      </w:r>
    </w:p>
    <w:p>
      <w:pPr>
        <w:pStyle w:val="Text1"/>
        <w:pBdr>
          <w:top w:val="single" w:sz="4" w:space="0" w:color="000000"/>
          <w:left w:val="single" w:sz="4" w:space="0" w:color="000000"/>
          <w:bottom w:val="single" w:sz="4" w:space="0" w:color="000000"/>
          <w:right w:val="single" w:sz="4" w:space="0" w:color="000000"/>
        </w:pBdr>
        <w:rPr>
          <w:noProof/>
        </w:rPr>
      </w:pPr>
      <w:r>
        <w:rPr>
          <w:noProof/>
        </w:rPr>
        <w:t>Да се подкрепят организации при изпълняването на достъпни и висококачествени дейности за солидарност, които се очаква да допринесат за посрещането на неудовлетворени обществени потребности, като същевременно спомагат за личностното, образователното, социалното, гражданското и професионалното развитие на младите хора.</w:t>
      </w:r>
    </w:p>
    <w:p>
      <w:pPr>
        <w:pStyle w:val="ManualHeading3"/>
        <w:rPr>
          <w:noProof/>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0" w:color="000000"/>
          <w:left w:val="single" w:sz="4" w:space="0" w:color="000000"/>
          <w:bottom w:val="single" w:sz="4" w:space="0" w:color="000000"/>
          <w:right w:val="single" w:sz="4" w:space="0" w:color="000000"/>
        </w:pBdr>
        <w:rPr>
          <w:noProof/>
        </w:rPr>
      </w:pPr>
      <w:r>
        <w:rPr>
          <w:noProof/>
        </w:rPr>
        <w:t>Европейският корпус за солидарност разширява европейския мащаб на солидарността. Той ще допълва съществуващите публични и частни политики, програми и дейности и това няма да има ефект на конкуриране или заместване. Допълващият ефект ще се осигури, понеже корпусът ще действа в отговор на неудовлетворени обществени потребности, т.е. ситуации, където нуждите на общности и граждани не се удовлетворяват — например поради липса на ресурси — от пазара на труда или от съществуващите доброволчески програми или други видове програми за солидарност.</w:t>
      </w:r>
    </w:p>
    <w:p>
      <w:pPr>
        <w:pStyle w:val="Text1"/>
        <w:pBdr>
          <w:top w:val="single" w:sz="4" w:space="0" w:color="000000"/>
          <w:left w:val="single" w:sz="4" w:space="0" w:color="000000"/>
          <w:bottom w:val="single" w:sz="4" w:space="0" w:color="000000"/>
          <w:right w:val="single" w:sz="4" w:space="0" w:color="000000"/>
        </w:pBdr>
        <w:rPr>
          <w:noProof/>
        </w:rPr>
      </w:pPr>
      <w:r>
        <w:rPr>
          <w:noProof/>
        </w:rPr>
        <w:t>Освен това, както е посочено в предварителната оценка, добавената стойност на ЕС от предложенията се гарантира от общия стандарт за качество на предлаганите възможности, солидарността, разглеждана като обща европейска стойност; икономиите от мащаба и обхвата, постигнати чрез интегрирането на двете програми и последователността, чрез интегрирането в рамките на една програма на всички възможности за младите хора, свързани със солидарността.</w:t>
      </w:r>
    </w:p>
    <w:p>
      <w:pPr>
        <w:pStyle w:val="ManualHeading3"/>
        <w:rPr>
          <w:noProof/>
        </w:rPr>
      </w:pPr>
      <w:r>
        <w:t>1.4.3.</w:t>
      </w:r>
      <w:r>
        <w:tab/>
      </w:r>
      <w:r>
        <w:rPr>
          <w:noProof/>
        </w:rPr>
        <w:t>Изводи от подобен опит в миналото</w:t>
      </w:r>
    </w:p>
    <w:p>
      <w:pPr>
        <w:pStyle w:val="Text1"/>
        <w:pBdr>
          <w:top w:val="single" w:sz="4" w:space="0" w:color="000000"/>
          <w:left w:val="single" w:sz="4" w:space="0" w:color="000000"/>
          <w:bottom w:val="single" w:sz="4" w:space="0" w:color="000000"/>
          <w:right w:val="single" w:sz="4" w:space="0" w:color="000000"/>
        </w:pBdr>
        <w:rPr>
          <w:noProof/>
        </w:rPr>
      </w:pPr>
      <w:r>
        <w:rPr>
          <w:noProof/>
        </w:rPr>
        <w:t>Европейският корпус за солидарност се ползва от богатите и дългогодишни традиции и опит на държавите членки в дейности в полза на обществения интерес, например чрез доброволчество. Някои държави членки осъществяват национални програми за гражданска служба и предлагат на младите хора възможност да участват, други подпомагат дейностите, предприети от гражданското общество.</w:t>
      </w:r>
    </w:p>
    <w:p>
      <w:pPr>
        <w:pStyle w:val="Text1"/>
        <w:pBdr>
          <w:top w:val="single" w:sz="4" w:space="0" w:color="000000"/>
          <w:left w:val="single" w:sz="4" w:space="0" w:color="000000"/>
          <w:bottom w:val="single" w:sz="4" w:space="0" w:color="000000"/>
          <w:right w:val="single" w:sz="4" w:space="0" w:color="000000"/>
        </w:pBdr>
        <w:rPr>
          <w:noProof/>
        </w:rPr>
      </w:pPr>
      <w:r>
        <w:rPr>
          <w:noProof/>
        </w:rPr>
        <w:t>На равнище ЕС от двадесет години насам Европейската доброволческа служба (ЕДС) предоставя на младите хора възможности за участие в доброволческа дейност, а политики и програми като например „Гаранция за младежта“ и „Твоята първа работа с EURES“ помагат на младите хора да започнат стажове или работа. Започналата през 2014 г. инициатива „Доброволци на ЕС за хуманитарна помощ“, предлага възможност на граждани на ЕС да придобият доброволчески опит в трети държави, като подпомагат и допринасят за оказването на хуманитарна помощ, където е най-необходима.</w:t>
      </w:r>
    </w:p>
    <w:p>
      <w:pPr>
        <w:pStyle w:val="Text1"/>
        <w:pBdr>
          <w:top w:val="single" w:sz="4" w:space="0" w:color="000000"/>
          <w:left w:val="single" w:sz="4" w:space="0" w:color="000000"/>
          <w:bottom w:val="single" w:sz="4" w:space="0" w:color="000000"/>
          <w:right w:val="single" w:sz="4" w:space="0" w:color="000000"/>
        </w:pBdr>
        <w:rPr>
          <w:noProof/>
        </w:rPr>
      </w:pPr>
      <w:r>
        <w:rPr>
          <w:noProof/>
        </w:rPr>
        <w:t>Европейският корпус за солидарност се основава на силните страни и опита на тези инициативи и така ще се възползва от една стабилна вече съществуваща основа, като я разширява, за да предлага нови възможности, по-широка видимост и по-голямо въздействие. Европейският корпус за солидарност ще предлага нови възможности в областта на хуманитарната помощ, които повече няма да се поддържат по инициативата „Доброволци на ЕС за хуманитарна помощ“ (която няма да продължи след 2020 г.), като същевременно опростява достъпа за интересуващите се млади хора и организациите. Чрез своя портал Европейският корпус за солидарност продължава да предлага обособен леснодостъпен вход и ще има за цел да достигне до възможно най-широк кръг организации и до участващите млади хора. Освен това корпусът ще разработи и подобри обучението, което ще се предлага преди дейността, както и подходящо подпомагане и валидиране на учебните резултати, придобити по време на дейността.</w:t>
      </w:r>
    </w:p>
    <w:p>
      <w:pPr>
        <w:pStyle w:val="Text1"/>
        <w:pBdr>
          <w:top w:val="single" w:sz="4" w:space="0" w:color="000000"/>
          <w:left w:val="single" w:sz="4" w:space="0" w:color="000000"/>
          <w:bottom w:val="single" w:sz="4" w:space="0" w:color="000000"/>
          <w:right w:val="single" w:sz="4" w:space="0" w:color="000000"/>
        </w:pBdr>
        <w:rPr>
          <w:noProof/>
        </w:rPr>
      </w:pPr>
      <w:r>
        <w:rPr>
          <w:noProof/>
        </w:rPr>
        <w:t>За да се осигури ефикасно и ефективно изпълнение, Европейският корпус за солидарност ще използва в максимална степен вече въведените и съществуващи договорености за управление. Това ще позволи усилията да се насочат към постигане на максимални резултати, като в същото време се сведе до минимум административната тежест. Поради това изпълнението на Европейския корпус за солидарност ще бъде възложено на съществуващите органи, т.е. Европейската комисия, също чрез нейната Изпълнителна агенция за образование, аудиовизия и култура (EACEA) и чрез националните агенции, на които е възложено управлението на действията, посочени в глава „Младеж“ на член 23, параграф 3 от [новия регламент за програмата „Еразъм“] за създаване на програмата „Еразъм+“.</w:t>
      </w:r>
    </w:p>
    <w:p>
      <w:pPr>
        <w:pStyle w:val="ManualHeading3"/>
        <w:rPr>
          <w:noProof/>
        </w:rPr>
      </w:pPr>
      <w:r>
        <w:t>1.4.4.</w:t>
      </w:r>
      <w:r>
        <w:tab/>
      </w:r>
      <w:r>
        <w:rPr>
          <w:noProof/>
        </w:rPr>
        <w:t>Съгласуваност и евентуално взаимодействие с други актове</w:t>
      </w:r>
    </w:p>
    <w:p>
      <w:pPr>
        <w:pStyle w:val="Text1"/>
        <w:pBdr>
          <w:top w:val="single" w:sz="4" w:space="0" w:color="000000"/>
          <w:left w:val="single" w:sz="4" w:space="0" w:color="000000"/>
          <w:bottom w:val="single" w:sz="4" w:space="0" w:color="000000"/>
          <w:right w:val="single" w:sz="4" w:space="0" w:color="000000"/>
        </w:pBdr>
        <w:rPr>
          <w:noProof/>
        </w:rPr>
      </w:pPr>
      <w:r>
        <w:rPr>
          <w:noProof/>
        </w:rPr>
        <w:t>Дейностите на Европейския корпус за солидарност допълват и са съвместими с редица съответни политики и програми на ЕС, по-специално тези, свързани с образование и обучение, заетост, равенство между половете, предприемачество (по-специално социално предприемачество), гражданство и демократично участие, околна среда и опазване на природата, действия в областта на климата, предотвратяване на бедствия, готовност при бедствия и възстановяване след тях; селско стопанство и развитие на селските райони; осигуряване на хранителни и нехранителни продукти; здраве и благосъстояние; творчество и култура; физическо възпитание и спорт; социално подпомагане и закрила; приемане и интегриране на граждани на трети държави; териториално сътрудничество и сближаване, трансгранично сътрудничество и хуманитарна помощ, като този списък не е изчерпателен.</w:t>
      </w:r>
    </w:p>
    <w:p>
      <w:pPr>
        <w:pStyle w:val="Text1"/>
        <w:pBdr>
          <w:top w:val="single" w:sz="4" w:space="0" w:color="000000"/>
          <w:left w:val="single" w:sz="4" w:space="0" w:color="000000"/>
          <w:bottom w:val="single" w:sz="4" w:space="0" w:color="000000"/>
          <w:right w:val="single" w:sz="4" w:space="0" w:color="000000"/>
        </w:pBdr>
        <w:rPr>
          <w:noProof/>
        </w:rPr>
      </w:pPr>
      <w:r>
        <w:rPr>
          <w:noProof/>
        </w:rPr>
        <w:t>По време на първия етап на Европейския корпус за солидарност, стартиран през декември 2016 г., бе поставено началото на осем различни програми на ЕС, предлагащи възможности за доброволчество, стаж или работа за младите хора в целия ЕС. В рамките на тези дейности, осъществявани както преди, така и след влизането в сила на предложения регламент, се прилагаха правилата и условията, определени от съответните програми на ЕС, които са ги финансирали през първия етап на Европейския корпус за солидарност.</w:t>
      </w:r>
    </w:p>
    <w:p>
      <w:pPr>
        <w:pStyle w:val="Text1"/>
        <w:pBdr>
          <w:top w:val="single" w:sz="4" w:space="0" w:color="000000"/>
          <w:left w:val="single" w:sz="4" w:space="0" w:color="000000"/>
          <w:bottom w:val="single" w:sz="4" w:space="0" w:color="000000"/>
          <w:right w:val="single" w:sz="4" w:space="0" w:color="000000"/>
        </w:pBdr>
        <w:rPr>
          <w:noProof/>
        </w:rPr>
      </w:pPr>
      <w:r>
        <w:rPr>
          <w:noProof/>
        </w:rPr>
        <w:t>През втория етап, който започва с влизането в сила на [Регламента за Европейския корпус за солидарност], няколко програми на ЕС ще са допринесли за Европейския корпус за солидарност. Някои от тях ще го подпомагат чрез вноски във финансовия пакет на Европейския корпус за солидарност; други — чрез подпомагащи дейности в рамките на обхвата му. Тези вноски се финансират съгласно съответните основни актове на въпросните програми.</w:t>
      </w:r>
    </w:p>
    <w:p>
      <w:pPr>
        <w:pStyle w:val="Text1"/>
        <w:pBdr>
          <w:top w:val="single" w:sz="4" w:space="0" w:color="000000"/>
          <w:left w:val="single" w:sz="4" w:space="0" w:color="000000"/>
          <w:bottom w:val="single" w:sz="4" w:space="0" w:color="000000"/>
          <w:right w:val="single" w:sz="4" w:space="0" w:color="000000"/>
        </w:pBdr>
        <w:rPr>
          <w:noProof/>
        </w:rPr>
      </w:pPr>
      <w:r>
        <w:rPr>
          <w:noProof/>
        </w:rPr>
        <w:t>Настоящото предложение представлява основата за трети етап на Европейския корпус за солидарност. Тъй като в новия разширен обхват се включват дейности, подпомагащи операции за хуманитарна помощ, за Европейския корпус за солидарност ще бъдат от полза допълнителни вноски в подкрепа на новия обхват на дейности. Изпълнението им ще се извършва в близко сътрудничество със съответните служби на Комисията.</w:t>
      </w:r>
    </w:p>
    <w:p>
      <w:pPr>
        <w:pStyle w:val="berschrift2"/>
        <w:rPr>
          <w:rFonts w:cs="Times New Roman"/>
          <w:noProof/>
          <w:color w:val="auto"/>
        </w:rPr>
      </w:pPr>
      <w:r>
        <w:rPr>
          <w:noProof/>
        </w:rPr>
        <w:br w:type="page"/>
      </w:r>
    </w:p>
    <w:p>
      <w:pPr>
        <w:pStyle w:val="ManualHeading2"/>
        <w:rPr>
          <w:noProof/>
        </w:rPr>
      </w:pPr>
      <w:r>
        <w:t>1.5.</w:t>
      </w:r>
      <w:r>
        <w:tab/>
      </w:r>
      <w:r>
        <w:rPr>
          <w:noProof/>
        </w:rPr>
        <w:t>Срок на действие и финансово отражение</w:t>
      </w:r>
    </w:p>
    <w:p>
      <w:pPr>
        <w:pStyle w:val="Text1"/>
        <w:rPr>
          <w:noProof/>
        </w:rPr>
      </w:pPr>
      <w:r>
        <w:rPr>
          <w:noProof/>
          <w:sz w:val="22"/>
        </w:rPr>
        <w:sym w:font="Wingdings" w:char="F0FE"/>
      </w:r>
      <w:r>
        <w:rPr>
          <w:b/>
          <w:i/>
          <w:noProof/>
        </w:rPr>
        <w:t xml:space="preserve"> </w:t>
      </w:r>
      <w:r>
        <w:rPr>
          <w:b/>
          <w:noProof/>
        </w:rPr>
        <w:t>ограничен срок на действие</w:t>
      </w:r>
    </w:p>
    <w:p>
      <w:pPr>
        <w:pStyle w:val="ListDash2"/>
        <w:rPr>
          <w:noProof/>
        </w:rPr>
      </w:pPr>
      <w:r>
        <w:rPr>
          <w:noProof/>
          <w:sz w:val="22"/>
        </w:rPr>
        <w:sym w:font="Wingdings" w:char="F0FE"/>
      </w:r>
      <w:r>
        <w:rPr>
          <w:noProof/>
        </w:rPr>
        <w:tab/>
        <w:t>В сила от 1.1.2021 г. до 31.12.2027 г.</w:t>
      </w:r>
    </w:p>
    <w:p>
      <w:pPr>
        <w:pStyle w:val="ListDash2"/>
        <w:rPr>
          <w:noProof/>
        </w:rPr>
      </w:pPr>
      <w:r>
        <w:rPr>
          <w:noProof/>
          <w:sz w:val="22"/>
        </w:rPr>
        <w:sym w:font="Wingdings" w:char="F0FE"/>
      </w:r>
      <w:r>
        <w:rPr>
          <w:noProof/>
        </w:rPr>
        <w:tab/>
        <w:t>Финансово отражение от 2021 г. до 2027 г. за бюджетните кредити за поети задължения и от 2021 г. до 2032 г. за бюджетните кредити за плащания.</w:t>
      </w:r>
    </w:p>
    <w:p>
      <w:pPr>
        <w:pStyle w:val="Text1"/>
        <w:rPr>
          <w:b/>
          <w:noProof/>
          <w:sz w:val="22"/>
        </w:rPr>
      </w:pPr>
      <w:r>
        <w:rPr>
          <w:b/>
          <w:noProof/>
          <w:sz w:val="22"/>
        </w:rPr>
        <w:sym w:font="Wingdings" w:char="F0A8"/>
      </w:r>
      <w:r>
        <w:rPr>
          <w:b/>
          <w:noProof/>
          <w:sz w:val="22"/>
        </w:rPr>
        <w:t xml:space="preserve"> неограничен срок на действие</w:t>
      </w:r>
    </w:p>
    <w:p>
      <w:pPr>
        <w:pStyle w:val="ListDash1"/>
        <w:numPr>
          <w:ilvl w:val="0"/>
          <w:numId w:val="48"/>
        </w:numPr>
        <w:pBdr>
          <w:top w:val="nil"/>
          <w:left w:val="nil"/>
          <w:bottom w:val="nil"/>
          <w:right w:val="nil"/>
          <w:between w:val="nil"/>
          <w:bar w:val="nil"/>
        </w:pBdr>
        <w:tabs>
          <w:tab w:val="left" w:pos="1134"/>
        </w:tabs>
        <w:rPr>
          <w:noProof/>
        </w:rPr>
      </w:pPr>
      <w:r>
        <w:rPr>
          <w:noProof/>
        </w:rPr>
        <w:t>Осъществяване с период на започване на дейност от ГГГГ г. до ГГГГ г., последван от функциониране с пълен капацитет.</w:t>
      </w:r>
    </w:p>
    <w:p>
      <w:pPr>
        <w:pStyle w:val="ManualHeading2"/>
        <w:rPr>
          <w:noProof/>
        </w:rPr>
      </w:pPr>
      <w:r>
        <w:t>1.6.</w:t>
      </w:r>
      <w:r>
        <w:tab/>
      </w:r>
      <w:r>
        <w:rPr>
          <w:noProof/>
        </w:rPr>
        <w:t>Планирани методи на управление</w:t>
      </w:r>
      <w:r>
        <w:rPr>
          <w:rStyle w:val="FootnoteReference"/>
          <w:noProof/>
        </w:rPr>
        <w:footnoteReference w:id="37"/>
      </w:r>
    </w:p>
    <w:p>
      <w:pPr>
        <w:pStyle w:val="Text1"/>
        <w:rPr>
          <w:noProof/>
        </w:rPr>
      </w:pPr>
      <w:r>
        <w:rPr>
          <w:noProof/>
          <w:sz w:val="22"/>
        </w:rPr>
        <w:sym w:font="Wingdings" w:char="F0FE"/>
      </w:r>
      <w:r>
        <w:rPr>
          <w:i/>
          <w:noProof/>
        </w:rPr>
        <w:t xml:space="preserve"> </w:t>
      </w:r>
      <w:r>
        <w:rPr>
          <w:b/>
          <w:noProof/>
        </w:rPr>
        <w:t>Пряко управление</w:t>
      </w:r>
      <w:r>
        <w:rPr>
          <w:noProof/>
        </w:rPr>
        <w:t xml:space="preserve"> от Комисията</w:t>
      </w:r>
    </w:p>
    <w:p>
      <w:pPr>
        <w:pStyle w:val="ListDash2"/>
        <w:rPr>
          <w:noProof/>
        </w:rPr>
      </w:pPr>
      <w:r>
        <w:rPr>
          <w:noProof/>
          <w:sz w:val="22"/>
        </w:rPr>
        <w:sym w:font="Wingdings" w:char="F0FE"/>
      </w:r>
      <w:r>
        <w:rPr>
          <w:noProof/>
        </w:rPr>
        <w:tab/>
        <w:t>от нейните служби, включително от нейния персонал в делегациите на Съюза;</w:t>
      </w:r>
    </w:p>
    <w:p>
      <w:pPr>
        <w:pStyle w:val="ListDash2"/>
        <w:rPr>
          <w:noProof/>
        </w:rPr>
      </w:pPr>
      <w:r>
        <w:rPr>
          <w:noProof/>
          <w:sz w:val="22"/>
        </w:rPr>
        <w:sym w:font="Wingdings" w:char="F0FE"/>
      </w:r>
      <w:r>
        <w:rPr>
          <w:noProof/>
        </w:rPr>
        <w:tab/>
        <w:t>от изпълнителните агенции</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w:t>
      </w:r>
    </w:p>
    <w:p>
      <w:pPr>
        <w:pStyle w:val="Text1"/>
        <w:rPr>
          <w:noProof/>
        </w:rPr>
      </w:pPr>
      <w:r>
        <w:rPr>
          <w:noProof/>
          <w:sz w:val="22"/>
        </w:rPr>
        <w:sym w:font="Wingdings" w:char="F0FE"/>
      </w:r>
      <w:r>
        <w:rPr>
          <w:i/>
          <w:noProof/>
        </w:rPr>
        <w:t xml:space="preserve"> </w:t>
      </w:r>
      <w:r>
        <w:rPr>
          <w:b/>
          <w:noProof/>
        </w:rPr>
        <w:t>Непряко управление</w:t>
      </w:r>
      <w:r>
        <w:rPr>
          <w:noProof/>
        </w:rPr>
        <w:t xml:space="preserve"> чрез възлагане на задачи по изпълнението на бюджета:</w:t>
      </w:r>
    </w:p>
    <w:p>
      <w:pPr>
        <w:pStyle w:val="ListDash2"/>
        <w:rPr>
          <w:noProof/>
        </w:rPr>
      </w:pPr>
      <w:r>
        <w:rPr>
          <w:noProof/>
        </w:rPr>
        <w:sym w:font="Wingdings" w:char="F0A8"/>
      </w:r>
      <w:r>
        <w:rPr>
          <w:noProof/>
        </w:rPr>
        <w:tab/>
        <w:t>трети държави или на органите, определени от тях;</w:t>
      </w:r>
    </w:p>
    <w:p>
      <w:pPr>
        <w:pStyle w:val="ListDash2"/>
        <w:rPr>
          <w:noProof/>
        </w:rPr>
      </w:pPr>
      <w:r>
        <w:rPr>
          <w:noProof/>
        </w:rPr>
        <w:sym w:font="Wingdings" w:char="F0A8"/>
      </w:r>
      <w:r>
        <w:rPr>
          <w:noProof/>
        </w:rPr>
        <w:tab/>
        <w:t>международни организации и техните агенции (да се уточни);</w:t>
      </w:r>
    </w:p>
    <w:p>
      <w:pPr>
        <w:pStyle w:val="ListDash2"/>
        <w:rPr>
          <w:noProof/>
        </w:rPr>
      </w:pPr>
      <w:r>
        <w:rPr>
          <w:noProof/>
        </w:rPr>
        <w:sym w:font="Wingdings" w:char="F0A8"/>
      </w:r>
      <w:r>
        <w:rPr>
          <w:noProof/>
        </w:rPr>
        <w:tab/>
        <w:t>ЕИБ и Европейския инвестиционен фонд;</w:t>
      </w:r>
    </w:p>
    <w:p>
      <w:pPr>
        <w:pStyle w:val="ListDash2"/>
        <w:rPr>
          <w:noProof/>
        </w:rPr>
      </w:pPr>
      <w:r>
        <w:rPr>
          <w:noProof/>
        </w:rPr>
        <w:sym w:font="Wingdings" w:char="F0A8"/>
      </w:r>
      <w:r>
        <w:rPr>
          <w:noProof/>
        </w:rPr>
        <w:tab/>
        <w:t>органите, посочени в членове 70 и 71 от Финансовия регламент;</w:t>
      </w:r>
    </w:p>
    <w:p>
      <w:pPr>
        <w:pStyle w:val="ListDash2"/>
        <w:rPr>
          <w:noProof/>
        </w:rPr>
      </w:pPr>
      <w:r>
        <w:rPr>
          <w:noProof/>
        </w:rPr>
        <w:sym w:font="Wingdings" w:char="F0A8"/>
      </w:r>
      <w:r>
        <w:rPr>
          <w:noProof/>
        </w:rPr>
        <w:tab/>
        <w:t>публичноправни органи;</w:t>
      </w:r>
    </w:p>
    <w:p>
      <w:pPr>
        <w:pStyle w:val="ListDash2"/>
        <w:rPr>
          <w:noProof/>
        </w:rPr>
      </w:pPr>
      <w:r>
        <w:rPr>
          <w:noProof/>
        </w:rPr>
        <w:sym w:font="Wingdings" w:char="F0A8"/>
      </w:r>
      <w:r>
        <w:rPr>
          <w:noProof/>
        </w:rPr>
        <w:tab/>
        <w:t>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sz w:val="22"/>
        </w:rPr>
        <w:sym w:font="Wingdings" w:char="F0FE"/>
      </w:r>
      <w:r>
        <w:rPr>
          <w:noProof/>
        </w:rPr>
        <w:tab/>
        <w:t>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ab/>
        <w:t>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Забележки</w:t>
      </w:r>
    </w:p>
    <w:p>
      <w:pPr>
        <w:pStyle w:val="Text"/>
        <w:pBdr>
          <w:top w:val="single" w:sz="4" w:space="0" w:color="000000"/>
          <w:left w:val="single" w:sz="4" w:space="0" w:color="000000"/>
          <w:bottom w:val="single" w:sz="4" w:space="0" w:color="000000"/>
          <w:right w:val="single" w:sz="4" w:space="0" w:color="000000"/>
        </w:pBdr>
        <w:rPr>
          <w:noProof/>
          <w:color w:val="auto"/>
        </w:rPr>
      </w:pPr>
      <w:r>
        <w:rPr>
          <w:noProof/>
          <w:color w:val="auto"/>
        </w:rPr>
        <w:t>Управлението на главните дейности на Европейския корпус за солидарност ще бъде поверено на националните агенции, отговарящи за изпълнението на децентрализирани дейности по програмата „Еразъм+“. Тези органи ще отговарят за дейности като: знак за качество и обучение, доброволчество, стажове и работа, проекти за солидарност, дейности за изграждане на мрежи и ресурсни центрове.</w:t>
      </w:r>
    </w:p>
    <w:p>
      <w:pPr>
        <w:pStyle w:val="Text"/>
        <w:pBdr>
          <w:top w:val="single" w:sz="4" w:space="0" w:color="000000"/>
          <w:left w:val="single" w:sz="4" w:space="0" w:color="000000"/>
          <w:bottom w:val="single" w:sz="4" w:space="0" w:color="000000"/>
          <w:right w:val="single" w:sz="4" w:space="0" w:color="000000"/>
        </w:pBdr>
        <w:rPr>
          <w:noProof/>
          <w:color w:val="auto"/>
        </w:rPr>
      </w:pPr>
      <w:r>
        <w:rPr>
          <w:noProof/>
          <w:color w:val="auto"/>
        </w:rPr>
        <w:t>Европейската комисия, отчасти чрез Изпълнителната агенция за образование, аудиовизия и култура, ще управлява дейности за предоставяне на хоризонтални услуги на участниците в Европейския корпус за солидарност (т.е. портал, онлайн обучение, езикова помощ онлайн, застраховка) както и част от дейностите като знак за качество, дейности за солидарност (за организации с определен профил или за определени видове дейности) и работа в мрежа (за дейности на европейско равнище).</w:t>
      </w:r>
    </w:p>
    <w:p>
      <w:pPr>
        <w:pStyle w:val="ManualHeading1"/>
        <w:rPr>
          <w:noProof/>
        </w:rPr>
      </w:pPr>
      <w:r>
        <w:t>2.</w:t>
      </w:r>
      <w:r>
        <w:tab/>
      </w:r>
      <w:r>
        <w:rPr>
          <w:noProof/>
        </w:rPr>
        <w:t>МЕРКИ ЗА УПРАВЛЕНИЕ</w:t>
      </w:r>
    </w:p>
    <w:p>
      <w:pPr>
        <w:pStyle w:val="ManualHeading2"/>
        <w:rPr>
          <w:noProof/>
        </w:rPr>
      </w:pPr>
      <w:r>
        <w:t>2.1.</w:t>
      </w:r>
      <w:r>
        <w:tab/>
      </w:r>
      <w:r>
        <w:rPr>
          <w:noProof/>
        </w:rPr>
        <w:t>Правила за мониторинг и докладване</w:t>
      </w:r>
    </w:p>
    <w:p>
      <w:pPr>
        <w:pStyle w:val="Text1"/>
        <w:rPr>
          <w:i/>
          <w:iCs/>
          <w:noProof/>
          <w:sz w:val="20"/>
          <w:szCs w:val="20"/>
          <w:u w:val="single"/>
        </w:rPr>
      </w:pPr>
      <w:r>
        <w:rPr>
          <w:i/>
          <w:noProof/>
          <w:sz w:val="20"/>
        </w:rPr>
        <w:t>Да се посочат честотата и условията.</w:t>
      </w:r>
    </w:p>
    <w:p>
      <w:pPr>
        <w:pStyle w:val="Text1"/>
        <w:pBdr>
          <w:top w:val="single" w:sz="4" w:space="0" w:color="000000"/>
          <w:left w:val="single" w:sz="4" w:space="0" w:color="000000"/>
          <w:bottom w:val="single" w:sz="4" w:space="0" w:color="000000"/>
          <w:right w:val="single" w:sz="4" w:space="0" w:color="000000"/>
        </w:pBdr>
        <w:rPr>
          <w:noProof/>
        </w:rPr>
      </w:pPr>
      <w:r>
        <w:rPr>
          <w:noProof/>
        </w:rPr>
        <w:t>Механизмът за мониторинг и оценка на Европейския корпус за солидарност ще обхваща постоянен мониторинг за определяне на напредъка и оценка за оценяване на съществуващите данни относно ефективността на постигнатите резултати.</w:t>
      </w:r>
    </w:p>
    <w:p>
      <w:pPr>
        <w:pStyle w:val="Text1"/>
        <w:pBdr>
          <w:top w:val="single" w:sz="4" w:space="0" w:color="000000"/>
          <w:left w:val="single" w:sz="4" w:space="0" w:color="000000"/>
          <w:bottom w:val="single" w:sz="4" w:space="0" w:color="000000"/>
          <w:right w:val="single" w:sz="4" w:space="0" w:color="000000"/>
        </w:pBdr>
        <w:rPr>
          <w:noProof/>
        </w:rPr>
      </w:pPr>
      <w:r>
        <w:rPr>
          <w:noProof/>
        </w:rPr>
        <w:t>Мерките за мониторинг ще се основават на обстоен анализ на количествените и качествените крайни продукти на Европейския корпус за солидарност. Количествените крайни продукти ще се събират систематично чрез информационните системи, въведени за управлението на дейността на Европейския корпус за солидарност. Качествените крайни продукти ще се наблюдават чрез периодични проучвания, обхващащи както участващи граждани, така и участващи организации. Мерките за докладване и оценка от всички изпълнителни органи ще осигурят подробно наблюдение на изпълнението на предложението.</w:t>
      </w:r>
    </w:p>
    <w:p>
      <w:pPr>
        <w:pStyle w:val="Text1"/>
        <w:pBdr>
          <w:top w:val="single" w:sz="4" w:space="0" w:color="000000"/>
          <w:left w:val="single" w:sz="4" w:space="0" w:color="000000"/>
          <w:bottom w:val="single" w:sz="4" w:space="0" w:color="000000"/>
          <w:right w:val="single" w:sz="4" w:space="0" w:color="000000"/>
        </w:pBdr>
        <w:rPr>
          <w:noProof/>
        </w:rPr>
      </w:pPr>
      <w:r>
        <w:rPr>
          <w:noProof/>
        </w:rPr>
        <w:t>Програмата също ще бъде подложена на независима оценка четири години след датата на приемането ѝ, за да се оценят качествените крайни продукти от подпомаганите дейности, включително тяхното въздействие върху младите хора и организациите, както и наблюдаваното през първите четири години увеличаване на ефективността. При оценката следва да се вземат под внимание съществуващите данни за ефективността и отражението на резултатите, постигнати от Европейския корпус за солидарност. Източниците за проверка ще включват данните от мониторинг, информацията, включена в работните планове и в докладите на изпълнителните органи, резултатите от разпространението на информация, основани на факти проучвания, анкети и др.</w:t>
      </w:r>
    </w:p>
    <w:p>
      <w:pPr>
        <w:pStyle w:val="ManualHeading2"/>
        <w:rPr>
          <w:noProof/>
        </w:rPr>
      </w:pPr>
      <w:r>
        <w:t>2.2.</w:t>
      </w:r>
      <w:r>
        <w:tab/>
      </w:r>
      <w:r>
        <w:rPr>
          <w:noProof/>
        </w:rPr>
        <w:t>Системи за управление и контрол</w:t>
      </w:r>
    </w:p>
    <w:p>
      <w:pPr>
        <w:pStyle w:val="ManualHeading3"/>
        <w:rPr>
          <w:noProof/>
        </w:rPr>
      </w:pPr>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p>
    <w:p>
      <w:pPr>
        <w:pStyle w:val="Text1"/>
        <w:pBdr>
          <w:top w:val="single" w:sz="4" w:space="0" w:color="000000"/>
          <w:left w:val="single" w:sz="4" w:space="0" w:color="000000"/>
          <w:bottom w:val="single" w:sz="4" w:space="0" w:color="000000"/>
          <w:right w:val="single" w:sz="4" w:space="0" w:color="000000"/>
        </w:pBdr>
        <w:rPr>
          <w:noProof/>
        </w:rPr>
      </w:pPr>
      <w:r>
        <w:rPr>
          <w:noProof/>
        </w:rPr>
        <w:t>В съответствие с анализа, направен в контекста на предварителната оценка, приложена към настоящото предложение, и за да се осигури ефективно и ефикасно изпълнение и полезни взаимодействия, и да се намали до минимум административната тежест, Европейският корпус за солидарност ще използва съществуващите механизми за управление и изпълнение, вече създадени за програмата „Еразъм+“. Въз основа на положителния опит от изпълнението на тази програма, както и нейните структури, предложението осигурява ясно разделение на програмните задачи за управление между Комисията, националните агенции, създадени по програма „Еразъм+“ и Изпълнителната агенция за образование, аудиовизия и култура (EACEA). От нейното създаване през 2006 г. досега EACEA реализира части от програмите „Еразъм+“, „Творческа Европа“, „Европа за гражданите“ и „Доброволци на ЕС за хуманитарна помощ“ (и програмите — техни предшественици), както потвърждават няколко независими външни оценки. В резултат на препоръките на Службата за вътрешен одит EACEA е в процес на усъвършенстване на своите процедури. Успоредно с това успешният модел на национални агенции по програмата „Еразъм+“ показа видими резултати и ефективност, съчетани с високо равнище на сигурност и добро финансово управление.</w:t>
      </w:r>
    </w:p>
    <w:p>
      <w:pPr>
        <w:pStyle w:val="ManualHeading3"/>
        <w:rPr>
          <w:noProof/>
        </w:rPr>
      </w:pPr>
      <w:r>
        <w:t>2.2.2.</w:t>
      </w:r>
      <w:r>
        <w:tab/>
      </w:r>
      <w:r>
        <w:rPr>
          <w:noProof/>
        </w:rPr>
        <w:t>Информация относно установените рискове и системите за вътрешен контрол, създадени с цел намаляването им</w:t>
      </w:r>
    </w:p>
    <w:p>
      <w:pPr>
        <w:pStyle w:val="Text1"/>
        <w:pBdr>
          <w:top w:val="single" w:sz="4" w:space="0" w:color="000000"/>
          <w:left w:val="single" w:sz="4" w:space="0" w:color="000000"/>
          <w:bottom w:val="single" w:sz="4" w:space="0" w:color="000000"/>
          <w:right w:val="single" w:sz="4" w:space="0" w:color="000000"/>
        </w:pBdr>
        <w:rPr>
          <w:noProof/>
        </w:rPr>
      </w:pPr>
      <w:r>
        <w:rPr>
          <w:noProof/>
        </w:rPr>
        <w:t>В предварителната оценка бяха установи шест потенциални рискове, които трябва да бъдат наблюдавани:</w:t>
      </w:r>
    </w:p>
    <w:p>
      <w:pPr>
        <w:pStyle w:val="Text1"/>
        <w:pBdr>
          <w:top w:val="single" w:sz="4" w:space="0" w:color="000000"/>
          <w:left w:val="single" w:sz="4" w:space="0" w:color="000000"/>
          <w:bottom w:val="single" w:sz="4" w:space="0" w:color="000000"/>
          <w:right w:val="single" w:sz="4" w:space="0" w:color="000000"/>
        </w:pBdr>
        <w:rPr>
          <w:noProof/>
        </w:rPr>
      </w:pPr>
      <w:r>
        <w:rPr>
          <w:noProof/>
        </w:rPr>
        <w:t>- недостигът на млади хора, регистрирани в базата данни с необходимата мотивация за дейности за солидарност.</w:t>
      </w:r>
    </w:p>
    <w:p>
      <w:pPr>
        <w:pStyle w:val="Text1"/>
        <w:pBdr>
          <w:top w:val="single" w:sz="4" w:space="0" w:color="000000"/>
          <w:left w:val="single" w:sz="4" w:space="0" w:color="000000"/>
          <w:bottom w:val="single" w:sz="4" w:space="0" w:color="000000"/>
          <w:right w:val="single" w:sz="4" w:space="0" w:color="000000"/>
        </w:pBdr>
        <w:rPr>
          <w:noProof/>
        </w:rPr>
      </w:pPr>
      <w:r>
        <w:rPr>
          <w:noProof/>
        </w:rPr>
        <w:t>- недостигът на оферти от организации или оферти, които не отговарят на интересите на младите участници в Европейския корпус за солидарност.</w:t>
      </w:r>
    </w:p>
    <w:p>
      <w:pPr>
        <w:pStyle w:val="Text1"/>
        <w:pBdr>
          <w:top w:val="single" w:sz="4" w:space="0" w:color="000000"/>
          <w:left w:val="single" w:sz="4" w:space="0" w:color="000000"/>
          <w:bottom w:val="single" w:sz="4" w:space="0" w:color="000000"/>
          <w:right w:val="single" w:sz="4" w:space="0" w:color="000000"/>
        </w:pBdr>
        <w:rPr>
          <w:noProof/>
        </w:rPr>
      </w:pPr>
      <w:r>
        <w:rPr>
          <w:noProof/>
        </w:rPr>
        <w:t>- участващите организации могат да извършат измами и нередности с получени средства.</w:t>
      </w:r>
    </w:p>
    <w:p>
      <w:pPr>
        <w:pStyle w:val="Text1"/>
        <w:pBdr>
          <w:top w:val="single" w:sz="4" w:space="0" w:color="000000"/>
          <w:left w:val="single" w:sz="4" w:space="0" w:color="000000"/>
          <w:bottom w:val="single" w:sz="4" w:space="0" w:color="000000"/>
          <w:right w:val="single" w:sz="4" w:space="0" w:color="000000"/>
        </w:pBdr>
        <w:rPr>
          <w:noProof/>
        </w:rPr>
      </w:pPr>
      <w:r>
        <w:rPr>
          <w:noProof/>
        </w:rPr>
        <w:t>- измамите, извършени от участници, водят до увеличение на цялостните разходи за застраховка.</w:t>
      </w:r>
    </w:p>
    <w:p>
      <w:pPr>
        <w:pStyle w:val="Text1"/>
        <w:pBdr>
          <w:top w:val="single" w:sz="4" w:space="0" w:color="000000"/>
          <w:left w:val="single" w:sz="4" w:space="0" w:color="000000"/>
          <w:bottom w:val="single" w:sz="4" w:space="0" w:color="000000"/>
          <w:right w:val="single" w:sz="4" w:space="0" w:color="000000"/>
        </w:pBdr>
        <w:rPr>
          <w:noProof/>
        </w:rPr>
      </w:pPr>
      <w:r>
        <w:rPr>
          <w:noProof/>
        </w:rPr>
        <w:t>- поради бързо променящата се среда в трета държава разполагането на доброволци става опасно.</w:t>
      </w:r>
    </w:p>
    <w:p>
      <w:pPr>
        <w:pStyle w:val="Text1"/>
        <w:pBdr>
          <w:top w:val="single" w:sz="4" w:space="0" w:color="000000"/>
          <w:left w:val="single" w:sz="4" w:space="0" w:color="000000"/>
          <w:bottom w:val="single" w:sz="4" w:space="0" w:color="000000"/>
          <w:right w:val="single" w:sz="4" w:space="0" w:color="000000"/>
        </w:pBdr>
        <w:rPr>
          <w:noProof/>
        </w:rPr>
      </w:pPr>
      <w:r>
        <w:rPr>
          <w:noProof/>
        </w:rPr>
        <w:t>- разсейване на свързаните с хуманитарна помощ дейности на фона на други дейности на Европейския корпус за солидарност.</w:t>
      </w:r>
    </w:p>
    <w:p>
      <w:pPr>
        <w:pStyle w:val="Text1"/>
        <w:pBdr>
          <w:top w:val="single" w:sz="4" w:space="0" w:color="000000"/>
          <w:left w:val="single" w:sz="4" w:space="0" w:color="000000"/>
          <w:bottom w:val="single" w:sz="4" w:space="0" w:color="000000"/>
          <w:right w:val="single" w:sz="4" w:space="0" w:color="000000"/>
        </w:pBdr>
        <w:rPr>
          <w:noProof/>
        </w:rPr>
      </w:pPr>
      <w:r>
        <w:rPr>
          <w:noProof/>
        </w:rPr>
        <w:t>За всеки от тези рискове бе извършен анализ с оценка на тяхната вероятност и въздействие върху програмата в случай, че се реализират. Осен това в предварителната оценка за всеки риск бяха предложени смекчаващи мерки.</w:t>
      </w:r>
    </w:p>
    <w:p>
      <w:pPr>
        <w:pStyle w:val="Text1"/>
        <w:pBdr>
          <w:top w:val="single" w:sz="4" w:space="0" w:color="000000"/>
          <w:left w:val="single" w:sz="4" w:space="0" w:color="000000"/>
          <w:bottom w:val="single" w:sz="4" w:space="0" w:color="000000"/>
          <w:right w:val="single" w:sz="4" w:space="0" w:color="000000"/>
        </w:pBdr>
        <w:rPr>
          <w:noProof/>
        </w:rPr>
      </w:pPr>
      <w:r>
        <w:rPr>
          <w:noProof/>
        </w:rPr>
        <w:t>Системата за контрол за инициативата ще бъде установена по начин, който ще гарантира резултатност на контрола и неговата разходна ефективност. Рамките на Комисията за надзор и изпълнение ще осигурят високо равнище на мониторинг и обратна информация в полза на политическия подход.</w:t>
      </w:r>
    </w:p>
    <w:p>
      <w:pPr>
        <w:pStyle w:val="ManualHeading3"/>
        <w:rPr>
          <w:noProof/>
        </w:rPr>
      </w:pPr>
      <w:r>
        <w:t>2.2.3.</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p>
    <w:p>
      <w:pPr>
        <w:pStyle w:val="Text1"/>
        <w:pBdr>
          <w:top w:val="single" w:sz="4" w:space="0" w:color="000000"/>
          <w:left w:val="single" w:sz="4" w:space="0" w:color="000000"/>
          <w:bottom w:val="single" w:sz="4" w:space="0" w:color="000000"/>
          <w:right w:val="single" w:sz="4" w:space="0" w:color="000000"/>
        </w:pBdr>
        <w:rPr>
          <w:noProof/>
        </w:rPr>
      </w:pPr>
      <w:r>
        <w:rPr>
          <w:noProof/>
        </w:rPr>
        <w:t>Преценката на Комисията е, че общите разходи за проверките са ниски и са в диапазона 1—5 % от управлявания бюджет в зависимост от използваната мярка (бюджетът Изпълнителната агенция за образование, аудиовизия и култура се изключва). Тези разходи са пропорционални и ефективни предвид вероятния риск от грешки ако такива проверки не се извършват и предвид изискването за се осигури процент грешки под 2 %. Въз основа на опита с настоящия Европейски корпус за солидарност и предшестващата го програма на Европейската доброволческа служба, очакваният риск от грешки е под 2 %.</w:t>
      </w:r>
    </w:p>
    <w:p>
      <w:pPr>
        <w:pStyle w:val="ManualHeading2"/>
        <w:rPr>
          <w:noProof/>
        </w:rPr>
      </w:pPr>
      <w:r>
        <w:t>2.3.</w:t>
      </w:r>
      <w:r>
        <w:tab/>
      </w:r>
      <w:r>
        <w:rPr>
          <w:noProof/>
        </w:rPr>
        <w:t>Мерки за предотвратяване на измами и нередности</w:t>
      </w:r>
    </w:p>
    <w:p>
      <w:pPr>
        <w:pStyle w:val="Text1"/>
        <w:rPr>
          <w:i/>
          <w:iCs/>
          <w:noProof/>
          <w:sz w:val="20"/>
          <w:szCs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0" w:color="000000"/>
          <w:left w:val="single" w:sz="4" w:space="0" w:color="000000"/>
          <w:bottom w:val="single" w:sz="4" w:space="0" w:color="000000"/>
          <w:right w:val="single" w:sz="4" w:space="0" w:color="000000"/>
        </w:pBdr>
        <w:rPr>
          <w:noProof/>
        </w:rPr>
      </w:pPr>
      <w:r>
        <w:rPr>
          <w:noProof/>
        </w:rPr>
        <w:t>Проверките, насочени към предотвратяване и откриване на измами, не се различават от проверките с цел гарантиране на законосъобразността и редовността на транзакциите (неволните грешки). Всяка година Комисията преглежда всички доклади от националните агенции относно възможни измами и нередности. Тези случаи се проследяват главно на национално равнище, където националните агенции имат пряк достъп до средства за правна защита и сезиране при случаи на измама.</w:t>
      </w:r>
    </w:p>
    <w:p>
      <w:pPr>
        <w:pStyle w:val="Text1"/>
        <w:pBdr>
          <w:top w:val="single" w:sz="4" w:space="0" w:color="000000"/>
          <w:left w:val="single" w:sz="4" w:space="0" w:color="000000"/>
          <w:bottom w:val="single" w:sz="4" w:space="0" w:color="000000"/>
          <w:right w:val="single" w:sz="4" w:space="0" w:color="000000"/>
        </w:pBdr>
        <w:rPr>
          <w:noProof/>
        </w:rPr>
      </w:pPr>
      <w:r>
        <w:rPr>
          <w:noProof/>
        </w:rPr>
        <w:t>Службите на Комисията съдействат на продължаващите разследвания на OLAF и организират последващите действия след завършени разследвания на OLAF. Финансовите загуби за бюджета на ЕС в резултат от измами, констатирани според окончателните доклади на OLAF при програми с подобни правила за финансиране и заинтересовани страни, са ниски. Случаите се насочват към OLAF и към IDOC както е целесъобразно, но по значителен брой случаи последващи действия се предприемат през годината директно с националните агенции и националните органи, които имат пряк достъп до съответните съдебни органи и органи за борба с измамите.</w:t>
      </w:r>
    </w:p>
    <w:p>
      <w:pPr>
        <w:pStyle w:val="Text1"/>
        <w:pBdr>
          <w:top w:val="single" w:sz="4" w:space="0" w:color="000000"/>
          <w:left w:val="single" w:sz="4" w:space="0" w:color="000000"/>
          <w:bottom w:val="single" w:sz="4" w:space="0" w:color="000000"/>
          <w:right w:val="single" w:sz="4" w:space="0" w:color="000000"/>
        </w:pBdr>
        <w:rPr>
          <w:noProof/>
        </w:rPr>
      </w:pPr>
      <w:r>
        <w:rPr>
          <w:noProof/>
        </w:rPr>
        <w:t>Службите на Комисията, изпълняващи тази дейност са разработили и от 2014 г. прилагат собствена стратегия за борба с измамите, създадена въз основа на методика, предоставена от OLAF. Тази стратегия редовно се актуализира и където е уместно се допълва (последно през 2017 г.) с процедурни документи на по-ниско равнище, описващи как случаите се отнасят за разглеждане и какви последващи действия се предприемат.</w:t>
      </w:r>
    </w:p>
    <w:p>
      <w:pPr>
        <w:pStyle w:val="Text1"/>
        <w:pBdr>
          <w:top w:val="single" w:sz="4" w:space="0" w:color="000000"/>
          <w:left w:val="single" w:sz="4" w:space="0" w:color="000000"/>
          <w:bottom w:val="single" w:sz="4" w:space="0" w:color="000000"/>
          <w:right w:val="single" w:sz="4" w:space="0" w:color="000000"/>
        </w:pBdr>
        <w:rPr>
          <w:noProof/>
        </w:rPr>
      </w:pPr>
      <w:r>
        <w:rPr>
          <w:noProof/>
        </w:rPr>
        <w:t>Според заключенията на междинната оценка на програмата „Еразъм+“, и като се има предвид факта, че мащабът на измамите в рамките на програмата е изключително ограничен и до голяма степен е ограничен до случаи на многократно подаване на заявления за участие в проекти или на ръководители на проекти, които не спазват задълженията си, съществуващите мерки се считат за подходящи и пропорционални. Като се има предвид равнището на въздействие на измамите, с които предложената програма потенциално може да се сблъска, по-специално финансовите щети, регистрирани от Европейската служба за борба с измамите, остатъчният риск от измами не оправдава допълнителни мерки. Службите на Комисията поддържат тясно сътрудничество с OLAF и от близо следят съществуващите случаи. По тази причина може да се направи положително заключение относно гаранциите по отношение на риска от измами.</w:t>
      </w:r>
    </w:p>
    <w:p>
      <w:pPr>
        <w:pStyle w:val="ManualHeading1"/>
        <w:rPr>
          <w:noProof/>
        </w:rPr>
      </w:pPr>
      <w:r>
        <w:t>3.</w:t>
      </w:r>
      <w:r>
        <w:tab/>
      </w:r>
      <w:r>
        <w:rPr>
          <w:noProof/>
        </w:rPr>
        <w:t>ОЧАКВАНО ФИНАНСОВО ОТРАЖЕНИЕ НА ПРЕДЛОЖЕНИЕТО/ИНИЦИАТИВАТА</w:t>
      </w:r>
      <w:r>
        <w:rPr>
          <w:rStyle w:val="FootnoteReference"/>
          <w:noProof/>
        </w:rPr>
        <w:footnoteReference w:id="38"/>
      </w:r>
    </w:p>
    <w:p>
      <w:pPr>
        <w:pStyle w:val="ManualHeading2"/>
        <w:rPr>
          <w:noProof/>
        </w:rPr>
      </w:pPr>
      <w:r>
        <w:t>3.1.</w:t>
      </w:r>
      <w:r>
        <w:tab/>
      </w:r>
      <w:r>
        <w:rPr>
          <w:noProof/>
        </w:rPr>
        <w:t>Функция от многогодишната финансова рамка и предложени нови разходни бюджетни редове</w:t>
      </w:r>
    </w:p>
    <w:tbl>
      <w:tblPr>
        <w:tblW w:w="1056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0"/>
        <w:gridCol w:w="3960"/>
        <w:gridCol w:w="1189"/>
        <w:gridCol w:w="847"/>
        <w:gridCol w:w="1080"/>
        <w:gridCol w:w="956"/>
        <w:gridCol w:w="1448"/>
      </w:tblGrid>
      <w:tr>
        <w:trPr>
          <w:trHeight w:val="64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Функция от многогодишната финансова рамка</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0"/>
              </w:rPr>
              <w:t>Бюджетен ред</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sz w:val="18"/>
                <w:szCs w:val="18"/>
              </w:rPr>
            </w:pPr>
            <w:r>
              <w:rPr>
                <w:noProof/>
                <w:sz w:val="18"/>
                <w:szCs w:val="18"/>
              </w:rPr>
              <w:t>Вид на</w:t>
            </w:r>
            <w:r>
              <w:rPr>
                <w:noProof/>
                <w:sz w:val="18"/>
                <w:szCs w:val="18"/>
                <w:lang w:val="en-GB"/>
              </w:rPr>
              <w:t xml:space="preserve"> </w:t>
            </w:r>
            <w:r>
              <w:rPr>
                <w:noProof/>
                <w:color w:val="auto"/>
                <w:sz w:val="18"/>
                <w:szCs w:val="18"/>
              </w:rPr>
              <w:t>разхода</w:t>
            </w:r>
          </w:p>
        </w:tc>
        <w:tc>
          <w:tcPr>
            <w:tcW w:w="433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0"/>
              </w:rPr>
              <w:t xml:space="preserve">Вноска </w:t>
            </w:r>
          </w:p>
        </w:tc>
      </w:tr>
      <w:tr>
        <w:trPr>
          <w:trHeight w:val="112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pPr>
              <w:rPr>
                <w:noProof/>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rPr>
                <w:noProof/>
                <w:color w:val="auto"/>
              </w:rPr>
            </w:pPr>
            <w:r>
              <w:rPr>
                <w:noProof/>
                <w:color w:val="auto"/>
                <w:sz w:val="20"/>
              </w:rPr>
              <w:t xml:space="preserve">Номер </w:t>
            </w:r>
            <w:r>
              <w:rPr>
                <w:rFonts w:eastAsia="Arial Unicode MS"/>
                <w:noProof/>
                <w:color w:val="auto"/>
                <w:sz w:val="22"/>
                <w:szCs w:val="22"/>
              </w:rPr>
              <w:br/>
            </w:r>
            <w:r>
              <w:rPr>
                <w:noProof/>
                <w:color w:val="auto"/>
                <w:sz w:val="22"/>
              </w:rPr>
              <w:t>[…]</w:t>
            </w:r>
            <w:r>
              <w:rPr>
                <w:noProof/>
                <w:color w:val="auto"/>
                <w:sz w:val="20"/>
              </w:rPr>
              <w:t>[Функция………………………...……………]</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Многогод./едногод.</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от държави от ЕАСТ</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от държави кандидатки</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от трети държави</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6"/>
              </w:rPr>
              <w:t xml:space="preserve">по смисъла на член [21, параграф 2, буква б)] от Финансовия регламент </w:t>
            </w:r>
          </w:p>
        </w:tc>
      </w:tr>
      <w:tr>
        <w:trPr>
          <w:trHeight w:val="9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u w:color="0000FF"/>
              </w:rPr>
              <w:t>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rPr>
                <w:noProof/>
                <w:color w:val="auto"/>
              </w:rPr>
            </w:pPr>
            <w:r>
              <w:rPr>
                <w:noProof/>
                <w:color w:val="auto"/>
              </w:rPr>
              <w:t xml:space="preserve">07 01 XX XX — </w:t>
            </w:r>
            <w:r>
              <w:rPr>
                <w:i/>
                <w:noProof/>
                <w:color w:val="auto"/>
              </w:rPr>
              <w:t>Административна подкрепа за Европейския корпус за солидарност</w:t>
            </w:r>
            <w:r>
              <w:rPr>
                <w:noProof/>
                <w:color w:val="auto"/>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Едногод.</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ДА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ДА</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ДА/НЕ</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ДА/НЕ</w:t>
            </w:r>
          </w:p>
        </w:tc>
      </w:tr>
      <w:tr>
        <w:trPr>
          <w:trHeight w:val="6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u w:color="0000FF"/>
              </w:rPr>
              <w:t>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rPr>
                <w:noProof/>
                <w:color w:val="auto"/>
              </w:rPr>
            </w:pPr>
            <w:r>
              <w:rPr>
                <w:noProof/>
                <w:color w:val="auto"/>
              </w:rPr>
              <w:t xml:space="preserve">07 04 01 </w:t>
            </w:r>
            <w:r>
              <w:rPr>
                <w:i/>
                <w:noProof/>
                <w:color w:val="auto"/>
              </w:rPr>
              <w:t>– Европейски корпус за солидарност</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spacing w:val="-6"/>
              </w:rPr>
            </w:pPr>
            <w:r>
              <w:rPr>
                <w:noProof/>
                <w:color w:val="auto"/>
                <w:spacing w:val="-6"/>
                <w:sz w:val="22"/>
              </w:rPr>
              <w:t>Многогод.</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ДА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ДА</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ДА/НЕ</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ДА/НЕ</w:t>
            </w:r>
          </w:p>
        </w:tc>
      </w:tr>
    </w:tbl>
    <w:p>
      <w:pPr>
        <w:rPr>
          <w:noProof/>
        </w:rPr>
      </w:pPr>
    </w:p>
    <w:p>
      <w:pPr>
        <w:pStyle w:val="Text"/>
        <w:rPr>
          <w:noProof/>
          <w:color w:val="auto"/>
        </w:rPr>
        <w:sectPr>
          <w:headerReference w:type="default" r:id="rId20"/>
          <w:footerReference w:type="default" r:id="rId21"/>
          <w:headerReference w:type="first" r:id="rId22"/>
          <w:footerReference w:type="first" r:id="rId23"/>
          <w:pgSz w:w="11900" w:h="16840"/>
          <w:pgMar w:top="1134" w:right="1418" w:bottom="1134" w:left="1418" w:header="709" w:footer="709" w:gutter="0"/>
          <w:cols w:space="720"/>
          <w:docGrid w:linePitch="326"/>
        </w:sectPr>
      </w:pPr>
    </w:p>
    <w:p>
      <w:pPr>
        <w:pStyle w:val="ManualHeading2"/>
        <w:rPr>
          <w:noProof/>
        </w:rPr>
      </w:pPr>
      <w:r>
        <w:t>3.2.</w:t>
      </w:r>
      <w:r>
        <w:tab/>
      </w:r>
      <w:r>
        <w:rPr>
          <w:noProof/>
        </w:rPr>
        <w:t>Очаквано отражение върху разходите</w:t>
      </w:r>
    </w:p>
    <w:p>
      <w:pPr>
        <w:pStyle w:val="ManualHeading3"/>
        <w:rPr>
          <w:noProof/>
          <w:u w:val="single"/>
        </w:rPr>
      </w:pPr>
      <w:r>
        <w:t>3.2.1.</w:t>
      </w:r>
      <w:r>
        <w:tab/>
      </w:r>
      <w:r>
        <w:rPr>
          <w:noProof/>
        </w:rPr>
        <w:t>Обобщение на очакваното отражение върху разходите</w:t>
      </w:r>
    </w:p>
    <w:p>
      <w:pPr>
        <w:pStyle w:val="Text"/>
        <w:jc w:val="right"/>
        <w:rPr>
          <w:noProof/>
          <w:color w:val="auto"/>
          <w:sz w:val="20"/>
          <w:szCs w:val="20"/>
        </w:rPr>
      </w:pPr>
      <w:r>
        <w:rPr>
          <w:noProof/>
          <w:color w:val="auto"/>
          <w:sz w:val="20"/>
        </w:rPr>
        <w:t>млн. евро (до 3-тия знак след десетичната запетая)</w:t>
      </w: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5"/>
        <w:gridCol w:w="635"/>
        <w:gridCol w:w="793"/>
        <w:gridCol w:w="280"/>
        <w:gridCol w:w="370"/>
        <w:gridCol w:w="862"/>
        <w:gridCol w:w="862"/>
        <w:gridCol w:w="862"/>
        <w:gridCol w:w="862"/>
        <w:gridCol w:w="862"/>
        <w:gridCol w:w="862"/>
        <w:gridCol w:w="862"/>
        <w:gridCol w:w="903"/>
        <w:gridCol w:w="456"/>
        <w:gridCol w:w="823"/>
        <w:gridCol w:w="112"/>
      </w:tblGrid>
      <w:tr>
        <w:trPr>
          <w:gridAfter w:val="2"/>
          <w:wAfter w:w="830" w:type="dxa"/>
          <w:jc w:val="center"/>
        </w:trPr>
        <w:tc>
          <w:tcPr>
            <w:tcW w:w="4744" w:type="dxa"/>
            <w:gridSpan w:val="2"/>
            <w:shd w:val="thinDiagStripe" w:color="C0C0C0" w:fill="auto"/>
            <w:vAlign w:val="center"/>
          </w:tcPr>
          <w:p>
            <w:pPr>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gridSpan w:val="2"/>
            <w:vAlign w:val="center"/>
          </w:tcPr>
          <w:p>
            <w:pPr>
              <w:jc w:val="center"/>
              <w:rPr>
                <w:noProof/>
              </w:rPr>
            </w:pPr>
            <w:r>
              <w:rPr>
                <w:noProof/>
              </w:rPr>
              <w:t>2</w:t>
            </w:r>
          </w:p>
        </w:tc>
        <w:tc>
          <w:tcPr>
            <w:tcW w:w="7817" w:type="dxa"/>
            <w:gridSpan w:val="10"/>
            <w:vAlign w:val="center"/>
          </w:tcPr>
          <w:p>
            <w:pPr>
              <w:rPr>
                <w:noProof/>
              </w:rPr>
            </w:pPr>
            <w:r>
              <w:rPr>
                <w:noProof/>
              </w:rPr>
              <w:t>Сближаване и ценности</w:t>
            </w:r>
          </w:p>
        </w:tc>
      </w:tr>
      <w:tr>
        <w:trPr>
          <w:jc w:val="center"/>
        </w:trPr>
        <w:tc>
          <w:tcPr>
            <w:tcW w:w="6197" w:type="dxa"/>
            <w:gridSpan w:val="5"/>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909" w:type="dxa"/>
          </w:tcPr>
          <w:p>
            <w:pPr>
              <w:jc w:val="center"/>
              <w:rPr>
                <w:b/>
                <w:i/>
                <w:noProof/>
                <w:sz w:val="20"/>
              </w:rPr>
            </w:pPr>
            <w:r>
              <w:rPr>
                <w:b/>
                <w:i/>
                <w:noProof/>
                <w:sz w:val="20"/>
              </w:rPr>
              <w:t>След 2027 г.</w:t>
            </w:r>
          </w:p>
        </w:tc>
        <w:tc>
          <w:tcPr>
            <w:tcW w:w="1289" w:type="dxa"/>
            <w:gridSpan w:val="3"/>
            <w:vAlign w:val="center"/>
          </w:tcPr>
          <w:p>
            <w:pPr>
              <w:jc w:val="center"/>
              <w:rPr>
                <w:b/>
                <w:noProof/>
                <w:sz w:val="20"/>
              </w:rPr>
            </w:pPr>
            <w:r>
              <w:rPr>
                <w:b/>
                <w:noProof/>
                <w:sz w:val="20"/>
              </w:rPr>
              <w:t>ОБЩО</w:t>
            </w:r>
          </w:p>
        </w:tc>
      </w:tr>
      <w:tr>
        <w:trPr>
          <w:trHeight w:val="433"/>
          <w:jc w:val="center"/>
        </w:trPr>
        <w:tc>
          <w:tcPr>
            <w:tcW w:w="14471" w:type="dxa"/>
            <w:gridSpan w:val="16"/>
            <w:vAlign w:val="center"/>
          </w:tcPr>
          <w:p>
            <w:pPr>
              <w:rPr>
                <w:b/>
                <w:noProof/>
                <w:sz w:val="20"/>
              </w:rPr>
            </w:pPr>
            <w:r>
              <w:rPr>
                <w:b/>
                <w:noProof/>
                <w:sz w:val="20"/>
              </w:rPr>
              <w:t>Бюджетни кредити за оперативни разходи</w:t>
            </w:r>
          </w:p>
        </w:tc>
      </w:tr>
      <w:tr>
        <w:trPr>
          <w:trHeight w:val="433"/>
          <w:jc w:val="center"/>
        </w:trPr>
        <w:tc>
          <w:tcPr>
            <w:tcW w:w="4103" w:type="dxa"/>
            <w:vMerge w:val="restart"/>
            <w:vAlign w:val="center"/>
          </w:tcPr>
          <w:p>
            <w:pPr>
              <w:rPr>
                <w:noProof/>
              </w:rPr>
            </w:pPr>
            <w:r>
              <w:rPr>
                <w:noProof/>
              </w:rPr>
              <w:t xml:space="preserve">07 04 01 </w:t>
            </w:r>
            <w:r>
              <w:rPr>
                <w:i/>
                <w:noProof/>
              </w:rPr>
              <w:t>– Европейски корпус за солидарност</w:t>
            </w:r>
          </w:p>
        </w:tc>
        <w:tc>
          <w:tcPr>
            <w:tcW w:w="1440" w:type="dxa"/>
            <w:gridSpan w:val="2"/>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w:t>
            </w:r>
          </w:p>
        </w:tc>
        <w:tc>
          <w:tcPr>
            <w:tcW w:w="868" w:type="dxa"/>
            <w:vAlign w:val="center"/>
          </w:tcPr>
          <w:p>
            <w:pPr>
              <w:jc w:val="right"/>
              <w:rPr>
                <w:noProof/>
                <w:sz w:val="18"/>
                <w:szCs w:val="18"/>
              </w:rPr>
            </w:pPr>
            <w:r>
              <w:rPr>
                <w:noProof/>
                <w:sz w:val="18"/>
              </w:rPr>
              <w:t>141,595</w:t>
            </w:r>
          </w:p>
        </w:tc>
        <w:tc>
          <w:tcPr>
            <w:tcW w:w="868" w:type="dxa"/>
            <w:vAlign w:val="center"/>
          </w:tcPr>
          <w:p>
            <w:pPr>
              <w:jc w:val="right"/>
              <w:rPr>
                <w:noProof/>
                <w:sz w:val="18"/>
                <w:szCs w:val="18"/>
              </w:rPr>
            </w:pPr>
            <w:r>
              <w:rPr>
                <w:noProof/>
                <w:sz w:val="18"/>
              </w:rPr>
              <w:t>146,347</w:t>
            </w:r>
          </w:p>
        </w:tc>
        <w:tc>
          <w:tcPr>
            <w:tcW w:w="868" w:type="dxa"/>
            <w:vAlign w:val="center"/>
          </w:tcPr>
          <w:p>
            <w:pPr>
              <w:jc w:val="right"/>
              <w:rPr>
                <w:noProof/>
                <w:sz w:val="18"/>
                <w:szCs w:val="18"/>
              </w:rPr>
            </w:pPr>
            <w:r>
              <w:rPr>
                <w:noProof/>
                <w:sz w:val="18"/>
              </w:rPr>
              <w:t>153,799</w:t>
            </w:r>
          </w:p>
        </w:tc>
        <w:tc>
          <w:tcPr>
            <w:tcW w:w="868" w:type="dxa"/>
            <w:vAlign w:val="center"/>
          </w:tcPr>
          <w:p>
            <w:pPr>
              <w:jc w:val="right"/>
              <w:rPr>
                <w:noProof/>
                <w:sz w:val="18"/>
                <w:szCs w:val="18"/>
              </w:rPr>
            </w:pPr>
            <w:r>
              <w:rPr>
                <w:noProof/>
                <w:sz w:val="18"/>
              </w:rPr>
              <w:t>164,372</w:t>
            </w:r>
          </w:p>
        </w:tc>
        <w:tc>
          <w:tcPr>
            <w:tcW w:w="868" w:type="dxa"/>
            <w:vAlign w:val="center"/>
          </w:tcPr>
          <w:p>
            <w:pPr>
              <w:jc w:val="right"/>
              <w:rPr>
                <w:noProof/>
                <w:sz w:val="18"/>
                <w:szCs w:val="18"/>
              </w:rPr>
            </w:pPr>
            <w:r>
              <w:rPr>
                <w:noProof/>
                <w:sz w:val="18"/>
              </w:rPr>
              <w:t>178,692</w:t>
            </w:r>
          </w:p>
        </w:tc>
        <w:tc>
          <w:tcPr>
            <w:tcW w:w="868" w:type="dxa"/>
            <w:vAlign w:val="center"/>
          </w:tcPr>
          <w:p>
            <w:pPr>
              <w:jc w:val="right"/>
              <w:rPr>
                <w:noProof/>
                <w:sz w:val="18"/>
                <w:szCs w:val="18"/>
              </w:rPr>
            </w:pPr>
            <w:r>
              <w:rPr>
                <w:noProof/>
                <w:sz w:val="18"/>
              </w:rPr>
              <w:t>197,648</w:t>
            </w:r>
          </w:p>
        </w:tc>
        <w:tc>
          <w:tcPr>
            <w:tcW w:w="868" w:type="dxa"/>
            <w:vAlign w:val="center"/>
          </w:tcPr>
          <w:p>
            <w:pPr>
              <w:jc w:val="right"/>
              <w:rPr>
                <w:noProof/>
                <w:sz w:val="18"/>
                <w:szCs w:val="18"/>
              </w:rPr>
            </w:pPr>
            <w:r>
              <w:rPr>
                <w:noProof/>
                <w:sz w:val="18"/>
              </w:rPr>
              <w:t>221,547</w:t>
            </w:r>
          </w:p>
        </w:tc>
        <w:tc>
          <w:tcPr>
            <w:tcW w:w="909" w:type="dxa"/>
            <w:shd w:val="clear" w:color="auto" w:fill="A6A6A6" w:themeFill="background1" w:themeFillShade="A6"/>
          </w:tcPr>
          <w:p>
            <w:pPr>
              <w:jc w:val="right"/>
              <w:rPr>
                <w:b/>
                <w:noProof/>
                <w:sz w:val="20"/>
              </w:rPr>
            </w:pPr>
          </w:p>
        </w:tc>
        <w:tc>
          <w:tcPr>
            <w:tcW w:w="1289" w:type="dxa"/>
            <w:gridSpan w:val="3"/>
            <w:vAlign w:val="center"/>
          </w:tcPr>
          <w:p>
            <w:pPr>
              <w:jc w:val="center"/>
              <w:rPr>
                <w:b/>
                <w:noProof/>
                <w:sz w:val="20"/>
              </w:rPr>
            </w:pPr>
            <w:r>
              <w:rPr>
                <w:b/>
                <w:noProof/>
                <w:sz w:val="18"/>
              </w:rPr>
              <w:t>1 204,000</w:t>
            </w:r>
          </w:p>
        </w:tc>
      </w:tr>
      <w:tr>
        <w:trPr>
          <w:trHeight w:val="411"/>
          <w:jc w:val="center"/>
        </w:trPr>
        <w:tc>
          <w:tcPr>
            <w:tcW w:w="4103" w:type="dxa"/>
            <w:vMerge/>
          </w:tcPr>
          <w:p>
            <w:pPr>
              <w:rPr>
                <w:noProof/>
              </w:rPr>
            </w:pPr>
          </w:p>
        </w:tc>
        <w:tc>
          <w:tcPr>
            <w:tcW w:w="1440" w:type="dxa"/>
            <w:gridSpan w:val="2"/>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w:t>
            </w:r>
          </w:p>
        </w:tc>
        <w:tc>
          <w:tcPr>
            <w:tcW w:w="868" w:type="dxa"/>
            <w:vAlign w:val="center"/>
          </w:tcPr>
          <w:p>
            <w:pPr>
              <w:jc w:val="right"/>
              <w:rPr>
                <w:noProof/>
                <w:sz w:val="18"/>
                <w:szCs w:val="18"/>
              </w:rPr>
            </w:pPr>
            <w:r>
              <w:rPr>
                <w:noProof/>
                <w:sz w:val="18"/>
              </w:rPr>
              <w:t>103,858</w:t>
            </w:r>
          </w:p>
        </w:tc>
        <w:tc>
          <w:tcPr>
            <w:tcW w:w="868" w:type="dxa"/>
            <w:vAlign w:val="center"/>
          </w:tcPr>
          <w:p>
            <w:pPr>
              <w:jc w:val="right"/>
              <w:rPr>
                <w:noProof/>
                <w:sz w:val="18"/>
                <w:szCs w:val="18"/>
              </w:rPr>
            </w:pPr>
            <w:r>
              <w:rPr>
                <w:noProof/>
                <w:sz w:val="18"/>
              </w:rPr>
              <w:t>133,016</w:t>
            </w:r>
          </w:p>
        </w:tc>
        <w:tc>
          <w:tcPr>
            <w:tcW w:w="868" w:type="dxa"/>
            <w:vAlign w:val="center"/>
          </w:tcPr>
          <w:p>
            <w:pPr>
              <w:jc w:val="right"/>
              <w:rPr>
                <w:noProof/>
                <w:sz w:val="18"/>
                <w:szCs w:val="18"/>
              </w:rPr>
            </w:pPr>
            <w:r>
              <w:rPr>
                <w:noProof/>
                <w:sz w:val="18"/>
              </w:rPr>
              <w:t>145,078</w:t>
            </w:r>
          </w:p>
        </w:tc>
        <w:tc>
          <w:tcPr>
            <w:tcW w:w="868" w:type="dxa"/>
            <w:vAlign w:val="center"/>
          </w:tcPr>
          <w:p>
            <w:pPr>
              <w:jc w:val="right"/>
              <w:rPr>
                <w:noProof/>
                <w:sz w:val="18"/>
                <w:szCs w:val="18"/>
              </w:rPr>
            </w:pPr>
            <w:r>
              <w:rPr>
                <w:noProof/>
                <w:sz w:val="18"/>
              </w:rPr>
              <w:t>156,215</w:t>
            </w:r>
          </w:p>
        </w:tc>
        <w:tc>
          <w:tcPr>
            <w:tcW w:w="868" w:type="dxa"/>
            <w:vAlign w:val="center"/>
          </w:tcPr>
          <w:p>
            <w:pPr>
              <w:jc w:val="right"/>
              <w:rPr>
                <w:noProof/>
                <w:sz w:val="18"/>
                <w:szCs w:val="18"/>
              </w:rPr>
            </w:pPr>
            <w:r>
              <w:rPr>
                <w:noProof/>
                <w:sz w:val="18"/>
              </w:rPr>
              <w:t>169,764</w:t>
            </w:r>
          </w:p>
        </w:tc>
        <w:tc>
          <w:tcPr>
            <w:tcW w:w="868" w:type="dxa"/>
            <w:vAlign w:val="center"/>
          </w:tcPr>
          <w:p>
            <w:pPr>
              <w:jc w:val="right"/>
              <w:rPr>
                <w:noProof/>
                <w:sz w:val="18"/>
                <w:szCs w:val="18"/>
              </w:rPr>
            </w:pPr>
            <w:r>
              <w:rPr>
                <w:noProof/>
                <w:sz w:val="18"/>
              </w:rPr>
              <w:t>187,129</w:t>
            </w:r>
          </w:p>
        </w:tc>
        <w:tc>
          <w:tcPr>
            <w:tcW w:w="868" w:type="dxa"/>
            <w:vAlign w:val="center"/>
          </w:tcPr>
          <w:p>
            <w:pPr>
              <w:jc w:val="right"/>
              <w:rPr>
                <w:noProof/>
                <w:sz w:val="18"/>
                <w:szCs w:val="18"/>
              </w:rPr>
            </w:pPr>
            <w:r>
              <w:rPr>
                <w:noProof/>
                <w:sz w:val="18"/>
              </w:rPr>
              <w:t>209,231</w:t>
            </w:r>
          </w:p>
        </w:tc>
        <w:tc>
          <w:tcPr>
            <w:tcW w:w="909" w:type="dxa"/>
            <w:vAlign w:val="center"/>
          </w:tcPr>
          <w:p>
            <w:pPr>
              <w:jc w:val="right"/>
              <w:rPr>
                <w:noProof/>
                <w:sz w:val="18"/>
                <w:szCs w:val="18"/>
              </w:rPr>
            </w:pPr>
            <w:r>
              <w:rPr>
                <w:noProof/>
                <w:sz w:val="18"/>
              </w:rPr>
              <w:t>99,710</w:t>
            </w:r>
          </w:p>
        </w:tc>
        <w:tc>
          <w:tcPr>
            <w:tcW w:w="1289" w:type="dxa"/>
            <w:gridSpan w:val="3"/>
            <w:vAlign w:val="center"/>
          </w:tcPr>
          <w:p>
            <w:pPr>
              <w:jc w:val="center"/>
              <w:rPr>
                <w:b/>
                <w:noProof/>
                <w:sz w:val="18"/>
                <w:szCs w:val="18"/>
              </w:rPr>
            </w:pPr>
            <w:r>
              <w:rPr>
                <w:b/>
                <w:noProof/>
                <w:sz w:val="18"/>
              </w:rPr>
              <w:t>1 204,000</w:t>
            </w:r>
          </w:p>
        </w:tc>
      </w:tr>
      <w:tr>
        <w:trPr>
          <w:trHeight w:val="319"/>
          <w:jc w:val="center"/>
        </w:trPr>
        <w:tc>
          <w:tcPr>
            <w:tcW w:w="14471" w:type="dxa"/>
            <w:gridSpan w:val="16"/>
            <w:vAlign w:val="center"/>
          </w:tcPr>
          <w:p>
            <w:pPr>
              <w:rPr>
                <w:b/>
                <w:noProof/>
                <w:sz w:val="20"/>
              </w:rPr>
            </w:pPr>
            <w:r>
              <w:rPr>
                <w:b/>
                <w:noProof/>
                <w:sz w:val="20"/>
              </w:rPr>
              <w:t>Бюджетни кредити за административни разходи, финансирани от пакета за програмата</w:t>
            </w:r>
          </w:p>
        </w:tc>
      </w:tr>
      <w:tr>
        <w:trPr>
          <w:trHeight w:val="319"/>
          <w:jc w:val="center"/>
        </w:trPr>
        <w:tc>
          <w:tcPr>
            <w:tcW w:w="4103" w:type="dxa"/>
            <w:vAlign w:val="center"/>
          </w:tcPr>
          <w:p>
            <w:pPr>
              <w:rPr>
                <w:i/>
                <w:noProof/>
              </w:rPr>
            </w:pPr>
            <w:r>
              <w:rPr>
                <w:i/>
                <w:noProof/>
              </w:rPr>
              <w:t xml:space="preserve">07 01 XX XX — Административна подкрепа за Европейския корпус за солидарност </w:t>
            </w:r>
          </w:p>
        </w:tc>
        <w:tc>
          <w:tcPr>
            <w:tcW w:w="1440" w:type="dxa"/>
            <w:gridSpan w:val="2"/>
            <w:vAlign w:val="center"/>
          </w:tcPr>
          <w:p>
            <w:pPr>
              <w:rPr>
                <w:noProof/>
                <w:sz w:val="18"/>
              </w:rPr>
            </w:pPr>
            <w:r>
              <w:rPr>
                <w:noProof/>
                <w:sz w:val="18"/>
              </w:rPr>
              <w:t>Поети задължения = Плащания</w:t>
            </w:r>
          </w:p>
        </w:tc>
        <w:tc>
          <w:tcPr>
            <w:tcW w:w="654" w:type="dxa"/>
            <w:gridSpan w:val="2"/>
            <w:vAlign w:val="center"/>
          </w:tcPr>
          <w:p>
            <w:pPr>
              <w:jc w:val="center"/>
              <w:rPr>
                <w:noProof/>
                <w:sz w:val="14"/>
              </w:rPr>
            </w:pPr>
            <w:r>
              <w:rPr>
                <w:noProof/>
                <w:sz w:val="14"/>
              </w:rPr>
              <w:t>(3)</w:t>
            </w:r>
          </w:p>
        </w:tc>
        <w:tc>
          <w:tcPr>
            <w:tcW w:w="868" w:type="dxa"/>
            <w:vAlign w:val="center"/>
          </w:tcPr>
          <w:p>
            <w:pPr>
              <w:jc w:val="right"/>
              <w:rPr>
                <w:noProof/>
                <w:sz w:val="18"/>
                <w:szCs w:val="18"/>
              </w:rPr>
            </w:pPr>
            <w:r>
              <w:rPr>
                <w:noProof/>
                <w:sz w:val="18"/>
              </w:rPr>
              <w:t>6,586</w:t>
            </w:r>
          </w:p>
        </w:tc>
        <w:tc>
          <w:tcPr>
            <w:tcW w:w="868" w:type="dxa"/>
            <w:vAlign w:val="center"/>
          </w:tcPr>
          <w:p>
            <w:pPr>
              <w:jc w:val="right"/>
              <w:rPr>
                <w:noProof/>
                <w:sz w:val="18"/>
                <w:szCs w:val="18"/>
              </w:rPr>
            </w:pPr>
            <w:r>
              <w:rPr>
                <w:noProof/>
                <w:sz w:val="18"/>
              </w:rPr>
              <w:t>6,807</w:t>
            </w:r>
          </w:p>
        </w:tc>
        <w:tc>
          <w:tcPr>
            <w:tcW w:w="868" w:type="dxa"/>
            <w:vAlign w:val="center"/>
          </w:tcPr>
          <w:p>
            <w:pPr>
              <w:jc w:val="right"/>
              <w:rPr>
                <w:noProof/>
                <w:sz w:val="18"/>
                <w:szCs w:val="18"/>
              </w:rPr>
            </w:pPr>
            <w:r>
              <w:rPr>
                <w:noProof/>
                <w:sz w:val="18"/>
              </w:rPr>
              <w:t>7,153</w:t>
            </w:r>
          </w:p>
        </w:tc>
        <w:tc>
          <w:tcPr>
            <w:tcW w:w="868" w:type="dxa"/>
            <w:vAlign w:val="center"/>
          </w:tcPr>
          <w:p>
            <w:pPr>
              <w:jc w:val="right"/>
              <w:rPr>
                <w:noProof/>
                <w:sz w:val="18"/>
                <w:szCs w:val="18"/>
              </w:rPr>
            </w:pPr>
            <w:r>
              <w:rPr>
                <w:noProof/>
                <w:sz w:val="18"/>
              </w:rPr>
              <w:t>7,645</w:t>
            </w:r>
          </w:p>
        </w:tc>
        <w:tc>
          <w:tcPr>
            <w:tcW w:w="868" w:type="dxa"/>
            <w:vAlign w:val="center"/>
          </w:tcPr>
          <w:p>
            <w:pPr>
              <w:jc w:val="right"/>
              <w:rPr>
                <w:noProof/>
                <w:sz w:val="18"/>
                <w:szCs w:val="18"/>
              </w:rPr>
            </w:pPr>
            <w:r>
              <w:rPr>
                <w:noProof/>
                <w:sz w:val="18"/>
              </w:rPr>
              <w:t>8,311</w:t>
            </w:r>
          </w:p>
        </w:tc>
        <w:tc>
          <w:tcPr>
            <w:tcW w:w="868" w:type="dxa"/>
            <w:vAlign w:val="center"/>
          </w:tcPr>
          <w:p>
            <w:pPr>
              <w:jc w:val="right"/>
              <w:rPr>
                <w:noProof/>
                <w:sz w:val="18"/>
                <w:szCs w:val="18"/>
              </w:rPr>
            </w:pPr>
            <w:r>
              <w:rPr>
                <w:noProof/>
                <w:sz w:val="18"/>
              </w:rPr>
              <w:t>9,193</w:t>
            </w:r>
          </w:p>
        </w:tc>
        <w:tc>
          <w:tcPr>
            <w:tcW w:w="868" w:type="dxa"/>
            <w:vAlign w:val="center"/>
          </w:tcPr>
          <w:p>
            <w:pPr>
              <w:jc w:val="right"/>
              <w:rPr>
                <w:noProof/>
                <w:sz w:val="18"/>
                <w:szCs w:val="18"/>
              </w:rPr>
            </w:pPr>
            <w:r>
              <w:rPr>
                <w:noProof/>
                <w:sz w:val="18"/>
              </w:rPr>
              <w:t>10,305</w:t>
            </w:r>
          </w:p>
        </w:tc>
        <w:tc>
          <w:tcPr>
            <w:tcW w:w="909" w:type="dxa"/>
            <w:shd w:val="clear" w:color="auto" w:fill="A6A6A6" w:themeFill="background1" w:themeFillShade="A6"/>
          </w:tcPr>
          <w:p>
            <w:pPr>
              <w:jc w:val="right"/>
              <w:rPr>
                <w:b/>
                <w:noProof/>
                <w:sz w:val="20"/>
              </w:rPr>
            </w:pPr>
          </w:p>
        </w:tc>
        <w:tc>
          <w:tcPr>
            <w:tcW w:w="1289" w:type="dxa"/>
            <w:gridSpan w:val="3"/>
            <w:vAlign w:val="center"/>
          </w:tcPr>
          <w:p>
            <w:pPr>
              <w:jc w:val="center"/>
              <w:rPr>
                <w:b/>
                <w:noProof/>
                <w:sz w:val="18"/>
                <w:szCs w:val="18"/>
              </w:rPr>
            </w:pPr>
            <w:r>
              <w:rPr>
                <w:b/>
                <w:noProof/>
                <w:sz w:val="18"/>
              </w:rPr>
              <w:t>56,000</w:t>
            </w:r>
          </w:p>
        </w:tc>
      </w:tr>
      <w:tr>
        <w:trPr>
          <w:jc w:val="center"/>
        </w:trPr>
        <w:tc>
          <w:tcPr>
            <w:tcW w:w="4103" w:type="dxa"/>
            <w:vMerge w:val="restart"/>
            <w:vAlign w:val="center"/>
          </w:tcPr>
          <w:p>
            <w:pPr>
              <w:rPr>
                <w:b/>
                <w:noProof/>
              </w:rPr>
            </w:pPr>
            <w:r>
              <w:rPr>
                <w:b/>
                <w:noProof/>
                <w:sz w:val="22"/>
              </w:rPr>
              <w:t>ОБЩО бюджетни кредити за финансовия пакет на програмата</w:t>
            </w:r>
          </w:p>
        </w:tc>
        <w:tc>
          <w:tcPr>
            <w:tcW w:w="1440" w:type="dxa"/>
            <w:gridSpan w:val="2"/>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=1+3</w:t>
            </w:r>
          </w:p>
        </w:tc>
        <w:tc>
          <w:tcPr>
            <w:tcW w:w="868" w:type="dxa"/>
            <w:vAlign w:val="center"/>
          </w:tcPr>
          <w:p>
            <w:pPr>
              <w:jc w:val="center"/>
              <w:rPr>
                <w:b/>
                <w:noProof/>
                <w:sz w:val="18"/>
                <w:szCs w:val="18"/>
              </w:rPr>
            </w:pPr>
            <w:r>
              <w:rPr>
                <w:b/>
                <w:noProof/>
                <w:sz w:val="18"/>
              </w:rPr>
              <w:t>148,181</w:t>
            </w:r>
          </w:p>
        </w:tc>
        <w:tc>
          <w:tcPr>
            <w:tcW w:w="868" w:type="dxa"/>
            <w:vAlign w:val="center"/>
          </w:tcPr>
          <w:p>
            <w:pPr>
              <w:jc w:val="center"/>
              <w:rPr>
                <w:b/>
                <w:noProof/>
                <w:sz w:val="18"/>
                <w:szCs w:val="18"/>
              </w:rPr>
            </w:pPr>
            <w:r>
              <w:rPr>
                <w:b/>
                <w:noProof/>
                <w:sz w:val="18"/>
              </w:rPr>
              <w:t>153,154</w:t>
            </w:r>
          </w:p>
        </w:tc>
        <w:tc>
          <w:tcPr>
            <w:tcW w:w="868" w:type="dxa"/>
            <w:vAlign w:val="center"/>
          </w:tcPr>
          <w:p>
            <w:pPr>
              <w:jc w:val="center"/>
              <w:rPr>
                <w:b/>
                <w:noProof/>
                <w:sz w:val="18"/>
                <w:szCs w:val="18"/>
              </w:rPr>
            </w:pPr>
            <w:r>
              <w:rPr>
                <w:b/>
                <w:noProof/>
                <w:sz w:val="18"/>
              </w:rPr>
              <w:t>160,952</w:t>
            </w:r>
          </w:p>
        </w:tc>
        <w:tc>
          <w:tcPr>
            <w:tcW w:w="868" w:type="dxa"/>
            <w:vAlign w:val="center"/>
          </w:tcPr>
          <w:p>
            <w:pPr>
              <w:jc w:val="center"/>
              <w:rPr>
                <w:b/>
                <w:noProof/>
                <w:sz w:val="18"/>
                <w:szCs w:val="18"/>
              </w:rPr>
            </w:pPr>
            <w:r>
              <w:rPr>
                <w:b/>
                <w:noProof/>
                <w:sz w:val="18"/>
              </w:rPr>
              <w:t>172,017</w:t>
            </w:r>
          </w:p>
        </w:tc>
        <w:tc>
          <w:tcPr>
            <w:tcW w:w="868" w:type="dxa"/>
            <w:vAlign w:val="center"/>
          </w:tcPr>
          <w:p>
            <w:pPr>
              <w:jc w:val="center"/>
              <w:rPr>
                <w:b/>
                <w:noProof/>
                <w:sz w:val="18"/>
                <w:szCs w:val="18"/>
              </w:rPr>
            </w:pPr>
            <w:r>
              <w:rPr>
                <w:b/>
                <w:noProof/>
                <w:sz w:val="18"/>
              </w:rPr>
              <w:t>187,003</w:t>
            </w:r>
          </w:p>
        </w:tc>
        <w:tc>
          <w:tcPr>
            <w:tcW w:w="868" w:type="dxa"/>
            <w:vAlign w:val="center"/>
          </w:tcPr>
          <w:p>
            <w:pPr>
              <w:jc w:val="center"/>
              <w:rPr>
                <w:b/>
                <w:noProof/>
                <w:sz w:val="18"/>
                <w:szCs w:val="18"/>
              </w:rPr>
            </w:pPr>
            <w:r>
              <w:rPr>
                <w:b/>
                <w:noProof/>
                <w:sz w:val="18"/>
              </w:rPr>
              <w:t>206,841</w:t>
            </w:r>
          </w:p>
        </w:tc>
        <w:tc>
          <w:tcPr>
            <w:tcW w:w="868" w:type="dxa"/>
            <w:vAlign w:val="center"/>
          </w:tcPr>
          <w:p>
            <w:pPr>
              <w:jc w:val="center"/>
              <w:rPr>
                <w:b/>
                <w:noProof/>
                <w:sz w:val="18"/>
                <w:szCs w:val="18"/>
              </w:rPr>
            </w:pPr>
            <w:r>
              <w:rPr>
                <w:b/>
                <w:noProof/>
                <w:sz w:val="18"/>
              </w:rPr>
              <w:t>231,852</w:t>
            </w:r>
          </w:p>
        </w:tc>
        <w:tc>
          <w:tcPr>
            <w:tcW w:w="909" w:type="dxa"/>
            <w:shd w:val="clear" w:color="auto" w:fill="A6A6A6" w:themeFill="background1" w:themeFillShade="A6"/>
            <w:vAlign w:val="center"/>
          </w:tcPr>
          <w:p>
            <w:pPr>
              <w:jc w:val="center"/>
              <w:rPr>
                <w:b/>
                <w:noProof/>
                <w:sz w:val="18"/>
                <w:szCs w:val="18"/>
              </w:rPr>
            </w:pPr>
          </w:p>
        </w:tc>
        <w:tc>
          <w:tcPr>
            <w:tcW w:w="1289" w:type="dxa"/>
            <w:gridSpan w:val="3"/>
            <w:vAlign w:val="center"/>
          </w:tcPr>
          <w:p>
            <w:pPr>
              <w:jc w:val="center"/>
              <w:rPr>
                <w:b/>
                <w:noProof/>
                <w:sz w:val="18"/>
                <w:szCs w:val="18"/>
              </w:rPr>
            </w:pPr>
            <w:r>
              <w:rPr>
                <w:b/>
                <w:noProof/>
                <w:sz w:val="18"/>
              </w:rPr>
              <w:t>1 260,000</w:t>
            </w:r>
          </w:p>
        </w:tc>
      </w:tr>
      <w:tr>
        <w:trPr>
          <w:jc w:val="center"/>
        </w:trPr>
        <w:tc>
          <w:tcPr>
            <w:tcW w:w="4103" w:type="dxa"/>
            <w:vMerge/>
          </w:tcPr>
          <w:p>
            <w:pPr>
              <w:rPr>
                <w:noProof/>
                <w:sz w:val="20"/>
              </w:rPr>
            </w:pPr>
          </w:p>
        </w:tc>
        <w:tc>
          <w:tcPr>
            <w:tcW w:w="1440" w:type="dxa"/>
            <w:gridSpan w:val="2"/>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=2+3</w:t>
            </w:r>
          </w:p>
        </w:tc>
        <w:tc>
          <w:tcPr>
            <w:tcW w:w="868" w:type="dxa"/>
            <w:vAlign w:val="bottom"/>
          </w:tcPr>
          <w:p>
            <w:pPr>
              <w:jc w:val="center"/>
              <w:rPr>
                <w:b/>
                <w:noProof/>
                <w:sz w:val="18"/>
                <w:szCs w:val="18"/>
              </w:rPr>
            </w:pPr>
            <w:r>
              <w:rPr>
                <w:b/>
                <w:noProof/>
                <w:sz w:val="18"/>
              </w:rPr>
              <w:t>110,444</w:t>
            </w:r>
          </w:p>
        </w:tc>
        <w:tc>
          <w:tcPr>
            <w:tcW w:w="868" w:type="dxa"/>
            <w:vAlign w:val="bottom"/>
          </w:tcPr>
          <w:p>
            <w:pPr>
              <w:jc w:val="center"/>
              <w:rPr>
                <w:b/>
                <w:noProof/>
                <w:sz w:val="18"/>
                <w:szCs w:val="18"/>
              </w:rPr>
            </w:pPr>
            <w:r>
              <w:rPr>
                <w:b/>
                <w:noProof/>
                <w:sz w:val="18"/>
              </w:rPr>
              <w:t>139,823</w:t>
            </w:r>
          </w:p>
        </w:tc>
        <w:tc>
          <w:tcPr>
            <w:tcW w:w="868" w:type="dxa"/>
            <w:vAlign w:val="bottom"/>
          </w:tcPr>
          <w:p>
            <w:pPr>
              <w:jc w:val="center"/>
              <w:rPr>
                <w:b/>
                <w:noProof/>
                <w:sz w:val="18"/>
                <w:szCs w:val="18"/>
              </w:rPr>
            </w:pPr>
            <w:r>
              <w:rPr>
                <w:b/>
                <w:noProof/>
                <w:sz w:val="18"/>
              </w:rPr>
              <w:t>152,231</w:t>
            </w:r>
          </w:p>
        </w:tc>
        <w:tc>
          <w:tcPr>
            <w:tcW w:w="868" w:type="dxa"/>
            <w:vAlign w:val="bottom"/>
          </w:tcPr>
          <w:p>
            <w:pPr>
              <w:jc w:val="center"/>
              <w:rPr>
                <w:b/>
                <w:noProof/>
                <w:sz w:val="18"/>
                <w:szCs w:val="18"/>
              </w:rPr>
            </w:pPr>
            <w:r>
              <w:rPr>
                <w:b/>
                <w:noProof/>
                <w:sz w:val="18"/>
              </w:rPr>
              <w:t>163,860</w:t>
            </w:r>
          </w:p>
        </w:tc>
        <w:tc>
          <w:tcPr>
            <w:tcW w:w="868" w:type="dxa"/>
            <w:vAlign w:val="bottom"/>
          </w:tcPr>
          <w:p>
            <w:pPr>
              <w:jc w:val="center"/>
              <w:rPr>
                <w:b/>
                <w:noProof/>
                <w:sz w:val="18"/>
                <w:szCs w:val="18"/>
              </w:rPr>
            </w:pPr>
            <w:r>
              <w:rPr>
                <w:b/>
                <w:noProof/>
                <w:sz w:val="18"/>
              </w:rPr>
              <w:t>178,075</w:t>
            </w:r>
          </w:p>
        </w:tc>
        <w:tc>
          <w:tcPr>
            <w:tcW w:w="868" w:type="dxa"/>
            <w:vAlign w:val="bottom"/>
          </w:tcPr>
          <w:p>
            <w:pPr>
              <w:jc w:val="center"/>
              <w:rPr>
                <w:b/>
                <w:noProof/>
                <w:sz w:val="18"/>
                <w:szCs w:val="18"/>
              </w:rPr>
            </w:pPr>
            <w:r>
              <w:rPr>
                <w:b/>
                <w:noProof/>
                <w:sz w:val="18"/>
              </w:rPr>
              <w:t>196,321</w:t>
            </w:r>
          </w:p>
        </w:tc>
        <w:tc>
          <w:tcPr>
            <w:tcW w:w="868" w:type="dxa"/>
            <w:vAlign w:val="bottom"/>
          </w:tcPr>
          <w:p>
            <w:pPr>
              <w:jc w:val="center"/>
              <w:rPr>
                <w:b/>
                <w:noProof/>
                <w:sz w:val="18"/>
                <w:szCs w:val="18"/>
              </w:rPr>
            </w:pPr>
            <w:r>
              <w:rPr>
                <w:b/>
                <w:noProof/>
                <w:sz w:val="18"/>
              </w:rPr>
              <w:t>219,536</w:t>
            </w:r>
          </w:p>
        </w:tc>
        <w:tc>
          <w:tcPr>
            <w:tcW w:w="909" w:type="dxa"/>
            <w:vAlign w:val="bottom"/>
          </w:tcPr>
          <w:p>
            <w:pPr>
              <w:jc w:val="center"/>
              <w:rPr>
                <w:b/>
                <w:noProof/>
                <w:sz w:val="18"/>
                <w:szCs w:val="18"/>
              </w:rPr>
            </w:pPr>
            <w:r>
              <w:rPr>
                <w:b/>
                <w:noProof/>
                <w:sz w:val="18"/>
              </w:rPr>
              <w:t>99,710</w:t>
            </w:r>
          </w:p>
        </w:tc>
        <w:tc>
          <w:tcPr>
            <w:tcW w:w="1289" w:type="dxa"/>
            <w:gridSpan w:val="3"/>
            <w:vAlign w:val="center"/>
          </w:tcPr>
          <w:p>
            <w:pPr>
              <w:jc w:val="center"/>
              <w:rPr>
                <w:b/>
                <w:noProof/>
                <w:sz w:val="18"/>
                <w:szCs w:val="18"/>
              </w:rPr>
            </w:pPr>
            <w:r>
              <w:rPr>
                <w:b/>
                <w:noProof/>
                <w:sz w:val="18"/>
              </w:rPr>
              <w:t>1 260,000</w:t>
            </w:r>
          </w:p>
        </w:tc>
      </w:tr>
      <w:tr>
        <w:trPr>
          <w:gridAfter w:val="2"/>
          <w:wAfter w:w="830" w:type="dxa"/>
          <w:jc w:val="center"/>
        </w:trPr>
        <w:tc>
          <w:tcPr>
            <w:tcW w:w="4744" w:type="dxa"/>
            <w:gridSpan w:val="2"/>
            <w:shd w:val="thinDiagStripe" w:color="C0C0C0" w:fill="auto"/>
            <w:vAlign w:val="center"/>
          </w:tcPr>
          <w:p>
            <w:pPr>
              <w:jc w:val="center"/>
              <w:rPr>
                <w:rFonts w:eastAsia="Times New Roman"/>
                <w:b/>
                <w:noProof/>
              </w:rPr>
            </w:pPr>
            <w:r>
              <w:rPr>
                <w:b/>
                <w:noProof/>
                <w:sz w:val="22"/>
              </w:rPr>
              <w:t xml:space="preserve">Функция от многогодишната финансова </w:t>
            </w:r>
            <w:r>
              <w:rPr>
                <w:rFonts w:eastAsia="Times New Roman"/>
                <w:noProof/>
                <w:sz w:val="22"/>
              </w:rPr>
              <w:br/>
            </w:r>
            <w:r>
              <w:rPr>
                <w:b/>
                <w:noProof/>
                <w:sz w:val="22"/>
              </w:rPr>
              <w:t xml:space="preserve">рамка </w:t>
            </w:r>
          </w:p>
        </w:tc>
        <w:tc>
          <w:tcPr>
            <w:tcW w:w="1080" w:type="dxa"/>
            <w:gridSpan w:val="2"/>
            <w:vAlign w:val="center"/>
          </w:tcPr>
          <w:p>
            <w:pPr>
              <w:jc w:val="center"/>
              <w:rPr>
                <w:rFonts w:eastAsia="Times New Roman"/>
                <w:noProof/>
              </w:rPr>
            </w:pPr>
            <w:r>
              <w:rPr>
                <w:noProof/>
              </w:rPr>
              <w:t>2</w:t>
            </w:r>
          </w:p>
        </w:tc>
        <w:tc>
          <w:tcPr>
            <w:tcW w:w="7817" w:type="dxa"/>
            <w:gridSpan w:val="10"/>
            <w:vAlign w:val="center"/>
          </w:tcPr>
          <w:p>
            <w:pPr>
              <w:rPr>
                <w:rFonts w:eastAsia="Times New Roman"/>
                <w:noProof/>
              </w:rPr>
            </w:pPr>
            <w:r>
              <w:rPr>
                <w:noProof/>
                <w:sz w:val="22"/>
              </w:rPr>
              <w:t>Сближаване и ценности</w:t>
            </w:r>
          </w:p>
        </w:tc>
      </w:tr>
      <w:tr>
        <w:trPr>
          <w:gridAfter w:val="1"/>
          <w:wAfter w:w="113" w:type="dxa"/>
          <w:jc w:val="center"/>
        </w:trPr>
        <w:tc>
          <w:tcPr>
            <w:tcW w:w="6197" w:type="dxa"/>
            <w:gridSpan w:val="5"/>
            <w:tcBorders>
              <w:top w:val="nil"/>
              <w:left w:val="nil"/>
              <w:bottom w:val="nil"/>
              <w:right w:val="single" w:sz="4" w:space="0" w:color="auto"/>
            </w:tcBorders>
            <w:vAlign w:val="center"/>
          </w:tcPr>
          <w:p>
            <w:pPr>
              <w:jc w:val="center"/>
              <w:rPr>
                <w:rFonts w:eastAsia="Times New Roman"/>
                <w:b/>
                <w:noProof/>
                <w:sz w:val="20"/>
              </w:rPr>
            </w:pPr>
          </w:p>
        </w:tc>
        <w:tc>
          <w:tcPr>
            <w:tcW w:w="868" w:type="dxa"/>
            <w:tcBorders>
              <w:left w:val="single" w:sz="4" w:space="0" w:color="auto"/>
            </w:tcBorders>
            <w:vAlign w:val="center"/>
          </w:tcPr>
          <w:p>
            <w:pPr>
              <w:jc w:val="center"/>
              <w:rPr>
                <w:rFonts w:eastAsia="Times New Roman"/>
                <w:b/>
                <w:noProof/>
                <w:sz w:val="20"/>
              </w:rPr>
            </w:pPr>
            <w:r>
              <w:rPr>
                <w:b/>
                <w:noProof/>
                <w:sz w:val="20"/>
              </w:rPr>
              <w:t>2021 г.</w:t>
            </w:r>
          </w:p>
        </w:tc>
        <w:tc>
          <w:tcPr>
            <w:tcW w:w="868" w:type="dxa"/>
            <w:vAlign w:val="center"/>
          </w:tcPr>
          <w:p>
            <w:pPr>
              <w:jc w:val="center"/>
              <w:rPr>
                <w:rFonts w:eastAsia="Times New Roman"/>
                <w:b/>
                <w:noProof/>
                <w:sz w:val="20"/>
              </w:rPr>
            </w:pPr>
            <w:r>
              <w:rPr>
                <w:b/>
                <w:noProof/>
                <w:sz w:val="20"/>
              </w:rPr>
              <w:t>2022 г.</w:t>
            </w:r>
          </w:p>
        </w:tc>
        <w:tc>
          <w:tcPr>
            <w:tcW w:w="868" w:type="dxa"/>
            <w:vAlign w:val="center"/>
          </w:tcPr>
          <w:p>
            <w:pPr>
              <w:jc w:val="center"/>
              <w:rPr>
                <w:rFonts w:eastAsia="Times New Roman"/>
                <w:b/>
                <w:noProof/>
                <w:sz w:val="20"/>
              </w:rPr>
            </w:pPr>
            <w:r>
              <w:rPr>
                <w:b/>
                <w:noProof/>
                <w:sz w:val="20"/>
              </w:rPr>
              <w:t>2023 г.</w:t>
            </w:r>
          </w:p>
        </w:tc>
        <w:tc>
          <w:tcPr>
            <w:tcW w:w="868" w:type="dxa"/>
            <w:vAlign w:val="center"/>
          </w:tcPr>
          <w:p>
            <w:pPr>
              <w:jc w:val="center"/>
              <w:rPr>
                <w:rFonts w:eastAsia="Times New Roman"/>
                <w:b/>
                <w:noProof/>
                <w:sz w:val="20"/>
              </w:rPr>
            </w:pPr>
            <w:r>
              <w:rPr>
                <w:b/>
                <w:noProof/>
                <w:sz w:val="20"/>
              </w:rPr>
              <w:t>2024 г.</w:t>
            </w:r>
          </w:p>
        </w:tc>
        <w:tc>
          <w:tcPr>
            <w:tcW w:w="868" w:type="dxa"/>
            <w:vAlign w:val="center"/>
          </w:tcPr>
          <w:p>
            <w:pPr>
              <w:jc w:val="center"/>
              <w:rPr>
                <w:rFonts w:eastAsia="Times New Roman"/>
                <w:b/>
                <w:noProof/>
                <w:sz w:val="18"/>
              </w:rPr>
            </w:pPr>
            <w:r>
              <w:rPr>
                <w:b/>
                <w:noProof/>
                <w:sz w:val="18"/>
              </w:rPr>
              <w:t>2025 г.</w:t>
            </w:r>
          </w:p>
        </w:tc>
        <w:tc>
          <w:tcPr>
            <w:tcW w:w="868" w:type="dxa"/>
            <w:vAlign w:val="center"/>
          </w:tcPr>
          <w:p>
            <w:pPr>
              <w:jc w:val="center"/>
              <w:rPr>
                <w:rFonts w:eastAsia="Times New Roman"/>
                <w:b/>
                <w:noProof/>
                <w:sz w:val="18"/>
              </w:rPr>
            </w:pPr>
            <w:r>
              <w:rPr>
                <w:b/>
                <w:noProof/>
                <w:sz w:val="18"/>
              </w:rPr>
              <w:t>2026 г.</w:t>
            </w:r>
          </w:p>
        </w:tc>
        <w:tc>
          <w:tcPr>
            <w:tcW w:w="868" w:type="dxa"/>
            <w:vAlign w:val="center"/>
          </w:tcPr>
          <w:p>
            <w:pPr>
              <w:jc w:val="center"/>
              <w:rPr>
                <w:rFonts w:eastAsia="Times New Roman"/>
                <w:b/>
                <w:noProof/>
                <w:sz w:val="18"/>
              </w:rPr>
            </w:pPr>
            <w:r>
              <w:rPr>
                <w:b/>
                <w:noProof/>
                <w:sz w:val="18"/>
              </w:rPr>
              <w:t>2027 г.</w:t>
            </w:r>
          </w:p>
        </w:tc>
        <w:tc>
          <w:tcPr>
            <w:tcW w:w="909" w:type="dxa"/>
          </w:tcPr>
          <w:p>
            <w:pPr>
              <w:jc w:val="center"/>
              <w:rPr>
                <w:rFonts w:eastAsia="Times New Roman"/>
                <w:b/>
                <w:i/>
                <w:noProof/>
                <w:sz w:val="20"/>
              </w:rPr>
            </w:pPr>
            <w:r>
              <w:rPr>
                <w:b/>
                <w:i/>
                <w:noProof/>
                <w:sz w:val="20"/>
              </w:rPr>
              <w:t>След 2027 г.</w:t>
            </w:r>
          </w:p>
        </w:tc>
        <w:tc>
          <w:tcPr>
            <w:tcW w:w="1289" w:type="dxa"/>
            <w:gridSpan w:val="2"/>
            <w:vAlign w:val="center"/>
          </w:tcPr>
          <w:p>
            <w:pPr>
              <w:jc w:val="center"/>
              <w:rPr>
                <w:rFonts w:eastAsia="Times New Roman"/>
                <w:b/>
                <w:noProof/>
                <w:sz w:val="20"/>
              </w:rPr>
            </w:pPr>
            <w:r>
              <w:rPr>
                <w:b/>
                <w:noProof/>
                <w:sz w:val="20"/>
              </w:rPr>
              <w:t>ОБЩО</w:t>
            </w:r>
          </w:p>
        </w:tc>
      </w:tr>
      <w:tr>
        <w:trPr>
          <w:gridAfter w:val="1"/>
          <w:wAfter w:w="113" w:type="dxa"/>
          <w:trHeight w:val="433"/>
          <w:jc w:val="center"/>
        </w:trPr>
        <w:tc>
          <w:tcPr>
            <w:tcW w:w="14471" w:type="dxa"/>
            <w:gridSpan w:val="15"/>
            <w:vAlign w:val="center"/>
          </w:tcPr>
          <w:p>
            <w:pPr>
              <w:rPr>
                <w:rFonts w:eastAsia="Times New Roman"/>
                <w:b/>
                <w:noProof/>
                <w:sz w:val="20"/>
              </w:rPr>
            </w:pPr>
            <w:r>
              <w:rPr>
                <w:b/>
                <w:noProof/>
                <w:sz w:val="20"/>
              </w:rPr>
              <w:t>Бюджетни кредити за оперативни разходи</w:t>
            </w:r>
          </w:p>
        </w:tc>
      </w:tr>
      <w:tr>
        <w:trPr>
          <w:gridAfter w:val="1"/>
          <w:wAfter w:w="113" w:type="dxa"/>
          <w:trHeight w:val="433"/>
          <w:jc w:val="center"/>
        </w:trPr>
        <w:tc>
          <w:tcPr>
            <w:tcW w:w="4103" w:type="dxa"/>
            <w:vMerge w:val="restart"/>
            <w:vAlign w:val="center"/>
          </w:tcPr>
          <w:p>
            <w:pPr>
              <w:rPr>
                <w:rFonts w:eastAsia="Times New Roman"/>
                <w:noProof/>
              </w:rPr>
            </w:pPr>
            <w:r>
              <w:rPr>
                <w:noProof/>
              </w:rPr>
              <w:t xml:space="preserve">07 04 01 </w:t>
            </w:r>
            <w:r>
              <w:rPr>
                <w:i/>
                <w:noProof/>
              </w:rPr>
              <w:t>– Европейски корпус за солидарност</w:t>
            </w:r>
          </w:p>
        </w:tc>
        <w:tc>
          <w:tcPr>
            <w:tcW w:w="1440" w:type="dxa"/>
            <w:gridSpan w:val="2"/>
            <w:vAlign w:val="center"/>
          </w:tcPr>
          <w:p>
            <w:pPr>
              <w:rPr>
                <w:rFonts w:eastAsia="Times New Roman"/>
                <w:noProof/>
                <w:sz w:val="18"/>
              </w:rPr>
            </w:pPr>
            <w:r>
              <w:rPr>
                <w:noProof/>
                <w:sz w:val="18"/>
              </w:rPr>
              <w:t>Поети задължения</w:t>
            </w:r>
          </w:p>
        </w:tc>
        <w:tc>
          <w:tcPr>
            <w:tcW w:w="654" w:type="dxa"/>
            <w:gridSpan w:val="2"/>
            <w:vAlign w:val="center"/>
          </w:tcPr>
          <w:p>
            <w:pPr>
              <w:jc w:val="center"/>
              <w:rPr>
                <w:rFonts w:eastAsia="Times New Roman"/>
                <w:noProof/>
                <w:sz w:val="14"/>
              </w:rPr>
            </w:pPr>
            <w:r>
              <w:rPr>
                <w:noProof/>
                <w:sz w:val="14"/>
              </w:rPr>
              <w:t>(1)</w:t>
            </w:r>
          </w:p>
        </w:tc>
        <w:tc>
          <w:tcPr>
            <w:tcW w:w="868" w:type="dxa"/>
            <w:vAlign w:val="center"/>
          </w:tcPr>
          <w:p>
            <w:pPr>
              <w:jc w:val="right"/>
              <w:rPr>
                <w:rFonts w:eastAsia="Times New Roman"/>
                <w:noProof/>
                <w:sz w:val="18"/>
                <w:szCs w:val="18"/>
              </w:rPr>
            </w:pPr>
            <w:r>
              <w:rPr>
                <w:noProof/>
                <w:sz w:val="18"/>
              </w:rPr>
              <w:t>141,595</w:t>
            </w:r>
          </w:p>
        </w:tc>
        <w:tc>
          <w:tcPr>
            <w:tcW w:w="868" w:type="dxa"/>
            <w:vAlign w:val="center"/>
          </w:tcPr>
          <w:p>
            <w:pPr>
              <w:jc w:val="right"/>
              <w:rPr>
                <w:rFonts w:eastAsia="Times New Roman"/>
                <w:noProof/>
                <w:sz w:val="18"/>
                <w:szCs w:val="18"/>
              </w:rPr>
            </w:pPr>
            <w:r>
              <w:rPr>
                <w:noProof/>
                <w:sz w:val="18"/>
              </w:rPr>
              <w:t>146,347</w:t>
            </w:r>
          </w:p>
        </w:tc>
        <w:tc>
          <w:tcPr>
            <w:tcW w:w="868" w:type="dxa"/>
            <w:vAlign w:val="center"/>
          </w:tcPr>
          <w:p>
            <w:pPr>
              <w:jc w:val="right"/>
              <w:rPr>
                <w:rFonts w:eastAsia="Times New Roman"/>
                <w:noProof/>
                <w:sz w:val="18"/>
                <w:szCs w:val="18"/>
              </w:rPr>
            </w:pPr>
            <w:r>
              <w:rPr>
                <w:noProof/>
                <w:sz w:val="18"/>
              </w:rPr>
              <w:t>153,799</w:t>
            </w:r>
          </w:p>
        </w:tc>
        <w:tc>
          <w:tcPr>
            <w:tcW w:w="868" w:type="dxa"/>
            <w:vAlign w:val="center"/>
          </w:tcPr>
          <w:p>
            <w:pPr>
              <w:jc w:val="right"/>
              <w:rPr>
                <w:rFonts w:eastAsia="Times New Roman"/>
                <w:noProof/>
                <w:sz w:val="18"/>
                <w:szCs w:val="18"/>
              </w:rPr>
            </w:pPr>
            <w:r>
              <w:rPr>
                <w:noProof/>
                <w:sz w:val="18"/>
              </w:rPr>
              <w:t>164,372</w:t>
            </w:r>
          </w:p>
        </w:tc>
        <w:tc>
          <w:tcPr>
            <w:tcW w:w="868" w:type="dxa"/>
            <w:vAlign w:val="center"/>
          </w:tcPr>
          <w:p>
            <w:pPr>
              <w:jc w:val="right"/>
              <w:rPr>
                <w:rFonts w:eastAsia="Times New Roman"/>
                <w:noProof/>
                <w:sz w:val="18"/>
                <w:szCs w:val="18"/>
              </w:rPr>
            </w:pPr>
            <w:r>
              <w:rPr>
                <w:noProof/>
                <w:sz w:val="18"/>
              </w:rPr>
              <w:t>178,692</w:t>
            </w:r>
          </w:p>
        </w:tc>
        <w:tc>
          <w:tcPr>
            <w:tcW w:w="868" w:type="dxa"/>
            <w:vAlign w:val="center"/>
          </w:tcPr>
          <w:p>
            <w:pPr>
              <w:jc w:val="right"/>
              <w:rPr>
                <w:rFonts w:eastAsia="Times New Roman"/>
                <w:noProof/>
                <w:sz w:val="18"/>
                <w:szCs w:val="18"/>
              </w:rPr>
            </w:pPr>
            <w:r>
              <w:rPr>
                <w:noProof/>
                <w:sz w:val="18"/>
              </w:rPr>
              <w:t>197,648</w:t>
            </w:r>
          </w:p>
        </w:tc>
        <w:tc>
          <w:tcPr>
            <w:tcW w:w="868" w:type="dxa"/>
            <w:vAlign w:val="center"/>
          </w:tcPr>
          <w:p>
            <w:pPr>
              <w:jc w:val="right"/>
              <w:rPr>
                <w:rFonts w:eastAsia="Times New Roman"/>
                <w:noProof/>
                <w:sz w:val="18"/>
                <w:szCs w:val="18"/>
              </w:rPr>
            </w:pPr>
            <w:r>
              <w:rPr>
                <w:noProof/>
                <w:sz w:val="18"/>
              </w:rPr>
              <w:t>221,547</w:t>
            </w:r>
          </w:p>
        </w:tc>
        <w:tc>
          <w:tcPr>
            <w:tcW w:w="909" w:type="dxa"/>
            <w:shd w:val="clear" w:color="auto" w:fill="A6A6A6" w:themeFill="background1" w:themeFillShade="A6"/>
          </w:tcPr>
          <w:p>
            <w:pPr>
              <w:jc w:val="right"/>
              <w:rPr>
                <w:rFonts w:eastAsia="Times New Roman"/>
                <w:b/>
                <w:noProof/>
                <w:sz w:val="20"/>
              </w:rPr>
            </w:pPr>
          </w:p>
        </w:tc>
        <w:tc>
          <w:tcPr>
            <w:tcW w:w="1289" w:type="dxa"/>
            <w:gridSpan w:val="2"/>
            <w:vAlign w:val="center"/>
          </w:tcPr>
          <w:p>
            <w:pPr>
              <w:jc w:val="center"/>
              <w:rPr>
                <w:rFonts w:eastAsia="Times New Roman"/>
                <w:b/>
                <w:noProof/>
                <w:sz w:val="20"/>
              </w:rPr>
            </w:pPr>
            <w:r>
              <w:rPr>
                <w:b/>
                <w:noProof/>
                <w:sz w:val="18"/>
              </w:rPr>
              <w:t>1 204,000</w:t>
            </w:r>
          </w:p>
        </w:tc>
      </w:tr>
      <w:tr>
        <w:trPr>
          <w:gridAfter w:val="1"/>
          <w:wAfter w:w="113" w:type="dxa"/>
          <w:trHeight w:val="411"/>
          <w:jc w:val="center"/>
        </w:trPr>
        <w:tc>
          <w:tcPr>
            <w:tcW w:w="4103" w:type="dxa"/>
            <w:vMerge/>
          </w:tcPr>
          <w:p>
            <w:pPr>
              <w:rPr>
                <w:rFonts w:eastAsia="Times New Roman"/>
                <w:noProof/>
              </w:rPr>
            </w:pPr>
          </w:p>
        </w:tc>
        <w:tc>
          <w:tcPr>
            <w:tcW w:w="1440" w:type="dxa"/>
            <w:gridSpan w:val="2"/>
            <w:vAlign w:val="center"/>
          </w:tcPr>
          <w:p>
            <w:pPr>
              <w:rPr>
                <w:rFonts w:eastAsia="Times New Roman"/>
                <w:noProof/>
                <w:sz w:val="18"/>
              </w:rPr>
            </w:pPr>
            <w:r>
              <w:rPr>
                <w:noProof/>
                <w:sz w:val="18"/>
              </w:rPr>
              <w:t>Плащания</w:t>
            </w:r>
          </w:p>
        </w:tc>
        <w:tc>
          <w:tcPr>
            <w:tcW w:w="654" w:type="dxa"/>
            <w:gridSpan w:val="2"/>
            <w:vAlign w:val="center"/>
          </w:tcPr>
          <w:p>
            <w:pPr>
              <w:jc w:val="center"/>
              <w:rPr>
                <w:rFonts w:eastAsia="Times New Roman"/>
                <w:noProof/>
                <w:sz w:val="14"/>
              </w:rPr>
            </w:pPr>
            <w:r>
              <w:rPr>
                <w:noProof/>
                <w:sz w:val="14"/>
              </w:rPr>
              <w:t>(2)</w:t>
            </w:r>
          </w:p>
        </w:tc>
        <w:tc>
          <w:tcPr>
            <w:tcW w:w="868" w:type="dxa"/>
            <w:vAlign w:val="center"/>
          </w:tcPr>
          <w:p>
            <w:pPr>
              <w:jc w:val="right"/>
              <w:rPr>
                <w:rFonts w:eastAsia="Times New Roman"/>
                <w:noProof/>
                <w:sz w:val="18"/>
                <w:szCs w:val="18"/>
              </w:rPr>
            </w:pPr>
            <w:r>
              <w:rPr>
                <w:noProof/>
                <w:sz w:val="18"/>
              </w:rPr>
              <w:t>103,858</w:t>
            </w:r>
          </w:p>
        </w:tc>
        <w:tc>
          <w:tcPr>
            <w:tcW w:w="868" w:type="dxa"/>
            <w:vAlign w:val="center"/>
          </w:tcPr>
          <w:p>
            <w:pPr>
              <w:jc w:val="right"/>
              <w:rPr>
                <w:rFonts w:eastAsia="Times New Roman"/>
                <w:noProof/>
                <w:sz w:val="18"/>
                <w:szCs w:val="18"/>
              </w:rPr>
            </w:pPr>
            <w:r>
              <w:rPr>
                <w:noProof/>
                <w:sz w:val="18"/>
              </w:rPr>
              <w:t>133,016</w:t>
            </w:r>
          </w:p>
        </w:tc>
        <w:tc>
          <w:tcPr>
            <w:tcW w:w="868" w:type="dxa"/>
            <w:vAlign w:val="center"/>
          </w:tcPr>
          <w:p>
            <w:pPr>
              <w:jc w:val="right"/>
              <w:rPr>
                <w:rFonts w:eastAsia="Times New Roman"/>
                <w:noProof/>
                <w:sz w:val="18"/>
                <w:szCs w:val="18"/>
              </w:rPr>
            </w:pPr>
            <w:r>
              <w:rPr>
                <w:noProof/>
                <w:sz w:val="18"/>
              </w:rPr>
              <w:t>145,078</w:t>
            </w:r>
          </w:p>
        </w:tc>
        <w:tc>
          <w:tcPr>
            <w:tcW w:w="868" w:type="dxa"/>
            <w:vAlign w:val="center"/>
          </w:tcPr>
          <w:p>
            <w:pPr>
              <w:jc w:val="right"/>
              <w:rPr>
                <w:rFonts w:eastAsia="Times New Roman"/>
                <w:noProof/>
                <w:sz w:val="18"/>
                <w:szCs w:val="18"/>
              </w:rPr>
            </w:pPr>
            <w:r>
              <w:rPr>
                <w:noProof/>
                <w:sz w:val="18"/>
              </w:rPr>
              <w:t>156,215</w:t>
            </w:r>
          </w:p>
        </w:tc>
        <w:tc>
          <w:tcPr>
            <w:tcW w:w="868" w:type="dxa"/>
            <w:vAlign w:val="center"/>
          </w:tcPr>
          <w:p>
            <w:pPr>
              <w:jc w:val="right"/>
              <w:rPr>
                <w:rFonts w:eastAsia="Times New Roman"/>
                <w:noProof/>
                <w:sz w:val="18"/>
                <w:szCs w:val="18"/>
              </w:rPr>
            </w:pPr>
            <w:r>
              <w:rPr>
                <w:noProof/>
                <w:sz w:val="18"/>
              </w:rPr>
              <w:t>169,764</w:t>
            </w:r>
          </w:p>
        </w:tc>
        <w:tc>
          <w:tcPr>
            <w:tcW w:w="868" w:type="dxa"/>
            <w:vAlign w:val="center"/>
          </w:tcPr>
          <w:p>
            <w:pPr>
              <w:jc w:val="right"/>
              <w:rPr>
                <w:rFonts w:eastAsia="Times New Roman"/>
                <w:noProof/>
                <w:sz w:val="18"/>
                <w:szCs w:val="18"/>
              </w:rPr>
            </w:pPr>
            <w:r>
              <w:rPr>
                <w:noProof/>
                <w:sz w:val="18"/>
              </w:rPr>
              <w:t>187,129</w:t>
            </w:r>
          </w:p>
        </w:tc>
        <w:tc>
          <w:tcPr>
            <w:tcW w:w="868" w:type="dxa"/>
            <w:vAlign w:val="center"/>
          </w:tcPr>
          <w:p>
            <w:pPr>
              <w:jc w:val="right"/>
              <w:rPr>
                <w:rFonts w:eastAsia="Times New Roman"/>
                <w:noProof/>
                <w:sz w:val="18"/>
                <w:szCs w:val="18"/>
              </w:rPr>
            </w:pPr>
            <w:r>
              <w:rPr>
                <w:noProof/>
                <w:sz w:val="18"/>
              </w:rPr>
              <w:t>209,231</w:t>
            </w:r>
          </w:p>
        </w:tc>
        <w:tc>
          <w:tcPr>
            <w:tcW w:w="909" w:type="dxa"/>
            <w:vAlign w:val="center"/>
          </w:tcPr>
          <w:p>
            <w:pPr>
              <w:jc w:val="right"/>
              <w:rPr>
                <w:rFonts w:eastAsia="Times New Roman"/>
                <w:noProof/>
                <w:sz w:val="18"/>
                <w:szCs w:val="18"/>
              </w:rPr>
            </w:pPr>
            <w:r>
              <w:rPr>
                <w:noProof/>
                <w:sz w:val="18"/>
              </w:rPr>
              <w:t>99,710</w:t>
            </w:r>
          </w:p>
        </w:tc>
        <w:tc>
          <w:tcPr>
            <w:tcW w:w="1289" w:type="dxa"/>
            <w:gridSpan w:val="2"/>
            <w:vAlign w:val="center"/>
          </w:tcPr>
          <w:p>
            <w:pPr>
              <w:jc w:val="center"/>
              <w:rPr>
                <w:rFonts w:eastAsia="Times New Roman"/>
                <w:b/>
                <w:noProof/>
                <w:sz w:val="18"/>
                <w:szCs w:val="18"/>
              </w:rPr>
            </w:pPr>
            <w:r>
              <w:rPr>
                <w:b/>
                <w:noProof/>
                <w:sz w:val="18"/>
              </w:rPr>
              <w:t>1 204,000</w:t>
            </w:r>
          </w:p>
        </w:tc>
      </w:tr>
      <w:tr>
        <w:trPr>
          <w:gridAfter w:val="1"/>
          <w:wAfter w:w="113" w:type="dxa"/>
          <w:trHeight w:val="319"/>
          <w:jc w:val="center"/>
        </w:trPr>
        <w:tc>
          <w:tcPr>
            <w:tcW w:w="14471" w:type="dxa"/>
            <w:gridSpan w:val="15"/>
            <w:vAlign w:val="center"/>
          </w:tcPr>
          <w:p>
            <w:pPr>
              <w:rPr>
                <w:rFonts w:eastAsia="Times New Roman"/>
                <w:b/>
                <w:noProof/>
                <w:sz w:val="20"/>
              </w:rPr>
            </w:pPr>
            <w:r>
              <w:rPr>
                <w:b/>
                <w:noProof/>
                <w:sz w:val="20"/>
              </w:rPr>
              <w:t>Бюджетни кредити за административни разходи, финансирани от пакета за програмата</w:t>
            </w:r>
          </w:p>
        </w:tc>
      </w:tr>
      <w:tr>
        <w:tblPrEx>
          <w:shd w:val="clear" w:color="auto" w:fill="CED7E7"/>
        </w:tblPrEx>
        <w:trPr>
          <w:gridAfter w:val="1"/>
          <w:wAfter w:w="113" w:type="dxa"/>
          <w:trHeight w:val="319"/>
          <w:jc w:val="center"/>
        </w:trPr>
        <w:tc>
          <w:tcPr>
            <w:tcW w:w="4103" w:type="dxa"/>
            <w:vAlign w:val="center"/>
          </w:tcPr>
          <w:p>
            <w:pPr>
              <w:rPr>
                <w:rFonts w:eastAsia="Times New Roman"/>
                <w:i/>
                <w:noProof/>
              </w:rPr>
            </w:pPr>
            <w:r>
              <w:rPr>
                <w:i/>
                <w:noProof/>
              </w:rPr>
              <w:t xml:space="preserve">07 01 XX XX — Административна подкрепа за Европейския корпус за солидарност </w:t>
            </w:r>
          </w:p>
        </w:tc>
        <w:tc>
          <w:tcPr>
            <w:tcW w:w="1440" w:type="dxa"/>
            <w:gridSpan w:val="2"/>
            <w:vAlign w:val="center"/>
          </w:tcPr>
          <w:p>
            <w:pPr>
              <w:rPr>
                <w:rFonts w:eastAsia="Times New Roman"/>
                <w:noProof/>
                <w:sz w:val="18"/>
              </w:rPr>
            </w:pPr>
            <w:r>
              <w:rPr>
                <w:noProof/>
                <w:sz w:val="18"/>
              </w:rPr>
              <w:t>Поети задължения = Плащания</w:t>
            </w:r>
          </w:p>
        </w:tc>
        <w:tc>
          <w:tcPr>
            <w:tcW w:w="654" w:type="dxa"/>
            <w:gridSpan w:val="2"/>
            <w:vAlign w:val="center"/>
          </w:tcPr>
          <w:p>
            <w:pPr>
              <w:jc w:val="center"/>
              <w:rPr>
                <w:rFonts w:eastAsia="Times New Roman"/>
                <w:noProof/>
                <w:sz w:val="14"/>
              </w:rPr>
            </w:pPr>
            <w:r>
              <w:rPr>
                <w:noProof/>
                <w:sz w:val="14"/>
              </w:rPr>
              <w:t>(3)</w:t>
            </w:r>
          </w:p>
        </w:tc>
        <w:tc>
          <w:tcPr>
            <w:tcW w:w="868" w:type="dxa"/>
            <w:vAlign w:val="center"/>
          </w:tcPr>
          <w:p>
            <w:pPr>
              <w:jc w:val="center"/>
              <w:rPr>
                <w:rFonts w:eastAsia="Times New Roman"/>
                <w:noProof/>
                <w:sz w:val="18"/>
                <w:szCs w:val="18"/>
              </w:rPr>
            </w:pPr>
            <w:r>
              <w:rPr>
                <w:noProof/>
                <w:sz w:val="18"/>
              </w:rPr>
              <w:t>6,586</w:t>
            </w:r>
          </w:p>
        </w:tc>
        <w:tc>
          <w:tcPr>
            <w:tcW w:w="868" w:type="dxa"/>
            <w:vAlign w:val="center"/>
          </w:tcPr>
          <w:p>
            <w:pPr>
              <w:jc w:val="center"/>
              <w:rPr>
                <w:rFonts w:eastAsia="Times New Roman"/>
                <w:noProof/>
                <w:sz w:val="18"/>
                <w:szCs w:val="18"/>
              </w:rPr>
            </w:pPr>
            <w:r>
              <w:rPr>
                <w:noProof/>
                <w:sz w:val="18"/>
              </w:rPr>
              <w:t>6,807</w:t>
            </w:r>
          </w:p>
        </w:tc>
        <w:tc>
          <w:tcPr>
            <w:tcW w:w="868" w:type="dxa"/>
            <w:vAlign w:val="center"/>
          </w:tcPr>
          <w:p>
            <w:pPr>
              <w:jc w:val="center"/>
              <w:rPr>
                <w:rFonts w:eastAsia="Times New Roman"/>
                <w:noProof/>
                <w:sz w:val="18"/>
                <w:szCs w:val="18"/>
              </w:rPr>
            </w:pPr>
            <w:r>
              <w:rPr>
                <w:noProof/>
                <w:sz w:val="18"/>
              </w:rPr>
              <w:t>7,153</w:t>
            </w:r>
          </w:p>
        </w:tc>
        <w:tc>
          <w:tcPr>
            <w:tcW w:w="868" w:type="dxa"/>
            <w:vAlign w:val="center"/>
          </w:tcPr>
          <w:p>
            <w:pPr>
              <w:jc w:val="center"/>
              <w:rPr>
                <w:rFonts w:eastAsia="Times New Roman"/>
                <w:noProof/>
                <w:sz w:val="18"/>
                <w:szCs w:val="18"/>
              </w:rPr>
            </w:pPr>
            <w:r>
              <w:rPr>
                <w:noProof/>
                <w:sz w:val="18"/>
              </w:rPr>
              <w:t>7,645</w:t>
            </w:r>
          </w:p>
        </w:tc>
        <w:tc>
          <w:tcPr>
            <w:tcW w:w="868" w:type="dxa"/>
            <w:vAlign w:val="center"/>
          </w:tcPr>
          <w:p>
            <w:pPr>
              <w:jc w:val="center"/>
              <w:rPr>
                <w:rFonts w:eastAsia="Times New Roman"/>
                <w:noProof/>
                <w:sz w:val="18"/>
                <w:szCs w:val="18"/>
              </w:rPr>
            </w:pPr>
            <w:r>
              <w:rPr>
                <w:noProof/>
                <w:sz w:val="18"/>
              </w:rPr>
              <w:t>8,311</w:t>
            </w:r>
          </w:p>
        </w:tc>
        <w:tc>
          <w:tcPr>
            <w:tcW w:w="868" w:type="dxa"/>
            <w:vAlign w:val="center"/>
          </w:tcPr>
          <w:p>
            <w:pPr>
              <w:jc w:val="center"/>
              <w:rPr>
                <w:rFonts w:eastAsia="Times New Roman"/>
                <w:noProof/>
                <w:sz w:val="18"/>
                <w:szCs w:val="18"/>
              </w:rPr>
            </w:pPr>
            <w:r>
              <w:rPr>
                <w:noProof/>
                <w:sz w:val="18"/>
              </w:rPr>
              <w:t>9,193</w:t>
            </w:r>
          </w:p>
        </w:tc>
        <w:tc>
          <w:tcPr>
            <w:tcW w:w="868" w:type="dxa"/>
            <w:vAlign w:val="center"/>
          </w:tcPr>
          <w:p>
            <w:pPr>
              <w:jc w:val="center"/>
              <w:rPr>
                <w:rFonts w:eastAsia="Times New Roman"/>
                <w:noProof/>
                <w:sz w:val="18"/>
                <w:szCs w:val="18"/>
              </w:rPr>
            </w:pPr>
            <w:r>
              <w:rPr>
                <w:noProof/>
                <w:sz w:val="18"/>
              </w:rPr>
              <w:t>10,305</w:t>
            </w:r>
          </w:p>
        </w:tc>
        <w:tc>
          <w:tcPr>
            <w:tcW w:w="909" w:type="dxa"/>
            <w:shd w:val="clear" w:color="auto" w:fill="A6A6A6" w:themeFill="background1" w:themeFillShade="A6"/>
            <w:vAlign w:val="center"/>
          </w:tcPr>
          <w:p>
            <w:pPr>
              <w:jc w:val="center"/>
              <w:rPr>
                <w:rFonts w:eastAsia="Times New Roman"/>
                <w:b/>
                <w:noProof/>
                <w:sz w:val="20"/>
              </w:rPr>
            </w:pPr>
          </w:p>
        </w:tc>
        <w:tc>
          <w:tcPr>
            <w:tcW w:w="1289" w:type="dxa"/>
            <w:gridSpan w:val="2"/>
            <w:vAlign w:val="center"/>
          </w:tcPr>
          <w:p>
            <w:pPr>
              <w:jc w:val="center"/>
              <w:rPr>
                <w:rFonts w:eastAsia="Times New Roman"/>
                <w:b/>
                <w:noProof/>
                <w:sz w:val="18"/>
                <w:szCs w:val="18"/>
              </w:rPr>
            </w:pPr>
            <w:r>
              <w:rPr>
                <w:b/>
                <w:noProof/>
                <w:sz w:val="18"/>
              </w:rPr>
              <w:t>56,000</w:t>
            </w:r>
          </w:p>
        </w:tc>
      </w:tr>
      <w:tr>
        <w:tblPrEx>
          <w:shd w:val="clear" w:color="auto" w:fill="CED7E7"/>
        </w:tblPrEx>
        <w:trPr>
          <w:gridAfter w:val="1"/>
          <w:wAfter w:w="113" w:type="dxa"/>
          <w:jc w:val="center"/>
        </w:trPr>
        <w:tc>
          <w:tcPr>
            <w:tcW w:w="4103" w:type="dxa"/>
            <w:vMerge w:val="restart"/>
            <w:vAlign w:val="center"/>
          </w:tcPr>
          <w:p>
            <w:pPr>
              <w:rPr>
                <w:rFonts w:eastAsia="Times New Roman"/>
                <w:b/>
                <w:noProof/>
              </w:rPr>
            </w:pPr>
            <w:r>
              <w:rPr>
                <w:b/>
                <w:noProof/>
                <w:sz w:val="22"/>
              </w:rPr>
              <w:t>ОБЩО бюджетни кредити за финансовия пакет на програмата</w:t>
            </w:r>
          </w:p>
        </w:tc>
        <w:tc>
          <w:tcPr>
            <w:tcW w:w="1440" w:type="dxa"/>
            <w:gridSpan w:val="2"/>
            <w:vAlign w:val="center"/>
          </w:tcPr>
          <w:p>
            <w:pPr>
              <w:rPr>
                <w:rFonts w:eastAsia="Times New Roman"/>
                <w:noProof/>
                <w:sz w:val="18"/>
              </w:rPr>
            </w:pPr>
            <w:r>
              <w:rPr>
                <w:noProof/>
                <w:sz w:val="18"/>
              </w:rPr>
              <w:t>Поети задължения</w:t>
            </w:r>
          </w:p>
        </w:tc>
        <w:tc>
          <w:tcPr>
            <w:tcW w:w="654" w:type="dxa"/>
            <w:gridSpan w:val="2"/>
            <w:vAlign w:val="center"/>
          </w:tcPr>
          <w:p>
            <w:pPr>
              <w:jc w:val="center"/>
              <w:rPr>
                <w:rFonts w:eastAsia="Times New Roman"/>
                <w:noProof/>
                <w:sz w:val="14"/>
              </w:rPr>
            </w:pPr>
            <w:r>
              <w:rPr>
                <w:noProof/>
                <w:sz w:val="14"/>
              </w:rPr>
              <w:t>=1+3</w:t>
            </w:r>
          </w:p>
        </w:tc>
        <w:tc>
          <w:tcPr>
            <w:tcW w:w="868" w:type="dxa"/>
            <w:vAlign w:val="center"/>
          </w:tcPr>
          <w:p>
            <w:pPr>
              <w:jc w:val="center"/>
              <w:rPr>
                <w:rFonts w:eastAsia="Times New Roman"/>
                <w:b/>
                <w:noProof/>
                <w:sz w:val="18"/>
                <w:szCs w:val="18"/>
              </w:rPr>
            </w:pPr>
            <w:r>
              <w:rPr>
                <w:b/>
                <w:noProof/>
                <w:sz w:val="18"/>
              </w:rPr>
              <w:t>148,181</w:t>
            </w:r>
          </w:p>
        </w:tc>
        <w:tc>
          <w:tcPr>
            <w:tcW w:w="868" w:type="dxa"/>
            <w:vAlign w:val="center"/>
          </w:tcPr>
          <w:p>
            <w:pPr>
              <w:jc w:val="center"/>
              <w:rPr>
                <w:rFonts w:eastAsia="Times New Roman"/>
                <w:b/>
                <w:noProof/>
                <w:sz w:val="18"/>
                <w:szCs w:val="18"/>
              </w:rPr>
            </w:pPr>
            <w:r>
              <w:rPr>
                <w:b/>
                <w:noProof/>
                <w:sz w:val="18"/>
              </w:rPr>
              <w:t>153,154</w:t>
            </w:r>
          </w:p>
        </w:tc>
        <w:tc>
          <w:tcPr>
            <w:tcW w:w="868" w:type="dxa"/>
            <w:vAlign w:val="center"/>
          </w:tcPr>
          <w:p>
            <w:pPr>
              <w:jc w:val="center"/>
              <w:rPr>
                <w:rFonts w:eastAsia="Times New Roman"/>
                <w:b/>
                <w:noProof/>
                <w:sz w:val="18"/>
                <w:szCs w:val="18"/>
              </w:rPr>
            </w:pPr>
            <w:r>
              <w:rPr>
                <w:b/>
                <w:noProof/>
                <w:sz w:val="18"/>
              </w:rPr>
              <w:t>160,952</w:t>
            </w:r>
          </w:p>
        </w:tc>
        <w:tc>
          <w:tcPr>
            <w:tcW w:w="868" w:type="dxa"/>
            <w:vAlign w:val="center"/>
          </w:tcPr>
          <w:p>
            <w:pPr>
              <w:jc w:val="center"/>
              <w:rPr>
                <w:rFonts w:eastAsia="Times New Roman"/>
                <w:b/>
                <w:noProof/>
                <w:sz w:val="18"/>
                <w:szCs w:val="18"/>
              </w:rPr>
            </w:pPr>
            <w:r>
              <w:rPr>
                <w:b/>
                <w:noProof/>
                <w:sz w:val="18"/>
              </w:rPr>
              <w:t>172,017</w:t>
            </w:r>
          </w:p>
        </w:tc>
        <w:tc>
          <w:tcPr>
            <w:tcW w:w="868" w:type="dxa"/>
            <w:vAlign w:val="center"/>
          </w:tcPr>
          <w:p>
            <w:pPr>
              <w:jc w:val="center"/>
              <w:rPr>
                <w:rFonts w:eastAsia="Times New Roman"/>
                <w:b/>
                <w:noProof/>
                <w:sz w:val="18"/>
                <w:szCs w:val="18"/>
              </w:rPr>
            </w:pPr>
            <w:r>
              <w:rPr>
                <w:b/>
                <w:noProof/>
                <w:sz w:val="18"/>
              </w:rPr>
              <w:t>187,003</w:t>
            </w:r>
          </w:p>
        </w:tc>
        <w:tc>
          <w:tcPr>
            <w:tcW w:w="868" w:type="dxa"/>
            <w:vAlign w:val="center"/>
          </w:tcPr>
          <w:p>
            <w:pPr>
              <w:jc w:val="center"/>
              <w:rPr>
                <w:rFonts w:eastAsia="Times New Roman"/>
                <w:b/>
                <w:noProof/>
                <w:sz w:val="18"/>
                <w:szCs w:val="18"/>
              </w:rPr>
            </w:pPr>
            <w:r>
              <w:rPr>
                <w:b/>
                <w:noProof/>
                <w:sz w:val="18"/>
              </w:rPr>
              <w:t>206,841</w:t>
            </w:r>
          </w:p>
        </w:tc>
        <w:tc>
          <w:tcPr>
            <w:tcW w:w="868" w:type="dxa"/>
            <w:vAlign w:val="center"/>
          </w:tcPr>
          <w:p>
            <w:pPr>
              <w:jc w:val="center"/>
              <w:rPr>
                <w:rFonts w:eastAsia="Times New Roman"/>
                <w:b/>
                <w:noProof/>
                <w:sz w:val="18"/>
                <w:szCs w:val="18"/>
              </w:rPr>
            </w:pPr>
            <w:r>
              <w:rPr>
                <w:b/>
                <w:noProof/>
                <w:sz w:val="18"/>
              </w:rPr>
              <w:t>231,852</w:t>
            </w:r>
          </w:p>
        </w:tc>
        <w:tc>
          <w:tcPr>
            <w:tcW w:w="909" w:type="dxa"/>
            <w:shd w:val="clear" w:color="auto" w:fill="A6A6A6" w:themeFill="background1" w:themeFillShade="A6"/>
            <w:vAlign w:val="center"/>
          </w:tcPr>
          <w:p>
            <w:pPr>
              <w:jc w:val="center"/>
              <w:rPr>
                <w:rFonts w:eastAsia="Times New Roman"/>
                <w:b/>
                <w:noProof/>
                <w:sz w:val="18"/>
                <w:szCs w:val="18"/>
              </w:rPr>
            </w:pPr>
          </w:p>
        </w:tc>
        <w:tc>
          <w:tcPr>
            <w:tcW w:w="1289" w:type="dxa"/>
            <w:gridSpan w:val="2"/>
            <w:vAlign w:val="center"/>
          </w:tcPr>
          <w:p>
            <w:pPr>
              <w:jc w:val="center"/>
              <w:rPr>
                <w:rFonts w:eastAsia="Times New Roman"/>
                <w:b/>
                <w:noProof/>
                <w:sz w:val="18"/>
                <w:szCs w:val="18"/>
              </w:rPr>
            </w:pPr>
            <w:r>
              <w:rPr>
                <w:b/>
                <w:noProof/>
                <w:sz w:val="18"/>
              </w:rPr>
              <w:t>1 260,000</w:t>
            </w:r>
          </w:p>
        </w:tc>
      </w:tr>
      <w:tr>
        <w:tblPrEx>
          <w:shd w:val="clear" w:color="auto" w:fill="CED7E7"/>
        </w:tblPrEx>
        <w:trPr>
          <w:gridAfter w:val="1"/>
          <w:wAfter w:w="113" w:type="dxa"/>
          <w:jc w:val="center"/>
        </w:trPr>
        <w:tc>
          <w:tcPr>
            <w:tcW w:w="4103" w:type="dxa"/>
            <w:vMerge/>
          </w:tcPr>
          <w:p>
            <w:pPr>
              <w:rPr>
                <w:rFonts w:eastAsia="Times New Roman"/>
                <w:noProof/>
                <w:sz w:val="20"/>
              </w:rPr>
            </w:pPr>
          </w:p>
        </w:tc>
        <w:tc>
          <w:tcPr>
            <w:tcW w:w="1440" w:type="dxa"/>
            <w:gridSpan w:val="2"/>
            <w:vAlign w:val="center"/>
          </w:tcPr>
          <w:p>
            <w:pPr>
              <w:rPr>
                <w:rFonts w:eastAsia="Times New Roman"/>
                <w:noProof/>
                <w:sz w:val="18"/>
              </w:rPr>
            </w:pPr>
            <w:r>
              <w:rPr>
                <w:noProof/>
                <w:sz w:val="18"/>
              </w:rPr>
              <w:t>Плащания</w:t>
            </w:r>
          </w:p>
        </w:tc>
        <w:tc>
          <w:tcPr>
            <w:tcW w:w="654" w:type="dxa"/>
            <w:gridSpan w:val="2"/>
            <w:vAlign w:val="center"/>
          </w:tcPr>
          <w:p>
            <w:pPr>
              <w:jc w:val="center"/>
              <w:rPr>
                <w:rFonts w:eastAsia="Times New Roman"/>
                <w:noProof/>
                <w:sz w:val="14"/>
              </w:rPr>
            </w:pPr>
            <w:r>
              <w:rPr>
                <w:noProof/>
                <w:sz w:val="14"/>
              </w:rPr>
              <w:t>=2+3</w:t>
            </w:r>
          </w:p>
        </w:tc>
        <w:tc>
          <w:tcPr>
            <w:tcW w:w="868" w:type="dxa"/>
            <w:vAlign w:val="center"/>
          </w:tcPr>
          <w:p>
            <w:pPr>
              <w:jc w:val="center"/>
              <w:rPr>
                <w:rFonts w:eastAsia="Times New Roman"/>
                <w:b/>
                <w:noProof/>
                <w:sz w:val="18"/>
                <w:szCs w:val="18"/>
              </w:rPr>
            </w:pPr>
            <w:r>
              <w:rPr>
                <w:b/>
                <w:noProof/>
                <w:sz w:val="18"/>
              </w:rPr>
              <w:t>110,444</w:t>
            </w:r>
          </w:p>
        </w:tc>
        <w:tc>
          <w:tcPr>
            <w:tcW w:w="868" w:type="dxa"/>
            <w:vAlign w:val="center"/>
          </w:tcPr>
          <w:p>
            <w:pPr>
              <w:jc w:val="center"/>
              <w:rPr>
                <w:rFonts w:eastAsia="Times New Roman"/>
                <w:b/>
                <w:noProof/>
                <w:sz w:val="18"/>
                <w:szCs w:val="18"/>
              </w:rPr>
            </w:pPr>
            <w:r>
              <w:rPr>
                <w:b/>
                <w:noProof/>
                <w:sz w:val="18"/>
              </w:rPr>
              <w:t>139,823</w:t>
            </w:r>
          </w:p>
        </w:tc>
        <w:tc>
          <w:tcPr>
            <w:tcW w:w="868" w:type="dxa"/>
            <w:vAlign w:val="center"/>
          </w:tcPr>
          <w:p>
            <w:pPr>
              <w:jc w:val="center"/>
              <w:rPr>
                <w:rFonts w:eastAsia="Times New Roman"/>
                <w:b/>
                <w:noProof/>
                <w:sz w:val="18"/>
                <w:szCs w:val="18"/>
              </w:rPr>
            </w:pPr>
            <w:r>
              <w:rPr>
                <w:b/>
                <w:noProof/>
                <w:sz w:val="18"/>
              </w:rPr>
              <w:t>152,231</w:t>
            </w:r>
          </w:p>
        </w:tc>
        <w:tc>
          <w:tcPr>
            <w:tcW w:w="868" w:type="dxa"/>
            <w:vAlign w:val="center"/>
          </w:tcPr>
          <w:p>
            <w:pPr>
              <w:jc w:val="center"/>
              <w:rPr>
                <w:rFonts w:eastAsia="Times New Roman"/>
                <w:b/>
                <w:noProof/>
                <w:sz w:val="18"/>
                <w:szCs w:val="18"/>
              </w:rPr>
            </w:pPr>
            <w:r>
              <w:rPr>
                <w:b/>
                <w:noProof/>
                <w:sz w:val="18"/>
              </w:rPr>
              <w:t>163,860</w:t>
            </w:r>
          </w:p>
        </w:tc>
        <w:tc>
          <w:tcPr>
            <w:tcW w:w="868" w:type="dxa"/>
            <w:vAlign w:val="center"/>
          </w:tcPr>
          <w:p>
            <w:pPr>
              <w:jc w:val="center"/>
              <w:rPr>
                <w:rFonts w:eastAsia="Times New Roman"/>
                <w:b/>
                <w:noProof/>
                <w:sz w:val="18"/>
                <w:szCs w:val="18"/>
              </w:rPr>
            </w:pPr>
            <w:r>
              <w:rPr>
                <w:b/>
                <w:noProof/>
                <w:sz w:val="18"/>
              </w:rPr>
              <w:t>178,075</w:t>
            </w:r>
          </w:p>
        </w:tc>
        <w:tc>
          <w:tcPr>
            <w:tcW w:w="868" w:type="dxa"/>
            <w:vAlign w:val="center"/>
          </w:tcPr>
          <w:p>
            <w:pPr>
              <w:jc w:val="center"/>
              <w:rPr>
                <w:rFonts w:eastAsia="Times New Roman"/>
                <w:b/>
                <w:noProof/>
                <w:sz w:val="18"/>
                <w:szCs w:val="18"/>
              </w:rPr>
            </w:pPr>
            <w:r>
              <w:rPr>
                <w:b/>
                <w:noProof/>
                <w:sz w:val="18"/>
              </w:rPr>
              <w:t>196,321</w:t>
            </w:r>
          </w:p>
        </w:tc>
        <w:tc>
          <w:tcPr>
            <w:tcW w:w="868" w:type="dxa"/>
            <w:vAlign w:val="center"/>
          </w:tcPr>
          <w:p>
            <w:pPr>
              <w:jc w:val="center"/>
              <w:rPr>
                <w:rFonts w:eastAsia="Times New Roman"/>
                <w:b/>
                <w:noProof/>
                <w:sz w:val="18"/>
                <w:szCs w:val="18"/>
              </w:rPr>
            </w:pPr>
            <w:r>
              <w:rPr>
                <w:b/>
                <w:noProof/>
                <w:sz w:val="18"/>
              </w:rPr>
              <w:t>219,536</w:t>
            </w:r>
          </w:p>
        </w:tc>
        <w:tc>
          <w:tcPr>
            <w:tcW w:w="909" w:type="dxa"/>
            <w:vAlign w:val="center"/>
          </w:tcPr>
          <w:p>
            <w:pPr>
              <w:jc w:val="center"/>
              <w:rPr>
                <w:rFonts w:eastAsia="Times New Roman"/>
                <w:b/>
                <w:noProof/>
                <w:sz w:val="18"/>
                <w:szCs w:val="18"/>
              </w:rPr>
            </w:pPr>
            <w:r>
              <w:rPr>
                <w:b/>
                <w:noProof/>
                <w:sz w:val="18"/>
              </w:rPr>
              <w:t>99,710</w:t>
            </w:r>
          </w:p>
        </w:tc>
        <w:tc>
          <w:tcPr>
            <w:tcW w:w="1289" w:type="dxa"/>
            <w:gridSpan w:val="2"/>
            <w:vAlign w:val="center"/>
          </w:tcPr>
          <w:p>
            <w:pPr>
              <w:jc w:val="center"/>
              <w:rPr>
                <w:rFonts w:eastAsia="Times New Roman"/>
                <w:b/>
                <w:noProof/>
                <w:sz w:val="18"/>
                <w:szCs w:val="18"/>
              </w:rPr>
            </w:pPr>
            <w:r>
              <w:rPr>
                <w:b/>
                <w:noProof/>
                <w:sz w:val="18"/>
              </w:rPr>
              <w:t>1 260,000</w:t>
            </w:r>
          </w:p>
        </w:tc>
      </w:tr>
    </w:tbl>
    <w:p>
      <w:pPr>
        <w:rPr>
          <w:rFonts w:eastAsia="Times New Roman"/>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jc w:val="center"/>
              <w:rPr>
                <w:rFonts w:eastAsia="Times New Roman"/>
                <w:b/>
                <w:noProof/>
              </w:rPr>
            </w:pPr>
            <w:r>
              <w:rPr>
                <w:noProof/>
              </w:rPr>
              <w:br w:type="page"/>
            </w:r>
            <w:r>
              <w:rPr>
                <w:b/>
                <w:noProof/>
                <w:sz w:val="22"/>
              </w:rPr>
              <w:t xml:space="preserve">Функция от многогодишната финансова </w:t>
            </w:r>
            <w:r>
              <w:rPr>
                <w:rFonts w:eastAsia="Times New Roman"/>
                <w:noProof/>
                <w:sz w:val="22"/>
              </w:rPr>
              <w:br/>
            </w:r>
            <w:r>
              <w:rPr>
                <w:b/>
                <w:noProof/>
                <w:sz w:val="22"/>
              </w:rPr>
              <w:t xml:space="preserve">рамка </w:t>
            </w:r>
          </w:p>
        </w:tc>
        <w:tc>
          <w:tcPr>
            <w:tcW w:w="1080" w:type="dxa"/>
            <w:shd w:val="thinDiagStripe" w:color="C0C0C0" w:fill="auto"/>
            <w:vAlign w:val="center"/>
          </w:tcPr>
          <w:p>
            <w:pPr>
              <w:jc w:val="center"/>
              <w:rPr>
                <w:rFonts w:eastAsia="Times New Roman"/>
                <w:noProof/>
              </w:rPr>
            </w:pPr>
            <w:r>
              <w:rPr>
                <w:noProof/>
              </w:rPr>
              <w:t>7</w:t>
            </w:r>
          </w:p>
        </w:tc>
        <w:tc>
          <w:tcPr>
            <w:tcW w:w="7817" w:type="dxa"/>
            <w:vAlign w:val="center"/>
          </w:tcPr>
          <w:p>
            <w:pPr>
              <w:rPr>
                <w:rFonts w:eastAsia="Times New Roman"/>
                <w:noProof/>
              </w:rPr>
            </w:pPr>
            <w:r>
              <w:rPr>
                <w:noProof/>
                <w:sz w:val="22"/>
              </w:rPr>
              <w:t>„Административни разходи“</w:t>
            </w:r>
          </w:p>
        </w:tc>
      </w:tr>
    </w:tbl>
    <w:p>
      <w:pPr>
        <w:rPr>
          <w:noProof/>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24">
        <w:r>
          <w:rPr>
            <w:rStyle w:val="Hyperlink0"/>
            <w:noProof/>
            <w:color w:val="auto"/>
          </w:rPr>
          <w:t>приложението към финансовата обосновка</w:t>
        </w:r>
      </w:hyperlink>
      <w:r>
        <w:rPr>
          <w:noProof/>
        </w:rPr>
        <w:t>, което се качва в DECIDE за провеждането на вътрешни консултации между службите.</w:t>
      </w:r>
    </w:p>
    <w:p>
      <w:pPr>
        <w:pStyle w:val="Text"/>
        <w:jc w:val="right"/>
        <w:rPr>
          <w:noProof/>
          <w:color w:val="auto"/>
          <w:sz w:val="20"/>
          <w:szCs w:val="20"/>
        </w:rPr>
      </w:pPr>
      <w:r>
        <w:rPr>
          <w:noProof/>
          <w:color w:val="auto"/>
          <w:sz w:val="20"/>
        </w:rPr>
        <w:t>млн. евро (до 3-тия знак след десетичната запетая)</w:t>
      </w:r>
    </w:p>
    <w:tbl>
      <w:tblPr>
        <w:tblW w:w="1449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00"/>
        <w:gridCol w:w="2046"/>
        <w:gridCol w:w="868"/>
        <w:gridCol w:w="868"/>
        <w:gridCol w:w="868"/>
        <w:gridCol w:w="868"/>
        <w:gridCol w:w="868"/>
        <w:gridCol w:w="868"/>
        <w:gridCol w:w="868"/>
        <w:gridCol w:w="886"/>
        <w:gridCol w:w="1291"/>
      </w:tblGrid>
      <w:tr>
        <w:trPr>
          <w:trHeight w:val="667"/>
          <w:jc w:val="center"/>
        </w:trPr>
        <w:tc>
          <w:tcPr>
            <w:tcW w:w="6246"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pPr>
              <w:rPr>
                <w:noProof/>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2021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2022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2023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2024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18"/>
              </w:rPr>
              <w:t>2025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18"/>
              </w:rPr>
              <w:t>2026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18"/>
              </w:rPr>
              <w:t>2027 г.</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Text"/>
              <w:jc w:val="center"/>
              <w:rPr>
                <w:noProof/>
                <w:color w:val="auto"/>
              </w:rPr>
            </w:pPr>
            <w:r>
              <w:rPr>
                <w:b/>
                <w:i/>
                <w:noProof/>
                <w:color w:val="auto"/>
                <w:sz w:val="20"/>
              </w:rPr>
              <w:t>След 2027 г.</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ОБЩО</w:t>
            </w:r>
          </w:p>
        </w:tc>
      </w:tr>
      <w:tr>
        <w:trPr>
          <w:trHeight w:val="582"/>
          <w:jc w:val="center"/>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rPr>
                <w:noProof/>
                <w:color w:val="auto"/>
              </w:rPr>
            </w:pPr>
            <w:r>
              <w:rPr>
                <w:noProof/>
                <w:color w:val="auto"/>
                <w:sz w:val="22"/>
              </w:rPr>
              <w:t xml:space="preserve">Човешки ресурси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2,505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2,505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2,579</w:t>
            </w:r>
          </w:p>
        </w:tc>
        <w:tc>
          <w:tcPr>
            <w:tcW w:w="88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jc w:val="center"/>
              <w:rPr>
                <w:noProof/>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jc w:val="center"/>
              <w:rPr>
                <w:b/>
                <w:bCs/>
                <w:noProof/>
                <w:sz w:val="22"/>
              </w:rPr>
            </w:pPr>
            <w:r>
              <w:rPr>
                <w:b/>
                <w:noProof/>
                <w:sz w:val="22"/>
              </w:rPr>
              <w:t>17,905</w:t>
            </w:r>
          </w:p>
        </w:tc>
      </w:tr>
      <w:tr>
        <w:trPr>
          <w:trHeight w:val="562"/>
          <w:jc w:val="center"/>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rPr>
                <w:noProof/>
                <w:color w:val="auto"/>
              </w:rPr>
            </w:pPr>
            <w:r>
              <w:rPr>
                <w:noProof/>
                <w:color w:val="auto"/>
                <w:sz w:val="22"/>
              </w:rPr>
              <w:t xml:space="preserve">Други административни разходи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22"/>
              </w:rPr>
              <w:t>0,838</w:t>
            </w:r>
          </w:p>
        </w:tc>
        <w:tc>
          <w:tcPr>
            <w:tcW w:w="88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jc w:val="center"/>
              <w:rPr>
                <w:noProof/>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jc w:val="center"/>
              <w:rPr>
                <w:b/>
                <w:bCs/>
                <w:noProof/>
                <w:sz w:val="22"/>
              </w:rPr>
            </w:pPr>
            <w:r>
              <w:rPr>
                <w:b/>
                <w:noProof/>
                <w:sz w:val="22"/>
              </w:rPr>
              <w:t>5,866</w:t>
            </w:r>
          </w:p>
        </w:tc>
      </w:tr>
      <w:tr>
        <w:trPr>
          <w:trHeight w:val="961"/>
          <w:jc w:val="center"/>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left"/>
              <w:rPr>
                <w:noProof/>
                <w:color w:val="auto"/>
              </w:rPr>
            </w:pPr>
            <w:r>
              <w:rPr>
                <w:b/>
                <w:noProof/>
                <w:color w:val="auto"/>
                <w:sz w:val="22"/>
              </w:rPr>
              <w:t>ОБЩО бюджетни кредити за ФУНКЦИЯ 7 от многогодишната финансова рамка</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pPr>
              <w:pStyle w:val="Text"/>
              <w:rPr>
                <w:noProof/>
                <w:color w:val="auto"/>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2"/>
              </w:rPr>
              <w:t>3,343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2"/>
              </w:rPr>
              <w:t>3,343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2"/>
              </w:rPr>
              <w:t>3,417</w:t>
            </w:r>
          </w:p>
        </w:tc>
        <w:tc>
          <w:tcPr>
            <w:tcW w:w="88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jc w:val="center"/>
              <w:rPr>
                <w:noProof/>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jc w:val="center"/>
              <w:rPr>
                <w:noProof/>
              </w:rPr>
            </w:pPr>
            <w:r>
              <w:rPr>
                <w:b/>
                <w:noProof/>
                <w:sz w:val="22"/>
              </w:rPr>
              <w:t>23,771</w:t>
            </w:r>
          </w:p>
        </w:tc>
      </w:tr>
    </w:tbl>
    <w:p>
      <w:pPr>
        <w:pStyle w:val="Text"/>
        <w:jc w:val="right"/>
        <w:rPr>
          <w:noProof/>
          <w:color w:val="auto"/>
          <w:sz w:val="20"/>
          <w:szCs w:val="20"/>
        </w:rPr>
      </w:pPr>
      <w:r>
        <w:rPr>
          <w:noProof/>
          <w:color w:val="auto"/>
          <w:sz w:val="20"/>
        </w:rPr>
        <w:t>млн. евро (до 3-тия знак след десетичната запетая)</w:t>
      </w:r>
    </w:p>
    <w:tbl>
      <w:tblPr>
        <w:tblW w:w="1451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73"/>
        <w:gridCol w:w="1560"/>
        <w:gridCol w:w="534"/>
        <w:gridCol w:w="868"/>
        <w:gridCol w:w="868"/>
        <w:gridCol w:w="868"/>
        <w:gridCol w:w="868"/>
        <w:gridCol w:w="868"/>
        <w:gridCol w:w="868"/>
        <w:gridCol w:w="868"/>
        <w:gridCol w:w="877"/>
        <w:gridCol w:w="1292"/>
      </w:tblGrid>
      <w:tr>
        <w:trPr>
          <w:trHeight w:val="667"/>
          <w:jc w:val="center"/>
        </w:trPr>
        <w:tc>
          <w:tcPr>
            <w:tcW w:w="4173"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pPr>
              <w:rPr>
                <w:noProof/>
              </w:rPr>
            </w:pPr>
          </w:p>
        </w:tc>
        <w:tc>
          <w:tcPr>
            <w:tcW w:w="1560" w:type="dxa"/>
            <w:tcBorders>
              <w:top w:val="nil"/>
              <w:left w:val="nil"/>
              <w:bottom w:val="single" w:sz="4" w:space="0" w:color="000000"/>
              <w:right w:val="nil"/>
            </w:tcBorders>
            <w:shd w:val="clear" w:color="auto" w:fill="auto"/>
            <w:tcMar>
              <w:top w:w="80" w:type="dxa"/>
              <w:left w:w="80" w:type="dxa"/>
              <w:bottom w:w="80" w:type="dxa"/>
              <w:right w:w="80" w:type="dxa"/>
            </w:tcMar>
          </w:tcPr>
          <w:p>
            <w:pPr>
              <w:rPr>
                <w:noProof/>
              </w:rPr>
            </w:pPr>
          </w:p>
        </w:tc>
        <w:tc>
          <w:tcPr>
            <w:tcW w:w="534"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pPr>
              <w:rPr>
                <w:noProof/>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2021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2022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2023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2024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18"/>
              </w:rPr>
              <w:t>2025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18"/>
              </w:rPr>
              <w:t>2026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18"/>
              </w:rPr>
              <w:t>2027 г.</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Text"/>
              <w:jc w:val="center"/>
              <w:rPr>
                <w:noProof/>
                <w:color w:val="auto"/>
              </w:rPr>
            </w:pPr>
            <w:r>
              <w:rPr>
                <w:b/>
                <w:i/>
                <w:noProof/>
                <w:color w:val="auto"/>
                <w:sz w:val="20"/>
              </w:rPr>
              <w:t>След 2027 г.</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ОБЩО</w:t>
            </w:r>
          </w:p>
        </w:tc>
      </w:tr>
      <w:tr>
        <w:trPr>
          <w:trHeight w:val="822"/>
          <w:jc w:val="center"/>
        </w:trPr>
        <w:tc>
          <w:tcPr>
            <w:tcW w:w="4173" w:type="dxa"/>
            <w:vMerge w:val="restart"/>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pPr>
              <w:pStyle w:val="Text"/>
              <w:jc w:val="center"/>
              <w:rPr>
                <w:noProof/>
                <w:color w:val="auto"/>
              </w:rPr>
            </w:pPr>
            <w:r>
              <w:rPr>
                <w:b/>
                <w:noProof/>
                <w:color w:val="auto"/>
                <w:sz w:val="22"/>
              </w:rPr>
              <w:t xml:space="preserve">ОБЩО бюджетни кредити </w:t>
            </w:r>
            <w:r>
              <w:rPr>
                <w:rFonts w:eastAsia="Arial Unicode MS"/>
                <w:noProof/>
                <w:color w:val="auto"/>
                <w:sz w:val="22"/>
                <w:szCs w:val="22"/>
              </w:rPr>
              <w:br/>
            </w:r>
            <w:r>
              <w:rPr>
                <w:b/>
                <w:noProof/>
                <w:color w:val="auto"/>
                <w:sz w:val="22"/>
              </w:rPr>
              <w:t xml:space="preserve">по всички ФУНКЦИИ </w:t>
            </w:r>
            <w:r>
              <w:rPr>
                <w:rFonts w:eastAsia="Arial Unicode MS"/>
                <w:noProof/>
                <w:color w:val="auto"/>
                <w:sz w:val="22"/>
                <w:szCs w:val="22"/>
              </w:rPr>
              <w:br/>
            </w:r>
            <w:r>
              <w:rPr>
                <w:noProof/>
                <w:color w:val="auto"/>
                <w:sz w:val="22"/>
              </w:rPr>
              <w:t>от многогодишната финансова рамка</w:t>
            </w:r>
            <w:r>
              <w:rPr>
                <w:b/>
                <w:noProof/>
                <w:color w:val="auto"/>
                <w:sz w:val="22"/>
              </w:rPr>
              <w:t xml:space="preserve"> </w:t>
            </w: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rPr>
                <w:noProof/>
                <w:color w:val="auto"/>
              </w:rPr>
            </w:pPr>
            <w:r>
              <w:rPr>
                <w:noProof/>
                <w:color w:val="auto"/>
                <w:sz w:val="18"/>
              </w:rPr>
              <w:t>Поети задължения</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151,524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156,497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164,369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175,434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190,420</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210,258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235,269</w:t>
            </w:r>
          </w:p>
        </w:tc>
        <w:tc>
          <w:tcPr>
            <w:tcW w:w="87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jc w:val="center"/>
              <w:rPr>
                <w:noProof/>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jc w:val="center"/>
              <w:rPr>
                <w:b/>
                <w:noProof/>
                <w:sz w:val="22"/>
              </w:rPr>
            </w:pPr>
            <w:r>
              <w:rPr>
                <w:b/>
                <w:noProof/>
                <w:sz w:val="22"/>
              </w:rPr>
              <w:t>1 283,771</w:t>
            </w:r>
          </w:p>
        </w:tc>
      </w:tr>
      <w:tr>
        <w:trPr>
          <w:trHeight w:val="802"/>
          <w:jc w:val="center"/>
        </w:trPr>
        <w:tc>
          <w:tcPr>
            <w:tcW w:w="4173" w:type="dxa"/>
            <w:vMerge/>
            <w:tcBorders>
              <w:top w:val="single" w:sz="4" w:space="0" w:color="000000"/>
              <w:left w:val="single" w:sz="4" w:space="0" w:color="000000"/>
              <w:bottom w:val="single" w:sz="4" w:space="0" w:color="000000"/>
              <w:right w:val="single" w:sz="4" w:space="0" w:color="000000"/>
            </w:tcBorders>
            <w:shd w:val="clear" w:color="auto" w:fill="C0C0C0"/>
          </w:tcPr>
          <w:p>
            <w:pPr>
              <w:rPr>
                <w:noProof/>
              </w:rPr>
            </w:pP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rPr>
                <w:noProof/>
                <w:color w:val="auto"/>
              </w:rPr>
            </w:pPr>
            <w:r>
              <w:rPr>
                <w:noProof/>
                <w:color w:val="auto"/>
                <w:sz w:val="18"/>
              </w:rPr>
              <w:t>Плащания</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113,787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143,166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155,648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167,277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181,492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199,738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222,953</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99,710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jc w:val="center"/>
              <w:rPr>
                <w:b/>
                <w:noProof/>
                <w:sz w:val="22"/>
              </w:rPr>
            </w:pPr>
            <w:r>
              <w:rPr>
                <w:b/>
                <w:noProof/>
                <w:sz w:val="22"/>
              </w:rPr>
              <w:t>1 283,771</w:t>
            </w:r>
          </w:p>
        </w:tc>
      </w:tr>
    </w:tbl>
    <w:p>
      <w:pPr>
        <w:pStyle w:val="Text"/>
        <w:widowControl w:val="0"/>
        <w:jc w:val="center"/>
        <w:rPr>
          <w:noProof/>
          <w:color w:val="auto"/>
          <w:sz w:val="20"/>
          <w:szCs w:val="20"/>
        </w:rPr>
      </w:pPr>
    </w:p>
    <w:p>
      <w:pPr>
        <w:pStyle w:val="Text"/>
        <w:rPr>
          <w:noProof/>
          <w:color w:val="auto"/>
        </w:rPr>
        <w:sectPr>
          <w:headerReference w:type="default" r:id="rId25"/>
          <w:footerReference w:type="default" r:id="rId26"/>
          <w:headerReference w:type="first" r:id="rId27"/>
          <w:footerReference w:type="first" r:id="rId28"/>
          <w:pgSz w:w="16840" w:h="11900" w:orient="landscape"/>
          <w:pgMar w:top="1418" w:right="1134" w:bottom="1418" w:left="1134" w:header="709" w:footer="709" w:gutter="0"/>
          <w:cols w:space="720"/>
          <w:docGrid w:linePitch="326"/>
        </w:sectPr>
      </w:pPr>
    </w:p>
    <w:p>
      <w:pPr>
        <w:pStyle w:val="ManualHeading3"/>
        <w:rPr>
          <w:noProof/>
        </w:rPr>
      </w:pPr>
      <w:r>
        <w:t>3.2.2.</w:t>
      </w:r>
      <w:r>
        <w:tab/>
      </w:r>
      <w:r>
        <w:rPr>
          <w:noProof/>
        </w:rPr>
        <w:t>Резюме на очаквано отражение върху бюджетните кредити за административни разходи</w:t>
      </w:r>
    </w:p>
    <w:p>
      <w:pPr>
        <w:pStyle w:val="ListDash1"/>
        <w:numPr>
          <w:ilvl w:val="0"/>
          <w:numId w:val="48"/>
        </w:numPr>
        <w:pBdr>
          <w:top w:val="nil"/>
          <w:left w:val="nil"/>
          <w:bottom w:val="nil"/>
          <w:right w:val="nil"/>
          <w:between w:val="nil"/>
          <w:bar w:val="nil"/>
        </w:pBdr>
        <w:tabs>
          <w:tab w:val="left" w:pos="1134"/>
        </w:tabs>
        <w:rPr>
          <w:noProof/>
        </w:rPr>
      </w:pPr>
      <w:r>
        <w:rPr>
          <w:noProof/>
          <w:sz w:val="22"/>
        </w:rPr>
        <w:sym w:font="Wingdings" w:char="F0A8"/>
      </w:r>
      <w:r>
        <w:rPr>
          <w:noProof/>
        </w:rPr>
        <w:tab/>
        <w:t>Предложението/инициативата не налага използване на бюджетни кредити за административни разходи</w:t>
      </w:r>
    </w:p>
    <w:p>
      <w:pPr>
        <w:pStyle w:val="ListDash1"/>
        <w:numPr>
          <w:ilvl w:val="0"/>
          <w:numId w:val="48"/>
        </w:numPr>
        <w:pBdr>
          <w:top w:val="nil"/>
          <w:left w:val="nil"/>
          <w:bottom w:val="nil"/>
          <w:right w:val="nil"/>
          <w:between w:val="nil"/>
          <w:bar w:val="nil"/>
        </w:pBdr>
        <w:tabs>
          <w:tab w:val="left" w:pos="1134"/>
        </w:tabs>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pStyle w:val="Text"/>
        <w:rPr>
          <w:noProof/>
          <w:color w:val="auto"/>
          <w:sz w:val="20"/>
          <w:szCs w:val="20"/>
        </w:rPr>
      </w:pPr>
      <w:r>
        <w:rPr>
          <w:noProof/>
          <w:color w:val="auto"/>
          <w:sz w:val="20"/>
        </w:rPr>
        <w:t>млн. евро (до 3-тия знак след десетичната запетая)</w:t>
      </w:r>
    </w:p>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b/>
                <w:noProof/>
                <w:color w:val="auto"/>
                <w:sz w:val="20"/>
              </w:rPr>
              <w:t>Година</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b/>
                <w:noProof/>
                <w:color w:val="auto"/>
                <w:sz w:val="20"/>
              </w:rPr>
              <w:t>2021 г.</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b/>
                <w:noProof/>
                <w:color w:val="auto"/>
                <w:sz w:val="20"/>
              </w:rPr>
              <w:t>2022 г.</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b/>
                <w:noProof/>
                <w:color w:val="auto"/>
                <w:sz w:val="20"/>
              </w:rPr>
              <w:t>2023 г.</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b/>
                <w:noProof/>
                <w:color w:val="auto"/>
                <w:sz w:val="20"/>
              </w:rPr>
              <w:t>2024 г.</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b/>
                <w:noProof/>
                <w:color w:val="auto"/>
                <w:sz w:val="20"/>
              </w:rPr>
              <w:t>2025 г.</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b/>
                <w:noProof/>
                <w:color w:val="auto"/>
                <w:sz w:val="20"/>
              </w:rPr>
              <w:t>2026 г.</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b/>
                <w:noProof/>
                <w:color w:val="auto"/>
                <w:sz w:val="20"/>
              </w:rPr>
              <w:t>2027 г.</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b/>
                <w:noProof/>
                <w:color w:val="auto"/>
                <w:sz w:val="20"/>
              </w:rPr>
              <w:t>ОБЩО</w:t>
            </w:r>
          </w:p>
        </w:tc>
      </w:tr>
    </w:tbl>
    <w:p>
      <w:pPr>
        <w:rPr>
          <w:noProof/>
        </w:rPr>
      </w:pPr>
    </w:p>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Style w:val="Text"/>
              <w:jc w:val="center"/>
              <w:rPr>
                <w:noProof/>
                <w:color w:val="auto"/>
                <w:sz w:val="20"/>
                <w:szCs w:val="20"/>
              </w:rPr>
            </w:pPr>
            <w:r>
              <w:rPr>
                <w:b/>
                <w:noProof/>
                <w:color w:val="auto"/>
                <w:sz w:val="20"/>
              </w:rPr>
              <w:t>ФУНКЦИЯ 7</w:t>
            </w:r>
            <w:r>
              <w:rPr>
                <w:rFonts w:eastAsia="Arial Unicode MS"/>
                <w:noProof/>
                <w:color w:val="auto"/>
                <w:sz w:val="20"/>
                <w:szCs w:val="20"/>
              </w:rPr>
              <w:br/>
            </w:r>
            <w:r>
              <w:rPr>
                <w:b/>
                <w:noProof/>
                <w:color w:val="auto"/>
                <w:sz w:val="20"/>
              </w:rPr>
              <w:t>от многогодишната финансова рамка</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r>
      <w:tr>
        <w:trPr>
          <w:trHeight w:val="560"/>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Style w:val="Text"/>
              <w:ind w:left="72"/>
              <w:jc w:val="left"/>
              <w:rPr>
                <w:noProof/>
                <w:color w:val="auto"/>
                <w:sz w:val="20"/>
                <w:szCs w:val="20"/>
              </w:rPr>
            </w:pPr>
            <w:r>
              <w:rPr>
                <w:noProof/>
                <w:color w:val="auto"/>
                <w:sz w:val="20"/>
              </w:rPr>
              <w:t xml:space="preserve">Човешки ресурси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2"/>
              </w:rPr>
              <w:t>2,505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2"/>
              </w:rPr>
              <w:t>2,505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jc w:val="center"/>
              <w:rPr>
                <w:b/>
                <w:bCs/>
                <w:noProof/>
                <w:sz w:val="22"/>
              </w:rPr>
            </w:pPr>
            <w:r>
              <w:rPr>
                <w:b/>
                <w:noProof/>
                <w:sz w:val="22"/>
              </w:rPr>
              <w:t>17,905</w:t>
            </w:r>
          </w:p>
        </w:tc>
      </w:tr>
      <w:tr>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Style w:val="Text"/>
              <w:ind w:left="72"/>
              <w:jc w:val="left"/>
              <w:rPr>
                <w:noProof/>
                <w:color w:val="auto"/>
                <w:sz w:val="20"/>
                <w:szCs w:val="20"/>
              </w:rPr>
            </w:pPr>
            <w:r>
              <w:rPr>
                <w:noProof/>
                <w:color w:val="auto"/>
                <w:sz w:val="20"/>
              </w:rPr>
              <w:t xml:space="preserve">Други административни разходи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jc w:val="center"/>
              <w:rPr>
                <w:b/>
                <w:bCs/>
                <w:noProof/>
                <w:sz w:val="22"/>
              </w:rPr>
            </w:pPr>
            <w:r>
              <w:rPr>
                <w:b/>
                <w:noProof/>
                <w:sz w:val="22"/>
              </w:rPr>
              <w:t>5,866</w:t>
            </w:r>
          </w:p>
        </w:tc>
      </w:tr>
      <w:tr>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Style w:val="Text"/>
              <w:jc w:val="center"/>
              <w:rPr>
                <w:noProof/>
                <w:color w:val="auto"/>
                <w:sz w:val="20"/>
                <w:szCs w:val="20"/>
              </w:rPr>
            </w:pPr>
            <w:r>
              <w:rPr>
                <w:b/>
                <w:noProof/>
                <w:color w:val="auto"/>
                <w:sz w:val="20"/>
              </w:rPr>
              <w:t>Междинен сбор за ФУНКЦИЯ 7</w:t>
            </w:r>
            <w:r>
              <w:rPr>
                <w:rFonts w:eastAsia="Arial Unicode MS"/>
                <w:noProof/>
                <w:color w:val="auto"/>
                <w:sz w:val="20"/>
                <w:szCs w:val="20"/>
              </w:rPr>
              <w:br/>
            </w:r>
            <w:r>
              <w:rPr>
                <w:b/>
                <w:noProof/>
                <w:color w:val="auto"/>
                <w:sz w:val="20"/>
              </w:rPr>
              <w:t xml:space="preserve">от многогодишната финансова рамка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b/>
                <w:noProof/>
                <w:color w:val="auto"/>
                <w:sz w:val="22"/>
              </w:rPr>
              <w:t>3,343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b/>
                <w:noProof/>
                <w:color w:val="auto"/>
                <w:sz w:val="22"/>
              </w:rPr>
              <w:t>3,343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b/>
                <w:noProof/>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b/>
                <w:noProof/>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b/>
                <w:noProof/>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b/>
                <w:noProof/>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b/>
                <w:noProof/>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jc w:val="center"/>
              <w:rPr>
                <w:b/>
                <w:noProof/>
                <w:sz w:val="22"/>
              </w:rPr>
            </w:pPr>
            <w:r>
              <w:rPr>
                <w:b/>
                <w:noProof/>
                <w:sz w:val="22"/>
              </w:rPr>
              <w:t>23,771</w:t>
            </w:r>
          </w:p>
        </w:tc>
      </w:tr>
    </w:tbl>
    <w:p>
      <w:pPr>
        <w:rPr>
          <w:noProof/>
        </w:rPr>
      </w:pPr>
    </w:p>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86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Style w:val="Text"/>
              <w:jc w:val="center"/>
              <w:rPr>
                <w:noProof/>
                <w:color w:val="auto"/>
                <w:sz w:val="20"/>
                <w:szCs w:val="20"/>
              </w:rPr>
            </w:pPr>
            <w:r>
              <w:rPr>
                <w:b/>
                <w:noProof/>
                <w:color w:val="auto"/>
                <w:sz w:val="20"/>
              </w:rPr>
              <w:t>Извън ФУНКЦИЯ 7</w:t>
            </w:r>
            <w:r>
              <w:rPr>
                <w:rFonts w:eastAsia="Arial Unicode MS"/>
                <w:noProof/>
                <w:color w:val="auto"/>
                <w:sz w:val="20"/>
                <w:szCs w:val="20"/>
              </w:rPr>
              <w:br/>
            </w:r>
            <w:r>
              <w:rPr>
                <w:b/>
                <w:noProof/>
                <w:color w:val="auto"/>
                <w:sz w:val="20"/>
              </w:rPr>
              <w:t xml:space="preserve">от многогодишната финансова рамка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r>
      <w:tr>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Style w:val="Text"/>
              <w:ind w:left="72"/>
              <w:jc w:val="left"/>
              <w:rPr>
                <w:noProof/>
                <w:color w:val="auto"/>
                <w:sz w:val="20"/>
                <w:szCs w:val="20"/>
              </w:rPr>
            </w:pPr>
            <w:r>
              <w:rPr>
                <w:noProof/>
                <w:color w:val="auto"/>
                <w:sz w:val="20"/>
              </w:rPr>
              <w:t xml:space="preserve">Човешки ресурси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sz w:val="20"/>
                <w:szCs w:val="20"/>
              </w:rPr>
            </w:pPr>
          </w:p>
        </w:tc>
      </w:tr>
      <w:tr>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Style w:val="Text"/>
              <w:ind w:left="72"/>
              <w:jc w:val="left"/>
              <w:rPr>
                <w:noProof/>
                <w:color w:val="auto"/>
                <w:sz w:val="20"/>
                <w:szCs w:val="20"/>
              </w:rPr>
            </w:pPr>
            <w:r>
              <w:rPr>
                <w:noProof/>
                <w:color w:val="auto"/>
                <w:sz w:val="20"/>
              </w:rPr>
              <w:t xml:space="preserve">Други разходи </w:t>
            </w:r>
            <w:r>
              <w:rPr>
                <w:noProof/>
                <w:color w:val="auto"/>
                <w:sz w:val="20"/>
                <w:szCs w:val="20"/>
              </w:rPr>
              <w:br/>
            </w:r>
            <w:r>
              <w:rPr>
                <w:noProof/>
                <w:color w:val="auto"/>
                <w:sz w:val="20"/>
              </w:rPr>
              <w:t>с административен характер</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jc w:val="center"/>
              <w:rPr>
                <w:noProof/>
                <w:sz w:val="20"/>
                <w:szCs w:val="20"/>
              </w:rPr>
            </w:pPr>
            <w:r>
              <w:rPr>
                <w:noProof/>
                <w:sz w:val="20"/>
              </w:rPr>
              <w:t>6,586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jc w:val="center"/>
              <w:rPr>
                <w:noProof/>
                <w:sz w:val="20"/>
                <w:szCs w:val="20"/>
              </w:rPr>
            </w:pPr>
            <w:r>
              <w:rPr>
                <w:noProof/>
                <w:sz w:val="20"/>
              </w:rPr>
              <w:t>6,807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jc w:val="center"/>
              <w:rPr>
                <w:noProof/>
                <w:sz w:val="20"/>
                <w:szCs w:val="20"/>
              </w:rPr>
            </w:pPr>
            <w:r>
              <w:rPr>
                <w:noProof/>
                <w:sz w:val="20"/>
              </w:rPr>
              <w:t>7,153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jc w:val="center"/>
              <w:rPr>
                <w:noProof/>
                <w:sz w:val="20"/>
                <w:szCs w:val="20"/>
              </w:rPr>
            </w:pPr>
            <w:r>
              <w:rPr>
                <w:noProof/>
                <w:sz w:val="20"/>
              </w:rPr>
              <w:t>7,645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jc w:val="center"/>
              <w:rPr>
                <w:noProof/>
                <w:sz w:val="20"/>
                <w:szCs w:val="20"/>
              </w:rPr>
            </w:pPr>
            <w:r>
              <w:rPr>
                <w:noProof/>
                <w:sz w:val="20"/>
              </w:rPr>
              <w:t>8,311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jc w:val="center"/>
              <w:rPr>
                <w:noProof/>
                <w:sz w:val="20"/>
                <w:szCs w:val="20"/>
              </w:rPr>
            </w:pPr>
            <w:r>
              <w:rPr>
                <w:noProof/>
                <w:sz w:val="20"/>
              </w:rPr>
              <w:t>9,193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jc w:val="center"/>
              <w:rPr>
                <w:noProof/>
                <w:sz w:val="20"/>
                <w:szCs w:val="20"/>
              </w:rPr>
            </w:pPr>
            <w:r>
              <w:rPr>
                <w:noProof/>
                <w:sz w:val="20"/>
              </w:rPr>
              <w:t>10,305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jc w:val="center"/>
              <w:rPr>
                <w:noProof/>
                <w:sz w:val="20"/>
                <w:szCs w:val="20"/>
              </w:rPr>
            </w:pPr>
            <w:r>
              <w:rPr>
                <w:b/>
                <w:noProof/>
                <w:sz w:val="20"/>
              </w:rPr>
              <w:t>56,000</w:t>
            </w:r>
          </w:p>
        </w:tc>
      </w:tr>
      <w:tr>
        <w:trPr>
          <w:trHeight w:val="8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Style w:val="Text"/>
              <w:jc w:val="center"/>
              <w:rPr>
                <w:noProof/>
                <w:color w:val="auto"/>
                <w:sz w:val="20"/>
                <w:szCs w:val="20"/>
              </w:rPr>
            </w:pPr>
            <w:r>
              <w:rPr>
                <w:b/>
                <w:noProof/>
                <w:color w:val="auto"/>
                <w:sz w:val="20"/>
              </w:rPr>
              <w:t>Междинен сбор</w:t>
            </w:r>
            <w:r>
              <w:rPr>
                <w:rFonts w:eastAsia="Arial Unicode MS"/>
                <w:noProof/>
                <w:color w:val="auto"/>
                <w:sz w:val="20"/>
                <w:szCs w:val="20"/>
              </w:rPr>
              <w:br/>
            </w:r>
            <w:r>
              <w:rPr>
                <w:b/>
                <w:noProof/>
                <w:color w:val="auto"/>
                <w:sz w:val="20"/>
              </w:rPr>
              <w:t>извън ФУНКЦИЯ 7</w:t>
            </w:r>
            <w:r>
              <w:rPr>
                <w:rFonts w:eastAsia="Arial Unicode MS"/>
                <w:noProof/>
                <w:color w:val="auto"/>
                <w:sz w:val="20"/>
                <w:szCs w:val="20"/>
              </w:rPr>
              <w:br/>
            </w:r>
            <w:r>
              <w:rPr>
                <w:b/>
                <w:noProof/>
                <w:color w:val="auto"/>
                <w:sz w:val="20"/>
              </w:rPr>
              <w:t xml:space="preserve">от многогодишната финансова рамка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0"/>
              </w:rPr>
              <w:t>6,586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0"/>
              </w:rPr>
              <w:t>6,807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0"/>
              </w:rPr>
              <w:t>7,153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0"/>
              </w:rPr>
              <w:t>7,645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0"/>
              </w:rPr>
              <w:t>8,311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0"/>
              </w:rPr>
              <w:t>9,193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noProof/>
                <w:color w:val="auto"/>
                <w:sz w:val="20"/>
              </w:rPr>
              <w:t>10,305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b/>
                <w:noProof/>
                <w:color w:val="auto"/>
                <w:sz w:val="20"/>
              </w:rPr>
              <w:t>56,000</w:t>
            </w:r>
          </w:p>
        </w:tc>
      </w:tr>
    </w:tbl>
    <w:p>
      <w:pPr>
        <w:rPr>
          <w:noProof/>
        </w:rPr>
      </w:pPr>
    </w:p>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000000"/>
              <w:left w:val="single" w:sz="1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noProof/>
                <w:color w:val="auto"/>
                <w:sz w:val="20"/>
                <w:szCs w:val="20"/>
              </w:rPr>
            </w:pPr>
            <w:r>
              <w:rPr>
                <w:b/>
                <w:noProof/>
                <w:color w:val="auto"/>
                <w:sz w:val="20"/>
              </w:rPr>
              <w:t>ОБЩО</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b/>
                <w:noProof/>
                <w:color w:val="auto"/>
                <w:sz w:val="20"/>
                <w:szCs w:val="20"/>
              </w:rPr>
            </w:pPr>
            <w:r>
              <w:rPr>
                <w:b/>
                <w:noProof/>
                <w:color w:val="auto"/>
              </w:rPr>
              <w:t>9,929</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b/>
                <w:noProof/>
                <w:color w:val="auto"/>
                <w:sz w:val="20"/>
                <w:szCs w:val="20"/>
              </w:rPr>
            </w:pPr>
            <w:r>
              <w:rPr>
                <w:b/>
                <w:noProof/>
                <w:color w:val="auto"/>
              </w:rPr>
              <w:t>10,150</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b/>
                <w:noProof/>
                <w:color w:val="auto"/>
                <w:sz w:val="20"/>
                <w:szCs w:val="20"/>
              </w:rPr>
            </w:pPr>
            <w:r>
              <w:rPr>
                <w:b/>
                <w:noProof/>
                <w:color w:val="auto"/>
              </w:rPr>
              <w:t>10,570</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b/>
                <w:noProof/>
                <w:color w:val="auto"/>
                <w:sz w:val="20"/>
                <w:szCs w:val="20"/>
              </w:rPr>
            </w:pPr>
            <w:r>
              <w:rPr>
                <w:b/>
                <w:noProof/>
                <w:color w:val="auto"/>
              </w:rPr>
              <w:t>11,062</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b/>
                <w:noProof/>
                <w:color w:val="auto"/>
                <w:sz w:val="20"/>
                <w:szCs w:val="20"/>
              </w:rPr>
            </w:pPr>
            <w:r>
              <w:rPr>
                <w:b/>
                <w:noProof/>
                <w:color w:val="auto"/>
              </w:rPr>
              <w:t>11,728</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b/>
                <w:noProof/>
                <w:color w:val="auto"/>
                <w:sz w:val="20"/>
                <w:szCs w:val="20"/>
              </w:rPr>
            </w:pPr>
            <w:r>
              <w:rPr>
                <w:b/>
                <w:noProof/>
                <w:color w:val="auto"/>
              </w:rPr>
              <w:t>12,610</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Style w:val="Text"/>
              <w:jc w:val="center"/>
              <w:rPr>
                <w:b/>
                <w:noProof/>
                <w:color w:val="auto"/>
                <w:sz w:val="20"/>
                <w:szCs w:val="20"/>
              </w:rPr>
            </w:pPr>
            <w:r>
              <w:rPr>
                <w:b/>
                <w:noProof/>
                <w:color w:val="auto"/>
              </w:rPr>
              <w:t>13,722</w:t>
            </w:r>
          </w:p>
        </w:tc>
        <w:tc>
          <w:tcPr>
            <w:tcW w:w="1080" w:type="dxa"/>
            <w:tcBorders>
              <w:top w:val="single" w:sz="12" w:space="0" w:color="000000"/>
              <w:left w:val="single" w:sz="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pPr>
              <w:pStyle w:val="Text"/>
              <w:jc w:val="center"/>
              <w:rPr>
                <w:b/>
                <w:noProof/>
                <w:color w:val="auto"/>
                <w:sz w:val="20"/>
                <w:szCs w:val="20"/>
              </w:rPr>
            </w:pPr>
            <w:r>
              <w:rPr>
                <w:b/>
                <w:noProof/>
                <w:color w:val="auto"/>
              </w:rPr>
              <w:t>79,771</w:t>
            </w:r>
          </w:p>
        </w:tc>
      </w:tr>
    </w:tbl>
    <w:p>
      <w:pPr>
        <w:rPr>
          <w:noProof/>
        </w:rPr>
      </w:pPr>
    </w:p>
    <w:p>
      <w:pPr>
        <w:pStyle w:val="Text"/>
        <w:rPr>
          <w:noProof/>
          <w:color w:val="auto"/>
        </w:rPr>
      </w:pPr>
      <w:r>
        <w:rPr>
          <w:noProof/>
          <w:color w:val="auto"/>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генерална дирекция, при необходимост заедно с допълнително отпуснати ресурси, които могат да бъдат предоставени на управляващата генерална дирекция в рамките на годишната процедура за отпускане на средства и като се имат предвид бюджетните ограничения.</w:t>
      </w:r>
    </w:p>
    <w:p>
      <w:pPr>
        <w:pStyle w:val="ManualHeading4"/>
        <w:rPr>
          <w:noProof/>
        </w:rPr>
      </w:pPr>
      <w:r>
        <w:t>3.2.2.1.</w:t>
      </w:r>
      <w:r>
        <w:tab/>
      </w:r>
      <w:r>
        <w:rPr>
          <w:noProof/>
        </w:rPr>
        <w:t>Очаквани нужди от човешки ресурси</w:t>
      </w:r>
      <w:r>
        <w:rPr>
          <w:rStyle w:val="FootnoteReference"/>
          <w:noProof/>
        </w:rPr>
        <w:footnoteReference w:id="39"/>
      </w:r>
    </w:p>
    <w:p>
      <w:pPr>
        <w:pStyle w:val="ListDash1"/>
        <w:rPr>
          <w:noProof/>
        </w:rPr>
      </w:pPr>
      <w:r>
        <w:rPr>
          <w:noProof/>
        </w:rPr>
        <w:sym w:font="Wingdings" w:char="F0A8"/>
      </w:r>
      <w:r>
        <w:rPr>
          <w:noProof/>
        </w:rPr>
        <w:tab/>
        <w:t>Предложението/инициативата не налага използване на човешки ресурси</w:t>
      </w:r>
    </w:p>
    <w:p>
      <w:pPr>
        <w:pStyle w:val="ListDash1"/>
        <w:rPr>
          <w:noProof/>
        </w:rPr>
      </w:pPr>
      <w:r>
        <w:rPr>
          <w:noProof/>
        </w:rPr>
        <w:sym w:font="Wingdings" w:char="F078"/>
      </w:r>
      <w:r>
        <w:rPr>
          <w:noProof/>
        </w:rPr>
        <w:tab/>
        <w:t>Предложението/инициативата налага използване на човешки ресурси съгласно обяснението по-долу:</w:t>
      </w:r>
    </w:p>
    <w:p>
      <w:pPr>
        <w:pStyle w:val="Text"/>
        <w:jc w:val="right"/>
        <w:rPr>
          <w:i/>
          <w:iCs/>
          <w:noProof/>
          <w:color w:val="auto"/>
          <w:sz w:val="20"/>
          <w:szCs w:val="20"/>
        </w:rPr>
      </w:pPr>
      <w:r>
        <w:rPr>
          <w:i/>
          <w:noProof/>
          <w:color w:val="auto"/>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4"/>
        <w:gridCol w:w="989"/>
        <w:gridCol w:w="1133"/>
        <w:gridCol w:w="989"/>
        <w:gridCol w:w="1133"/>
        <w:gridCol w:w="1131"/>
        <w:gridCol w:w="993"/>
        <w:gridCol w:w="1118"/>
      </w:tblGrid>
      <w:tr>
        <w:trPr>
          <w:trHeight w:val="289"/>
        </w:trPr>
        <w:tc>
          <w:tcPr>
            <w:tcW w:w="1472" w:type="pct"/>
            <w:gridSpan w:val="2"/>
            <w:vAlign w:val="center"/>
          </w:tcPr>
          <w:p>
            <w:pPr>
              <w:pStyle w:val="Text1"/>
              <w:ind w:left="0"/>
              <w:jc w:val="center"/>
              <w:rPr>
                <w:i/>
                <w:noProof/>
                <w:sz w:val="16"/>
                <w:szCs w:val="16"/>
              </w:rPr>
            </w:pPr>
            <w:r>
              <w:rPr>
                <w:b/>
                <w:noProof/>
                <w:sz w:val="16"/>
              </w:rPr>
              <w:t>Година</w:t>
            </w:r>
          </w:p>
        </w:tc>
        <w:tc>
          <w:tcPr>
            <w:tcW w:w="466" w:type="pct"/>
            <w:shd w:val="clear" w:color="auto" w:fill="auto"/>
            <w:vAlign w:val="center"/>
          </w:tcPr>
          <w:p>
            <w:pPr>
              <w:jc w:val="center"/>
              <w:rPr>
                <w:b/>
                <w:noProof/>
                <w:sz w:val="16"/>
                <w:szCs w:val="16"/>
              </w:rPr>
            </w:pPr>
            <w:r>
              <w:rPr>
                <w:b/>
                <w:noProof/>
                <w:sz w:val="20"/>
              </w:rPr>
              <w:t>2021</w:t>
            </w:r>
          </w:p>
        </w:tc>
        <w:tc>
          <w:tcPr>
            <w:tcW w:w="534" w:type="pct"/>
            <w:shd w:val="clear" w:color="auto" w:fill="auto"/>
            <w:vAlign w:val="center"/>
          </w:tcPr>
          <w:p>
            <w:pPr>
              <w:jc w:val="center"/>
              <w:rPr>
                <w:b/>
                <w:noProof/>
                <w:sz w:val="20"/>
              </w:rPr>
            </w:pPr>
            <w:r>
              <w:rPr>
                <w:b/>
                <w:noProof/>
                <w:sz w:val="20"/>
              </w:rPr>
              <w:t>2022</w:t>
            </w:r>
          </w:p>
        </w:tc>
        <w:tc>
          <w:tcPr>
            <w:tcW w:w="466" w:type="pct"/>
            <w:shd w:val="clear" w:color="auto" w:fill="auto"/>
            <w:vAlign w:val="center"/>
          </w:tcPr>
          <w:p>
            <w:pPr>
              <w:jc w:val="center"/>
              <w:rPr>
                <w:b/>
                <w:noProof/>
                <w:sz w:val="20"/>
              </w:rPr>
            </w:pPr>
            <w:r>
              <w:rPr>
                <w:b/>
                <w:noProof/>
                <w:sz w:val="20"/>
              </w:rPr>
              <w:t>2023</w:t>
            </w:r>
          </w:p>
        </w:tc>
        <w:tc>
          <w:tcPr>
            <w:tcW w:w="534" w:type="pct"/>
            <w:shd w:val="clear" w:color="auto" w:fill="auto"/>
            <w:vAlign w:val="center"/>
          </w:tcPr>
          <w:p>
            <w:pPr>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r>
              <w:rPr>
                <w:noProof/>
                <w:sz w:val="22"/>
              </w:rPr>
              <w:t>17</w:t>
            </w:r>
          </w:p>
        </w:tc>
        <w:tc>
          <w:tcPr>
            <w:tcW w:w="534" w:type="pct"/>
            <w:shd w:val="clear" w:color="auto" w:fill="auto"/>
            <w:vAlign w:val="center"/>
          </w:tcPr>
          <w:p>
            <w:pPr>
              <w:spacing w:beforeLines="20" w:before="48" w:afterLines="20" w:after="48"/>
              <w:jc w:val="center"/>
              <w:rPr>
                <w:noProof/>
                <w:sz w:val="16"/>
                <w:szCs w:val="16"/>
              </w:rPr>
            </w:pPr>
            <w:r>
              <w:rPr>
                <w:noProof/>
                <w:sz w:val="22"/>
              </w:rPr>
              <w:t>17</w:t>
            </w:r>
          </w:p>
        </w:tc>
        <w:tc>
          <w:tcPr>
            <w:tcW w:w="466" w:type="pct"/>
            <w:shd w:val="clear" w:color="auto" w:fill="auto"/>
            <w:vAlign w:val="center"/>
          </w:tcPr>
          <w:p>
            <w:pPr>
              <w:spacing w:beforeLines="20" w:before="48" w:afterLines="20" w:after="48"/>
              <w:jc w:val="center"/>
              <w:rPr>
                <w:noProof/>
                <w:sz w:val="16"/>
                <w:szCs w:val="16"/>
              </w:rPr>
            </w:pPr>
            <w:r>
              <w:rPr>
                <w:noProof/>
                <w:sz w:val="22"/>
              </w:rPr>
              <w:t>17</w:t>
            </w:r>
          </w:p>
        </w:tc>
        <w:tc>
          <w:tcPr>
            <w:tcW w:w="534" w:type="pct"/>
            <w:shd w:val="clear" w:color="auto" w:fill="auto"/>
            <w:vAlign w:val="center"/>
          </w:tcPr>
          <w:p>
            <w:pPr>
              <w:spacing w:beforeLines="20" w:before="48" w:afterLines="20" w:after="48"/>
              <w:jc w:val="center"/>
              <w:rPr>
                <w:noProof/>
                <w:sz w:val="16"/>
                <w:szCs w:val="16"/>
              </w:rPr>
            </w:pPr>
            <w:r>
              <w:rPr>
                <w:noProof/>
                <w:sz w:val="22"/>
              </w:rPr>
              <w:t>17</w:t>
            </w:r>
          </w:p>
        </w:tc>
        <w:tc>
          <w:tcPr>
            <w:tcW w:w="533" w:type="pct"/>
            <w:shd w:val="clear" w:color="auto" w:fill="auto"/>
            <w:vAlign w:val="center"/>
          </w:tcPr>
          <w:p>
            <w:pPr>
              <w:spacing w:beforeLines="20" w:before="48" w:afterLines="20" w:after="48"/>
              <w:jc w:val="center"/>
              <w:rPr>
                <w:noProof/>
                <w:sz w:val="16"/>
                <w:szCs w:val="16"/>
              </w:rPr>
            </w:pPr>
            <w:r>
              <w:rPr>
                <w:noProof/>
                <w:sz w:val="22"/>
              </w:rPr>
              <w:t>17</w:t>
            </w:r>
          </w:p>
        </w:tc>
        <w:tc>
          <w:tcPr>
            <w:tcW w:w="468" w:type="pct"/>
            <w:shd w:val="clear" w:color="auto" w:fill="auto"/>
            <w:vAlign w:val="center"/>
          </w:tcPr>
          <w:p>
            <w:pPr>
              <w:spacing w:beforeLines="20" w:before="48" w:afterLines="20" w:after="48"/>
              <w:jc w:val="center"/>
              <w:rPr>
                <w:noProof/>
                <w:sz w:val="16"/>
                <w:szCs w:val="16"/>
              </w:rPr>
            </w:pPr>
            <w:r>
              <w:rPr>
                <w:noProof/>
                <w:sz w:val="22"/>
              </w:rPr>
              <w:t>17</w:t>
            </w:r>
          </w:p>
        </w:tc>
        <w:tc>
          <w:tcPr>
            <w:tcW w:w="527" w:type="pct"/>
            <w:shd w:val="clear" w:color="auto" w:fill="auto"/>
            <w:vAlign w:val="center"/>
          </w:tcPr>
          <w:p>
            <w:pPr>
              <w:spacing w:beforeLines="20" w:before="48" w:afterLines="20" w:after="48"/>
              <w:jc w:val="center"/>
              <w:rPr>
                <w:noProof/>
                <w:sz w:val="16"/>
                <w:szCs w:val="16"/>
              </w:rPr>
            </w:pPr>
            <w:r>
              <w:rPr>
                <w:noProof/>
                <w:sz w:val="22"/>
              </w:rPr>
              <w:t>17</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vAlign w:val="center"/>
          </w:tcPr>
          <w:p>
            <w:pPr>
              <w:pStyle w:val="Text1"/>
              <w:ind w:left="0"/>
              <w:jc w:val="center"/>
              <w:rPr>
                <w:noProof/>
                <w:sz w:val="16"/>
                <w:szCs w:val="16"/>
              </w:rPr>
            </w:pP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r>
              <w:rPr>
                <w:noProof/>
                <w:sz w:val="22"/>
              </w:rPr>
              <w:t>1</w:t>
            </w:r>
          </w:p>
        </w:tc>
        <w:tc>
          <w:tcPr>
            <w:tcW w:w="534" w:type="pct"/>
            <w:shd w:val="clear" w:color="auto" w:fill="auto"/>
            <w:vAlign w:val="center"/>
          </w:tcPr>
          <w:p>
            <w:pPr>
              <w:spacing w:beforeLines="20" w:before="48" w:afterLines="20" w:after="48"/>
              <w:jc w:val="center"/>
              <w:rPr>
                <w:noProof/>
                <w:sz w:val="16"/>
                <w:szCs w:val="16"/>
              </w:rPr>
            </w:pPr>
            <w:r>
              <w:rPr>
                <w:noProof/>
                <w:sz w:val="22"/>
              </w:rPr>
              <w:t>1</w:t>
            </w:r>
          </w:p>
        </w:tc>
        <w:tc>
          <w:tcPr>
            <w:tcW w:w="466" w:type="pct"/>
            <w:shd w:val="clear" w:color="auto" w:fill="auto"/>
            <w:vAlign w:val="center"/>
          </w:tcPr>
          <w:p>
            <w:pPr>
              <w:spacing w:beforeLines="20" w:before="48" w:afterLines="20" w:after="48"/>
              <w:jc w:val="center"/>
              <w:rPr>
                <w:noProof/>
                <w:sz w:val="16"/>
                <w:szCs w:val="16"/>
              </w:rPr>
            </w:pPr>
            <w:r>
              <w:rPr>
                <w:noProof/>
                <w:sz w:val="22"/>
              </w:rPr>
              <w:t>2</w:t>
            </w:r>
          </w:p>
        </w:tc>
        <w:tc>
          <w:tcPr>
            <w:tcW w:w="534" w:type="pct"/>
            <w:shd w:val="clear" w:color="auto" w:fill="auto"/>
            <w:vAlign w:val="center"/>
          </w:tcPr>
          <w:p>
            <w:pPr>
              <w:spacing w:beforeLines="20" w:before="48" w:afterLines="20" w:after="48"/>
              <w:jc w:val="center"/>
              <w:rPr>
                <w:noProof/>
                <w:sz w:val="16"/>
                <w:szCs w:val="16"/>
              </w:rPr>
            </w:pPr>
            <w:r>
              <w:rPr>
                <w:noProof/>
                <w:sz w:val="22"/>
              </w:rPr>
              <w:t>2</w:t>
            </w:r>
          </w:p>
        </w:tc>
        <w:tc>
          <w:tcPr>
            <w:tcW w:w="533" w:type="pct"/>
            <w:shd w:val="clear" w:color="auto" w:fill="auto"/>
            <w:vAlign w:val="center"/>
          </w:tcPr>
          <w:p>
            <w:pPr>
              <w:spacing w:beforeLines="20" w:before="48" w:afterLines="20" w:after="48"/>
              <w:jc w:val="center"/>
              <w:rPr>
                <w:noProof/>
                <w:sz w:val="16"/>
                <w:szCs w:val="16"/>
              </w:rPr>
            </w:pPr>
            <w:r>
              <w:rPr>
                <w:noProof/>
                <w:sz w:val="22"/>
              </w:rPr>
              <w:t>2</w:t>
            </w:r>
          </w:p>
        </w:tc>
        <w:tc>
          <w:tcPr>
            <w:tcW w:w="468" w:type="pct"/>
            <w:shd w:val="clear" w:color="auto" w:fill="auto"/>
            <w:vAlign w:val="center"/>
          </w:tcPr>
          <w:p>
            <w:pPr>
              <w:spacing w:beforeLines="20" w:before="48" w:afterLines="20" w:after="48"/>
              <w:jc w:val="center"/>
              <w:rPr>
                <w:noProof/>
                <w:sz w:val="16"/>
                <w:szCs w:val="16"/>
              </w:rPr>
            </w:pPr>
            <w:r>
              <w:rPr>
                <w:noProof/>
                <w:sz w:val="22"/>
              </w:rPr>
              <w:t>2</w:t>
            </w:r>
          </w:p>
        </w:tc>
        <w:tc>
          <w:tcPr>
            <w:tcW w:w="527" w:type="pct"/>
            <w:shd w:val="clear" w:color="auto" w:fill="auto"/>
            <w:vAlign w:val="center"/>
          </w:tcPr>
          <w:p>
            <w:pPr>
              <w:spacing w:beforeLines="20" w:before="48" w:afterLines="20" w:after="48"/>
              <w:jc w:val="center"/>
              <w:rPr>
                <w:noProof/>
                <w:sz w:val="16"/>
                <w:szCs w:val="16"/>
              </w:rPr>
            </w:pPr>
            <w:r>
              <w:rPr>
                <w:noProof/>
                <w:sz w:val="22"/>
              </w:rPr>
              <w:t>2</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rPr>
              <w:t>Финансирани от финансовия пакет на програмата</w:t>
            </w:r>
            <w:r>
              <w:rPr>
                <w:b/>
                <w:noProof/>
                <w:sz w:val="16"/>
              </w:rPr>
              <w:t xml:space="preserve"> </w:t>
            </w:r>
            <w:r>
              <w:rPr>
                <w:rStyle w:val="FootnoteReference"/>
                <w:b/>
                <w:noProof/>
                <w:sz w:val="16"/>
              </w:rPr>
              <w:footnoteReference w:id="40"/>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22"/>
              </w:rPr>
              <w:t>18</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22"/>
              </w:rPr>
              <w:t>18</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22"/>
              </w:rPr>
              <w:t>19</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22"/>
              </w:rPr>
              <w:t>19</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22"/>
              </w:rPr>
              <w:t>19</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22"/>
              </w:rPr>
              <w:t>19</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22"/>
              </w:rPr>
              <w:t>19</w:t>
            </w:r>
          </w:p>
        </w:tc>
      </w:tr>
    </w:tbl>
    <w:p>
      <w:pPr>
        <w:pStyle w:val="Text1"/>
        <w:ind w:left="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rPr>
      </w:pPr>
      <w:r>
        <w:rPr>
          <w:noProof/>
        </w:rPr>
        <w:t>Описание на задачите, които трябва да се изпълнят:</w:t>
      </w:r>
    </w:p>
    <w:tbl>
      <w:tblPr>
        <w:tblW w:w="10632"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40"/>
        <w:gridCol w:w="7392"/>
      </w:tblGrid>
      <w:tr>
        <w:trPr>
          <w:trHeight w:val="217"/>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Text"/>
              <w:rPr>
                <w:noProof/>
                <w:color w:val="auto"/>
              </w:rPr>
            </w:pPr>
            <w:r>
              <w:rPr>
                <w:noProof/>
                <w:color w:val="auto"/>
                <w:sz w:val="20"/>
              </w:rPr>
              <w:t>Длъжностни лица и срочно наети служители</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rPr>
                <w:noProof/>
              </w:rPr>
            </w:pPr>
          </w:p>
        </w:tc>
      </w:tr>
      <w:tr>
        <w:trPr>
          <w:trHeight w:val="217"/>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Text"/>
              <w:rPr>
                <w:noProof/>
                <w:color w:val="auto"/>
              </w:rPr>
            </w:pPr>
            <w:r>
              <w:rPr>
                <w:noProof/>
                <w:color w:val="auto"/>
                <w:sz w:val="20"/>
              </w:rPr>
              <w:t>Външен персонал</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rPr>
                <w:noProof/>
              </w:rPr>
            </w:pPr>
          </w:p>
        </w:tc>
      </w:tr>
    </w:tbl>
    <w:p>
      <w:pPr>
        <w:pStyle w:val="Text"/>
        <w:rPr>
          <w:noProof/>
          <w:color w:val="auto"/>
        </w:rPr>
        <w:sectPr>
          <w:headerReference w:type="default" r:id="rId29"/>
          <w:footerReference w:type="default" r:id="rId30"/>
          <w:headerReference w:type="first" r:id="rId31"/>
          <w:footerReference w:type="first" r:id="rId32"/>
          <w:pgSz w:w="11900" w:h="16840"/>
          <w:pgMar w:top="1134" w:right="1418" w:bottom="1134" w:left="1418" w:header="709" w:footer="709" w:gutter="0"/>
          <w:cols w:space="720"/>
          <w:docGrid w:linePitch="326"/>
        </w:sectPr>
      </w:pPr>
    </w:p>
    <w:p>
      <w:pPr>
        <w:pStyle w:val="ManualHeading3"/>
        <w:rPr>
          <w:noProof/>
        </w:rPr>
      </w:pPr>
      <w:r>
        <w:t>3.2.3.</w:t>
      </w:r>
      <w:r>
        <w:tab/>
      </w:r>
      <w:r>
        <w:rPr>
          <w:noProof/>
        </w:rPr>
        <w:t>Финансов принос от трети страни</w:t>
      </w:r>
    </w:p>
    <w:p>
      <w:pPr>
        <w:rPr>
          <w:noProof/>
        </w:rPr>
      </w:pPr>
      <w:r>
        <w:rPr>
          <w:noProof/>
        </w:rPr>
        <w:t>Предложението/инициативата:</w:t>
      </w:r>
    </w:p>
    <w:p>
      <w:pPr>
        <w:pStyle w:val="ListDash1"/>
        <w:rPr>
          <w:noProof/>
        </w:rPr>
      </w:pPr>
      <w:r>
        <w:rPr>
          <w:noProof/>
        </w:rPr>
        <w:sym w:font="Wingdings" w:char="F0A8"/>
      </w:r>
      <w:r>
        <w:rPr>
          <w:noProof/>
        </w:rPr>
        <w:tab/>
        <w:t>не предвижда съфинансиране от трети страни</w:t>
      </w:r>
    </w:p>
    <w:p>
      <w:pPr>
        <w:pStyle w:val="ListDash1"/>
        <w:rPr>
          <w:noProof/>
        </w:rPr>
      </w:pPr>
      <w:r>
        <w:rPr>
          <w:noProof/>
        </w:rPr>
        <w:sym w:font="Wingdings" w:char="F0A8"/>
      </w:r>
      <w:r>
        <w:rPr>
          <w:noProof/>
        </w:rPr>
        <w:tab/>
        <w:t>предвижда следното съфинансиране от трети страни, като оценките са дадени по-долу:</w:t>
      </w:r>
    </w:p>
    <w:p>
      <w:pPr>
        <w:pStyle w:val="Text"/>
        <w:jc w:val="right"/>
        <w:rPr>
          <w:noProof/>
          <w:color w:val="auto"/>
          <w:sz w:val="20"/>
          <w:szCs w:val="20"/>
        </w:rPr>
      </w:pPr>
      <w:r>
        <w:rPr>
          <w:noProof/>
          <w:color w:val="auto"/>
          <w:sz w:val="20"/>
        </w:rPr>
        <w:t>Бюджетни кредити в млн. евро (до 3-тия знак след десетичната запетая)</w:t>
      </w:r>
    </w:p>
    <w:tbl>
      <w:tblPr>
        <w:tblW w:w="1046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89"/>
        <w:gridCol w:w="985"/>
        <w:gridCol w:w="984"/>
        <w:gridCol w:w="984"/>
        <w:gridCol w:w="984"/>
        <w:gridCol w:w="984"/>
        <w:gridCol w:w="984"/>
        <w:gridCol w:w="984"/>
        <w:gridCol w:w="1182"/>
      </w:tblGrid>
      <w:tr>
        <w:trPr>
          <w:trHeight w:val="227"/>
          <w:jc w:val="center"/>
        </w:trPr>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Година</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2021</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2022</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2023</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2024</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2025</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2026</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2027</w:t>
            </w: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ОБЩО</w:t>
            </w:r>
          </w:p>
        </w:tc>
      </w:tr>
      <w:tr>
        <w:trPr>
          <w:trHeight w:val="447"/>
          <w:jc w:val="center"/>
        </w:trPr>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Style w:val="Text"/>
              <w:rPr>
                <w:noProof/>
                <w:color w:val="auto"/>
              </w:rPr>
            </w:pPr>
            <w:r>
              <w:rPr>
                <w:noProof/>
                <w:color w:val="auto"/>
                <w:sz w:val="20"/>
              </w:rPr>
              <w:t>Да се посочи съфинансиращият орган</w:t>
            </w:r>
            <w:r>
              <w:rPr>
                <w:i/>
                <w:noProof/>
                <w:color w:val="auto"/>
                <w:sz w:val="20"/>
              </w:rPr>
              <w:t xml:space="preserve"> </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r>
      <w:tr>
        <w:trPr>
          <w:trHeight w:val="447"/>
          <w:jc w:val="center"/>
        </w:trPr>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Style w:val="Text"/>
              <w:jc w:val="left"/>
              <w:rPr>
                <w:noProof/>
                <w:color w:val="auto"/>
              </w:rPr>
            </w:pPr>
            <w:r>
              <w:rPr>
                <w:noProof/>
                <w:color w:val="auto"/>
                <w:sz w:val="20"/>
              </w:rPr>
              <w:t xml:space="preserve">ОБЩО съфинансирани бюджетни кредити </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r>
    </w:tbl>
    <w:p>
      <w:pPr>
        <w:pStyle w:val="ManualHeading2"/>
        <w:rPr>
          <w:noProof/>
        </w:rPr>
      </w:pPr>
      <w:r>
        <w:t>3.3.</w:t>
      </w:r>
      <w:r>
        <w:tab/>
      </w:r>
      <w:r>
        <w:rPr>
          <w:noProof/>
        </w:rPr>
        <w:t>Очаквано отражение върху приходите</w:t>
      </w:r>
    </w:p>
    <w:p>
      <w:pPr>
        <w:pStyle w:val="ListDash1"/>
        <w:rPr>
          <w:noProof/>
        </w:rPr>
      </w:pPr>
      <w:r>
        <w:rPr>
          <w:noProof/>
        </w:rPr>
        <w:sym w:font="Wingdings" w:char="F078"/>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tabs>
          <w:tab w:val="clear" w:pos="2126"/>
          <w:tab w:val="num" w:pos="1843"/>
        </w:tabs>
        <w:rPr>
          <w:noProof/>
        </w:rPr>
      </w:pPr>
      <w:r>
        <w:rPr>
          <w:noProof/>
        </w:rPr>
        <w:sym w:font="Wingdings" w:char="F0A8"/>
      </w:r>
      <w:r>
        <w:rPr>
          <w:noProof/>
        </w:rPr>
        <w:tab/>
        <w:t>върху собствените ресурси</w:t>
      </w:r>
    </w:p>
    <w:p>
      <w:pPr>
        <w:pStyle w:val="ListNumberLevel3"/>
        <w:tabs>
          <w:tab w:val="clear" w:pos="2126"/>
          <w:tab w:val="num" w:pos="1843"/>
        </w:tabs>
        <w:rPr>
          <w:noProof/>
        </w:rPr>
      </w:pPr>
      <w:r>
        <w:rPr>
          <w:noProof/>
        </w:rPr>
        <w:sym w:font="Wingdings" w:char="F0A8"/>
      </w:r>
      <w:r>
        <w:rPr>
          <w:noProof/>
        </w:rPr>
        <w:tab/>
        <w:t>върху разните приходи</w:t>
      </w:r>
    </w:p>
    <w:p>
      <w:pPr>
        <w:pStyle w:val="NormalRight"/>
        <w:rPr>
          <w:noProof/>
        </w:rPr>
      </w:pPr>
      <w:r>
        <w:rPr>
          <w:noProof/>
        </w:rPr>
        <w:t xml:space="preserve">      Моля, посочете дали приходите са записани по разходни бюджетни редове. </w:t>
      </w:r>
      <w:r>
        <w:rPr>
          <w:noProof/>
        </w:rPr>
        <w:sym w:font="Wingdings" w:char="F0A8"/>
      </w:r>
      <w:r>
        <w:rPr>
          <w:noProof/>
        </w:rPr>
        <w:tab/>
      </w:r>
    </w:p>
    <w:p>
      <w:pPr>
        <w:pStyle w:val="NormalRight"/>
        <w:rPr>
          <w:noProof/>
        </w:rPr>
      </w:pPr>
      <w:r>
        <w:rPr>
          <w:noProof/>
        </w:rPr>
        <w:t>млн. евро (до 3-тия знак след десетичната запетая)</w:t>
      </w:r>
    </w:p>
    <w:tbl>
      <w:tblPr>
        <w:tblW w:w="934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4"/>
        <w:gridCol w:w="1080"/>
        <w:gridCol w:w="900"/>
        <w:gridCol w:w="900"/>
        <w:gridCol w:w="1080"/>
        <w:gridCol w:w="1080"/>
        <w:gridCol w:w="1080"/>
        <w:gridCol w:w="1080"/>
      </w:tblGrid>
      <w:tr>
        <w:trPr>
          <w:trHeight w:val="228"/>
          <w:jc w:val="center"/>
        </w:trPr>
        <w:tc>
          <w:tcPr>
            <w:tcW w:w="21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rPr>
                <w:noProof/>
                <w:color w:val="auto"/>
              </w:rPr>
            </w:pPr>
            <w:r>
              <w:rPr>
                <w:noProof/>
                <w:color w:val="auto"/>
                <w:sz w:val="18"/>
              </w:rPr>
              <w:t>Приходен бюджетен ред:</w:t>
            </w:r>
          </w:p>
        </w:tc>
        <w:tc>
          <w:tcPr>
            <w:tcW w:w="720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noProof/>
                <w:color w:val="auto"/>
                <w:sz w:val="18"/>
              </w:rPr>
              <w:t>Отражение на предложението/инициативата</w:t>
            </w:r>
          </w:p>
        </w:tc>
      </w:tr>
      <w:tr>
        <w:trPr>
          <w:trHeight w:val="228"/>
          <w:jc w:val="center"/>
        </w:trPr>
        <w:tc>
          <w:tcPr>
            <w:tcW w:w="214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2021 г.</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2022 г.</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2023 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2024 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2025 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2026 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jc w:val="center"/>
              <w:rPr>
                <w:noProof/>
                <w:color w:val="auto"/>
              </w:rPr>
            </w:pPr>
            <w:r>
              <w:rPr>
                <w:b/>
                <w:noProof/>
                <w:color w:val="auto"/>
                <w:sz w:val="20"/>
              </w:rPr>
              <w:t>2027 г.</w:t>
            </w:r>
          </w:p>
        </w:tc>
      </w:tr>
      <w:tr>
        <w:trPr>
          <w:trHeight w:val="228"/>
          <w:jc w:val="center"/>
        </w:trPr>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Text"/>
              <w:rPr>
                <w:noProof/>
                <w:color w:val="auto"/>
              </w:rPr>
            </w:pPr>
            <w:r>
              <w:rPr>
                <w:noProof/>
                <w:color w:val="auto"/>
                <w:sz w:val="18"/>
              </w:rPr>
              <w:t>Статия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noProof/>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noProof/>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noProo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noProo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noProo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noProo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noProof/>
              </w:rPr>
            </w:pPr>
          </w:p>
        </w:tc>
      </w:tr>
    </w:tbl>
    <w:p>
      <w:pPr>
        <w:pStyle w:val="Text1"/>
        <w:rPr>
          <w:noProof/>
          <w:sz w:val="20"/>
          <w:szCs w:val="20"/>
        </w:rPr>
      </w:pPr>
      <w:r>
        <w:rPr>
          <w:noProof/>
          <w:sz w:val="20"/>
        </w:rPr>
        <w:t>За целевите приходи да се посочат съответните разходни бюджетни редове.</w:t>
      </w:r>
    </w:p>
    <w:p>
      <w:pPr>
        <w:pStyle w:val="Text1"/>
        <w:pBdr>
          <w:top w:val="single" w:sz="4" w:space="0" w:color="000000"/>
          <w:left w:val="single" w:sz="4" w:space="0" w:color="000000"/>
          <w:bottom w:val="single" w:sz="4" w:space="0" w:color="000000"/>
          <w:right w:val="single" w:sz="4" w:space="0" w:color="000000"/>
        </w:pBdr>
        <w:rPr>
          <w:noProof/>
        </w:rPr>
      </w:pPr>
      <w:r>
        <w:rPr>
          <w:noProof/>
        </w:rPr>
        <w:t>[...]</w:t>
      </w:r>
    </w:p>
    <w:p>
      <w:pPr>
        <w:pStyle w:val="Text1"/>
        <w:rPr>
          <w:noProof/>
          <w:sz w:val="20"/>
          <w:szCs w:val="20"/>
        </w:rPr>
      </w:pPr>
      <w:r>
        <w:rPr>
          <w:noProof/>
          <w:sz w:val="20"/>
        </w:rPr>
        <w:t>Други забележки (например метод/формула за изчисляване на отражението върху приходите или друга информация).</w:t>
      </w:r>
    </w:p>
    <w:p>
      <w:pPr>
        <w:pStyle w:val="Text1"/>
        <w:pBdr>
          <w:top w:val="single" w:sz="4" w:space="0" w:color="000000"/>
          <w:left w:val="single" w:sz="4" w:space="0" w:color="000000"/>
          <w:bottom w:val="single" w:sz="4" w:space="0" w:color="000000"/>
          <w:right w:val="single" w:sz="4" w:space="0" w:color="000000"/>
        </w:pBdr>
        <w:rPr>
          <w:noProof/>
        </w:rPr>
      </w:pPr>
      <w:r>
        <w:rPr>
          <w:noProof/>
        </w:rPr>
        <w:t>[...]</w:t>
      </w:r>
    </w:p>
    <w:sectPr>
      <w:headerReference w:type="default" r:id="rId33"/>
      <w:footerReference w:type="default" r:id="rId34"/>
      <w:headerReference w:type="first" r:id="rId35"/>
      <w:footerReference w:type="first" r:id="rId36"/>
      <w:pgSz w:w="11900" w:h="16840"/>
      <w:pgMar w:top="720" w:right="720" w:bottom="720" w:left="72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r>
          <w:rPr>
            <w:rStyle w:val="Hyperlink0"/>
          </w:rPr>
          <w:t>http://www.consilium.europa.eu/en/press/press-releases/2017/03/25-rome-declaration/</w:t>
        </w:r>
      </w:hyperlink>
      <w:r>
        <w:rPr>
          <w:rStyle w:val="Hyperlink0"/>
          <w:u w:val="none"/>
        </w:rPr>
        <w:t>.</w:t>
      </w:r>
    </w:p>
  </w:footnote>
  <w:footnote w:id="2">
    <w:p>
      <w:pPr>
        <w:pStyle w:val="FootnoteText"/>
      </w:pPr>
      <w:r>
        <w:rPr>
          <w:rStyle w:val="FootnoteReference"/>
        </w:rPr>
        <w:footnoteRef/>
      </w:r>
      <w:r>
        <w:tab/>
        <w:t>Европейска комисия (2016 г.), Европейски корпус за солидарност, Съобщение на Комисията до Европейския парламент, Съвета, Европейския икономически и социален комитет и Комитета на регионите, COM(2016) 942 final, 7.12.2016 г.</w:t>
      </w:r>
    </w:p>
  </w:footnote>
  <w:footnote w:id="3">
    <w:p>
      <w:pPr>
        <w:pStyle w:val="FootnoteText"/>
      </w:pPr>
      <w:r>
        <w:rPr>
          <w:rStyle w:val="FootnoteReference"/>
        </w:rPr>
        <w:footnoteRef/>
      </w:r>
      <w:r>
        <w:tab/>
        <w:t>Програмата „Еразъм+“, Програмата за заетост и социални иновации (EаSI), Програмата за околната среда и действията по климата (LIFE), Фонд „Убежище, миграция и интеграция“, програмата „Здраве“, програмата „Европа за гражданите“, Европейския фонд за регионално развитие (чрез „Интеррег“) и Земеделският фонд за развитие на селските райони.</w:t>
      </w:r>
    </w:p>
  </w:footnote>
  <w:footnote w:id="4">
    <w:p>
      <w:pPr>
        <w:pStyle w:val="FootnoteText"/>
      </w:pPr>
      <w:r>
        <w:rPr>
          <w:rStyle w:val="FootnoteReference"/>
        </w:rPr>
        <w:footnoteRef/>
      </w:r>
      <w:r>
        <w:tab/>
        <w:t>Модерен бюджет за Съюз, който закриля, предоставя възможности и защитава – многогодишна финансова рамка за периода 2021—2027 г., COM(2018) 321 final.</w:t>
      </w:r>
    </w:p>
  </w:footnote>
  <w:footnote w:id="5">
    <w:p>
      <w:pPr>
        <w:pStyle w:val="FootnoteText"/>
      </w:pPr>
      <w:r>
        <w:rPr>
          <w:rStyle w:val="FootnoteReference"/>
        </w:rPr>
        <w:footnoteRef/>
      </w:r>
      <w:r>
        <w:tab/>
        <w:t>[В очакване на позоваване на Европейския корпус за солидарност за периода 2018—2020 г.].</w:t>
      </w:r>
    </w:p>
  </w:footnote>
  <w:footnote w:id="6">
    <w:p>
      <w:pPr>
        <w:pStyle w:val="FootnoteText"/>
      </w:pPr>
      <w:r>
        <w:rPr>
          <w:rStyle w:val="FootnoteReference"/>
        </w:rPr>
        <w:footnoteRef/>
      </w:r>
      <w:r>
        <w:tab/>
        <w:t>Препоръка на Съвета от 15 март 2018 г. относно Европейска рамка за качествено и ефективно чиракуване, ОВ C 153, 2.5.2018 г., стр. 1.</w:t>
      </w:r>
    </w:p>
  </w:footnote>
  <w:footnote w:id="7">
    <w:p>
      <w:pPr>
        <w:pStyle w:val="FootnoteText"/>
      </w:pPr>
      <w:r>
        <w:rPr>
          <w:rStyle w:val="FootnoteReference"/>
        </w:rPr>
        <w:footnoteRef/>
      </w:r>
      <w:r>
        <w:tab/>
        <w:t>Междинна оценка на програмата „Еразъм+“ (2014—2020 г.) (SWD(2018)40), 31 януари 2018 г.</w:t>
      </w:r>
    </w:p>
  </w:footnote>
  <w:footnote w:id="8">
    <w:p>
      <w:pPr>
        <w:pStyle w:val="FootnoteText"/>
      </w:pPr>
      <w:r>
        <w:rPr>
          <w:rStyle w:val="FootnoteReference"/>
        </w:rPr>
        <w:footnoteRef/>
      </w:r>
      <w:r>
        <w:tab/>
        <w:t>Междинна оценка на „Доброволци на ЕС за хуманитарна помощ“, 2017 г.</w:t>
      </w:r>
    </w:p>
  </w:footnote>
  <w:footnote w:id="9">
    <w:p>
      <w:pPr>
        <w:pStyle w:val="FootnoteText"/>
      </w:pPr>
      <w:r>
        <w:rPr>
          <w:rStyle w:val="FootnoteReference"/>
        </w:rPr>
        <w:footnoteRef/>
      </w:r>
      <w:r>
        <w:tab/>
        <w:t>Моля, имайте предвид, че докладът на Комисията до Европейския парламент и до Съвета, както и работният документ на службите на Комисията относно междинната оценка на инициативата „Доброволци на ЕС за хуманитарна помощ“ все още не са приети. Тази част от предварителната оценка може да се замени от текста на доклада или работния документ на службите на Комисията веднага след приемането им.</w:t>
      </w:r>
    </w:p>
  </w:footnote>
  <w:footnote w:id="10">
    <w:p>
      <w:pPr>
        <w:pStyle w:val="FootnoteText"/>
      </w:pPr>
      <w:r>
        <w:rPr>
          <w:rStyle w:val="FootnoteReference"/>
        </w:rPr>
        <w:footnoteRef/>
      </w:r>
      <w:r>
        <w:tab/>
        <w:t xml:space="preserve">Акцентите и основните документи могат да бъдат намерени на съответния уебсайт с оценките: </w:t>
      </w:r>
      <w:hyperlink r:id="rId2">
        <w:r>
          <w:rPr>
            <w:rStyle w:val="Hyperlink0"/>
          </w:rPr>
          <w:t>https://ec.europa.eu/programmes/erasmus-plus/resources/documents.evaluations_bg</w:t>
        </w:r>
      </w:hyperlink>
      <w:r>
        <w:rPr>
          <w:rStyle w:val="Hyperlink0"/>
          <w:u w:val="none"/>
        </w:rPr>
        <w:t>.</w:t>
      </w:r>
    </w:p>
  </w:footnote>
  <w:footnote w:id="11">
    <w:p>
      <w:pPr>
        <w:pStyle w:val="FootnoteText"/>
      </w:pPr>
      <w:r>
        <w:rPr>
          <w:rStyle w:val="FootnoteReference"/>
        </w:rPr>
        <w:footnoteRef/>
      </w:r>
      <w:r>
        <w:tab/>
        <w:t>Все още предстои да бъде изготвен окончателен консолидиран анализ.</w:t>
      </w:r>
    </w:p>
  </w:footnote>
  <w:footnote w:id="12">
    <w:p>
      <w:pPr>
        <w:pStyle w:val="FootnoteText"/>
      </w:pPr>
      <w:r>
        <w:rPr>
          <w:rStyle w:val="FootnoteReference"/>
        </w:rPr>
        <w:footnoteRef/>
      </w:r>
      <w:r>
        <w:tab/>
        <w:t>[В очакване на позоваване на Финансовия регламент].</w:t>
      </w:r>
    </w:p>
  </w:footnote>
  <w:footnote w:id="13">
    <w:p>
      <w:pPr>
        <w:pStyle w:val="FootnoteText"/>
      </w:pPr>
      <w:r>
        <w:rPr>
          <w:rStyle w:val="FootnoteReference"/>
        </w:rPr>
        <w:footnoteRef/>
      </w:r>
      <w:r>
        <w:tab/>
        <w:t>Хартата на основните права на ЕС (ОВ C 326, 26.10.2012 г., стр. 391).</w:t>
      </w:r>
    </w:p>
  </w:footnote>
  <w:footnote w:id="14">
    <w:p>
      <w:pPr>
        <w:pStyle w:val="FootnoteText"/>
      </w:pPr>
      <w:r>
        <w:rPr>
          <w:rStyle w:val="FootnoteReference"/>
        </w:rPr>
        <w:footnoteRef/>
      </w:r>
      <w:r>
        <w:tab/>
        <w:t>Модерен бюджет за Съюз, който закриля, предоставя възможности и защитава – многогодишна финансова рамка за периода 2021—2027 г., COM(2018) 321 final, стр. 29.</w:t>
      </w:r>
    </w:p>
  </w:footnote>
  <w:footnote w:id="15">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(OВ L 123, 12.5.2016 г., стр. 1—14).</w:t>
      </w:r>
    </w:p>
  </w:footnote>
  <w:footnote w:id="16">
    <w:p>
      <w:pPr>
        <w:pStyle w:val="FootnoteText"/>
      </w:pPr>
      <w:r>
        <w:rPr>
          <w:rStyle w:val="FootnoteReference"/>
        </w:rPr>
        <w:footnoteRef/>
      </w:r>
      <w:r>
        <w:tab/>
        <w:t>ОВ C , , стр. .</w:t>
      </w:r>
    </w:p>
  </w:footnote>
  <w:footnote w:id="17">
    <w:p>
      <w:pPr>
        <w:pStyle w:val="FootnoteText"/>
      </w:pPr>
      <w:r>
        <w:rPr>
          <w:rStyle w:val="FootnoteReference"/>
        </w:rPr>
        <w:footnoteRef/>
      </w:r>
      <w:r>
        <w:tab/>
        <w:t>ОВ C , , стр. .</w:t>
      </w:r>
    </w:p>
  </w:footnote>
  <w:footnote w:id="18">
    <w:p>
      <w:pPr>
        <w:pStyle w:val="FootnoteText"/>
      </w:pPr>
      <w:r>
        <w:rPr>
          <w:rStyle w:val="FootnoteReference"/>
        </w:rPr>
        <w:footnoteRef/>
      </w:r>
      <w:r>
        <w:tab/>
        <w:t>Съобщение на Комисията до Европейския парламент, Съвета, Икономическия и социален комитет и Комитета на регионите „Европейски корпус за солидарност“, COM(2016) 942 final.</w:t>
      </w:r>
    </w:p>
  </w:footnote>
  <w:footnote w:id="19">
    <w:p>
      <w:pPr>
        <w:pStyle w:val="FootnoteText"/>
      </w:pPr>
      <w:r>
        <w:rPr>
          <w:rStyle w:val="FootnoteReference"/>
        </w:rPr>
        <w:footnoteRef/>
      </w:r>
      <w:r>
        <w:tab/>
        <w:t>Регламент (ЕС) № 1288/2013 на Европейския парламент и на Съвета от 11 декември 2013 г. за създаване на „Еразъм+“: програма на Съюза в областта на образованието, обучението, младежта и спорта и за отмяна на решения № 1719/2006/ЕО, № 1720/2006/ЕО и № 1298/2008/ЕО ОВ L 347, 20.12.2013 г. стр. 50–73).</w:t>
      </w:r>
    </w:p>
  </w:footnote>
  <w:footnote w:id="20">
    <w:p>
      <w:pPr>
        <w:pStyle w:val="FootnoteText"/>
      </w:pPr>
      <w:r>
        <w:rPr>
          <w:rStyle w:val="FootnoteReference"/>
        </w:rPr>
        <w:footnoteRef/>
      </w:r>
      <w:r>
        <w:tab/>
        <w:t>Регламент (ЕС) № 375/2014 на Европейския парламент и на Съвета от 3 април 2014 г. за създаване на Европейския доброволчески корпус за хуманитарна помощ (инициатива „Доброволци на ЕС за хуманитарна помощ“) (ОВ L 122, 24.4.2014 г., стр. 1—17).</w:t>
      </w:r>
    </w:p>
  </w:footnote>
  <w:footnote w:id="21">
    <w:p>
      <w:pPr>
        <w:pStyle w:val="FootnoteText"/>
      </w:pPr>
      <w:r>
        <w:rPr>
          <w:rStyle w:val="FootnoteReference"/>
        </w:rPr>
        <w:footnoteRef/>
      </w:r>
      <w:r>
        <w:tab/>
        <w:t>Препоръка на Съвета от 15 март 2018 г. относно Европейска рамка за качествено и ефективно чиракуване, ОВ C 153, 2.5.2018 г., стр. 1.</w:t>
      </w:r>
    </w:p>
  </w:footnote>
  <w:footnote w:id="22">
    <w:p>
      <w:pPr>
        <w:pStyle w:val="FootnoteText"/>
        <w:rPr>
          <w:rFonts w:eastAsia="Arial Unicode MS" w:cs="Arial Unicode MS"/>
        </w:rPr>
      </w:pPr>
      <w:r>
        <w:rPr>
          <w:rStyle w:val="FootnoteReference"/>
        </w:rPr>
        <w:footnoteRef/>
      </w:r>
      <w:r>
        <w:tab/>
        <w:t>Препоръка на Съвета от 20 декември 2012 г. относно валидирането на неформалното и самостоятелното учене (ОВ С 22.12.2012 г. стр. 1—5)</w:t>
      </w:r>
    </w:p>
  </w:footnote>
  <w:footnote w:id="23">
    <w:p>
      <w:pPr>
        <w:pStyle w:val="FootnoteText"/>
      </w:pPr>
      <w:r>
        <w:rPr>
          <w:rStyle w:val="FootnoteReference"/>
        </w:rPr>
        <w:footnoteRef/>
      </w:r>
      <w:r>
        <w:tab/>
        <w:t>Съобщение на Комисията до Европейския парламент, до Съвета, до Икономическия и социален комитет и до Комитета на регионите — „Европейска рамка за оперативна съвместимост — стратегия за прилагане“, COM(2017) 134 final.</w:t>
      </w:r>
    </w:p>
  </w:footnote>
  <w:footnote w:id="24">
    <w:p>
      <w:pPr>
        <w:pStyle w:val="FootnoteText"/>
      </w:pPr>
      <w:r>
        <w:rPr>
          <w:rStyle w:val="FootnoteReference"/>
        </w:rPr>
        <w:footnoteRef/>
      </w:r>
      <w:r>
        <w:tab/>
        <w:t>[В очакване на позоваване на Финансовия регламент].</w:t>
      </w:r>
    </w:p>
  </w:footnote>
  <w:footnote w:id="25">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(ОВ L 248, 18.9.2013 г., стр. 1.).</w:t>
      </w:r>
    </w:p>
  </w:footnote>
  <w:footnote w:id="26">
    <w:p>
      <w:pPr>
        <w:pStyle w:val="FootnoteText"/>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27">
    <w:p>
      <w:pPr>
        <w:pStyle w:val="FootnoteText"/>
      </w:pPr>
      <w:r>
        <w:rPr>
          <w:rStyle w:val="FootnoteReference"/>
        </w:rPr>
        <w:footnoteRef/>
      </w:r>
      <w:r>
        <w:tab/>
        <w:t>Регламент (ЕС) 2017/1939 на Съвета от 12 октомври 2017 г. за установяване на засилено сътрудничество за създаване на Европейска прокуратура (OВ L 283, 31.10.2017 г., стp. 1).</w:t>
      </w:r>
    </w:p>
  </w:footnote>
  <w:footnote w:id="28">
    <w:p>
      <w:pPr>
        <w:pStyle w:val="FootnoteText"/>
      </w:pPr>
      <w:r>
        <w:rPr>
          <w:rStyle w:val="FootnoteReference"/>
        </w:rPr>
        <w:footnoteRef/>
      </w:r>
      <w:r>
        <w:tab/>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w:t>
      </w:r>
    </w:p>
  </w:footnote>
  <w:footnote w:id="29">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(OВ L 123, 12.5.2016 г., стр. 1.).</w:t>
      </w:r>
    </w:p>
  </w:footnote>
  <w:footnote w:id="30">
    <w:p>
      <w:pPr>
        <w:pStyle w:val="FootnoteText"/>
      </w:pPr>
      <w:r>
        <w:rPr>
          <w:rStyle w:val="FootnoteReference"/>
        </w:rPr>
        <w:footnoteRef/>
      </w:r>
      <w:r>
        <w:tab/>
        <w:t>[в очакване на ново решение на Съвета за асоцииране на ОСТ].</w:t>
      </w:r>
    </w:p>
  </w:footnote>
  <w:footnote w:id="31">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Комитета на регионите и Европейската инвестиционна банка – „Засилено и обновено стратегическо партньорство с най-отдалечените региони на ЕС“, COM(2017) 623 final.</w:t>
      </w:r>
    </w:p>
  </w:footnote>
  <w:footnote w:id="32">
    <w:p>
      <w:pPr>
        <w:pStyle w:val="FootnoteText"/>
      </w:pPr>
      <w:r>
        <w:rPr>
          <w:rStyle w:val="FootnoteReference"/>
        </w:rPr>
        <w:footnoteRef/>
      </w:r>
      <w:r>
        <w:tab/>
        <w:t>Директива (ЕС) 2016/801 на Европейския парламент и на Съвета от 11 май 2016 г. относно условията за влизане и пребиваване на граждани на трети държави с цел провеждане на научно изследване, следване, стаж, доброволческа дейност, програми за ученически обмен или образователни проекти и работа по програми „au pair“ (ОВ L 132, 21.5.2016 г., стр. 21.).</w:t>
      </w:r>
    </w:p>
  </w:footnote>
  <w:footnote w:id="33">
    <w:p>
      <w:pPr>
        <w:pStyle w:val="FootnoteText"/>
      </w:pPr>
      <w:r>
        <w:rPr>
          <w:rStyle w:val="FootnoteReference"/>
        </w:rPr>
        <w:footnoteRef/>
      </w:r>
      <w:r>
        <w:tab/>
        <w:t>Регламент (ЕС) № 182/2011 на Европейския парламент и на Съвета от 16 февруари 2011 г.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34">
    <w:p>
      <w:pPr>
        <w:pStyle w:val="FootnoteText"/>
      </w:pPr>
      <w:r>
        <w:rPr>
          <w:rStyle w:val="FootnoteReference"/>
        </w:rPr>
        <w:footnoteRef/>
      </w:r>
      <w:r>
        <w:tab/>
        <w:t>Регламент (EО, Евратом) № 2988/95 на Съвета от 18 декември 1995 г. относно защитата на финансовите интереси на Европейските общности (OВ L 312, 23.12.1995 г., стр.1).</w:t>
      </w:r>
    </w:p>
  </w:footnote>
  <w:footnote w:id="35">
    <w:p>
      <w:pPr>
        <w:pStyle w:val="FootnoteText"/>
      </w:pPr>
      <w:r>
        <w:rPr>
          <w:rStyle w:val="FootnoteReference"/>
        </w:rPr>
        <w:footnoteRef/>
      </w:r>
      <w:r>
        <w:tab/>
        <w:t>Хартата на основните права на ЕС (ОВ C 326, 26.10.2012 г., стр. 391).</w:t>
      </w:r>
    </w:p>
  </w:footnote>
  <w:footnote w:id="36">
    <w:p>
      <w:pPr>
        <w:pStyle w:val="FootnoteText"/>
      </w:pPr>
      <w:r>
        <w:rPr>
          <w:rStyle w:val="FootnoteReference"/>
        </w:rPr>
        <w:footnoteRef/>
      </w:r>
      <w:r>
        <w:tab/>
        <w:t>Съгласно член 58, параграф 2, буква а) или б) от Финансовия регламент.</w:t>
      </w:r>
    </w:p>
  </w:footnote>
  <w:footnote w:id="37">
    <w:p>
      <w:pPr>
        <w:pStyle w:val="FootnoteText"/>
        <w:jc w:val="left"/>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3">
        <w:r>
          <w:rPr>
            <w:rStyle w:val="Hyperlink0"/>
          </w:rPr>
          <w:t>https://myintracomm.ec.europa.eu/budgweb/EN/man/budgmanag/Pages/budgmanag.aspx</w:t>
        </w:r>
      </w:hyperlink>
      <w:r>
        <w:t xml:space="preserve"> </w:t>
      </w:r>
    </w:p>
  </w:footnote>
  <w:footnote w:id="38">
    <w:p>
      <w:pPr>
        <w:pStyle w:val="FootnoteText"/>
      </w:pPr>
      <w:r>
        <w:rPr>
          <w:rStyle w:val="FootnoteReference"/>
        </w:rPr>
        <w:footnoteRef/>
      </w:r>
      <w:r>
        <w:tab/>
        <w:t>Програмата би могла да бъде (частично) делегирана на изпълнителна агенция (EACEA) в зависимост от резултата от анализа на разходите и ползите и свързаните с това евентуални решения и при условие че свързаните с това бюджетни кредити за административни разходи за изпълнението на програмата в Комисията и изпълнителната агенция бъдат съответно адаптирани.</w:t>
      </w:r>
    </w:p>
  </w:footnote>
  <w:footnote w:id="39">
    <w:p>
      <w:pPr>
        <w:pStyle w:val="FootnoteText"/>
      </w:pPr>
      <w:r>
        <w:rPr>
          <w:rStyle w:val="FootnoteReference"/>
        </w:rPr>
        <w:footnoteRef/>
      </w:r>
      <w:r>
        <w:tab/>
        <w:t>Оценката на очакваните нужди от човешки ресурси са изцяло въз основа на настоящото положение в ГД „Образование и култура“ и подлежи на допълнително преразглеждане. Изчисленията на персонала се основават на равнището на персонала на Комисията от 2018 г. (с изключение на персонала на Изпълнителната агенция) с постепенно увеличение.</w:t>
      </w:r>
    </w:p>
  </w:footnote>
  <w:footnote w:id="40">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90F3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C72C2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949C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4AA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90E69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6E85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085F59DF"/>
    <w:multiLevelType w:val="hybridMultilevel"/>
    <w:tmpl w:val="FDF66946"/>
    <w:styleLink w:val="ImportierterStil3"/>
    <w:lvl w:ilvl="0" w:tplc="39721368">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A04C5C">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D580F50">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DFAAF56">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82297A">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8C65E5C">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F582CBE">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3CABEE">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076E5FC">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0761F16"/>
    <w:multiLevelType w:val="hybridMultilevel"/>
    <w:tmpl w:val="678E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B15E4B"/>
    <w:multiLevelType w:val="hybridMultilevel"/>
    <w:tmpl w:val="54CA49AA"/>
    <w:styleLink w:val="ImportierterStil5"/>
    <w:lvl w:ilvl="0" w:tplc="56149334">
      <w:start w:val="1"/>
      <w:numFmt w:val="decimal"/>
      <w:lvlText w:val="(%1)"/>
      <w:lvlJc w:val="left"/>
      <w:pPr>
        <w:ind w:left="850"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1FC9E48">
      <w:start w:val="1"/>
      <w:numFmt w:val="lowerLetter"/>
      <w:lvlText w:val="(%2)"/>
      <w:lvlJc w:val="left"/>
      <w:pPr>
        <w:ind w:left="850"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88CF018">
      <w:start w:val="1"/>
      <w:numFmt w:val="decimal"/>
      <w:lvlText w:val="(%3)"/>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2A8CB22">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FB021F0">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D609E7E">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C4D4775C">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0B03DF0">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3A0C344">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73B5D13"/>
    <w:multiLevelType w:val="hybridMultilevel"/>
    <w:tmpl w:val="B394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AA14E9"/>
    <w:multiLevelType w:val="hybridMultilevel"/>
    <w:tmpl w:val="AA12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2774F"/>
    <w:multiLevelType w:val="hybridMultilevel"/>
    <w:tmpl w:val="C22E03B2"/>
    <w:styleLink w:val="ImportierterStil10"/>
    <w:lvl w:ilvl="0" w:tplc="03F41D94">
      <w:start w:val="1"/>
      <w:numFmt w:val="bullet"/>
      <w:lvlText w:val="–"/>
      <w:lvlJc w:val="left"/>
      <w:pPr>
        <w:tabs>
          <w:tab w:val="num" w:pos="709"/>
          <w:tab w:val="left" w:pos="1843"/>
        </w:tabs>
        <w:ind w:left="992"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1B32C0D8">
      <w:start w:val="1"/>
      <w:numFmt w:val="bullet"/>
      <w:lvlText w:val="–"/>
      <w:lvlJc w:val="left"/>
      <w:pPr>
        <w:tabs>
          <w:tab w:val="num" w:pos="1418"/>
          <w:tab w:val="left" w:pos="1843"/>
        </w:tabs>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2" w:tplc="BFA25342">
      <w:start w:val="1"/>
      <w:numFmt w:val="bullet"/>
      <w:lvlText w:val="–"/>
      <w:lvlJc w:val="left"/>
      <w:pPr>
        <w:tabs>
          <w:tab w:val="num" w:pos="1843"/>
        </w:tabs>
        <w:ind w:left="2126"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034AF3E">
      <w:start w:val="1"/>
      <w:numFmt w:val="bullet"/>
      <w:lvlText w:val="•"/>
      <w:lvlJc w:val="left"/>
      <w:pPr>
        <w:tabs>
          <w:tab w:val="left" w:pos="1843"/>
          <w:tab w:val="num" w:pos="2835"/>
        </w:tabs>
        <w:ind w:left="3118"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2A84F0A">
      <w:start w:val="1"/>
      <w:numFmt w:val="bullet"/>
      <w:lvlText w:val="•"/>
      <w:lvlJc w:val="left"/>
      <w:pPr>
        <w:tabs>
          <w:tab w:val="left" w:pos="1843"/>
          <w:tab w:val="num" w:pos="3544"/>
        </w:tabs>
        <w:ind w:left="3827"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A12DF0C">
      <w:start w:val="1"/>
      <w:numFmt w:val="bullet"/>
      <w:lvlText w:val="•"/>
      <w:lvlJc w:val="left"/>
      <w:pPr>
        <w:tabs>
          <w:tab w:val="left" w:pos="1843"/>
          <w:tab w:val="num" w:pos="4252"/>
        </w:tabs>
        <w:ind w:left="4535"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D32DEF0">
      <w:start w:val="1"/>
      <w:numFmt w:val="bullet"/>
      <w:lvlText w:val="•"/>
      <w:lvlJc w:val="left"/>
      <w:pPr>
        <w:tabs>
          <w:tab w:val="left" w:pos="1843"/>
          <w:tab w:val="num" w:pos="4961"/>
        </w:tabs>
        <w:ind w:left="5244"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6641C">
      <w:start w:val="1"/>
      <w:numFmt w:val="bullet"/>
      <w:lvlText w:val="•"/>
      <w:lvlJc w:val="left"/>
      <w:pPr>
        <w:tabs>
          <w:tab w:val="left" w:pos="1843"/>
          <w:tab w:val="num" w:pos="5670"/>
        </w:tabs>
        <w:ind w:left="5953"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3680968">
      <w:start w:val="1"/>
      <w:numFmt w:val="bullet"/>
      <w:lvlText w:val="•"/>
      <w:lvlJc w:val="left"/>
      <w:pPr>
        <w:tabs>
          <w:tab w:val="left" w:pos="1843"/>
          <w:tab w:val="num" w:pos="6378"/>
        </w:tabs>
        <w:ind w:left="6661"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3289744A"/>
    <w:multiLevelType w:val="multilevel"/>
    <w:tmpl w:val="82161D56"/>
    <w:styleLink w:val="ImportierterStil6"/>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1973DA"/>
    <w:multiLevelType w:val="hybridMultilevel"/>
    <w:tmpl w:val="619E7A80"/>
    <w:styleLink w:val="ImportierterStil9"/>
    <w:lvl w:ilvl="0" w:tplc="16AE92E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0A2E9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C22AE6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AF688A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248186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C0C9ED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76EF6F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D34C36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234C08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nsid w:val="4E18265C"/>
    <w:multiLevelType w:val="hybridMultilevel"/>
    <w:tmpl w:val="619E7A80"/>
    <w:numStyleLink w:val="ImportierterStil9"/>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88372A4"/>
    <w:multiLevelType w:val="hybridMultilevel"/>
    <w:tmpl w:val="BAA4AA48"/>
    <w:styleLink w:val="ImportierterStil2"/>
    <w:lvl w:ilvl="0" w:tplc="2940037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DE98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B3AE1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9E053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344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D9853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B3EB5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24EBC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472E7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7851AA3"/>
    <w:multiLevelType w:val="hybridMultilevel"/>
    <w:tmpl w:val="22F20CFC"/>
    <w:styleLink w:val="ImportierterStil8"/>
    <w:lvl w:ilvl="0" w:tplc="813A1E4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B54541A">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948AA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0AE18FC">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5CA6EE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C703800">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208ABD0">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984918C">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14E339E">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DE7753A"/>
    <w:multiLevelType w:val="multilevel"/>
    <w:tmpl w:val="04D4A280"/>
    <w:styleLink w:val="ImportierterStil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nsid w:val="6F1C5530"/>
    <w:multiLevelType w:val="hybridMultilevel"/>
    <w:tmpl w:val="A79A5E10"/>
    <w:styleLink w:val="ImportierterStil7"/>
    <w:lvl w:ilvl="0" w:tplc="E38AC6D0">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D10F4D4">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8F293F6">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C00C0FE8">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C800080">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A883F12">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274045A4">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5B63284">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C1A1568">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AE6B09"/>
    <w:multiLevelType w:val="hybridMultilevel"/>
    <w:tmpl w:val="FFB8E32C"/>
    <w:styleLink w:val="ImportierterStil4"/>
    <w:lvl w:ilvl="0" w:tplc="9BF69B90">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A22090A">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25EE9DA6">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58CC01A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D49ABFA4">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72824A80">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750E00C2">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6F185080">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BA16802C">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3"/>
  </w:num>
  <w:num w:numId="3">
    <w:abstractNumId w:val="22"/>
  </w:num>
  <w:num w:numId="4">
    <w:abstractNumId w:val="36"/>
  </w:num>
  <w:num w:numId="5">
    <w:abstractNumId w:val="30"/>
  </w:num>
  <w:num w:numId="6">
    <w:abstractNumId w:val="26"/>
  </w:num>
  <w:num w:numId="7">
    <w:abstractNumId w:val="7"/>
  </w:num>
  <w:num w:numId="8">
    <w:abstractNumId w:val="37"/>
  </w:num>
  <w:num w:numId="9">
    <w:abstractNumId w:val="38"/>
    <w:lvlOverride w:ilvl="0">
      <w:startOverride w:val="1"/>
    </w:lvlOverride>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4"/>
    <w:lvlOverride w:ilvl="0">
      <w:startOverride w:val="1"/>
    </w:lvlOverride>
  </w:num>
  <w:num w:numId="14">
    <w:abstractNumId w:val="14"/>
    <w:lvlOverride w:ilvl="0">
      <w:startOverride w:val="2"/>
    </w:lvlOverride>
  </w:num>
  <w:num w:numId="15">
    <w:abstractNumId w:val="14"/>
    <w:lvlOverride w:ilvl="0">
      <w:startOverride w:val="3"/>
    </w:lvlOverride>
  </w:num>
  <w:num w:numId="16">
    <w:abstractNumId w:val="14"/>
    <w:lvlOverride w:ilvl="0">
      <w:startOverride w:val="1"/>
    </w:lvlOverride>
  </w:num>
  <w:num w:numId="17">
    <w:abstractNumId w:val="14"/>
    <w:lvlOverride w:ilvl="0">
      <w:startOverride w:val="2"/>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35"/>
  </w:num>
  <w:num w:numId="27">
    <w:abstractNumId w:val="33"/>
    <w:lvlOverride w:ilvl="0">
      <w:startOverride w:val="1"/>
    </w:lvlOverride>
  </w:num>
  <w:num w:numId="28">
    <w:abstractNumId w:val="14"/>
    <w:lvlOverride w:ilvl="0">
      <w:startOverride w:val="3"/>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14"/>
    <w:lvlOverride w:ilvl="0">
      <w:startOverride w:val="1"/>
    </w:lvlOverride>
  </w:num>
  <w:num w:numId="35">
    <w:abstractNumId w:val="14"/>
    <w:lvlOverride w:ilvl="0">
      <w:startOverride w:val="2"/>
    </w:lvlOverride>
  </w:num>
  <w:num w:numId="36">
    <w:abstractNumId w:val="14"/>
    <w:lvlOverride w:ilvl="0">
      <w:startOverride w:val="3"/>
    </w:lvlOverride>
  </w:num>
  <w:num w:numId="37">
    <w:abstractNumId w:val="14"/>
    <w:lvlOverride w:ilvl="0">
      <w:startOverride w:val="1"/>
    </w:lvlOverride>
  </w:num>
  <w:num w:numId="38">
    <w:abstractNumId w:val="14"/>
    <w:lvlOverride w:ilvl="0">
      <w:startOverride w:val="4"/>
    </w:lvlOverride>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34"/>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21"/>
  </w:num>
  <w:num w:numId="48">
    <w:abstractNumId w:val="24"/>
  </w:num>
  <w:num w:numId="49">
    <w:abstractNumId w:val="13"/>
  </w:num>
  <w:num w:numId="50">
    <w:abstractNumId w:val="8"/>
  </w:num>
  <w:num w:numId="51">
    <w:abstractNumId w:val="10"/>
  </w:num>
  <w:num w:numId="52">
    <w:abstractNumId w:val="11"/>
  </w:num>
  <w:num w:numId="53">
    <w:abstractNumId w:val="5"/>
  </w:num>
  <w:num w:numId="54">
    <w:abstractNumId w:val="4"/>
  </w:num>
  <w:num w:numId="55">
    <w:abstractNumId w:val="3"/>
  </w:num>
  <w:num w:numId="56">
    <w:abstractNumId w:val="2"/>
  </w:num>
  <w:num w:numId="57">
    <w:abstractNumId w:val="1"/>
  </w:num>
  <w:num w:numId="58">
    <w:abstractNumId w:val="0"/>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8"/>
  </w:num>
  <w:num w:numId="63">
    <w:abstractNumId w:val="33"/>
  </w:num>
  <w:num w:numId="64">
    <w:abstractNumId w:val="16"/>
  </w:num>
  <w:num w:numId="65">
    <w:abstractNumId w:val="19"/>
  </w:num>
  <w:num w:numId="66">
    <w:abstractNumId w:val="14"/>
  </w:num>
  <w:num w:numId="67">
    <w:abstractNumId w:val="31"/>
  </w:num>
  <w:num w:numId="68">
    <w:abstractNumId w:val="12"/>
  </w:num>
  <w:num w:numId="69">
    <w:abstractNumId w:val="20"/>
  </w:num>
  <w:num w:numId="70">
    <w:abstractNumId w:val="27"/>
  </w:num>
  <w:num w:numId="71">
    <w:abstractNumId w:val="28"/>
  </w:num>
  <w:num w:numId="72">
    <w:abstractNumId w:val="15"/>
  </w:num>
  <w:num w:numId="73">
    <w:abstractNumId w:val="25"/>
  </w:num>
  <w:num w:numId="74">
    <w:abstractNumId w:val="3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4 09:27:4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4"/>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20"/>
    <w:docVar w:name="DQCStatus" w:val="Green"/>
    <w:docVar w:name="DQCVersion" w:val="3"/>
    <w:docVar w:name="DQCWithWarnings" w:val="0"/>
    <w:docVar w:name="LW_CORRIGENDUM" w:val="&lt;UNUSED&gt;"/>
    <w:docVar w:name="LW_COVERPAGE_EXISTS" w:val="True"/>
    <w:docVar w:name="LW_COVERPAGE_GUID" w:val="8F9A325D-EE25-49CE-A431-220BDC8180CE"/>
    <w:docVar w:name="LW_COVERPAGE_TYPE" w:val="1"/>
    <w:docVar w:name="LW_CROSSREFERENCE" w:val="{SWD(2018) 317 final}_x000b_{SWD(2018) 318 final}_x000b_{SWD(2018) 319 final}"/>
    <w:docVar w:name="LW_DocType" w:val="COM"/>
    <w:docVar w:name="LW_EMISSION" w:val="11.6.2018"/>
    <w:docVar w:name="LW_EMISSION_ISODATE" w:val="2018-06-11"/>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30"/>
    <w:docVar w:name="LW_REF.II.NEW.CP_YEAR" w:val="2018"/>
    <w:docVar w:name="LW_REF.INST.NEW" w:val="COM"/>
    <w:docVar w:name="LW_REF.INST.NEW_ADOPTED" w:val="final"/>
    <w:docVar w:name="LW_REF.INST.NEW_TEXT" w:val="(2018) 4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87?\u1088?\u1086?\u1075?\u1088?\u1072?\u1084?\u1072?\u1090?\u1072? \u8222?\u1045?\u1074?\u1088?\u1086?\u1087?\u1077?\u1081?\u1089?\u1082?\u1080? \u1082?\u1086?\u1088?\u1087?\u1091?\u1089? \u1079?\u1072? \u1089?\u1086?\u1083?\u1080?\u1076?\u1072?\u1088?\u1085?\u1086?\u1089?\u1090?\u8220? \u1080? \u1079?\u1072? \u1086?\u1090?\u1084?\u1103?\u1085?\u1072? \u1085?\u1072? [\u1056?\u1077?\u1075?\u1083?\u1072?\u1084?\u1077?\u1085?\u1090?\u1072? \u1079?\u1072? \u1045?\u1074?\u1088?\u1086?\u1087?\u1077?\u1081?\u1089?\u1082?\u1080?\u1103? \u1082?\u1086?\u1088?\u1087?\u1091?\u1089? \u1079?\u1072? \u1089?\u1086?\u1083?\u1080?\u1076?\u1072?\u1088?\u1085?\u1086?\u1089?\u1090?] \u1080? \u1056?\u1077?\u1075?\u1083?\u1072?\u1084?\u1077?\u1085?\u1090? (\u1045?\u1057?) \u8470? 375/2014"/>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6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customStyle="1" w:styleId="Kopf-undFuzeilen">
    <w:name w:val="Kopf- und Fußzeilen"/>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Text">
    <w:name w:val="Text"/>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character" w:customStyle="1" w:styleId="Hyperlink0">
    <w:name w:val="Hyperlink.0"/>
    <w:basedOn w:val="Hyperlink"/>
    <w:rPr>
      <w:color w:val="0000FF"/>
      <w:u w:val="single" w:color="0000FF"/>
    </w:rPr>
  </w:style>
  <w:style w:type="numbering" w:customStyle="1" w:styleId="ImportierterStil2">
    <w:name w:val="Importierter Stil: 2"/>
    <w:pPr>
      <w:numPr>
        <w:numId w:val="6"/>
      </w:numPr>
    </w:pPr>
  </w:style>
  <w:style w:type="numbering" w:customStyle="1" w:styleId="ImportierterStil3">
    <w:name w:val="Importierter Stil: 3"/>
    <w:pPr>
      <w:numPr>
        <w:numId w:val="7"/>
      </w:numPr>
    </w:pPr>
  </w:style>
  <w:style w:type="numbering" w:customStyle="1" w:styleId="ImportierterStil4">
    <w:name w:val="Importierter Stil: 4"/>
    <w:pPr>
      <w:numPr>
        <w:numId w:val="8"/>
      </w:numPr>
    </w:pPr>
  </w:style>
  <w:style w:type="paragraph" w:customStyle="1" w:styleId="TitrearticleA">
    <w:name w:val="Titre article A"/>
    <w:next w:val="Text"/>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rPr>
  </w:style>
  <w:style w:type="numbering" w:customStyle="1" w:styleId="ImportierterStil5">
    <w:name w:val="Importierter Stil: 5"/>
    <w:pPr>
      <w:numPr>
        <w:numId w:val="10"/>
      </w:numPr>
    </w:pPr>
  </w:style>
  <w:style w:type="numbering" w:customStyle="1" w:styleId="ImportierterStil6">
    <w:name w:val="Importierter Stil: 6"/>
    <w:pPr>
      <w:numPr>
        <w:numId w:val="12"/>
      </w:numPr>
    </w:pPr>
  </w:style>
  <w:style w:type="numbering" w:customStyle="1" w:styleId="ImportierterStil7">
    <w:name w:val="Importierter Stil: 7"/>
    <w:pPr>
      <w:numPr>
        <w:numId w:val="26"/>
      </w:numPr>
    </w:pPr>
  </w:style>
  <w:style w:type="paragraph" w:customStyle="1" w:styleId="TitrearticleB">
    <w:name w:val="Titre article B"/>
    <w:next w:val="Text"/>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rPr>
  </w:style>
  <w:style w:type="paragraph" w:customStyle="1" w:styleId="TitrearticleC">
    <w:name w:val="Titre article C"/>
    <w:next w:val="Text"/>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rPr>
  </w:style>
  <w:style w:type="paragraph" w:customStyle="1" w:styleId="TitrearticleD">
    <w:name w:val="Titre article D"/>
    <w:next w:val="Text"/>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rPr>
  </w:style>
  <w:style w:type="paragraph" w:customStyle="1" w:styleId="berschrift">
    <w:name w:val="Überschrift"/>
    <w:next w:val="Text1"/>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rPr>
  </w:style>
  <w:style w:type="numbering" w:customStyle="1" w:styleId="ImportierterStil1">
    <w:name w:val="Importierter Stil: 1"/>
    <w:pPr>
      <w:numPr>
        <w:numId w:val="44"/>
      </w:numPr>
    </w:pPr>
  </w:style>
  <w:style w:type="paragraph" w:customStyle="1" w:styleId="berschrift2">
    <w:name w:val="Überschrift 2"/>
    <w:next w:val="Text1"/>
    <w:pPr>
      <w:keepNext/>
      <w:pBdr>
        <w:top w:val="nil"/>
        <w:left w:val="nil"/>
        <w:bottom w:val="nil"/>
        <w:right w:val="nil"/>
        <w:between w:val="nil"/>
        <w:bar w:val="nil"/>
      </w:pBdr>
      <w:tabs>
        <w:tab w:val="left" w:pos="850"/>
      </w:tabs>
      <w:spacing w:before="120" w:after="120" w:line="240" w:lineRule="auto"/>
      <w:jc w:val="both"/>
      <w:outlineLvl w:val="1"/>
    </w:pPr>
    <w:rPr>
      <w:rFonts w:ascii="Times New Roman" w:eastAsia="Arial Unicode MS" w:hAnsi="Times New Roman" w:cs="Arial Unicode MS"/>
      <w:b/>
      <w:bCs/>
      <w:color w:val="000000"/>
      <w:sz w:val="24"/>
      <w:szCs w:val="24"/>
      <w:u w:color="000000"/>
      <w:bdr w:val="nil"/>
    </w:rPr>
  </w:style>
  <w:style w:type="paragraph" w:customStyle="1" w:styleId="berschrift3">
    <w:name w:val="Überschrift 3"/>
    <w:next w:val="Text1"/>
    <w:pPr>
      <w:keepNext/>
      <w:pBdr>
        <w:top w:val="nil"/>
        <w:left w:val="nil"/>
        <w:bottom w:val="nil"/>
        <w:right w:val="nil"/>
        <w:between w:val="nil"/>
        <w:bar w:val="nil"/>
      </w:pBdr>
      <w:tabs>
        <w:tab w:val="left" w:pos="850"/>
      </w:tabs>
      <w:spacing w:before="120" w:after="120" w:line="240" w:lineRule="auto"/>
      <w:jc w:val="both"/>
      <w:outlineLvl w:val="2"/>
    </w:pPr>
    <w:rPr>
      <w:rFonts w:ascii="Times New Roman" w:eastAsia="Arial Unicode MS" w:hAnsi="Times New Roman" w:cs="Arial Unicode MS"/>
      <w:i/>
      <w:iCs/>
      <w:color w:val="000000"/>
      <w:sz w:val="24"/>
      <w:szCs w:val="24"/>
      <w:u w:color="000000"/>
      <w:bdr w:val="nil"/>
    </w:rPr>
  </w:style>
  <w:style w:type="numbering" w:customStyle="1" w:styleId="ImportierterStil8">
    <w:name w:val="Importierter Stil: 8"/>
    <w:pPr>
      <w:numPr>
        <w:numId w:val="46"/>
      </w:numPr>
    </w:pPr>
  </w:style>
  <w:style w:type="numbering" w:customStyle="1" w:styleId="ImportierterStil9">
    <w:name w:val="Importierter Stil: 9"/>
    <w:pPr>
      <w:numPr>
        <w:numId w:val="47"/>
      </w:numPr>
    </w:pPr>
  </w:style>
  <w:style w:type="numbering" w:customStyle="1" w:styleId="ImportierterStil10">
    <w:name w:val="Importierter Stil: 10"/>
    <w:pPr>
      <w:numPr>
        <w:numId w:val="49"/>
      </w:numPr>
    </w:pPr>
  </w:style>
  <w:style w:type="paragraph" w:styleId="BalloonText">
    <w:name w:val="Balloon Text"/>
    <w:basedOn w:val="Normal"/>
    <w:link w:val="BalloonTextChar"/>
    <w:uiPriority w:val="99"/>
    <w:semiHidden/>
    <w:unhideWhenUsed/>
    <w:pPr>
      <w:pBdr>
        <w:top w:val="nil"/>
        <w:left w:val="nil"/>
        <w:bottom w:val="nil"/>
        <w:right w:val="nil"/>
        <w:between w:val="nil"/>
        <w:bar w:val="nil"/>
      </w:pBdr>
      <w:spacing w:before="0" w:after="0"/>
      <w:jc w:val="left"/>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Pr>
      <w:rFonts w:ascii="Tahoma" w:eastAsia="Arial Unicode MS" w:hAnsi="Tahoma" w:cs="Tahoma"/>
      <w:sz w:val="16"/>
      <w:szCs w:val="16"/>
      <w:bdr w:val="ni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spacing w:before="0" w:after="0"/>
      <w:jc w:val="left"/>
    </w:pPr>
    <w:rPr>
      <w:rFonts w:eastAsia="Arial Unicode MS"/>
      <w:sz w:val="20"/>
      <w:szCs w:val="20"/>
      <w:bdr w:val="nil"/>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53"/>
      </w:numPr>
      <w:contextualSpacing/>
    </w:pPr>
  </w:style>
  <w:style w:type="paragraph" w:styleId="ListBullet3">
    <w:name w:val="List Bullet 3"/>
    <w:basedOn w:val="Normal"/>
    <w:uiPriority w:val="99"/>
    <w:semiHidden/>
    <w:unhideWhenUsed/>
    <w:pPr>
      <w:numPr>
        <w:numId w:val="54"/>
      </w:numPr>
      <w:contextualSpacing/>
    </w:pPr>
  </w:style>
  <w:style w:type="paragraph" w:styleId="ListBullet4">
    <w:name w:val="List Bullet 4"/>
    <w:basedOn w:val="Normal"/>
    <w:uiPriority w:val="99"/>
    <w:semiHidden/>
    <w:unhideWhenUsed/>
    <w:pPr>
      <w:numPr>
        <w:numId w:val="55"/>
      </w:numPr>
      <w:contextualSpacing/>
    </w:pPr>
  </w:style>
  <w:style w:type="paragraph" w:styleId="ListNumber2">
    <w:name w:val="List Number 2"/>
    <w:basedOn w:val="Normal"/>
    <w:uiPriority w:val="99"/>
    <w:semiHidden/>
    <w:unhideWhenUsed/>
    <w:pPr>
      <w:numPr>
        <w:numId w:val="56"/>
      </w:numPr>
      <w:contextualSpacing/>
    </w:pPr>
  </w:style>
  <w:style w:type="paragraph" w:styleId="ListNumber3">
    <w:name w:val="List Number 3"/>
    <w:basedOn w:val="Normal"/>
    <w:uiPriority w:val="99"/>
    <w:semiHidden/>
    <w:unhideWhenUsed/>
    <w:pPr>
      <w:numPr>
        <w:numId w:val="57"/>
      </w:numPr>
      <w:contextualSpacing/>
    </w:pPr>
  </w:style>
  <w:style w:type="paragraph" w:styleId="ListNumber4">
    <w:name w:val="List Number 4"/>
    <w:basedOn w:val="Normal"/>
    <w:uiPriority w:val="99"/>
    <w:semiHidden/>
    <w:unhideWhenUsed/>
    <w:pPr>
      <w:numPr>
        <w:numId w:val="58"/>
      </w:numPr>
      <w:contextualSpacing/>
    </w:pPr>
  </w:style>
  <w:style w:type="paragraph" w:styleId="NormalIndent">
    <w:name w:val="Normal Indent"/>
    <w:basedOn w:val="Normal"/>
    <w:uiPriority w:val="99"/>
    <w:unhideWhenUsed/>
    <w:pPr>
      <w:ind w:left="720"/>
    </w:pPr>
  </w:style>
  <w:style w:type="paragraph" w:customStyle="1" w:styleId="Noraml">
    <w:name w:val="Noraml"/>
    <w:basedOn w:val="Text"/>
    <w:rPr>
      <w:rFonts w:eastAsia="Arial Unicode MS"/>
      <w:color w:val="auto"/>
      <w:sz w:val="2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1"/>
      </w:numPr>
    </w:pPr>
  </w:style>
  <w:style w:type="paragraph" w:customStyle="1" w:styleId="Tiret1">
    <w:name w:val="Tiret 1"/>
    <w:basedOn w:val="Point1"/>
    <w:pPr>
      <w:numPr>
        <w:numId w:val="62"/>
      </w:numPr>
    </w:pPr>
  </w:style>
  <w:style w:type="paragraph" w:customStyle="1" w:styleId="Tiret2">
    <w:name w:val="Tiret 2"/>
    <w:basedOn w:val="Point2"/>
    <w:pPr>
      <w:numPr>
        <w:numId w:val="63"/>
      </w:numPr>
    </w:pPr>
  </w:style>
  <w:style w:type="paragraph" w:customStyle="1" w:styleId="Tiret3">
    <w:name w:val="Tiret 3"/>
    <w:basedOn w:val="Point3"/>
    <w:pPr>
      <w:numPr>
        <w:numId w:val="64"/>
      </w:numPr>
    </w:pPr>
  </w:style>
  <w:style w:type="paragraph" w:customStyle="1" w:styleId="Tiret4">
    <w:name w:val="Tiret 4"/>
    <w:basedOn w:val="Point4"/>
    <w:pPr>
      <w:numPr>
        <w:numId w:val="6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6"/>
      </w:numPr>
    </w:pPr>
  </w:style>
  <w:style w:type="paragraph" w:customStyle="1" w:styleId="NumPar2">
    <w:name w:val="NumPar 2"/>
    <w:basedOn w:val="Normal"/>
    <w:next w:val="Text1"/>
    <w:pPr>
      <w:numPr>
        <w:ilvl w:val="1"/>
        <w:numId w:val="66"/>
      </w:numPr>
    </w:pPr>
  </w:style>
  <w:style w:type="paragraph" w:customStyle="1" w:styleId="NumPar3">
    <w:name w:val="NumPar 3"/>
    <w:basedOn w:val="Normal"/>
    <w:next w:val="Text1"/>
    <w:pPr>
      <w:numPr>
        <w:ilvl w:val="2"/>
        <w:numId w:val="66"/>
      </w:numPr>
    </w:pPr>
  </w:style>
  <w:style w:type="paragraph" w:customStyle="1" w:styleId="NumPar4">
    <w:name w:val="NumPar 4"/>
    <w:basedOn w:val="Normal"/>
    <w:next w:val="Text1"/>
    <w:pPr>
      <w:numPr>
        <w:ilvl w:val="3"/>
        <w:numId w:val="6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8"/>
      </w:numPr>
    </w:pPr>
  </w:style>
  <w:style w:type="paragraph" w:customStyle="1" w:styleId="Point1number">
    <w:name w:val="Point 1 (number)"/>
    <w:basedOn w:val="Normal"/>
    <w:pPr>
      <w:numPr>
        <w:ilvl w:val="2"/>
        <w:numId w:val="68"/>
      </w:numPr>
    </w:pPr>
  </w:style>
  <w:style w:type="paragraph" w:customStyle="1" w:styleId="Point2number">
    <w:name w:val="Point 2 (number)"/>
    <w:basedOn w:val="Normal"/>
    <w:pPr>
      <w:numPr>
        <w:ilvl w:val="4"/>
        <w:numId w:val="68"/>
      </w:numPr>
    </w:pPr>
  </w:style>
  <w:style w:type="paragraph" w:customStyle="1" w:styleId="Point3number">
    <w:name w:val="Point 3 (number)"/>
    <w:basedOn w:val="Normal"/>
    <w:pPr>
      <w:numPr>
        <w:ilvl w:val="6"/>
        <w:numId w:val="68"/>
      </w:numPr>
    </w:pPr>
  </w:style>
  <w:style w:type="paragraph" w:customStyle="1" w:styleId="Point0letter">
    <w:name w:val="Point 0 (letter)"/>
    <w:basedOn w:val="Normal"/>
    <w:pPr>
      <w:numPr>
        <w:ilvl w:val="1"/>
        <w:numId w:val="68"/>
      </w:numPr>
    </w:pPr>
  </w:style>
  <w:style w:type="paragraph" w:customStyle="1" w:styleId="Point1letter">
    <w:name w:val="Point 1 (letter)"/>
    <w:basedOn w:val="Normal"/>
    <w:pPr>
      <w:numPr>
        <w:ilvl w:val="3"/>
        <w:numId w:val="68"/>
      </w:numPr>
    </w:pPr>
  </w:style>
  <w:style w:type="paragraph" w:customStyle="1" w:styleId="Point2letter">
    <w:name w:val="Point 2 (letter)"/>
    <w:basedOn w:val="Normal"/>
    <w:pPr>
      <w:numPr>
        <w:ilvl w:val="5"/>
        <w:numId w:val="68"/>
      </w:numPr>
    </w:pPr>
  </w:style>
  <w:style w:type="paragraph" w:customStyle="1" w:styleId="Point3letter">
    <w:name w:val="Point 3 (letter)"/>
    <w:basedOn w:val="Normal"/>
    <w:pPr>
      <w:numPr>
        <w:ilvl w:val="7"/>
        <w:numId w:val="68"/>
      </w:numPr>
    </w:pPr>
  </w:style>
  <w:style w:type="paragraph" w:customStyle="1" w:styleId="Point4letter">
    <w:name w:val="Point 4 (letter)"/>
    <w:basedOn w:val="Normal"/>
    <w:pPr>
      <w:numPr>
        <w:ilvl w:val="8"/>
        <w:numId w:val="68"/>
      </w:numPr>
    </w:pPr>
  </w:style>
  <w:style w:type="paragraph" w:customStyle="1" w:styleId="Bullet0">
    <w:name w:val="Bullet 0"/>
    <w:basedOn w:val="Normal"/>
    <w:pPr>
      <w:numPr>
        <w:numId w:val="69"/>
      </w:numPr>
    </w:pPr>
  </w:style>
  <w:style w:type="paragraph" w:customStyle="1" w:styleId="Bullet1">
    <w:name w:val="Bullet 1"/>
    <w:basedOn w:val="Normal"/>
    <w:pPr>
      <w:numPr>
        <w:numId w:val="70"/>
      </w:numPr>
    </w:pPr>
  </w:style>
  <w:style w:type="paragraph" w:customStyle="1" w:styleId="Bullet2">
    <w:name w:val="Bullet 2"/>
    <w:basedOn w:val="Normal"/>
    <w:pPr>
      <w:numPr>
        <w:numId w:val="71"/>
      </w:numPr>
    </w:pPr>
  </w:style>
  <w:style w:type="paragraph" w:customStyle="1" w:styleId="Bullet3">
    <w:name w:val="Bullet 3"/>
    <w:basedOn w:val="Normal"/>
    <w:pPr>
      <w:numPr>
        <w:numId w:val="72"/>
      </w:numPr>
    </w:pPr>
  </w:style>
  <w:style w:type="paragraph" w:customStyle="1" w:styleId="Bullet4">
    <w:name w:val="Bullet 4"/>
    <w:basedOn w:val="Normal"/>
    <w:pPr>
      <w:numPr>
        <w:numId w:val="7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6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customStyle="1" w:styleId="Kopf-undFuzeilen">
    <w:name w:val="Kopf- und Fußzeilen"/>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Text">
    <w:name w:val="Text"/>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character" w:customStyle="1" w:styleId="Hyperlink0">
    <w:name w:val="Hyperlink.0"/>
    <w:basedOn w:val="Hyperlink"/>
    <w:rPr>
      <w:color w:val="0000FF"/>
      <w:u w:val="single" w:color="0000FF"/>
    </w:rPr>
  </w:style>
  <w:style w:type="numbering" w:customStyle="1" w:styleId="ImportierterStil2">
    <w:name w:val="Importierter Stil: 2"/>
    <w:pPr>
      <w:numPr>
        <w:numId w:val="6"/>
      </w:numPr>
    </w:pPr>
  </w:style>
  <w:style w:type="numbering" w:customStyle="1" w:styleId="ImportierterStil3">
    <w:name w:val="Importierter Stil: 3"/>
    <w:pPr>
      <w:numPr>
        <w:numId w:val="7"/>
      </w:numPr>
    </w:pPr>
  </w:style>
  <w:style w:type="numbering" w:customStyle="1" w:styleId="ImportierterStil4">
    <w:name w:val="Importierter Stil: 4"/>
    <w:pPr>
      <w:numPr>
        <w:numId w:val="8"/>
      </w:numPr>
    </w:pPr>
  </w:style>
  <w:style w:type="paragraph" w:customStyle="1" w:styleId="TitrearticleA">
    <w:name w:val="Titre article A"/>
    <w:next w:val="Text"/>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rPr>
  </w:style>
  <w:style w:type="numbering" w:customStyle="1" w:styleId="ImportierterStil5">
    <w:name w:val="Importierter Stil: 5"/>
    <w:pPr>
      <w:numPr>
        <w:numId w:val="10"/>
      </w:numPr>
    </w:pPr>
  </w:style>
  <w:style w:type="numbering" w:customStyle="1" w:styleId="ImportierterStil6">
    <w:name w:val="Importierter Stil: 6"/>
    <w:pPr>
      <w:numPr>
        <w:numId w:val="12"/>
      </w:numPr>
    </w:pPr>
  </w:style>
  <w:style w:type="numbering" w:customStyle="1" w:styleId="ImportierterStil7">
    <w:name w:val="Importierter Stil: 7"/>
    <w:pPr>
      <w:numPr>
        <w:numId w:val="26"/>
      </w:numPr>
    </w:pPr>
  </w:style>
  <w:style w:type="paragraph" w:customStyle="1" w:styleId="TitrearticleB">
    <w:name w:val="Titre article B"/>
    <w:next w:val="Text"/>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rPr>
  </w:style>
  <w:style w:type="paragraph" w:customStyle="1" w:styleId="TitrearticleC">
    <w:name w:val="Titre article C"/>
    <w:next w:val="Text"/>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rPr>
  </w:style>
  <w:style w:type="paragraph" w:customStyle="1" w:styleId="TitrearticleD">
    <w:name w:val="Titre article D"/>
    <w:next w:val="Text"/>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rPr>
  </w:style>
  <w:style w:type="paragraph" w:customStyle="1" w:styleId="berschrift">
    <w:name w:val="Überschrift"/>
    <w:next w:val="Text1"/>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rPr>
  </w:style>
  <w:style w:type="numbering" w:customStyle="1" w:styleId="ImportierterStil1">
    <w:name w:val="Importierter Stil: 1"/>
    <w:pPr>
      <w:numPr>
        <w:numId w:val="44"/>
      </w:numPr>
    </w:pPr>
  </w:style>
  <w:style w:type="paragraph" w:customStyle="1" w:styleId="berschrift2">
    <w:name w:val="Überschrift 2"/>
    <w:next w:val="Text1"/>
    <w:pPr>
      <w:keepNext/>
      <w:pBdr>
        <w:top w:val="nil"/>
        <w:left w:val="nil"/>
        <w:bottom w:val="nil"/>
        <w:right w:val="nil"/>
        <w:between w:val="nil"/>
        <w:bar w:val="nil"/>
      </w:pBdr>
      <w:tabs>
        <w:tab w:val="left" w:pos="850"/>
      </w:tabs>
      <w:spacing w:before="120" w:after="120" w:line="240" w:lineRule="auto"/>
      <w:jc w:val="both"/>
      <w:outlineLvl w:val="1"/>
    </w:pPr>
    <w:rPr>
      <w:rFonts w:ascii="Times New Roman" w:eastAsia="Arial Unicode MS" w:hAnsi="Times New Roman" w:cs="Arial Unicode MS"/>
      <w:b/>
      <w:bCs/>
      <w:color w:val="000000"/>
      <w:sz w:val="24"/>
      <w:szCs w:val="24"/>
      <w:u w:color="000000"/>
      <w:bdr w:val="nil"/>
    </w:rPr>
  </w:style>
  <w:style w:type="paragraph" w:customStyle="1" w:styleId="berschrift3">
    <w:name w:val="Überschrift 3"/>
    <w:next w:val="Text1"/>
    <w:pPr>
      <w:keepNext/>
      <w:pBdr>
        <w:top w:val="nil"/>
        <w:left w:val="nil"/>
        <w:bottom w:val="nil"/>
        <w:right w:val="nil"/>
        <w:between w:val="nil"/>
        <w:bar w:val="nil"/>
      </w:pBdr>
      <w:tabs>
        <w:tab w:val="left" w:pos="850"/>
      </w:tabs>
      <w:spacing w:before="120" w:after="120" w:line="240" w:lineRule="auto"/>
      <w:jc w:val="both"/>
      <w:outlineLvl w:val="2"/>
    </w:pPr>
    <w:rPr>
      <w:rFonts w:ascii="Times New Roman" w:eastAsia="Arial Unicode MS" w:hAnsi="Times New Roman" w:cs="Arial Unicode MS"/>
      <w:i/>
      <w:iCs/>
      <w:color w:val="000000"/>
      <w:sz w:val="24"/>
      <w:szCs w:val="24"/>
      <w:u w:color="000000"/>
      <w:bdr w:val="nil"/>
    </w:rPr>
  </w:style>
  <w:style w:type="numbering" w:customStyle="1" w:styleId="ImportierterStil8">
    <w:name w:val="Importierter Stil: 8"/>
    <w:pPr>
      <w:numPr>
        <w:numId w:val="46"/>
      </w:numPr>
    </w:pPr>
  </w:style>
  <w:style w:type="numbering" w:customStyle="1" w:styleId="ImportierterStil9">
    <w:name w:val="Importierter Stil: 9"/>
    <w:pPr>
      <w:numPr>
        <w:numId w:val="47"/>
      </w:numPr>
    </w:pPr>
  </w:style>
  <w:style w:type="numbering" w:customStyle="1" w:styleId="ImportierterStil10">
    <w:name w:val="Importierter Stil: 10"/>
    <w:pPr>
      <w:numPr>
        <w:numId w:val="49"/>
      </w:numPr>
    </w:pPr>
  </w:style>
  <w:style w:type="paragraph" w:styleId="BalloonText">
    <w:name w:val="Balloon Text"/>
    <w:basedOn w:val="Normal"/>
    <w:link w:val="BalloonTextChar"/>
    <w:uiPriority w:val="99"/>
    <w:semiHidden/>
    <w:unhideWhenUsed/>
    <w:pPr>
      <w:pBdr>
        <w:top w:val="nil"/>
        <w:left w:val="nil"/>
        <w:bottom w:val="nil"/>
        <w:right w:val="nil"/>
        <w:between w:val="nil"/>
        <w:bar w:val="nil"/>
      </w:pBdr>
      <w:spacing w:before="0" w:after="0"/>
      <w:jc w:val="left"/>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Pr>
      <w:rFonts w:ascii="Tahoma" w:eastAsia="Arial Unicode MS" w:hAnsi="Tahoma" w:cs="Tahoma"/>
      <w:sz w:val="16"/>
      <w:szCs w:val="16"/>
      <w:bdr w:val="ni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spacing w:before="0" w:after="0"/>
      <w:jc w:val="left"/>
    </w:pPr>
    <w:rPr>
      <w:rFonts w:eastAsia="Arial Unicode MS"/>
      <w:sz w:val="20"/>
      <w:szCs w:val="20"/>
      <w:bdr w:val="nil"/>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53"/>
      </w:numPr>
      <w:contextualSpacing/>
    </w:pPr>
  </w:style>
  <w:style w:type="paragraph" w:styleId="ListBullet3">
    <w:name w:val="List Bullet 3"/>
    <w:basedOn w:val="Normal"/>
    <w:uiPriority w:val="99"/>
    <w:semiHidden/>
    <w:unhideWhenUsed/>
    <w:pPr>
      <w:numPr>
        <w:numId w:val="54"/>
      </w:numPr>
      <w:contextualSpacing/>
    </w:pPr>
  </w:style>
  <w:style w:type="paragraph" w:styleId="ListBullet4">
    <w:name w:val="List Bullet 4"/>
    <w:basedOn w:val="Normal"/>
    <w:uiPriority w:val="99"/>
    <w:semiHidden/>
    <w:unhideWhenUsed/>
    <w:pPr>
      <w:numPr>
        <w:numId w:val="55"/>
      </w:numPr>
      <w:contextualSpacing/>
    </w:pPr>
  </w:style>
  <w:style w:type="paragraph" w:styleId="ListNumber2">
    <w:name w:val="List Number 2"/>
    <w:basedOn w:val="Normal"/>
    <w:uiPriority w:val="99"/>
    <w:semiHidden/>
    <w:unhideWhenUsed/>
    <w:pPr>
      <w:numPr>
        <w:numId w:val="56"/>
      </w:numPr>
      <w:contextualSpacing/>
    </w:pPr>
  </w:style>
  <w:style w:type="paragraph" w:styleId="ListNumber3">
    <w:name w:val="List Number 3"/>
    <w:basedOn w:val="Normal"/>
    <w:uiPriority w:val="99"/>
    <w:semiHidden/>
    <w:unhideWhenUsed/>
    <w:pPr>
      <w:numPr>
        <w:numId w:val="57"/>
      </w:numPr>
      <w:contextualSpacing/>
    </w:pPr>
  </w:style>
  <w:style w:type="paragraph" w:styleId="ListNumber4">
    <w:name w:val="List Number 4"/>
    <w:basedOn w:val="Normal"/>
    <w:uiPriority w:val="99"/>
    <w:semiHidden/>
    <w:unhideWhenUsed/>
    <w:pPr>
      <w:numPr>
        <w:numId w:val="58"/>
      </w:numPr>
      <w:contextualSpacing/>
    </w:pPr>
  </w:style>
  <w:style w:type="paragraph" w:styleId="NormalIndent">
    <w:name w:val="Normal Indent"/>
    <w:basedOn w:val="Normal"/>
    <w:uiPriority w:val="99"/>
    <w:unhideWhenUsed/>
    <w:pPr>
      <w:ind w:left="720"/>
    </w:pPr>
  </w:style>
  <w:style w:type="paragraph" w:customStyle="1" w:styleId="Noraml">
    <w:name w:val="Noraml"/>
    <w:basedOn w:val="Text"/>
    <w:rPr>
      <w:rFonts w:eastAsia="Arial Unicode MS"/>
      <w:color w:val="auto"/>
      <w:sz w:val="2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1"/>
      </w:numPr>
    </w:pPr>
  </w:style>
  <w:style w:type="paragraph" w:customStyle="1" w:styleId="Tiret1">
    <w:name w:val="Tiret 1"/>
    <w:basedOn w:val="Point1"/>
    <w:pPr>
      <w:numPr>
        <w:numId w:val="62"/>
      </w:numPr>
    </w:pPr>
  </w:style>
  <w:style w:type="paragraph" w:customStyle="1" w:styleId="Tiret2">
    <w:name w:val="Tiret 2"/>
    <w:basedOn w:val="Point2"/>
    <w:pPr>
      <w:numPr>
        <w:numId w:val="63"/>
      </w:numPr>
    </w:pPr>
  </w:style>
  <w:style w:type="paragraph" w:customStyle="1" w:styleId="Tiret3">
    <w:name w:val="Tiret 3"/>
    <w:basedOn w:val="Point3"/>
    <w:pPr>
      <w:numPr>
        <w:numId w:val="64"/>
      </w:numPr>
    </w:pPr>
  </w:style>
  <w:style w:type="paragraph" w:customStyle="1" w:styleId="Tiret4">
    <w:name w:val="Tiret 4"/>
    <w:basedOn w:val="Point4"/>
    <w:pPr>
      <w:numPr>
        <w:numId w:val="6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6"/>
      </w:numPr>
    </w:pPr>
  </w:style>
  <w:style w:type="paragraph" w:customStyle="1" w:styleId="NumPar2">
    <w:name w:val="NumPar 2"/>
    <w:basedOn w:val="Normal"/>
    <w:next w:val="Text1"/>
    <w:pPr>
      <w:numPr>
        <w:ilvl w:val="1"/>
        <w:numId w:val="66"/>
      </w:numPr>
    </w:pPr>
  </w:style>
  <w:style w:type="paragraph" w:customStyle="1" w:styleId="NumPar3">
    <w:name w:val="NumPar 3"/>
    <w:basedOn w:val="Normal"/>
    <w:next w:val="Text1"/>
    <w:pPr>
      <w:numPr>
        <w:ilvl w:val="2"/>
        <w:numId w:val="66"/>
      </w:numPr>
    </w:pPr>
  </w:style>
  <w:style w:type="paragraph" w:customStyle="1" w:styleId="NumPar4">
    <w:name w:val="NumPar 4"/>
    <w:basedOn w:val="Normal"/>
    <w:next w:val="Text1"/>
    <w:pPr>
      <w:numPr>
        <w:ilvl w:val="3"/>
        <w:numId w:val="6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8"/>
      </w:numPr>
    </w:pPr>
  </w:style>
  <w:style w:type="paragraph" w:customStyle="1" w:styleId="Point1number">
    <w:name w:val="Point 1 (number)"/>
    <w:basedOn w:val="Normal"/>
    <w:pPr>
      <w:numPr>
        <w:ilvl w:val="2"/>
        <w:numId w:val="68"/>
      </w:numPr>
    </w:pPr>
  </w:style>
  <w:style w:type="paragraph" w:customStyle="1" w:styleId="Point2number">
    <w:name w:val="Point 2 (number)"/>
    <w:basedOn w:val="Normal"/>
    <w:pPr>
      <w:numPr>
        <w:ilvl w:val="4"/>
        <w:numId w:val="68"/>
      </w:numPr>
    </w:pPr>
  </w:style>
  <w:style w:type="paragraph" w:customStyle="1" w:styleId="Point3number">
    <w:name w:val="Point 3 (number)"/>
    <w:basedOn w:val="Normal"/>
    <w:pPr>
      <w:numPr>
        <w:ilvl w:val="6"/>
        <w:numId w:val="68"/>
      </w:numPr>
    </w:pPr>
  </w:style>
  <w:style w:type="paragraph" w:customStyle="1" w:styleId="Point0letter">
    <w:name w:val="Point 0 (letter)"/>
    <w:basedOn w:val="Normal"/>
    <w:pPr>
      <w:numPr>
        <w:ilvl w:val="1"/>
        <w:numId w:val="68"/>
      </w:numPr>
    </w:pPr>
  </w:style>
  <w:style w:type="paragraph" w:customStyle="1" w:styleId="Point1letter">
    <w:name w:val="Point 1 (letter)"/>
    <w:basedOn w:val="Normal"/>
    <w:pPr>
      <w:numPr>
        <w:ilvl w:val="3"/>
        <w:numId w:val="68"/>
      </w:numPr>
    </w:pPr>
  </w:style>
  <w:style w:type="paragraph" w:customStyle="1" w:styleId="Point2letter">
    <w:name w:val="Point 2 (letter)"/>
    <w:basedOn w:val="Normal"/>
    <w:pPr>
      <w:numPr>
        <w:ilvl w:val="5"/>
        <w:numId w:val="68"/>
      </w:numPr>
    </w:pPr>
  </w:style>
  <w:style w:type="paragraph" w:customStyle="1" w:styleId="Point3letter">
    <w:name w:val="Point 3 (letter)"/>
    <w:basedOn w:val="Normal"/>
    <w:pPr>
      <w:numPr>
        <w:ilvl w:val="7"/>
        <w:numId w:val="68"/>
      </w:numPr>
    </w:pPr>
  </w:style>
  <w:style w:type="paragraph" w:customStyle="1" w:styleId="Point4letter">
    <w:name w:val="Point 4 (letter)"/>
    <w:basedOn w:val="Normal"/>
    <w:pPr>
      <w:numPr>
        <w:ilvl w:val="8"/>
        <w:numId w:val="68"/>
      </w:numPr>
    </w:pPr>
  </w:style>
  <w:style w:type="paragraph" w:customStyle="1" w:styleId="Bullet0">
    <w:name w:val="Bullet 0"/>
    <w:basedOn w:val="Normal"/>
    <w:pPr>
      <w:numPr>
        <w:numId w:val="69"/>
      </w:numPr>
    </w:pPr>
  </w:style>
  <w:style w:type="paragraph" w:customStyle="1" w:styleId="Bullet1">
    <w:name w:val="Bullet 1"/>
    <w:basedOn w:val="Normal"/>
    <w:pPr>
      <w:numPr>
        <w:numId w:val="70"/>
      </w:numPr>
    </w:pPr>
  </w:style>
  <w:style w:type="paragraph" w:customStyle="1" w:styleId="Bullet2">
    <w:name w:val="Bullet 2"/>
    <w:basedOn w:val="Normal"/>
    <w:pPr>
      <w:numPr>
        <w:numId w:val="71"/>
      </w:numPr>
    </w:pPr>
  </w:style>
  <w:style w:type="paragraph" w:customStyle="1" w:styleId="Bullet3">
    <w:name w:val="Bullet 3"/>
    <w:basedOn w:val="Normal"/>
    <w:pPr>
      <w:numPr>
        <w:numId w:val="72"/>
      </w:numPr>
    </w:pPr>
  </w:style>
  <w:style w:type="paragraph" w:customStyle="1" w:styleId="Bullet4">
    <w:name w:val="Bullet 4"/>
    <w:basedOn w:val="Normal"/>
    <w:pPr>
      <w:numPr>
        <w:numId w:val="7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myintracomm.ec.europa.eu/budgweb/EN/bud/mff/Pages/mff-post-2020.aspx" TargetMode="Externa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s://ec.europa.eu/programmes/erasmus-plus/resources/documents.evaluations_bg" TargetMode="External"/><Relationship Id="rId1" Type="http://schemas.openxmlformats.org/officeDocument/2006/relationships/hyperlink" Target="http://www.consilium.europa.eu/en/press/press-releases/2017/03/25-rome-decla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1A58A-ECE8-4C17-B7BC-B8B1A13E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54</Pages>
  <Words>19096</Words>
  <Characters>114006</Characters>
  <Application>Microsoft Office Word</Application>
  <DocSecurity>0</DocSecurity>
  <Lines>2478</Lines>
  <Paragraphs>1090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2018-05-31T17:53:00Z</cp:lastPrinted>
  <dcterms:created xsi:type="dcterms:W3CDTF">2018-06-12T15:13:00Z</dcterms:created>
  <dcterms:modified xsi:type="dcterms:W3CDTF">2018-06-14T07:27:00Z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