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04C532E-2E0E-488A-BBE3-69B0D2F1164E" style="width:450.75pt;height:396.75pt">
            <v:imagedata r:id="rId11" o:title=""/>
          </v:shape>
        </w:pict>
      </w:r>
    </w:p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1</w:t>
      </w:r>
    </w:p>
    <w:p>
      <w:pPr>
        <w:spacing w:before="0" w:after="200" w:line="276" w:lineRule="auto"/>
        <w:jc w:val="center"/>
        <w:rPr>
          <w:b/>
          <w:noProof/>
        </w:rPr>
      </w:pPr>
      <w:r>
        <w:rPr>
          <w:b/>
          <w:noProof/>
        </w:rPr>
        <w:t xml:space="preserve">Неизчерпателен списък на възможните форми на дейностите  </w:t>
      </w:r>
      <w:r>
        <w:rPr>
          <w:b/>
          <w:noProof/>
        </w:rPr>
        <w:br/>
        <w:t>по член 7, параграф 2, първата алинея, букви а), б) и г)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t xml:space="preserve">Дейностите по член 7, параграф 2, първата алинея, букви а), б) и г) може да бъдат под следните форми (но не само): </w:t>
      </w:r>
    </w:p>
    <w:p>
      <w:pPr>
        <w:pStyle w:val="NormalLeft"/>
        <w:rPr>
          <w:noProof/>
        </w:rPr>
      </w:pPr>
      <w:r>
        <w:rPr>
          <w:noProof/>
        </w:rPr>
        <w:t>а)</w:t>
      </w:r>
      <w:r>
        <w:rPr>
          <w:noProof/>
        </w:rPr>
        <w:tab/>
        <w:t>За срещите и подобните събития по конкретни поводи:</w:t>
      </w:r>
    </w:p>
    <w:p>
      <w:pPr>
        <w:pStyle w:val="Tiret1"/>
        <w:numPr>
          <w:ilvl w:val="0"/>
          <w:numId w:val="9"/>
        </w:numPr>
        <w:rPr>
          <w:noProof/>
        </w:rPr>
      </w:pPr>
      <w:r>
        <w:rPr>
          <w:noProof/>
        </w:rPr>
        <w:t>семинари и работилници, обичайно с участието на всички държави, по време на които се правят представяния и участниците осъществяват усилени обсъждания и дейности по определена тема;</w:t>
      </w:r>
    </w:p>
    <w:p>
      <w:pPr>
        <w:pStyle w:val="Tiret1"/>
        <w:rPr>
          <w:noProof/>
        </w:rPr>
      </w:pPr>
      <w:r>
        <w:rPr>
          <w:noProof/>
        </w:rPr>
        <w:t xml:space="preserve">работни посещения, организирани с цел да се даде възможност на служителите да придобият или повишат експертния опит или знанията си в областта на данъчната политика; </w:t>
      </w:r>
    </w:p>
    <w:p>
      <w:pPr>
        <w:pStyle w:val="Tiret1"/>
        <w:rPr>
          <w:noProof/>
        </w:rPr>
      </w:pPr>
      <w:r>
        <w:rPr>
          <w:noProof/>
        </w:rPr>
        <w:t xml:space="preserve">присъствие в административните служби и участие в административните разследвания; </w:t>
      </w:r>
    </w:p>
    <w:p>
      <w:pPr>
        <w:pStyle w:val="NormalLeft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За структурираното сътрудничество: </w:t>
      </w:r>
    </w:p>
    <w:p>
      <w:pPr>
        <w:pStyle w:val="Tiret1"/>
        <w:rPr>
          <w:noProof/>
        </w:rPr>
      </w:pPr>
      <w:r>
        <w:rPr>
          <w:noProof/>
        </w:rPr>
        <w:t xml:space="preserve">проектни групи, които обикновено са съставени от ограничен брой държави и действат в рамките на ограничен срок за постигането на предварително определена цел с точно определен резултат, включително съгласуване или сравнителен анализ; </w:t>
      </w:r>
    </w:p>
    <w:p>
      <w:pPr>
        <w:pStyle w:val="Tiret1"/>
        <w:rPr>
          <w:noProof/>
        </w:rPr>
      </w:pPr>
      <w:r>
        <w:rPr>
          <w:noProof/>
        </w:rPr>
        <w:t>работни групи, т.е. структурирани форми на сътрудничество, които са временни или постоянни и обединяват експертен опит за изпълнение на задачи в определени области или за извършване на оперативни дейности, евентуално с помощта на услуги за сътрудничество в режим „на линия“, административна помощ и инфраструктурни съоръжения и оборудване;</w:t>
      </w:r>
    </w:p>
    <w:p>
      <w:pPr>
        <w:pStyle w:val="Tiret1"/>
        <w:rPr>
          <w:noProof/>
        </w:rPr>
      </w:pPr>
      <w:r>
        <w:rPr>
          <w:noProof/>
        </w:rPr>
        <w:t>многостранни или паралелни проверки, състоящи се в съгласувано проверяване на данъчното положение на едно или повече свързани данъчно задължени лица, организирано от две или повече държави, сред които най-малко две държави членки, с общи или допълващи се интереси;</w:t>
      </w:r>
    </w:p>
    <w:p>
      <w:pPr>
        <w:pStyle w:val="Tiret1"/>
        <w:rPr>
          <w:noProof/>
        </w:rPr>
      </w:pPr>
      <w:r>
        <w:rPr>
          <w:noProof/>
        </w:rPr>
        <w:t xml:space="preserve">съвместни ревизии, състоящи се в съгласувано проверяване на данъчното положение на едно или повече свързани данъчно задължени лица от страна на един екип ревизиращи лица от две или повече държави, сред които най-малко две държави членки, с общи или допълващи се интереси; </w:t>
      </w:r>
    </w:p>
    <w:p>
      <w:pPr>
        <w:pStyle w:val="Tiret1"/>
        <w:rPr>
          <w:noProof/>
        </w:rPr>
      </w:pPr>
      <w:r>
        <w:rPr>
          <w:noProof/>
        </w:rPr>
        <w:t xml:space="preserve">всякаква друга форма на административно сътрудничество, установена с Директива 2011/16/ЕС, Регламент (ЕС) 904/2010, Регламент (ЕС) 389/2012 или Директива 2010/24/ЕС; </w:t>
      </w:r>
    </w:p>
    <w:p>
      <w:pPr>
        <w:pStyle w:val="NormalLeft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За дейностите по изграждане на компетентностите и способностите на служителите: </w:t>
      </w:r>
    </w:p>
    <w:p>
      <w:pPr>
        <w:pStyle w:val="Tiret1"/>
        <w:rPr>
          <w:noProof/>
        </w:rPr>
      </w:pPr>
      <w:r>
        <w:rPr>
          <w:noProof/>
        </w:rPr>
        <w:t>съвместно обучение или разработване на електронно обучение, с което да се подпомогнат необходимите професионални умения и знания по данъчните въпроси;</w:t>
      </w:r>
    </w:p>
    <w:p>
      <w:pPr>
        <w:pStyle w:val="Tiret1"/>
        <w:rPr>
          <w:noProof/>
        </w:rPr>
      </w:pPr>
      <w:r>
        <w:rPr>
          <w:noProof/>
        </w:rPr>
        <w:t xml:space="preserve">техническа помощ, предназначена за усъвършенстване на административните процедури, повишаване на административния </w:t>
      </w:r>
      <w:r>
        <w:rPr>
          <w:noProof/>
        </w:rPr>
        <w:lastRenderedPageBreak/>
        <w:t>капацитет и подобряване на работата и дейността на данъчните администрации чрез въвеждане и споделяне на добри практики.</w:t>
      </w:r>
    </w:p>
    <w:p>
      <w:pPr>
        <w:spacing w:before="0" w:after="200" w:line="276" w:lineRule="auto"/>
        <w:jc w:val="left"/>
        <w:rPr>
          <w:b/>
          <w:noProof/>
          <w:u w:val="single"/>
        </w:rPr>
      </w:pPr>
      <w:r>
        <w:rPr>
          <w:noProof/>
        </w:rPr>
        <w:br w:type="page"/>
      </w:r>
    </w:p>
    <w:p>
      <w:pPr>
        <w:pStyle w:val="Annexetitre"/>
        <w:rPr>
          <w:noProof/>
        </w:rPr>
      </w:pPr>
      <w:r>
        <w:rPr>
          <w:noProof/>
        </w:rPr>
        <w:lastRenderedPageBreak/>
        <w:t>ПРИЛОЖЕНИЕ 2</w:t>
      </w:r>
    </w:p>
    <w:p>
      <w:pPr>
        <w:spacing w:before="0" w:after="200" w:line="276" w:lineRule="auto"/>
        <w:jc w:val="center"/>
        <w:rPr>
          <w:b/>
          <w:noProof/>
        </w:rPr>
      </w:pPr>
      <w:r>
        <w:rPr>
          <w:b/>
          <w:noProof/>
        </w:rPr>
        <w:t xml:space="preserve">Показатели </w:t>
      </w: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t>Конкретна цел:  подпомагане на данъчната политика, данъчното сътрудничество и изграждането на административния капацитет, в т.ч. компетентностите на служителите и разработването и експлоатацията на европейските електронни системи.</w:t>
      </w:r>
    </w:p>
    <w:p>
      <w:pPr>
        <w:spacing w:before="0" w:after="200" w:line="276" w:lineRule="auto"/>
        <w:jc w:val="left"/>
        <w:rPr>
          <w:b/>
          <w:bCs/>
          <w:noProof/>
          <w:u w:val="single"/>
        </w:rPr>
      </w:pPr>
      <w:r>
        <w:rPr>
          <w:b/>
          <w:noProof/>
          <w:u w:val="single"/>
        </w:rPr>
        <w:t>1. Изграждане на административния капацитет, способностите на служителите и ИТ капацитета:</w:t>
      </w:r>
    </w:p>
    <w:p>
      <w:pPr>
        <w:pStyle w:val="NumPar1"/>
        <w:numPr>
          <w:ilvl w:val="0"/>
          <w:numId w:val="11"/>
        </w:numPr>
        <w:rPr>
          <w:noProof/>
        </w:rPr>
      </w:pPr>
      <w:r>
        <w:rPr>
          <w:noProof/>
        </w:rPr>
        <w:t>Индекс на прилагането и изпълнението на правото и политиката на Съюза (брой на дейностите по Програмата, организирани в тази област, и препоръки, издадени вследствие на тези дейности)</w:t>
      </w:r>
    </w:p>
    <w:p>
      <w:pPr>
        <w:pStyle w:val="NumPar1"/>
        <w:rPr>
          <w:noProof/>
        </w:rPr>
      </w:pPr>
      <w:r>
        <w:rPr>
          <w:noProof/>
        </w:rPr>
        <w:t>Индекс на обучението (използвани модули за обучение; брой на служителите, преминали обучение; качествена оценка от участниците)</w:t>
      </w:r>
    </w:p>
    <w:p>
      <w:pPr>
        <w:pStyle w:val="NumPar1"/>
        <w:rPr>
          <w:noProof/>
        </w:rPr>
      </w:pPr>
      <w:r>
        <w:rPr>
          <w:noProof/>
        </w:rPr>
        <w:t>Разполагаемост на европейските електронни системи (като процент от времето)</w:t>
      </w:r>
    </w:p>
    <w:p>
      <w:pPr>
        <w:pStyle w:val="NumPar1"/>
        <w:rPr>
          <w:noProof/>
        </w:rPr>
      </w:pPr>
      <w:r>
        <w:rPr>
          <w:noProof/>
        </w:rPr>
        <w:t>Разполагаемост на общата комуникационна мрежа CCN (като процент от времето)</w:t>
      </w:r>
    </w:p>
    <w:p>
      <w:pPr>
        <w:pStyle w:val="NumPar1"/>
        <w:rPr>
          <w:noProof/>
        </w:rPr>
      </w:pPr>
      <w:r>
        <w:rPr>
          <w:noProof/>
        </w:rPr>
        <w:t>Опростени ИТ процедури за националните администрации и икономическите оператори (брой на регистрираните икономически оператори, брой на заявленията и брой на справките в различните електронни системи, финансирани по Програмата)</w:t>
      </w:r>
    </w:p>
    <w:p>
      <w:pPr>
        <w:spacing w:before="0" w:after="200" w:line="276" w:lineRule="auto"/>
        <w:jc w:val="left"/>
        <w:rPr>
          <w:b/>
          <w:bCs/>
          <w:noProof/>
          <w:u w:val="single"/>
        </w:rPr>
      </w:pPr>
      <w:r>
        <w:rPr>
          <w:b/>
          <w:noProof/>
          <w:u w:val="single"/>
        </w:rPr>
        <w:t>2. Споделяне на знания и създаване на работни връзки:</w:t>
      </w:r>
    </w:p>
    <w:p>
      <w:pPr>
        <w:pStyle w:val="NumPar1"/>
        <w:numPr>
          <w:ilvl w:val="0"/>
          <w:numId w:val="10"/>
        </w:numPr>
        <w:rPr>
          <w:noProof/>
        </w:rPr>
      </w:pPr>
      <w:r>
        <w:rPr>
          <w:noProof/>
        </w:rPr>
        <w:t>Индекс на надеждността на сътрудничеството (равнище на създадените работни връзки, брой на личните срещи, брой на групите за сътрудничество в режим „на линия“)</w:t>
      </w:r>
    </w:p>
    <w:p>
      <w:pPr>
        <w:pStyle w:val="NumPar1"/>
        <w:rPr>
          <w:noProof/>
        </w:rPr>
      </w:pPr>
      <w:r>
        <w:rPr>
          <w:noProof/>
        </w:rPr>
        <w:t>Индекс на най-добрите практики и указанията (брой на дейностите по Програмата, организирани в тази област; процент на данъчните администрации, които са се възползвали от работна практика или указание, установени с подкрепата на Програмата)</w:t>
      </w:r>
    </w:p>
    <w:sectPr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2864A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B3CF1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8D4E90C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57070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50EA91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D2C9A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386C3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12A18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2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MPAEY Marie-Paule (TAXUD)">
    <w15:presenceInfo w15:providerId="None" w15:userId="MAMPAEY Marie-Paule (TAXUD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4 09:34:4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 \u1055?\u1088?\u1077?\u1076?\u1083?\u1086?\u1078?\u1077?\u1085?\u1080?\u1077?\u1090?\u1086? \u1079?\u1072?"/>
    <w:docVar w:name="LW_ACCOMPAGNANT.CP" w:val="\u1082?\u1098?\u1084? \u1055?\u1088?\u1077?\u1076?\u1083?\u1086?\u1078?\u1077?\u1085?\u1080?\u1077?\u1090?\u1086? \u1079?\u1072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404C532E-2E0E-488A-BBE3-69B0D2F1164E"/>
    <w:docVar w:name="LW_COVERPAGE_TYPE" w:val="1"/>
    <w:docVar w:name="LW_CROSSREFERENCE" w:val="{SWD(2018) 323 final}_x000b_{SWD(2018) 324 final}"/>
    <w:docVar w:name="LW_DocType" w:val="ANNEX"/>
    <w:docVar w:name="LW_EMISSION" w:val="8.6.2018"/>
    <w:docVar w:name="LW_EMISSION_ISODATE" w:val="2018-06-08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 \u1085?\u1072? \u1087?\u1088?\u1086?\u1075?\u1088?\u1072?\u1084?\u1072? \u8222?\u1060?\u1080?\u1089?\u1082?\u1072?\u1083?\u1080?\u1089?\u8220? \u1079?\u1072? \u1089?\u1098?\u1090?\u1088?\u1091?\u1076?\u1085?\u1080?\u1095?\u1077?\u1089?\u1090?\u1074?\u1086? \u1074? \u1086?\u1073?\u1083?\u1072?\u1089?\u1090?\u1090?\u1072? \u1085?\u1072? \u1076?\u1072?\u1085?\u1098?\u1095?\u1085?\u1086?\u1090?\u1086? \u1086?\u1073?\u1083?\u1072?\u1075?\u1072?\u1085?\u1077?"/>
    <w:docVar w:name="LW_OBJETACTEPRINCIPAL.CP" w:val="\u1079?\u1072? \u1089?\u1098?\u1079?\u1076?\u1072?\u1074?\u1072?\u1085?\u1077? \u1085?\u1072? \u1087?\u1088?\u1086?\u1075?\u1088?\u1072?\u1084?\u1072? \u8222?\u1060?\u1080?\u1089?\u1082?\u1072?\u1083?\u1080?\u1089?\u8220? \u1079?\u1072? \u1089?\u1098?\u1090?\u1088?\u1091?\u1076?\u1085?\u1080?\u1095?\u1077?\u1089?\u1090?\u1074?\u1086? \u1074? \u1086?\u1073?\u1083?\u1072?\u1089?\u1090?\u1090?\u1072? \u1085?\u1072? \u1076?\u1072?\u1085?\u1098?\u1095?\u1085?\u1086?\u1090?\u1086? \u1086?\u1073?\u1083?\u1072?\u1075?\u1072?\u1085?\u1077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44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aliases w:val="2,1st level - Bullet List Paragraph,List Paragraph1,Lettre d'introduction,Paragrafo elenco,Medium Grid 1 - Accent 21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2 Char,1st level - Bullet List Paragraph Char,List Paragraph1 Char,Lettre d'introduction Char,Paragrafo elenco Char,Medium Grid 1 - Accent 21 Char"/>
    <w:link w:val="ListParagraph"/>
    <w:uiPriority w:val="34"/>
    <w:locked/>
    <w:rPr>
      <w:rFonts w:ascii="Times New Roman" w:hAnsi="Times New Roman" w:cs="Times New Roman"/>
      <w:sz w:val="24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ListParagraph">
    <w:name w:val="List Paragraph"/>
    <w:aliases w:val="2,1st level - Bullet List Paragraph,List Paragraph1,Lettre d'introduction,Paragrafo elenco,Medium Grid 1 - Accent 21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2 Char,1st level - Bullet List Paragraph Char,List Paragraph1 Char,Lettre d'introduction Char,Paragrafo elenco Char,Medium Grid 1 - Accent 21 Char"/>
    <w:link w:val="ListParagraph"/>
    <w:uiPriority w:val="34"/>
    <w:locked/>
    <w:rPr>
      <w:rFonts w:ascii="Times New Roman" w:hAnsi="Times New Roman" w:cs="Times New Roman"/>
      <w:sz w:val="24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B29732916DF4D831BB0FCE0DA1F47" ma:contentTypeVersion="0" ma:contentTypeDescription="Create a new document." ma:contentTypeScope="" ma:versionID="5e87b6185a4559021c2d2dd44491d6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0aa71ebba3a1c4bc292c1729accc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24577-67AC-4B25-B67F-9E425FB28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A50C48-6702-4B77-9305-9A83ED539416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6AF4BC-7D74-4439-9C13-97BE15FD9A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4</Pages>
  <Words>553</Words>
  <Characters>3465</Characters>
  <Application>Microsoft Office Word</Application>
  <DocSecurity>0</DocSecurity>
  <Lines>75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DEMOULIN Pierre-Yves (TAXUD)</dc:creator>
  <cp:lastModifiedBy>DIGIT/A3</cp:lastModifiedBy>
  <cp:revision>8</cp:revision>
  <dcterms:created xsi:type="dcterms:W3CDTF">2018-06-12T15:03:00Z</dcterms:created>
  <dcterms:modified xsi:type="dcterms:W3CDTF">2018-06-14T07:34:00Z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IsMyDocuments">
    <vt:bool>true</vt:bool>
  </property>
  <property fmtid="{D5CDD505-2E9C-101B-9397-08002B2CF9AE}" pid="14" name="ContentTypeId">
    <vt:lpwstr>0x010100676B29732916DF4D831BB0FCE0DA1F47</vt:lpwstr>
  </property>
  <property fmtid="{D5CDD505-2E9C-101B-9397-08002B2CF9AE}" pid="15" name="DQCStatus">
    <vt:lpwstr>Green (DQC version 03)</vt:lpwstr>
  </property>
</Properties>
</file>