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footer12.xml" ContentType="application/vnd.openxmlformats-officedocument.wordprocessingml.footer+xml"/>
  <Override PartName="/word/header11.xml" ContentType="application/vnd.openxmlformats-officedocument.wordprocessingml.head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F11A0DFE-F0DA-4AE9-9EE4-F0805FD11A0B" style="width:450.7pt;height:365.6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rPr>
          <w:noProof/>
        </w:rPr>
      </w:pPr>
      <w:r>
        <w:rPr>
          <w:noProof/>
        </w:rPr>
        <w:t>На 2 май 2018 г. Комисията прие пакет от мерки за следващата многогодишна финансова рамка за периода 2021 – 2027 г.</w:t>
      </w:r>
      <w:r>
        <w:rPr>
          <w:rStyle w:val="FootnoteReference"/>
          <w:noProof/>
        </w:rPr>
        <w:footnoteReference w:id="2"/>
      </w:r>
      <w:r>
        <w:rPr>
          <w:noProof/>
        </w:rPr>
        <w:t xml:space="preserve"> Комисията предложи нов, съвременен дългосрочен бюджет, който е строго насочен към постигането на политическите приоритети на Съюза с 27 държави. Предложеният бюджет съчетава нови инструменти с осъвременени програми за ефикасно реализиране на приоритетите на Съюза. Надграждайки върху тези основи, Комисията предлага нова програма „Фискалис“ по бюджетна функция „Единен пазар, иновации и цифрова икономика“. С тази програма ще се допринася за подобряване на провеждането на данъчната политика, в т.ч. административното сътрудничество, и ще се оказва подкрепа на данъчните органи, както е описано в съобщението, придружаващо предложението за многогодишната финансова рамка</w:t>
      </w:r>
      <w:r>
        <w:rPr>
          <w:rStyle w:val="FootnoteReference"/>
          <w:noProof/>
        </w:rPr>
        <w:footnoteReference w:id="3"/>
      </w:r>
      <w:r>
        <w:rPr>
          <w:noProof/>
        </w:rPr>
        <w:t xml:space="preserve">. </w:t>
      </w:r>
    </w:p>
    <w:p>
      <w:pPr>
        <w:rPr>
          <w:noProof/>
        </w:rPr>
      </w:pPr>
      <w:r>
        <w:rPr>
          <w:noProof/>
        </w:rPr>
        <w:t>В настоящото предложение се предвижда начална дата на прилагане 1 януари 2021 г., като същото се представя с оглед на Съюз с 27 държави членки в съответствие с уведомлението от страна на Обединеното кралство за намерението на държавата да се оттегли от Европейския съюз и от Евратом на основание член 50 от Договора за Европейския съюз, получено от Европейския съвет на 29 март 2017 г.</w:t>
      </w:r>
    </w:p>
    <w:p>
      <w:pPr>
        <w:pStyle w:val="ManualHeading2"/>
        <w:rPr>
          <w:rFonts w:eastAsia="Arial Unicode MS"/>
          <w:noProof/>
        </w:rPr>
      </w:pPr>
      <w:r>
        <w:rPr>
          <w:noProof/>
          <w:color w:val="000000"/>
          <w:u w:color="000000"/>
          <w:bdr w:val="nil"/>
        </w:rPr>
        <w:t>•</w:t>
      </w:r>
      <w:r>
        <w:rPr>
          <w:noProof/>
        </w:rPr>
        <w:tab/>
        <w:t xml:space="preserve">Основания и цели </w:t>
      </w:r>
    </w:p>
    <w:p>
      <w:pPr>
        <w:rPr>
          <w:noProof/>
        </w:rPr>
      </w:pPr>
      <w:r>
        <w:rPr>
          <w:noProof/>
        </w:rPr>
        <w:t>Съюзът и националните данъчни органи все още страдат от недостатъчен капацитет и недостатъчна степен на сътрудничество – както в рамките на ЕС, така и с трети държави, – което затруднява ефективното и ефикасно изпълнение на задачите им. Те трябва да реагират бързо и със съвместни усилия на възникващите проблеми, като данъчните измами, отклонението от данъчно облагане и избягването на данъци, цифровизацията и новите модели на стопанска дейност, като същевременно предотвратяват възникването на излишна административна тежест за гражданите и предприятията при презгранични сделки. Тези тенденции постоянно раждат нови предизвикателства за работата на националните данъчни органи и резултатите от нея. Те призовават за по-успешни и новаторски начини за изпълнението на основната си задача, а именно събирането на данъците, с които пряко се попълва националният бюджет и косвено – бюджетът на Съюза. Ето защо Комисията предлага приемането на програма „Фискалис“, по която се предвиждат средства и бюджет за подкрепа на данъчната политика и подпомагане на данъчните органи чрез дейности по изграждане на административния и информационнотехнологичния (ИТ) капацитет и оперативно сътрудничество.</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 действащите разпоредби в тази област на политиката</w:t>
      </w:r>
    </w:p>
    <w:p>
      <w:pPr>
        <w:rPr>
          <w:noProof/>
        </w:rPr>
      </w:pPr>
      <w:r>
        <w:rPr>
          <w:noProof/>
        </w:rPr>
        <w:t xml:space="preserve">Настоящото предложение е съобразено с плановете на Комисията да осигури справедлива и ефикасна данъчна система в Съюза с цел, наред с другото, да се опази способността на данъчните органи на държавите членки да събират данъците. Много от инициативите, приети в тази рамка, са предназначени за повишаване на прозрачността на данъчното облагане и засилване на административното сътрудничество, вкл. чрез обмен на относима данъчна информация. По предложената програма „Фискалис“ ще бъдат осигурени бюджетните и другите средства, които са необходими за подкрепа и </w:t>
      </w:r>
      <w:r>
        <w:rPr>
          <w:noProof/>
        </w:rPr>
        <w:lastRenderedPageBreak/>
        <w:t>извършване на тези законодателни намеси</w:t>
      </w:r>
      <w:r>
        <w:rPr>
          <w:rStyle w:val="FootnoteReference"/>
          <w:noProof/>
        </w:rPr>
        <w:footnoteReference w:id="4"/>
      </w:r>
      <w:r>
        <w:rPr>
          <w:noProof/>
        </w:rPr>
        <w:t>. Важни елементи на това административно сътрудничество са съответните европейски електронни системи, които дават възможност на данъчните органи на държавите членки да обменят информация.</w:t>
      </w:r>
    </w:p>
    <w:p>
      <w:pPr>
        <w:pStyle w:val="ManualHeading2"/>
        <w:rPr>
          <w:rFonts w:eastAsia="Arial Unicode MS"/>
          <w:noProof/>
        </w:rPr>
      </w:pPr>
      <w:r>
        <w:rPr>
          <w:noProof/>
          <w:color w:val="000000"/>
          <w:u w:color="000000"/>
          <w:bdr w:val="nil"/>
        </w:rPr>
        <w:t>•</w:t>
      </w:r>
      <w:r>
        <w:rPr>
          <w:noProof/>
        </w:rPr>
        <w:tab/>
        <w:t>Съгласуваност с другите политики на Съюза</w:t>
      </w:r>
    </w:p>
    <w:p>
      <w:pPr>
        <w:rPr>
          <w:noProof/>
        </w:rPr>
      </w:pPr>
      <w:r>
        <w:rPr>
          <w:noProof/>
        </w:rPr>
        <w:t xml:space="preserve">Настоящото предложение е съгласувано с другите предложени програми за дейности на ЕС, които имат сходни цели в близки области на компетентност, а именно: </w:t>
      </w:r>
    </w:p>
    <w:p>
      <w:pPr>
        <w:pStyle w:val="Tiret0"/>
        <w:numPr>
          <w:ilvl w:val="0"/>
          <w:numId w:val="14"/>
        </w:numPr>
        <w:rPr>
          <w:noProof/>
        </w:rPr>
      </w:pPr>
      <w:r>
        <w:rPr>
          <w:noProof/>
        </w:rPr>
        <w:t>програма „Митници“</w:t>
      </w:r>
      <w:r>
        <w:rPr>
          <w:rStyle w:val="FootnoteReference"/>
          <w:noProof/>
        </w:rPr>
        <w:footnoteReference w:id="5"/>
      </w:r>
      <w:r>
        <w:rPr>
          <w:noProof/>
        </w:rPr>
        <w:t xml:space="preserve">, по която се оказва подкрепа за сътрудничеството в областта на митниците; </w:t>
      </w:r>
    </w:p>
    <w:p>
      <w:pPr>
        <w:pStyle w:val="Tiret0"/>
        <w:rPr>
          <w:noProof/>
        </w:rPr>
      </w:pPr>
      <w:r>
        <w:rPr>
          <w:noProof/>
        </w:rPr>
        <w:t>Програмата на ЕС за борба с измамите</w:t>
      </w:r>
      <w:r>
        <w:rPr>
          <w:rStyle w:val="FootnoteReference"/>
          <w:noProof/>
        </w:rPr>
        <w:footnoteReference w:id="6"/>
      </w:r>
      <w:r>
        <w:rPr>
          <w:noProof/>
        </w:rPr>
        <w:t xml:space="preserve">, чието предназначение е противодействие на измамите с цел защита на финансовите интереси на Съюза по силата на член 325 от ДФЕС; </w:t>
      </w:r>
    </w:p>
    <w:p>
      <w:pPr>
        <w:pStyle w:val="Tiret0"/>
        <w:rPr>
          <w:noProof/>
        </w:rPr>
      </w:pPr>
      <w:r>
        <w:rPr>
          <w:noProof/>
        </w:rPr>
        <w:t>Програмата за единния пазар</w:t>
      </w:r>
      <w:r>
        <w:rPr>
          <w:rStyle w:val="FootnoteReference"/>
          <w:noProof/>
        </w:rPr>
        <w:footnoteReference w:id="7"/>
      </w:r>
      <w:r>
        <w:rPr>
          <w:noProof/>
        </w:rPr>
        <w:t>, по която се подкрепят дейности на ЕС за подобряване на работата на единния пазар;</w:t>
      </w:r>
    </w:p>
    <w:p>
      <w:pPr>
        <w:pStyle w:val="Tiret0"/>
        <w:rPr>
          <w:noProof/>
        </w:rPr>
      </w:pPr>
      <w:r>
        <w:rPr>
          <w:noProof/>
        </w:rPr>
        <w:t>Програмата за подкрепа на реформите</w:t>
      </w:r>
      <w:r>
        <w:rPr>
          <w:rStyle w:val="FootnoteReference"/>
          <w:noProof/>
        </w:rPr>
        <w:footnoteReference w:id="8"/>
      </w:r>
      <w:r>
        <w:rPr>
          <w:noProof/>
        </w:rPr>
        <w:t>, с която определени държави от ЕС се подкрепят в усилията им да изградят по-ефективни институции, по-силна уредба за управлението и по-ефикасни публични органи.</w:t>
      </w:r>
    </w:p>
    <w:p>
      <w:pPr>
        <w:rPr>
          <w:noProof/>
        </w:rPr>
      </w:pPr>
      <w:r>
        <w:rPr>
          <w:noProof/>
        </w:rPr>
        <w:t>Най-после, има още възможни полезни взаимодействия в областта на ИТ, от които може да се извлече полза, с различни инициативи на Съюза, като програма „Цифрова Европа“</w:t>
      </w:r>
      <w:r>
        <w:rPr>
          <w:rStyle w:val="FootnoteReference"/>
          <w:noProof/>
        </w:rPr>
        <w:footnoteReference w:id="9"/>
      </w:r>
      <w:r>
        <w:rPr>
          <w:noProof/>
        </w:rPr>
        <w:t>, всички програми, при които се използват (важни) електронни системи, повторното използване на градивните елементи</w:t>
      </w:r>
      <w:r>
        <w:rPr>
          <w:rStyle w:val="FootnoteReference"/>
          <w:noProof/>
        </w:rPr>
        <w:footnoteReference w:id="10"/>
      </w:r>
      <w:r>
        <w:rPr>
          <w:noProof/>
        </w:rPr>
        <w:t xml:space="preserve"> на Механизма за свързване на Европа, Европейската рамка за оперативна съвместимост</w:t>
      </w:r>
      <w:r>
        <w:rPr>
          <w:rStyle w:val="FootnoteReference"/>
          <w:noProof/>
        </w:rPr>
        <w:footnoteReference w:id="11"/>
      </w:r>
      <w:r>
        <w:rPr>
          <w:noProof/>
        </w:rPr>
        <w:t>, текущо актуализирания план за стандартизация на ИКТ</w:t>
      </w:r>
      <w:r>
        <w:rPr>
          <w:rStyle w:val="FootnoteReference"/>
          <w:noProof/>
        </w:rPr>
        <w:footnoteReference w:id="12"/>
      </w:r>
      <w:r>
        <w:rPr>
          <w:noProof/>
        </w:rPr>
        <w:t>, Плана за действие в областта на финансовите технологии</w:t>
      </w:r>
      <w:r>
        <w:rPr>
          <w:rStyle w:val="FootnoteReference"/>
          <w:noProof/>
        </w:rPr>
        <w:footnoteReference w:id="13"/>
      </w:r>
      <w:r>
        <w:rPr>
          <w:noProof/>
        </w:rPr>
        <w:t>, „Хоризонт Европа“</w:t>
      </w:r>
      <w:r>
        <w:rPr>
          <w:rStyle w:val="FootnoteReference"/>
          <w:noProof/>
        </w:rPr>
        <w:footnoteReference w:id="14"/>
      </w:r>
      <w:r>
        <w:rPr>
          <w:noProof/>
        </w:rPr>
        <w:t>, работата на Обсерваторията и форума на ЕС за блоковата верига</w:t>
      </w:r>
      <w:r>
        <w:rPr>
          <w:rStyle w:val="FootnoteReference"/>
          <w:noProof/>
        </w:rPr>
        <w:footnoteReference w:id="15"/>
      </w:r>
      <w:r>
        <w:rPr>
          <w:noProof/>
        </w:rPr>
        <w:t xml:space="preserve"> и други инициативи във връзка с измамите и рисковете по отношение на киберсигурността.</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 xml:space="preserve">Важна част от програма „Фискалис“ е свързана с оказването на подкрепа за обмена на информация между държавите членки в рамките на административното сътрудничество в областта на данъчното облагане в Европейския съюз. Законодателството на Съюза относно административното сътрудничество предвижда използването на европейските електронни системи от държавите членки. В настоящото предложение се определя, че Комисията и държавите членки ще направят необходимото, така щото европейските електронни системи, предвидени в глава ІV, да бъдат разработвани и експлоатирани по подходящ начин. В този контекст в предложението се предвижда, че те ще съгласуват редовно своите намеси и ще постигат съгласие по аспектите, които са необходими за осигуряване на способността за експлоатация, взаимната свързаност и постоянното усъвършенстване на европейските електронни системи. Има и разпоредби за задачите и отговорностите, които те трябва да поемат във връзка със съгласуването на създаването и работата на общите и националните компоненти на европейските електронни системи, за да бъдат осигурени способността им за експлоатация, взаимната им свързаност и постоянното им усъвършенстване. Тези аспекти на Програмата, свързани с изграждането на ИТ капацитета, заедно с аспектите, свързани с изграждането на административния капацитет, ще допринесат за подобряване на работата на вътрешния пазар и следователно са причина Програмата да се предлага на основание на член 114 от ДФЕС. </w:t>
      </w:r>
    </w:p>
    <w:p>
      <w:pPr>
        <w:rPr>
          <w:noProof/>
        </w:rPr>
      </w:pPr>
      <w:r>
        <w:rPr>
          <w:noProof/>
        </w:rPr>
        <w:t xml:space="preserve">С предложената програма „Фискалис“ се осигуряват механизми, средства и необходимото финансиране за подкрепа на данъчната политика и подобряване на сътрудничеството между данъчните органи. Предложената мярка включва, наред с другото, срещи и подобни събития по конкретни поводи, структурирано сътрудничество въз основа на проекти, както и дейности по изграждане на компетентностите и способностите на служителите, като държавите членки и служителите им могат да участват в тях доброволно. Общата цел на тези дейности е засилване на административното сътрудничество и повишаване на административния капацитет на държавите членки в областта на данъчното облагане, което дава основание да се използва член 197 от ДФЕС. </w:t>
      </w:r>
    </w:p>
    <w:p>
      <w:pPr>
        <w:pStyle w:val="ManualHeading2"/>
        <w:rPr>
          <w:rFonts w:eastAsia="Arial Unicode MS"/>
          <w:noProof/>
          <w:u w:color="000000"/>
          <w:bdr w:val="nil"/>
        </w:rPr>
      </w:pPr>
      <w:r>
        <w:rPr>
          <w:noProof/>
        </w:rPr>
        <w:t>•</w:t>
      </w:r>
      <w:r>
        <w:rPr>
          <w:noProof/>
        </w:rPr>
        <w:tab/>
        <w:t xml:space="preserve">Субсидиарност (при неизключителна компетентност) </w:t>
      </w:r>
    </w:p>
    <w:p>
      <w:pPr>
        <w:rPr>
          <w:noProof/>
        </w:rPr>
      </w:pPr>
      <w:r>
        <w:rPr>
          <w:noProof/>
        </w:rPr>
        <w:t xml:space="preserve">Целите на ЕС в областта на данъчното облагане, а именно борба с данъчните измами, отклонението от данъчно облагане и избягването на данъци, повишаването на справедливостта на данъчното облагане и подкрепа за работата на единния пазар и за конкурентоспособността не може да бъдат постигнати от държавите членки самостоятелно. Необходими са съвместни правила, съгласуване и сътрудничество между данъчните органи на държавите членки, за да се допринесе за постигането на тези цели и да се преодолеят всички свързани с тях предизвикателства. </w:t>
      </w:r>
    </w:p>
    <w:p>
      <w:pPr>
        <w:rPr>
          <w:noProof/>
        </w:rPr>
      </w:pPr>
      <w:r>
        <w:rPr>
          <w:noProof/>
        </w:rPr>
        <w:t xml:space="preserve">Такава висока степен на сътрудничество и съгласуване може да се осигурят единствено чрез централизиран подход, най-добре на равнището на Съюза. Дейностите по програма „Фискалис“ са по-разходноефективни, отколкото ако всяка участваща държава трябваше сама да установява уредба за сътрудничеството на двустранна или многостранна основа и да разработва национални ИТ решения за транснационални проблеми. Освен това дейностите и механизмите за сътрудничество по програма „Фискалис“ дават възможност за значително задълбочаване на доверието между националните данъчни органи, а това е необходимо за безпрепятствено сътрудничество и съвместна работа на данъчните системи на държавите от ЕС в рамките на единния пазар. </w:t>
      </w:r>
    </w:p>
    <w:p>
      <w:pPr>
        <w:rPr>
          <w:noProof/>
        </w:rPr>
      </w:pPr>
      <w:r>
        <w:rPr>
          <w:noProof/>
        </w:rPr>
        <w:t>На този фон по програма „Фискалис“ намесата на ЕС ще бъде съсредоточена върху създаването на ефикасни механизми (и необходимите ИТ инструменти) за административно сътрудничество с цел осигуряване на по-ефективни средства за националните данъчни органи за борбата им с данъчните измами, отклонението от данъчно облагане и избягването на данъци, като същевременно по косвен начин се улеснява спазването на изискванията от страна на данъкоплатците.</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По-голямата част от средствата по предложения бюджет ще бъдат изразходвани за дейности по изграждане на ИТ капацитета. Избраният подход се основава на модел на ИТ архитектурата, при който европейските електронни системи представляват съчетание от общи и национални компоненти. Този модел се предпочита пред модел с напълно централизирана ИТ архитектура, тъй като при него част от бюджетната отговорност остава у държавите членки, които ще разработят националните ИТ компоненти на национално равнище, отчитайки и националните си предпочитания, изисквания и ограничения. Следователно повишаването на оперативната съвместимост и взаимната свързаност в името на вътрешния пазар се постига по пропорционален начин.</w:t>
      </w:r>
    </w:p>
    <w:p>
      <w:pPr>
        <w:pStyle w:val="ManualHeading2"/>
        <w:rPr>
          <w:rFonts w:eastAsia="Arial Unicode MS"/>
          <w:noProof/>
          <w:u w:color="000000"/>
          <w:bdr w:val="nil"/>
        </w:rPr>
      </w:pPr>
      <w:r>
        <w:rPr>
          <w:noProof/>
        </w:rPr>
        <w:t>•</w:t>
      </w:r>
      <w:r>
        <w:rPr>
          <w:noProof/>
        </w:rPr>
        <w:tab/>
        <w:t>Избор на инструмент</w:t>
      </w:r>
    </w:p>
    <w:p>
      <w:pPr>
        <w:rPr>
          <w:noProof/>
        </w:rPr>
      </w:pPr>
      <w:r>
        <w:rPr>
          <w:noProof/>
        </w:rPr>
        <w:t xml:space="preserve">Намесата на ЕС чрез програма за финансиране е целесъобразна. Комисията предлага програма, уредена с регламент, която да наследи програма „Фискалис 2020“.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Ретроспективни оценки/проверки за пригодност на действащото законодателство</w:t>
      </w:r>
    </w:p>
    <w:p>
      <w:pPr>
        <w:rPr>
          <w:noProof/>
        </w:rPr>
      </w:pPr>
      <w:r>
        <w:rPr>
          <w:noProof/>
        </w:rPr>
        <w:t xml:space="preserve">В настоящото предложение са отчетени препоръките от окончателната оценка на програма „Фискалис 2013“, както и предварителните резултати от извършваната понастоящем междинна оценка на програма „Фискалис 2020“. Те показват, че Програмата осигурява висока добавена стойност от ЕС, създава доверие и насърчава засиленото сътрудничество между държавите членки и с другите участващи държави (държави кандидатки и потенциални кандидати). Освен това с помощта на Програмата се улеснява изпълнението на законодателството на ЕС, като същевременно се осигурява и по-висока ефикасност (чрез обединяване на ресурсите), особено в областта на електронните системи (където намесата на ЕС води до икономии от мащаба и намаление на развойните разходи) и модулите за обучение (където според получените сведения намесата на ЕС води до икономия на време и пари за някои органи). Участниците съобщават и за все по-висок интерес към съвместните дейности (особено работни посещения, семинари и работилници) като ефективно средство, което допринася за сътрудничеството и подобряването на обмена на информация между данъчните органи. По отношение на програма „Фискалис 2020“ въвеждането на експертни екипи се разглежда като важна движеща сила за задълбочаването на сътрудничеството (на регионална или тематична основа) предвид на особените разпоредби за финансирането и оперативната ѝ организация. Някои участници посочват възможността за повишаване на сегашното разпределение на средствата в полза на тази дейност по изграждане на административния капацитет. </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rPr>
          <w:noProof/>
        </w:rPr>
      </w:pPr>
      <w:r>
        <w:rPr>
          <w:noProof/>
        </w:rPr>
        <w:t>Комисията поръча външно проучване за обосновка на предварителната оценка, в което бяха включени нарочни действия по консултиране с цел по-широко събиране на мненията на всички заинтересовани лица. Като се има предвид особеният обхват на Програмата (единствените преки бенефициери са данъчните органи), тези консултации бяха съсредоточени върху данъчните органи чрез обсъждания в проектна група, посещения на държави / проучвания по конкретни случаи и нарочни изследвания. Тези дейности бяха допълнени от събеседвания с представители на стопански сдружения, организации с нестопанска цел и академичните среди, както и участници в програма „Фискалис 2020“, консултанти и представители на международни организации (напр. Организацията за икономическо сътрудничество и развитие).</w:t>
      </w:r>
    </w:p>
    <w:p>
      <w:pPr>
        <w:rPr>
          <w:noProof/>
        </w:rPr>
      </w:pPr>
      <w:r>
        <w:rPr>
          <w:noProof/>
        </w:rPr>
        <w:t>Външното проучване и свързаните с него консултации потвърдиха, че пълни с предизвикателства времена очакват данъчните органи и че е необходима амбициозна програма, съставена върху две главни измерения: от една страна, непрекъснатост и засилване на изграждането на (ИТ) капацитета и способностите (на служителите) и на дейностите по сътрудничество с цел правилно прилагане на националните разпоредби за данъчното облагане; от друга страна, засилено оперативно сътрудничество и по-успешно оползотворяване на нововъведенията.</w:t>
      </w:r>
    </w:p>
    <w:p>
      <w:pPr>
        <w:rPr>
          <w:noProof/>
        </w:rPr>
      </w:pPr>
      <w:r>
        <w:rPr>
          <w:noProof/>
        </w:rPr>
        <w:t xml:space="preserve">Проведена бе открита обществена консултация на тема „Фондовете на ЕС в областта на инвестициите, научните изследвания и нововъведенията, МСП и единния пазар“. В рамките на тази консултация бяха събрани мненията на гражданите относно (наред с другото) предизвикателствата пред политиката и необходимостта от намеса на ЕС във връзка с данъчното облагане. </w:t>
      </w:r>
    </w:p>
    <w:p>
      <w:pPr>
        <w:pStyle w:val="ManualHeading2"/>
        <w:rPr>
          <w:rFonts w:eastAsia="Arial Unicode MS"/>
          <w:noProof/>
          <w:u w:color="000000"/>
          <w:bdr w:val="nil"/>
        </w:rPr>
      </w:pPr>
      <w:r>
        <w:rPr>
          <w:noProof/>
        </w:rPr>
        <w:t>•</w:t>
      </w:r>
      <w:r>
        <w:rPr>
          <w:noProof/>
        </w:rPr>
        <w:tab/>
        <w:t>Външни експертни становища</w:t>
      </w:r>
    </w:p>
    <w:p>
      <w:pPr>
        <w:rPr>
          <w:noProof/>
        </w:rPr>
      </w:pPr>
      <w:r>
        <w:rPr>
          <w:noProof/>
        </w:rPr>
        <w:t xml:space="preserve">Комисията поръча външно проучване за обосновка на предварителната оценка чрез осигуряване на количествена и качествена информация. Целта на тази задача беше да се определят главните движещи сили в областта на данъчното облагане за периода след 2020 г., както и проблемите, пред които ще бъдат изправени данъчните органи на държавите членки, към чието решаване би могла да бъде насочена бъдеща намеса на ЕС чрез финансиране, като се отчита естеството на определените движещи сили и последствията от тях. </w:t>
      </w:r>
    </w:p>
    <w:p>
      <w:pPr>
        <w:rPr>
          <w:noProof/>
        </w:rPr>
      </w:pPr>
      <w:r>
        <w:rPr>
          <w:noProof/>
        </w:rPr>
        <w:t>Проучването помогна на Комисията за следното: - да определи целите за намеса на равнище ЕС въз основа на определените движещи сили и проблеми; - да определи възможните варианти за действие от страна на ЕС за постигане на целите, за разгръщане на една бъдеща намеса на ЕС чрез финансиране в отговор на определените движещи сили и проблеми и за оценяване на очакваното социално-икономическо и екологично въздействие на определените варианти; - да сравни вариантите въз основа на определените критерии (като ефикасност, ефективност, относимост, последователност) и да ги подреди по определен начин.</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Предвид на приемствеността от гледна точка на съдържанието, структурата и размера на бюджета на предложената програма „Фискалис“ по отношение на предходната програма „Фискалис 2020“, бе счетено, че не е необходимо да се извърши оценка на въздействието. Сметнато бе, че една предварителна оценка е по-подходяща за съобразяване с изискванията за по-добро нормотворчество по пропорционален начин.</w:t>
      </w:r>
    </w:p>
    <w:p>
      <w:pPr>
        <w:pStyle w:val="ManualHeading2"/>
        <w:rPr>
          <w:rFonts w:eastAsia="Arial Unicode MS"/>
          <w:noProof/>
          <w:u w:color="000000"/>
          <w:bdr w:val="nil"/>
        </w:rPr>
      </w:pPr>
      <w:r>
        <w:rPr>
          <w:noProof/>
        </w:rPr>
        <w:t>•</w:t>
      </w:r>
      <w:r>
        <w:rPr>
          <w:noProof/>
        </w:rPr>
        <w:tab/>
        <w:t>Опростяване</w:t>
      </w:r>
    </w:p>
    <w:p>
      <w:pPr>
        <w:rPr>
          <w:noProof/>
        </w:rPr>
      </w:pPr>
      <w:r>
        <w:rPr>
          <w:noProof/>
        </w:rPr>
        <w:t xml:space="preserve">Сегашната програма вече е рационализирана чрез наблягане на крайните продукти и резултатите. С нея се прилагат всички опростявания, определени при предишните оценки. Главното определено допълнително опростяване би се състояло в разширена употреба на еднократни суми / единични разходи и възможността да се приемат многогодишни работни програми с цел избягване на ежегодната процедура на комитета, която представлява административна тежест. </w:t>
      </w:r>
    </w:p>
    <w:p>
      <w:pPr>
        <w:pStyle w:val="ManualHeading2"/>
        <w:rPr>
          <w:rFonts w:eastAsia="Arial Unicode MS"/>
          <w:noProof/>
          <w:u w:color="000000"/>
          <w:bdr w:val="nil"/>
        </w:rPr>
      </w:pPr>
      <w:r>
        <w:rPr>
          <w:noProof/>
        </w:rPr>
        <w:t>•</w:t>
      </w:r>
      <w:r>
        <w:rPr>
          <w:noProof/>
        </w:rPr>
        <w:tab/>
        <w:t>Основни права</w:t>
      </w:r>
    </w:p>
    <w:p>
      <w:pPr>
        <w:rPr>
          <w:noProof/>
        </w:rPr>
      </w:pPr>
      <w:r>
        <w:rPr>
          <w:noProof/>
        </w:rPr>
        <w:t xml:space="preserve">Предложението няма отражение върху основните права. </w:t>
      </w:r>
    </w:p>
    <w:p>
      <w:pPr>
        <w:pStyle w:val="ManualHeading1"/>
        <w:rPr>
          <w:noProof/>
        </w:rPr>
      </w:pPr>
      <w:r>
        <w:rPr>
          <w:noProof/>
        </w:rPr>
        <w:t>4.</w:t>
      </w:r>
      <w:r>
        <w:rPr>
          <w:noProof/>
        </w:rPr>
        <w:tab/>
        <w:t>ОТРАЖЕНИЕ ВЪРХУ БЮДЖЕТА</w:t>
      </w:r>
    </w:p>
    <w:p>
      <w:pPr>
        <w:rPr>
          <w:noProof/>
        </w:rPr>
      </w:pPr>
      <w:r>
        <w:rPr>
          <w:noProof/>
        </w:rPr>
        <w:t>Графикът за преглед на програмите на ЕС за финансиране е свързан с предложението за нова многогодишна финансова рамка, представено на 2 май 2018 г.</w:t>
      </w:r>
      <w:r>
        <w:rPr>
          <w:rStyle w:val="FootnoteReference"/>
          <w:noProof/>
        </w:rPr>
        <w:footnoteReference w:id="16"/>
      </w:r>
      <w:r>
        <w:rPr>
          <w:noProof/>
        </w:rPr>
        <w:t xml:space="preserve"> В съответствие с това предложение в настоящия регламент относно програма „Фискалис“ се съдържа бюджетна рамка в размер на 270 милиона евро (по текущи цени) за периода 2021 – 2027 г.</w:t>
      </w:r>
    </w:p>
    <w:p>
      <w:pPr>
        <w:rPr>
          <w:noProof/>
        </w:rPr>
      </w:pPr>
      <w:r>
        <w:rPr>
          <w:noProof/>
        </w:rPr>
        <w:t>Програма „Фискалис“ ще бъде изпълнявана по метода на прякото управление и въз основа на приоритетите. Съвместно със заинтересованите страни се изготвят работни програми, в които се излагат приоритетите за конкретен период.</w:t>
      </w:r>
    </w:p>
    <w:p>
      <w:pPr>
        <w:rPr>
          <w:noProof/>
        </w:rPr>
      </w:pPr>
      <w:r>
        <w:rPr>
          <w:noProof/>
        </w:rPr>
        <w:t xml:space="preserve">Програмата ще окаже въздействие върху приходите на Съюза и държавите членки. Въпреки че това въздействие не може да се измери количествено, Програмата ще доведе до улесняване и рационализиране на работата на данъчните органи по събирането на преките и косвените данъци. Благодарение на повишаването на качеството на работата чрез сътрудничество и  изграждане на ИТ капацитета и способностите на служителите данъчните органи ще станат по-ефикасни при защитата на финансовите и икономическите интереси на Съюза и държавите членки.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rPr>
        <w:t>•</w:t>
      </w:r>
      <w:r>
        <w:rPr>
          <w:noProof/>
        </w:rPr>
        <w:tab/>
        <w:t>Планове за изпълнение и механизми за наблюдение, оценка и докладване</w:t>
      </w:r>
    </w:p>
    <w:p>
      <w:pPr>
        <w:rPr>
          <w:noProof/>
        </w:rPr>
      </w:pPr>
      <w:r>
        <w:rPr>
          <w:noProof/>
        </w:rPr>
        <w:t>Въздействието на предложената програма „Фискалис“ ще бъде оценявано посредством междинни и окончателни оценки, както и чрез постоянно наблюдение върху набор от ключови показатели за изпълнението на високо равнище. Тези оценки ще бъдат извършвани в съответствие с параграфи 22 и 23 от Междуинституционалното споразумение от 13 април 2016 г.</w:t>
      </w:r>
      <w:r>
        <w:rPr>
          <w:rStyle w:val="FootnoteReference"/>
          <w:noProof/>
        </w:rPr>
        <w:footnoteReference w:id="17"/>
      </w:r>
      <w:r>
        <w:rPr>
          <w:noProof/>
        </w:rPr>
        <w:t>, в което трите институции потвърдиха, че оценките на действащото законодателство и действащите политики следва да бъдат основа за оценките на въздействието на различните варианти за по-нататъшно действие. Чрез тях ще бъде оценено практическото въздействие на инструмента въз основа на показатели и цели и чрез подробен анализ на степента, до която инструментът може да се счита за значим, ефективен и ефикасен, може да създава достатъчно добавена стойност от ЕС и е съгласуван с другите политики на Съюза. Оценките ще включват придобития опит за определянето на пропуските и проблемите и възможностите за допълнително подобряване на дейностите или резултатите от тях и за спомагане за максимизирането на въздействието им. Те ще включват и установяване и количествено измерване на регулаторните разходи, ползи и икономии.</w:t>
      </w:r>
    </w:p>
    <w:p>
      <w:pPr>
        <w:rPr>
          <w:noProof/>
        </w:rPr>
      </w:pPr>
      <w:r>
        <w:rPr>
          <w:noProof/>
        </w:rPr>
        <w:t>Системата за отчитане за оценките ще осигури ефикасно, ефективно и навременно събиране на данни с подходяща степен на подробност за оценяването на Програмата; тези данни и информация ще се предават на Комисията по начин, съобразен с другите правни разпоредби; например, при необходимост личните данни следва да се предават без разкриване на самоличността. За тази цел по отношение на получателите на средства от Съюза ще бъдат наложени пропорционални изисквания за отчитане.</w:t>
      </w:r>
    </w:p>
    <w:p>
      <w:pPr>
        <w:rPr>
          <w:noProof/>
        </w:rPr>
      </w:pPr>
      <w:r>
        <w:rPr>
          <w:noProof/>
        </w:rPr>
        <w:t>Резултатите и крайните продукти от изпълнението на Програмата ще бъдат редовно оценявани посредством всеобхватна система за наблюдение въз основа на определени показатели, за да се осигури отчетност във връзка с икономическата изгода.</w:t>
      </w:r>
    </w:p>
    <w:p>
      <w:pPr>
        <w:rPr>
          <w:noProof/>
        </w:rPr>
      </w:pPr>
      <w:r>
        <w:rPr>
          <w:noProof/>
        </w:rPr>
        <w:t xml:space="preserve">Данните за измерване на изпълнението ще бъдат извличани от различни средства за събиране на данни. Предвижданите понастоящем средства са формуляри за проследяване на дейностите, формуляри за оценяване на събитията и редовни проучвания на мненията на данъчните служители. </w:t>
      </w:r>
    </w:p>
    <w:p>
      <w:pPr>
        <w:rPr>
          <w:noProof/>
        </w:rPr>
      </w:pPr>
      <w:r>
        <w:rPr>
          <w:noProof/>
        </w:rPr>
        <w:t xml:space="preserve">Програмата играе спомагателна роля, като по нея органите на участващите държави се подпомагат при споделянето на информация и повишаването на капацитета им, поради което системата за наблюдение е съсредоточена върху проследяването на напредъка на дейностите по Програмата от гледна точка на показателите на равнище крайни продукти. Във всички случаи, когато това е възможно, чрез тази система се следят показателите в областите, свързани с целите на Програмата на високо равнище. </w:t>
      </w:r>
    </w:p>
    <w:p>
      <w:pPr>
        <w:rPr>
          <w:noProof/>
        </w:rPr>
      </w:pPr>
      <w:r>
        <w:rPr>
          <w:noProof/>
        </w:rPr>
        <w:t>Комисията ще издава ежегодно доклад за напредъка, в който ще се съдържат обобщени сведения за изпълнението на целите на Програмата и за съответните показатели за крайните продукти и резултатите.</w:t>
      </w:r>
    </w:p>
    <w:p>
      <w:pPr>
        <w:pStyle w:val="ManualHeading2"/>
        <w:rPr>
          <w:rFonts w:eastAsia="Arial Unicode MS"/>
          <w:noProof/>
          <w:u w:color="000000"/>
          <w:bdr w:val="nil"/>
        </w:rPr>
      </w:pPr>
      <w:r>
        <w:rPr>
          <w:noProof/>
        </w:rPr>
        <w:t>•</w:t>
      </w:r>
      <w:r>
        <w:rPr>
          <w:noProof/>
        </w:rPr>
        <w:tab/>
        <w:t>Подробно разяснение на отделните разпоредби на предложението</w:t>
      </w:r>
    </w:p>
    <w:p>
      <w:pPr>
        <w:keepNext/>
        <w:keepLines/>
        <w:rPr>
          <w:b/>
          <w:i/>
          <w:noProof/>
        </w:rPr>
      </w:pPr>
      <w:r>
        <w:rPr>
          <w:b/>
          <w:i/>
          <w:noProof/>
        </w:rPr>
        <w:t>Глава I – Общи разпоредби</w:t>
      </w:r>
    </w:p>
    <w:p>
      <w:pPr>
        <w:rPr>
          <w:noProof/>
        </w:rPr>
      </w:pPr>
      <w:r>
        <w:rPr>
          <w:noProof/>
        </w:rPr>
        <w:t>Обхватът на Програмата бе променен, за да се осигури възможност за оказване на по-всеобхватна подкрепа за данъчната политика и данъчните органи с оглед на възникващите потребности. Докато общата цел на програма „Фискалис 2020“ е усъвършенстване на функционирането на системите за данъчно облагане на вътрешния пазар, по предложената програма ще се оказва подкрепа за данъчната политика и националните данъчни органи и следователно по-добре ще се удовлетворяват потребностите от подкрепа, произтичащи и от други политически инициативи на равнище ЕС и национално равнище. В този смисъл целта на Програмата е да допринася за: борбата с данъчните измами, отклонението от данъчно облагане и избягването на данъци; предотвратяването и намалението на излишната административна тежест за гражданите и предприятията при презгранични сделки; постигането на пълния потенциал на единния пазар и повишаването на конкурентоспособността на ЕС; насърчаването и подкрепата за съвместен подход на Съюза на международните форуми. Затова, макар и да са представени по малко по-различен и опростен начин – без оперативни цели, – целите на Програмата остават принципно същите.</w:t>
      </w:r>
    </w:p>
    <w:p>
      <w:pPr>
        <w:rPr>
          <w:noProof/>
        </w:rPr>
      </w:pPr>
      <w:r>
        <w:rPr>
          <w:noProof/>
        </w:rPr>
        <w:t xml:space="preserve">По подобие на текущата програма „Фискалис 2020“ новата програма ще бъде открита за участие за държавите членки, присъединяващите се държави, държавите кандидатки и потенциалните кандидати. В съответствие с общата политика на Съюза държавите от европейската политика за съседство и третите държави съобразно с условията, определени в нарочни споразумения между Съюза и тези държави, ще имат възможността да участват в Програмата при определени условия. </w:t>
      </w:r>
    </w:p>
    <w:p>
      <w:pPr>
        <w:keepNext/>
        <w:keepLines/>
        <w:rPr>
          <w:b/>
          <w:i/>
          <w:noProof/>
        </w:rPr>
      </w:pPr>
      <w:r>
        <w:rPr>
          <w:b/>
          <w:i/>
          <w:noProof/>
        </w:rPr>
        <w:t>Глава ІІ – Допустимост</w:t>
      </w:r>
    </w:p>
    <w:p>
      <w:pPr>
        <w:rPr>
          <w:noProof/>
        </w:rPr>
      </w:pPr>
      <w:r>
        <w:rPr>
          <w:noProof/>
        </w:rPr>
        <w:t>Видовете дейности, които се считат за допустими за финансиране по Програмата, са подобни на действията по сегашната програма. Категоризацията им по видове обаче бе опростена и броят на видовете бе намален, за да се осигури повече гъвкавост. В примерния списък в приложение 1 са посочени конкретни дейности, които може да бъдат финансирани по Програмата.</w:t>
      </w:r>
    </w:p>
    <w:p>
      <w:pPr>
        <w:rPr>
          <w:noProof/>
        </w:rPr>
      </w:pPr>
      <w:r>
        <w:rPr>
          <w:noProof/>
        </w:rPr>
        <w:t xml:space="preserve">Въз основа на изводите, извлечени с помощта на сегашните експертни екипи по програма „Фискалис 2020“ в предложението се предвижда да се наблегне особено на структурното сътрудничество въз основа на проекти, предназначено за засилване на оперативното сътрудничество и даващо възможност за дълбоки и цялостни форми на сътрудничество между участващите държави. </w:t>
      </w:r>
    </w:p>
    <w:p>
      <w:pPr>
        <w:rPr>
          <w:noProof/>
        </w:rPr>
      </w:pPr>
      <w:r>
        <w:rPr>
          <w:noProof/>
        </w:rPr>
        <w:t>Новост в сравнение с текущата програма е разпоредбата за дейностите, които са необходими за приспособяване или разширяване на европейските електронни системи за сътрудничество с трети държави, които не участват в Програмата, и международни организации. Така се осигурява по-лесен и прост механизъм в сравнение с предвидения в програма „Фискалис 2020“, който не позволява финансиране на промени в европейските електронни системи за използване без международно споразумение, сключено със съответната трета държава по силата на член 218 от ДФЕС. За да се осигури оптимално време за отговор за създаването на такава взаимосвързаност с трети държави, в предложението се предвижда финансиране на необходимите приспособявания или разширения и приемане на административни разпоредби, съдържащи относимите условия, в т.ч. евентуално финансова вноска от страна на въпросната трета държава или международна организация. Това би било възможно единствено ако дейността е в интерес на Съюза.</w:t>
      </w:r>
    </w:p>
    <w:p>
      <w:pPr>
        <w:rPr>
          <w:noProof/>
        </w:rPr>
      </w:pPr>
      <w:r>
        <w:rPr>
          <w:noProof/>
        </w:rPr>
        <w:t xml:space="preserve">Като се има предвид голямото значение на глобализацията, по Програмата ще продължи да се предоставя възможността за включване на представители на органите на държавното управление, в т.ч. от трети държави, представители на международни организации, икономически оператори или гражданското общество като външни експерти, когато това е полезно за дейностите по изпълнение на целта на Програмата. </w:t>
      </w:r>
    </w:p>
    <w:p>
      <w:pPr>
        <w:keepNext/>
        <w:keepLines/>
        <w:rPr>
          <w:b/>
          <w:i/>
          <w:noProof/>
        </w:rPr>
      </w:pPr>
      <w:r>
        <w:rPr>
          <w:b/>
          <w:i/>
          <w:noProof/>
        </w:rPr>
        <w:t>Глава III – Безвъзмездни средства</w:t>
      </w:r>
    </w:p>
    <w:p>
      <w:pPr>
        <w:rPr>
          <w:noProof/>
        </w:rPr>
      </w:pPr>
      <w:r>
        <w:rPr>
          <w:noProof/>
        </w:rPr>
        <w:t>Изпълнението на Програмата ще се извършва чрез най-често използваните механизми за изразходване на средства от бюджета на Съюза, а именно обществените поръчки и безвъзмездните средства. По отношение на безвъзмездните средства в предложението се предвижда да не се обявява покана за представяне на предложения, когато отговарящите на условията организации са данъчни органи.</w:t>
      </w:r>
    </w:p>
    <w:p>
      <w:pPr>
        <w:rPr>
          <w:noProof/>
        </w:rPr>
      </w:pPr>
      <w:r>
        <w:rPr>
          <w:noProof/>
        </w:rPr>
        <w:t xml:space="preserve">Както преди, по Програмата следва да се финансират дейности в размер до 100 % предвид на високата добавена стойност от ЕС при тези дейности. Когато за дейностите е необходимо отпускане на безвъзмездни средства, приложимият процент на съфинансиране ще бъде определян в работните програми. </w:t>
      </w:r>
    </w:p>
    <w:p>
      <w:pPr>
        <w:keepNext/>
        <w:keepLines/>
        <w:rPr>
          <w:b/>
          <w:i/>
          <w:noProof/>
        </w:rPr>
      </w:pPr>
      <w:r>
        <w:rPr>
          <w:b/>
          <w:i/>
          <w:noProof/>
        </w:rPr>
        <w:t>Глава ІV – Особени разпоредби за дейностите за изграждане на ИТ капацитета</w:t>
      </w:r>
    </w:p>
    <w:p>
      <w:pPr>
        <w:rPr>
          <w:noProof/>
        </w:rPr>
      </w:pPr>
      <w:r>
        <w:rPr>
          <w:noProof/>
        </w:rPr>
        <w:t>Разпоредбите по тази глава са предназначени за осигуряване на усъвършенствана уредба и управление на дейностите за изграждане на ИТ капацитета, извършвани по Програмата. Въз основа на опита от предишните програми „Фискалис“ и с оглед на нарастващия брой на европейските електронни системи се предлагат някои новости. Включено е усъвършенствано определение за общите компоненти и националните компоненти, което отразява по-добре същността и особеностите на ИТ проектите. Посочени са задачите, за които отговаря Комисията, и тези, за които отговарят държавите членки. Най-после, предвижда се Многогодишен стратегически план за данъчното облагане (МГСП-ДО), който ще бъде съставен от Комисията в сътрудничество с държавите членки и който ще позволи по-успешно планиране на бюджетните и човешките ресурси както на национално равнище, така и на равнище ЕС. Въведени са съпътстващи задължения за докладване и отчитане, за да се осигури по-успешно наблюдение върху дейностите по изграждане на ИТ капацитета.</w:t>
      </w:r>
    </w:p>
    <w:p>
      <w:pPr>
        <w:keepNext/>
        <w:keepLines/>
        <w:rPr>
          <w:b/>
          <w:i/>
          <w:noProof/>
        </w:rPr>
      </w:pPr>
      <w:r>
        <w:rPr>
          <w:b/>
          <w:i/>
          <w:noProof/>
        </w:rPr>
        <w:t>Глава V – Програмиране, наблюдение, оценяване и контрол</w:t>
      </w:r>
    </w:p>
    <w:p>
      <w:pPr>
        <w:rPr>
          <w:noProof/>
        </w:rPr>
      </w:pPr>
      <w:r>
        <w:rPr>
          <w:noProof/>
        </w:rPr>
        <w:t>Предвид на средно- до дългосрочното естество на преследваните цели и с оглед на опита, натрупан с времето, работните програми следва да обхващат няколко години. Това е новост в сравнение с текущата програма „Фискалис 2020“, в която се предвиждат годишни работни програми. Макар че не засягат изпълнението на Програмата, многогодишните работни програми ще доведат до намаление на административната тежест както за Комисията, така и за държавите членки.</w:t>
      </w:r>
    </w:p>
    <w:p>
      <w:pPr>
        <w:rPr>
          <w:noProof/>
        </w:rPr>
      </w:pPr>
      <w:r>
        <w:rPr>
          <w:noProof/>
        </w:rPr>
        <w:t xml:space="preserve">Комисията ще бъде подпомагана от Комитет по програма „Фискалис“ (процедура по разглеждане). </w:t>
      </w:r>
    </w:p>
    <w:p>
      <w:pPr>
        <w:rPr>
          <w:noProof/>
        </w:rPr>
      </w:pPr>
      <w:r>
        <w:rPr>
          <w:noProof/>
        </w:rPr>
        <w:t>В приложение 2 е добавен списък с основни показатели, за да се подобри наблюдението върху Програмата и изпълнението ѝ още от началото. На Комисията ще бъде предоставено правомощието да приема делегирани актове с цел установяване на разпоредбите за наблюдението и оценяването, в т.ч. чрез изменение на приложение 2 с цел преразглеждане и/или допълване на списъка с показателите при необходимост.</w:t>
      </w:r>
    </w:p>
    <w:p>
      <w:pPr>
        <w:rPr>
          <w:noProof/>
        </w:rPr>
      </w:pPr>
      <w:r>
        <w:rPr>
          <w:noProof/>
        </w:rPr>
        <w:t>Ще бъдат извършвани навременни междинни и окончателни оценки, които да послужат в процеса на вземане на решения.</w:t>
      </w:r>
    </w:p>
    <w:p>
      <w:pPr>
        <w:keepNext/>
        <w:keepLines/>
        <w:rPr>
          <w:b/>
          <w:i/>
          <w:noProof/>
        </w:rPr>
      </w:pPr>
      <w:r>
        <w:rPr>
          <w:b/>
          <w:i/>
          <w:noProof/>
        </w:rPr>
        <w:t>Глава VІ – Упражняване на делегирането и процедура на комитета</w:t>
      </w:r>
    </w:p>
    <w:p>
      <w:pPr>
        <w:rPr>
          <w:noProof/>
        </w:rPr>
      </w:pPr>
      <w:r>
        <w:rPr>
          <w:noProof/>
        </w:rPr>
        <w:t xml:space="preserve">На Комисията се предоставя правомощието да приема делегирани актове с цел преразглеждане на рамката за наблюдение върху изпълнението и свързаните с нея показатели. </w:t>
      </w:r>
    </w:p>
    <w:p>
      <w:pPr>
        <w:rPr>
          <w:noProof/>
        </w:rPr>
      </w:pPr>
      <w:r>
        <w:rPr>
          <w:noProof/>
        </w:rPr>
        <w:t>Комисията ще бъде подпомагана от Комитет по програма „Фискалис“ (процедура по разглеждане).</w:t>
      </w:r>
    </w:p>
    <w:p>
      <w:pPr>
        <w:keepNext/>
        <w:keepLines/>
        <w:rPr>
          <w:b/>
          <w:i/>
          <w:noProof/>
        </w:rPr>
      </w:pPr>
      <w:r>
        <w:rPr>
          <w:b/>
          <w:i/>
          <w:noProof/>
        </w:rPr>
        <w:t>Глава VІІ – Преходни и заключителни разпоредби</w:t>
      </w:r>
    </w:p>
    <w:p>
      <w:pPr>
        <w:rPr>
          <w:noProof/>
        </w:rPr>
      </w:pPr>
      <w:r>
        <w:rPr>
          <w:noProof/>
        </w:rPr>
        <w:t>Ще бъде осигурявана последователна, ефективна и подходяща по количество целенасочена информация за различните обществени групи, в т.ч. средствата за масово осведомяване и обществеността.</w:t>
      </w:r>
    </w:p>
    <w:p>
      <w:pPr>
        <w:rPr>
          <w:noProof/>
        </w:rPr>
      </w:pPr>
    </w:p>
    <w:p>
      <w:pPr>
        <w:rPr>
          <w:noProof/>
        </w:rPr>
        <w:sectPr>
          <w:footerReference w:type="default" r:id="rId19"/>
          <w:footerReference w:type="first" r:id="rId20"/>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t>2018/0233 (COD)</w:t>
      </w:r>
    </w:p>
    <w:p>
      <w:pPr>
        <w:pStyle w:val="Statut"/>
        <w:rPr>
          <w:noProof/>
        </w:rPr>
      </w:pPr>
      <w:r>
        <w:rPr>
          <w:noProof/>
        </w:rPr>
        <w:t>Предложение за</w:t>
      </w:r>
    </w:p>
    <w:p>
      <w:pPr>
        <w:pStyle w:val="Typedudocument"/>
        <w:rPr>
          <w:noProof/>
        </w:rPr>
      </w:pPr>
      <w:r>
        <w:rPr>
          <w:noProof/>
        </w:rPr>
        <w:t>РЕГЛАМЕНТ НА ЕВРОПЕЙСКИЯ ПАРЛАМЕНТ И НА СЪВЕТА</w:t>
      </w:r>
    </w:p>
    <w:p>
      <w:pPr>
        <w:pStyle w:val="Titreobjet"/>
        <w:rPr>
          <w:noProof/>
        </w:rPr>
      </w:pPr>
      <w:r>
        <w:rPr>
          <w:noProof/>
        </w:rPr>
        <w:t>за създаване на програма „Фискалис“ за сътрудничество в областта на данъчното облагане</w:t>
      </w:r>
    </w:p>
    <w:p>
      <w:pPr>
        <w:pStyle w:val="Institutionquiagit"/>
        <w:rPr>
          <w:noProof/>
        </w:rPr>
      </w:pPr>
      <w:r>
        <w:rPr>
          <w:noProof/>
        </w:rPr>
        <w:t>ЕВРОПЕЙСКИЯТ ПАРЛАМЕНТ И СЪВЕТЪТ НА ЕВРОПЕЙСКИЯ СЪЮЗ,</w:t>
      </w:r>
    </w:p>
    <w:p>
      <w:pPr>
        <w:rPr>
          <w:noProof/>
        </w:rPr>
      </w:pPr>
      <w:r>
        <w:rPr>
          <w:noProof/>
        </w:rPr>
        <w:t>като взеха предвид Договора за функционирането на Европейския съюз, и по-специално членове 114 и 197 от него,</w:t>
      </w:r>
    </w:p>
    <w:p>
      <w:pPr>
        <w:rPr>
          <w:noProof/>
        </w:rPr>
      </w:pPr>
      <w:r>
        <w:rPr>
          <w:noProof/>
        </w:rPr>
        <w:t>като взеха предвид предложението на Европейската комисия,</w:t>
      </w:r>
    </w:p>
    <w:p>
      <w:pPr>
        <w:rPr>
          <w:noProof/>
        </w:rPr>
      </w:pPr>
      <w:r>
        <w:rPr>
          <w:noProof/>
        </w:rPr>
        <w:t>след предаване на проекта на законодателния акт на националните парламенти,</w:t>
      </w:r>
    </w:p>
    <w:p>
      <w:pPr>
        <w:rPr>
          <w:i/>
          <w:noProof/>
        </w:rPr>
      </w:pPr>
      <w:r>
        <w:rPr>
          <w:noProof/>
        </w:rPr>
        <w:t>като взеха предвид становището на Европейския икономически и социален комитет</w:t>
      </w:r>
      <w:r>
        <w:rPr>
          <w:rStyle w:val="FootnoteReference"/>
          <w:noProof/>
        </w:rPr>
        <w:footnoteReference w:id="18"/>
      </w:r>
      <w:r>
        <w:rPr>
          <w:noProof/>
        </w:rPr>
        <w:t xml:space="preserve">, </w:t>
      </w:r>
    </w:p>
    <w:p>
      <w:pPr>
        <w:rPr>
          <w:noProof/>
        </w:rPr>
      </w:pPr>
      <w:r>
        <w:rPr>
          <w:noProof/>
        </w:rPr>
        <w:t>в съответствие с обикновената законодателна процедура,</w:t>
      </w:r>
    </w:p>
    <w:p>
      <w:pPr>
        <w:rPr>
          <w:noProof/>
        </w:rPr>
      </w:pPr>
      <w:r>
        <w:rPr>
          <w:noProof/>
        </w:rPr>
        <w:t>като имат предвид, че:</w:t>
      </w:r>
    </w:p>
    <w:p>
      <w:pPr>
        <w:pStyle w:val="ManualConsidrant"/>
        <w:rPr>
          <w:noProof/>
        </w:rPr>
      </w:pPr>
      <w:r>
        <w:t>(1)</w:t>
      </w:r>
      <w:r>
        <w:tab/>
      </w:r>
      <w:r>
        <w:rPr>
          <w:noProof/>
        </w:rPr>
        <w:t>Програма „Фискалис 2020“, която бе създадена с Регламент (ЕС) № 1286/2013 на Европейския парламент и на Съвета</w:t>
      </w:r>
      <w:r>
        <w:rPr>
          <w:rStyle w:val="FootnoteReference"/>
          <w:noProof/>
        </w:rPr>
        <w:footnoteReference w:id="19"/>
      </w:r>
      <w:r>
        <w:rPr>
          <w:noProof/>
        </w:rPr>
        <w:t xml:space="preserve"> и която се изпълнява от Комисията в сътрудничество с държавите членки и участващите държави, и предшестващите я програми допринесоха значително за улесняването и засилването на сътрудничеството между данъчните органи в Съюза. Данъчните органи на участващите държави признават добавената стойност от тези програми, включително за защита на финансовите и икономическите интереси на държавите членки, на Съюза и на данъкоплатците. Установените предизвикателства през следващото десетилетие не могат да бъдат преодолени, ако държавите членки не насочат вниманието си отвъд границите на своите административни територии или не си сътрудничат усилено с насрещните си страни. </w:t>
      </w:r>
    </w:p>
    <w:p>
      <w:pPr>
        <w:pStyle w:val="ManualConsidrant"/>
        <w:rPr>
          <w:noProof/>
        </w:rPr>
      </w:pPr>
      <w:r>
        <w:t>(2)</w:t>
      </w:r>
      <w:r>
        <w:tab/>
      </w:r>
      <w:r>
        <w:rPr>
          <w:noProof/>
        </w:rPr>
        <w:t>Програма „Фискалис 2020“ осигурява на държавите членки уредба на равнището на Съюза за развитие на тези дейности по сътрудничество при по-висока разходна ефективност, отколкото ако всяка държава членка изградеше собствена уредба за сътрудничество на двустранна или многостранна основа.. Поради това е целесъобразно да се осигури продължаване на програмата чрез създаването на нова програма в същата област – програма „Фискалис“ (наричана по-нататък „Програмата“).</w:t>
      </w:r>
    </w:p>
    <w:p>
      <w:pPr>
        <w:pStyle w:val="ManualConsidrant"/>
        <w:rPr>
          <w:noProof/>
        </w:rPr>
      </w:pPr>
      <w:r>
        <w:t>(3)</w:t>
      </w:r>
      <w:r>
        <w:tab/>
      </w:r>
      <w:r>
        <w:rPr>
          <w:noProof/>
        </w:rPr>
        <w:t xml:space="preserve">Създавайки уредба за дейностите с цел подкрепа за единния пазар, повишаване на конкурентоспособността на Съюза и защита на финансовите и икономическите интереси на Съюза и неговите държави членки, Програмата следва да допринесе за: предотвратяването и борбата с данъчните измами, отклонението от данъчно облагане и избягването на данъци; предотвратяването и намалението на излишната административна тежест за гражданите и предприятията при презгранични сделки; постигането на пълния потенциал на единния пазар и повишаването на конкурентоспособността на Съюза; подкрепата за съвместен подход на Съюза на международните форуми. </w:t>
      </w:r>
    </w:p>
    <w:p>
      <w:pPr>
        <w:pStyle w:val="ManualConsidrant"/>
        <w:rPr>
          <w:noProof/>
        </w:rPr>
      </w:pPr>
      <w:r>
        <w:t>(4)</w:t>
      </w:r>
      <w:r>
        <w:tab/>
      </w:r>
      <w:r>
        <w:rPr>
          <w:noProof/>
        </w:rPr>
        <w:t>С настоящия регламент се определя финансов пакет за Програмата, който представлява основната референтна сума по смисъла на точка 17 от Междуинституционалното споразумение от 2 декември 2013 г. между Европейския парламент, Съвета и Комисията относно бюджетната дисциплина, сътрудничеството по бюджетни въпроси и доброто финансово управление</w:t>
      </w:r>
      <w:r>
        <w:rPr>
          <w:rStyle w:val="FootnoteReference"/>
          <w:noProof/>
        </w:rPr>
        <w:footnoteReference w:id="20"/>
      </w:r>
      <w:r>
        <w:rPr>
          <w:noProof/>
        </w:rPr>
        <w:t xml:space="preserve"> за Европейския парламент и за Съвета в рамките на годишната бюджетна процедура.</w:t>
      </w:r>
    </w:p>
    <w:p>
      <w:pPr>
        <w:pStyle w:val="ManualConsidrant"/>
        <w:rPr>
          <w:noProof/>
        </w:rPr>
      </w:pPr>
      <w:r>
        <w:t>(5)</w:t>
      </w:r>
      <w:r>
        <w:tab/>
      </w:r>
      <w:r>
        <w:rPr>
          <w:noProof/>
        </w:rPr>
        <w:t xml:space="preserve">С цел да се подкрепи процесът на присъединяване и асоцииране на трети държави, Програмата следва да бъде отворена за участие за присъединяващите се държави и държавите кандидатки, както и за потенциалните кандидати и държавите – партньори по европейската политика за съседство, ако са изпълнени някои условия. Тя може да бъде отворена и за други трети държави в съответствие с условията, определени в нарочни споразумения между Съюза и тези трети държави, с които се урежда участието им в дадена програма на Съюза. </w:t>
      </w:r>
    </w:p>
    <w:p>
      <w:pPr>
        <w:pStyle w:val="ManualConsidrant"/>
        <w:rPr>
          <w:noProof/>
        </w:rPr>
      </w:pPr>
      <w:r>
        <w:t>(6)</w:t>
      </w:r>
      <w:r>
        <w:tab/>
      </w:r>
      <w:r>
        <w:rPr>
          <w:noProof/>
        </w:rPr>
        <w:t xml:space="preserve">По отношение на тази програма се прилага Регламент (ЕС, Евратом) </w:t>
      </w:r>
      <w:r>
        <w:rPr>
          <w:noProof/>
          <w:color w:val="0000FF"/>
        </w:rPr>
        <w:t>[2018/XXX]</w:t>
      </w:r>
      <w:r>
        <w:rPr>
          <w:noProof/>
        </w:rPr>
        <w:t xml:space="preserve"> на Европейския парламент и на Съвета</w:t>
      </w:r>
      <w:r>
        <w:rPr>
          <w:rStyle w:val="FootnoteReference"/>
          <w:noProof/>
        </w:rPr>
        <w:footnoteReference w:id="21"/>
      </w:r>
      <w:r>
        <w:rPr>
          <w:noProof/>
        </w:rPr>
        <w:t xml:space="preserve"> (Финансовият регламент). В него са определени правилата за изпълнението на бюджета на Съюза, включително правилата относно безвъзмездните средства, наградите, обществените поръчки и възстановяването на разходите на външните експерти.</w:t>
      </w:r>
    </w:p>
    <w:p>
      <w:pPr>
        <w:pStyle w:val="ManualConsidrant"/>
        <w:rPr>
          <w:noProof/>
        </w:rPr>
      </w:pPr>
      <w:r>
        <w:t>(7)</w:t>
      </w:r>
      <w:r>
        <w:tab/>
      </w:r>
      <w:r>
        <w:rPr>
          <w:noProof/>
        </w:rPr>
        <w:t xml:space="preserve">Дейностите, извършвани по програма „Фискалис 2020“, са доказали целесъобразността си и поради това следва да се запазят. За да се осигури повече простота и гъвкавост при изпълнението на Програмата и следователно да се допринесе за по-успешното постигане на целите ѝ, дейностите следва да бъдат определени само като общи категории със списък на примери на конкретни дейности. С помощта на сътрудничество и изграждане на капацитет чрез програма „Фискалис“ следва да се насърчават и подкрепят внедряването и засилването на нововъведения, така че способностите за постигане на главните приоритети на данъчното облагане да бъдат допълнително повишени. </w:t>
      </w:r>
    </w:p>
    <w:p>
      <w:pPr>
        <w:pStyle w:val="ManualConsidrant"/>
        <w:rPr>
          <w:noProof/>
        </w:rPr>
      </w:pPr>
      <w:r>
        <w:t>(8)</w:t>
      </w:r>
      <w:r>
        <w:tab/>
      </w:r>
      <w:r>
        <w:rPr>
          <w:noProof/>
        </w:rPr>
        <w:t xml:space="preserve">Предвид на нарастващата мобилност на данъкоплатците, броя на презграничните сделки и все по-международното естество на финансовите инструменти, които надхвърлят значително границите на Съюза, приспособяванията или разширенията на европейските електронни системи за включване на трети държави, които не участват в Програмата, и международни организации биха могли да бъдат в интерес на Съюза или държавите членки. По-конкретно, те биха довели до предотвратяване на административната тежест и разходите, които биха възникнали при разработването и експлоатацията на две сходни електронни системи – съответно за обмен на информация в Съюза и за международен обмен на информация. Ето защо, когато това е надлежно обосновано със съществуването на такъв интерес, разходите за приспособявания или разширения на европейските електронни системи за сътрудничество с трети държави и международни организации следва да бъдат допустими за финансиране по Програмата. </w:t>
      </w:r>
    </w:p>
    <w:p>
      <w:pPr>
        <w:pStyle w:val="ManualConsidrant"/>
        <w:rPr>
          <w:noProof/>
        </w:rPr>
      </w:pPr>
      <w:r>
        <w:t>(9)</w:t>
      </w:r>
      <w:r>
        <w:tab/>
      </w:r>
      <w:r>
        <w:rPr>
          <w:noProof/>
        </w:rPr>
        <w:t>Като се има предвид голямото значение на глобализацията, по Програмата следва да се продължи осигуряването на възможността за включване на външни експерти по смисъла на член 238 от Финансовия регламент. Тези външни експерти следва да бъдат главно представители на органите на държавното управление, в т.ч. от неучастващи трети държави, както и представители на международни организации, икономически оператори, данъкоплатци и гражданското общество.</w:t>
      </w:r>
    </w:p>
    <w:p>
      <w:pPr>
        <w:pStyle w:val="ManualConsidrant"/>
        <w:rPr>
          <w:noProof/>
        </w:rPr>
      </w:pPr>
      <w:r>
        <w:t>(10)</w:t>
      </w:r>
      <w:r>
        <w:tab/>
      </w:r>
      <w:r>
        <w:rPr>
          <w:noProof/>
        </w:rPr>
        <w:t>В съответствие с ангажимента на Комисията да осигурява съгласуваност и опростяване на програмите за финансиране, посочен в нейното Съобщение от 19 октомври 2010 г.: „Преглед на бюджета на ЕС“</w:t>
      </w:r>
      <w:r>
        <w:rPr>
          <w:rStyle w:val="FootnoteReference"/>
          <w:noProof/>
        </w:rPr>
        <w:footnoteReference w:id="22"/>
      </w:r>
      <w:r>
        <w:rPr>
          <w:noProof/>
        </w:rPr>
        <w:t xml:space="preserve">, ресурсите следва да се споделят с други инструменти на Съюза за финансиране, ако предвидените дейности по Програмата са насочени към цели, които са общи за различни инструменти за финансиране, като обаче се изключва двойното финансиране. Дейностите по Програмата следва да осигуряват съгласуваност при използването на ресурсите на Съюза в подкрепа на данъчната политика и данъчните органи. </w:t>
      </w:r>
    </w:p>
    <w:p>
      <w:pPr>
        <w:pStyle w:val="ManualConsidrant"/>
        <w:rPr>
          <w:noProof/>
        </w:rPr>
      </w:pPr>
      <w:r>
        <w:t>(11)</w:t>
      </w:r>
      <w:r>
        <w:tab/>
      </w:r>
      <w:r>
        <w:rPr>
          <w:noProof/>
        </w:rPr>
        <w:t xml:space="preserve">Предвижда се дейностите по изграждане на информационнотехнологичния (ИТ) капацитет да привлекат най-големия дял от бюджетните средства по Програмата. Затова общите и националните компоненти на европейските електронни системи следва да бъдат описани в особени разпоредби. Освен това следва ясно да бъдат определени обхватът на дейностите и отговорностите на Комисията и държавите членки. </w:t>
      </w:r>
    </w:p>
    <w:p>
      <w:pPr>
        <w:pStyle w:val="ManualConsidrant"/>
        <w:rPr>
          <w:noProof/>
        </w:rPr>
      </w:pPr>
      <w:r>
        <w:t>(12)</w:t>
      </w:r>
      <w:r>
        <w:tab/>
      </w:r>
      <w:r>
        <w:rPr>
          <w:noProof/>
        </w:rPr>
        <w:t xml:space="preserve">Понастоящем няма изискване за съставяне на Многогодишен стратегически план за данъчното облагане (МГСП-ДО) с цел създаване на последователна и оперативно съвместима електронна среда за данъчното облагане в Съюза. За да се осигури последователност и съгласуване на дейностите по изграждане на ИТ капацитета, в Програмата следва да се предвиди създаването на такъв план. </w:t>
      </w:r>
    </w:p>
    <w:p>
      <w:pPr>
        <w:pStyle w:val="ManualConsidrant"/>
        <w:rPr>
          <w:noProof/>
        </w:rPr>
      </w:pPr>
      <w:r>
        <w:t>(13)</w:t>
      </w:r>
      <w:r>
        <w:tab/>
      </w:r>
      <w:r>
        <w:rPr>
          <w:noProof/>
        </w:rPr>
        <w:t xml:space="preserve">Настоящият регламент следва да бъде изпълняван чрез работни програми. Предвид на средно- до дългосрочното естество на преследваните цели и с оглед на опита, натрупан с времето, работните програми следва да може да обхващат няколко години. Преминаването от годишни към многогодишни работни програми ще доведе до намаление на административната тежест както за Комисията, така и за държавите членки. </w:t>
      </w:r>
    </w:p>
    <w:p>
      <w:pPr>
        <w:pStyle w:val="ManualConsidrant"/>
        <w:rPr>
          <w:noProof/>
        </w:rPr>
      </w:pPr>
      <w:r>
        <w:t>(14)</w:t>
      </w:r>
      <w:r>
        <w:tab/>
      </w:r>
      <w:r>
        <w:rPr>
          <w:noProof/>
        </w:rPr>
        <w:t>За да се осигурят еднакви условия за изпълнение на настоящия регламент, на Комисията следва да бъдат предоставени изпълнителни правомощия. Тези правомощия следва да бъдат упражнявани в съответствие с Регламент (ЕС) № 182/2011 на Европейския парламент и на Съвета</w:t>
      </w:r>
      <w:r>
        <w:rPr>
          <w:rStyle w:val="FootnoteReference"/>
          <w:noProof/>
        </w:rPr>
        <w:footnoteReference w:id="23"/>
      </w:r>
      <w:r>
        <w:rPr>
          <w:noProof/>
        </w:rPr>
        <w:t>.</w:t>
      </w:r>
    </w:p>
    <w:p>
      <w:pPr>
        <w:pStyle w:val="ManualConsidrant"/>
        <w:rPr>
          <w:noProof/>
        </w:rPr>
      </w:pPr>
      <w:r>
        <w:t>(15)</w:t>
      </w:r>
      <w:r>
        <w:tab/>
      </w:r>
      <w:r>
        <w:rPr>
          <w:noProof/>
        </w:rPr>
        <w:t>Съгласно параграфи 22 и 23 от Междуинституционалното споразумение за по-добро законотворчество от 13 април 2016 г.</w:t>
      </w:r>
      <w:r>
        <w:rPr>
          <w:rStyle w:val="FootnoteReference"/>
          <w:noProof/>
        </w:rPr>
        <w:footnoteReference w:id="24"/>
      </w:r>
      <w:r>
        <w:rPr>
          <w:noProof/>
        </w:rPr>
        <w:t xml:space="preserve"> е необходимо Програмата да бъде оценявана въз основа на информация, събрана в изпълнение на особените изисквания за наблюдението, като се избягват свръхрегулирането и административната тежест, по-конкретно по отношение на държавите членки. Тези изисквания могат по целесъобразност да включват измерими показатели, които да послужат като база за оценяване на практическото въздействие на инструмента. </w:t>
      </w:r>
    </w:p>
    <w:p>
      <w:pPr>
        <w:pStyle w:val="ManualConsidrant"/>
        <w:rPr>
          <w:noProof/>
        </w:rPr>
      </w:pPr>
      <w:r>
        <w:t>(16)</w:t>
      </w:r>
      <w:r>
        <w:tab/>
      </w:r>
      <w:r>
        <w:rPr>
          <w:noProof/>
        </w:rPr>
        <w:t>За да се реагира по подходящ начин на промените в приоритетите на данъчната политика, на Комисията следва да бъде делегирано правомощието да приема актове в съответствие с член 290 от Договора за функционирането на Европейския съюз, за да изменя списъка с показатели за измерване на степента на постигане на конкретните цели на Програмата. От особено значение е по време на подготвителната си работа Комисията да провежда подходящи консултации, включително на експертно равнище, и тези консултации да бъдат провеждани в съответствие с принципите, заложени в Междуинституционалното споразумение за по-добро законотворчество от 13 април 2016 г. По-специално, с цел осигуряване на равностойно участие при подготовката на делегираните актове, Европейският парламент и Съветът получават всички документи едновременно с експертите от държавите членки, като техните експерти получават систематично достъп до заседанията на експертните групи на Комисията, занимаващи се с подготовката на делегираните актове.</w:t>
      </w:r>
    </w:p>
    <w:p>
      <w:pPr>
        <w:pStyle w:val="ManualConsidrant"/>
        <w:rPr>
          <w:noProof/>
        </w:rPr>
      </w:pPr>
      <w:r>
        <w:t>(17)</w:t>
      </w:r>
      <w:r>
        <w:tab/>
      </w:r>
      <w:r>
        <w:rPr>
          <w:noProof/>
        </w:rPr>
        <w:t>В съответствие с Финансовия регламент, Регламент (ЕС, Евратом) № 883/2013 на Европейския парламент и на Съвета</w:t>
      </w:r>
      <w:r>
        <w:rPr>
          <w:rStyle w:val="FootnoteReference"/>
          <w:noProof/>
        </w:rPr>
        <w:footnoteReference w:id="25"/>
      </w:r>
      <w:r>
        <w:rPr>
          <w:noProof/>
        </w:rPr>
        <w:t>, Регламент (Евратом, ЕО) № 2988/95 на Съвета</w:t>
      </w:r>
      <w:r>
        <w:rPr>
          <w:rStyle w:val="FootnoteReference"/>
          <w:noProof/>
        </w:rPr>
        <w:footnoteReference w:id="26"/>
      </w:r>
      <w:r>
        <w:rPr>
          <w:noProof/>
        </w:rPr>
        <w:t>, Регламент (Евратом, ЕО) № 2185/96 на Съвета</w:t>
      </w:r>
      <w:r>
        <w:rPr>
          <w:rStyle w:val="FootnoteReference"/>
          <w:noProof/>
        </w:rPr>
        <w:footnoteReference w:id="27"/>
      </w:r>
      <w:r>
        <w:rPr>
          <w:noProof/>
        </w:rPr>
        <w:t xml:space="preserve"> и Регламент (ЕС) 2017/1939 на Съвета</w:t>
      </w:r>
      <w:r>
        <w:rPr>
          <w:rStyle w:val="FootnoteReference"/>
          <w:noProof/>
        </w:rPr>
        <w:footnoteReference w:id="28"/>
      </w:r>
      <w:r>
        <w:rPr>
          <w:noProof/>
        </w:rPr>
        <w:t xml:space="preserve"> финансовите интереси на Съюза трябва да се защитават посредством пропорционални мерки, включително предотвратяване, разкриване, коригиране и разследване на нередностите и измамите, събиране на изгубени, неправомерно платени или неправилно използвани средства и – когато е целесъобразно – налагане на административни наказания. В съответствие по-специално с Регламент (ЕС, Евратом) № 883/2013 и Регламент (Евратом, ЕО) № 2185/96 Европейската служба за борба с измамите (OLAF) може да извършва административни разследвания, включително проверки и инспекции на място, за да установи дали е налице измама, корупция или друга незаконна дейност, засягаща финансовите интереси на Съюза. В съответствие с Регламент (ЕС) 2017/1939 Европейската прокуратура може да разследва и да преследва по наказателен ред измамите и други престъпления, засягащи финансовите интереси на Съюза, както е предвидено в Директива (ЕС) 2017/1371 на Европейския парламент и на Съвета</w:t>
      </w:r>
      <w:r>
        <w:rPr>
          <w:rStyle w:val="FootnoteReference"/>
          <w:noProof/>
        </w:rPr>
        <w:footnoteReference w:id="29"/>
      </w:r>
      <w:r>
        <w:rPr>
          <w:noProof/>
        </w:rPr>
        <w:t xml:space="preserve">. В съответствие с Финансовия регламент всички лица или субекти, получаващи средства на Съюза, трябва да оказват пълно сътрудничество за защита на финансовите интереси на Съюза, да предоставят необходимите права и достъп на Комисията, OLAF, Европейската прокуратура и Европейската сметна палата и да гарантират, че всички трети страни, участващи в използването на средства на Съюза, предоставят равностойни права. </w:t>
      </w:r>
    </w:p>
    <w:p>
      <w:pPr>
        <w:pStyle w:val="ManualConsidrant"/>
        <w:rPr>
          <w:noProof/>
        </w:rPr>
      </w:pPr>
      <w:r>
        <w:t>(18)</w:t>
      </w:r>
      <w:r>
        <w:tab/>
      </w:r>
      <w:r>
        <w:rPr>
          <w:noProof/>
        </w:rPr>
        <w:t>По отношение на настоящия регламент се прилагат хоризонталните финансови разпоредби, приети от Европейския парламент и Съвета на основание на член 322 от Договора за функционирането на Европейския съюз. Тези разпоредби са установени във Финансовия регламент и определят по-конкретно реда за съставяне и изпълнение на бюджета чрез безвъзмездни средства, обществени поръчки, награди и непряко изпълнение и предвиждат проверки на отговорността на лицата, работещи с бюджетни средства. Разпоредбите, приети на основание на член 322 от ДФЕС, засягат и защитата на бюджета на Съюза при общи недостатъци по отношение на върховенството на закона в държавите членки, тъй като спазването на върховенството на закона е важно предварително условие за разумно финансово управление и за ефективно финансиране от страна на ЕС.</w:t>
      </w:r>
    </w:p>
    <w:p>
      <w:pPr>
        <w:pStyle w:val="ManualConsidrant"/>
        <w:rPr>
          <w:noProof/>
        </w:rPr>
      </w:pPr>
      <w:r>
        <w:t>(19)</w:t>
      </w:r>
      <w:r>
        <w:tab/>
      </w:r>
      <w:r>
        <w:rPr>
          <w:noProof/>
        </w:rPr>
        <w:t>Видовете финансиране и методите на изпълнение по настоящия регламент следва да бъдат избрани в зависимост от способността им да осигурят осъществяване на конкретните цели на дейностите и постигане на резултати, като се вземат предвид по-специално разходите за проверките, административната тежест и очаквания риск от неспазване на изискванията. Това следва да включва разглеждане на употребата на еднократни суми, единни ставки и единични разходи, както и финансиране, което не е свързано с разходите съгласно член 125, параграф 1 от Финансовия регламент.</w:t>
      </w:r>
    </w:p>
    <w:p>
      <w:pPr>
        <w:pStyle w:val="ManualConsidrant"/>
        <w:rPr>
          <w:noProof/>
        </w:rPr>
      </w:pPr>
      <w:r>
        <w:t>(20)</w:t>
      </w:r>
      <w:r>
        <w:tab/>
      </w:r>
      <w:r>
        <w:rPr>
          <w:noProof/>
        </w:rPr>
        <w:t>Доколкото целта на настоящия регламент не може да бъде постигната в достатъчна степен от отделните държави членки, а поради мащаба и последиците му може да бъде по-добре постигната на равнището на Съюза, Съюзът може да приеме мерки в съответствие с принципа на субсидиарността, уреден в член 5 от Договора за Европейския съюз. В съответствие с принципа на пропорционалността, уреден в същия член, настоящият регламент не надхвърля необходимото за постигане на тази цел.</w:t>
      </w:r>
    </w:p>
    <w:p>
      <w:pPr>
        <w:pStyle w:val="ManualConsidrant"/>
        <w:rPr>
          <w:noProof/>
        </w:rPr>
      </w:pPr>
      <w:r>
        <w:t>(21)</w:t>
      </w:r>
      <w:r>
        <w:tab/>
      </w:r>
      <w:r>
        <w:rPr>
          <w:noProof/>
        </w:rPr>
        <w:t>С настоящия регламент се заменя Регламент (ЕО) № 1286/2013 на Европейския парламент и на Съвета, който следва да бъде отменен по тази причина,</w:t>
      </w:r>
    </w:p>
    <w:p>
      <w:pPr>
        <w:pStyle w:val="Formuledadoption"/>
        <w:rPr>
          <w:noProof/>
        </w:rPr>
      </w:pPr>
      <w:r>
        <w:rPr>
          <w:noProof/>
        </w:rPr>
        <w:t>ПРИЕХА НАСТОЯЩИЯ РЕГЛАМЕНТ:</w:t>
      </w:r>
    </w:p>
    <w:p>
      <w:pPr>
        <w:pStyle w:val="Titrearticle"/>
        <w:rPr>
          <w:noProof/>
        </w:rPr>
      </w:pPr>
      <w:r>
        <w:rPr>
          <w:noProof/>
        </w:rPr>
        <w:t>ГЛАВА I</w:t>
      </w:r>
    </w:p>
    <w:p>
      <w:pPr>
        <w:pStyle w:val="Titrearticle"/>
        <w:rPr>
          <w:noProof/>
        </w:rPr>
      </w:pPr>
      <w:r>
        <w:rPr>
          <w:noProof/>
        </w:rPr>
        <w:t>ОБЩИ РАЗПОРЕДБИ</w:t>
      </w:r>
    </w:p>
    <w:p>
      <w:pPr>
        <w:pStyle w:val="Titrearticle"/>
        <w:rPr>
          <w:noProof/>
        </w:rPr>
      </w:pPr>
      <w:r>
        <w:rPr>
          <w:noProof/>
        </w:rPr>
        <w:t>Член 1</w:t>
      </w:r>
    </w:p>
    <w:p>
      <w:pPr>
        <w:pStyle w:val="Titrearticle"/>
        <w:rPr>
          <w:noProof/>
        </w:rPr>
      </w:pPr>
      <w:r>
        <w:rPr>
          <w:noProof/>
        </w:rPr>
        <w:t>Предмет</w:t>
      </w:r>
    </w:p>
    <w:p>
      <w:pPr>
        <w:pStyle w:val="ManualNumPar1"/>
        <w:rPr>
          <w:noProof/>
        </w:rPr>
      </w:pPr>
      <w:r>
        <w:t>1.</w:t>
      </w:r>
      <w:r>
        <w:tab/>
      </w:r>
      <w:r>
        <w:rPr>
          <w:noProof/>
        </w:rPr>
        <w:t xml:space="preserve">С настоящия регламент се създава програма „Фискалис“ за сътрудничество в областта на данъчното облагане (наричана по-нататък „Програмата“). </w:t>
      </w:r>
    </w:p>
    <w:p>
      <w:pPr>
        <w:pStyle w:val="ManualNumPar1"/>
        <w:rPr>
          <w:noProof/>
        </w:rPr>
      </w:pPr>
      <w:r>
        <w:t>2.</w:t>
      </w:r>
      <w:r>
        <w:tab/>
      </w:r>
      <w:r>
        <w:rPr>
          <w:noProof/>
        </w:rPr>
        <w:t xml:space="preserve">С него се определят целите на Програмата, бюджетът за периода 2021 – 2027 г., формите на финансиране от Съюза и правилата за предоставяне на това финансиране. </w:t>
      </w:r>
    </w:p>
    <w:p>
      <w:pPr>
        <w:pStyle w:val="Titrearticle"/>
        <w:rPr>
          <w:noProof/>
        </w:rPr>
      </w:pPr>
      <w:r>
        <w:rPr>
          <w:noProof/>
        </w:rPr>
        <w:t>Член 2</w:t>
      </w:r>
    </w:p>
    <w:p>
      <w:pPr>
        <w:pStyle w:val="Titrearticle"/>
        <w:rPr>
          <w:noProof/>
        </w:rPr>
      </w:pPr>
      <w:r>
        <w:rPr>
          <w:noProof/>
        </w:rPr>
        <w:t>Определения</w:t>
      </w:r>
    </w:p>
    <w:p>
      <w:pPr>
        <w:rPr>
          <w:noProof/>
        </w:rPr>
      </w:pPr>
      <w:r>
        <w:rPr>
          <w:noProof/>
        </w:rPr>
        <w:t xml:space="preserve">За целите на настоящия регламент се прилагат следните определения: </w:t>
      </w:r>
    </w:p>
    <w:p>
      <w:pPr>
        <w:pStyle w:val="Point0number"/>
        <w:numPr>
          <w:ilvl w:val="0"/>
          <w:numId w:val="17"/>
        </w:numPr>
        <w:rPr>
          <w:noProof/>
        </w:rPr>
      </w:pPr>
      <w:r>
        <w:rPr>
          <w:noProof/>
        </w:rPr>
        <w:t xml:space="preserve">„данъчно облагане“ са въпроси, включващи планирането, управлението, правоприлагането и спазването на изискванията и свързани със следните данъци: </w:t>
      </w:r>
    </w:p>
    <w:p>
      <w:pPr>
        <w:pStyle w:val="Point1"/>
        <w:rPr>
          <w:noProof/>
        </w:rPr>
      </w:pPr>
      <w:r>
        <w:rPr>
          <w:noProof/>
        </w:rPr>
        <w:t>а)</w:t>
      </w:r>
      <w:r>
        <w:rPr>
          <w:noProof/>
        </w:rPr>
        <w:tab/>
        <w:t>данъка върху добавената стойност, предвиден в Директива 2006/112/EО на Съвета</w:t>
      </w:r>
      <w:r>
        <w:rPr>
          <w:rStyle w:val="FootnoteReference"/>
          <w:noProof/>
        </w:rPr>
        <w:footnoteReference w:id="30"/>
      </w:r>
      <w:r>
        <w:rPr>
          <w:noProof/>
        </w:rPr>
        <w:t>;</w:t>
      </w:r>
    </w:p>
    <w:p>
      <w:pPr>
        <w:pStyle w:val="Point1"/>
        <w:rPr>
          <w:noProof/>
        </w:rPr>
      </w:pPr>
      <w:r>
        <w:rPr>
          <w:noProof/>
        </w:rPr>
        <w:t>б)</w:t>
      </w:r>
      <w:r>
        <w:rPr>
          <w:noProof/>
        </w:rPr>
        <w:tab/>
        <w:t>акцизите върху алкохола, предвидени в Директива 92/83/EИО на Съвета</w:t>
      </w:r>
      <w:r>
        <w:rPr>
          <w:rStyle w:val="FootnoteReference"/>
          <w:noProof/>
        </w:rPr>
        <w:footnoteReference w:id="31"/>
      </w:r>
      <w:r>
        <w:rPr>
          <w:noProof/>
        </w:rPr>
        <w:t>;</w:t>
      </w:r>
    </w:p>
    <w:p>
      <w:pPr>
        <w:pStyle w:val="Point1"/>
        <w:rPr>
          <w:noProof/>
        </w:rPr>
      </w:pPr>
      <w:r>
        <w:rPr>
          <w:noProof/>
        </w:rPr>
        <w:t>в)</w:t>
      </w:r>
      <w:r>
        <w:rPr>
          <w:noProof/>
        </w:rPr>
        <w:tab/>
        <w:t>акцизите върху тютюневите изделия, предвидени в Директива 2011/64/EС на Съвета</w:t>
      </w:r>
      <w:r>
        <w:rPr>
          <w:rStyle w:val="FootnoteReference"/>
          <w:noProof/>
        </w:rPr>
        <w:footnoteReference w:id="32"/>
      </w:r>
      <w:r>
        <w:rPr>
          <w:noProof/>
        </w:rPr>
        <w:t>;</w:t>
      </w:r>
    </w:p>
    <w:p>
      <w:pPr>
        <w:pStyle w:val="Point1"/>
        <w:rPr>
          <w:noProof/>
        </w:rPr>
      </w:pPr>
      <w:r>
        <w:rPr>
          <w:noProof/>
        </w:rPr>
        <w:t>г)</w:t>
      </w:r>
      <w:r>
        <w:rPr>
          <w:noProof/>
        </w:rPr>
        <w:tab/>
        <w:t>данъците върху енергийните продукти и електроенергията, предвидени в Директива 2003/96/EО на Съвета</w:t>
      </w:r>
      <w:r>
        <w:rPr>
          <w:rStyle w:val="FootnoteReference"/>
          <w:noProof/>
        </w:rPr>
        <w:footnoteReference w:id="33"/>
      </w:r>
      <w:r>
        <w:rPr>
          <w:noProof/>
        </w:rPr>
        <w:t>;</w:t>
      </w:r>
    </w:p>
    <w:p>
      <w:pPr>
        <w:pStyle w:val="Point1"/>
        <w:rPr>
          <w:noProof/>
        </w:rPr>
      </w:pPr>
      <w:r>
        <w:rPr>
          <w:noProof/>
        </w:rPr>
        <w:t>д)</w:t>
      </w:r>
      <w:r>
        <w:rPr>
          <w:noProof/>
        </w:rPr>
        <w:tab/>
        <w:t>други данъци и такси, попадащи в обхвата на член 2, параграф 1, буква а) от Директива 2010/24/ЕС на Съвета</w:t>
      </w:r>
      <w:r>
        <w:rPr>
          <w:rStyle w:val="FootnoteReference"/>
          <w:noProof/>
        </w:rPr>
        <w:footnoteReference w:id="34"/>
      </w:r>
      <w:r>
        <w:rPr>
          <w:noProof/>
        </w:rPr>
        <w:t xml:space="preserve">, доколкото са от значение за единия пазар и за административното сътрудничество между държавите членки; </w:t>
      </w:r>
    </w:p>
    <w:p>
      <w:pPr>
        <w:pStyle w:val="Point0number"/>
        <w:rPr>
          <w:noProof/>
        </w:rPr>
      </w:pPr>
      <w:r>
        <w:rPr>
          <w:noProof/>
        </w:rPr>
        <w:t xml:space="preserve">„данъчни органи“ са публичните органи и други органи, които отговарят за данъчното облагане или за дейностите, свързани с данъците; </w:t>
      </w:r>
    </w:p>
    <w:p>
      <w:pPr>
        <w:pStyle w:val="Point0number"/>
        <w:rPr>
          <w:noProof/>
        </w:rPr>
      </w:pPr>
      <w:r>
        <w:rPr>
          <w:noProof/>
        </w:rPr>
        <w:t xml:space="preserve">„европейски електронни системи“ са електронните системи, които са необходими за данъчното облагане и за изпълнението на задачите на данъчните органи; </w:t>
      </w:r>
    </w:p>
    <w:p>
      <w:pPr>
        <w:pStyle w:val="Point0number"/>
        <w:rPr>
          <w:noProof/>
        </w:rPr>
      </w:pPr>
      <w:r>
        <w:rPr>
          <w:noProof/>
        </w:rPr>
        <w:t>„трета държава“ е държава, която не е членка на Съюза.</w:t>
      </w:r>
    </w:p>
    <w:p>
      <w:pPr>
        <w:pStyle w:val="Titrearticle"/>
        <w:rPr>
          <w:noProof/>
        </w:rPr>
      </w:pPr>
      <w:r>
        <w:rPr>
          <w:noProof/>
        </w:rPr>
        <w:t>Член 3</w:t>
      </w:r>
    </w:p>
    <w:p>
      <w:pPr>
        <w:pStyle w:val="Titrearticle"/>
        <w:rPr>
          <w:noProof/>
        </w:rPr>
      </w:pPr>
      <w:r>
        <w:rPr>
          <w:noProof/>
        </w:rPr>
        <w:t>Цели на Програмата</w:t>
      </w:r>
    </w:p>
    <w:p>
      <w:pPr>
        <w:pStyle w:val="ManualNumPar1"/>
        <w:rPr>
          <w:noProof/>
        </w:rPr>
      </w:pPr>
      <w:r>
        <w:t>1.</w:t>
      </w:r>
      <w:r>
        <w:tab/>
      </w:r>
      <w:r>
        <w:rPr>
          <w:noProof/>
        </w:rPr>
        <w:t xml:space="preserve">Общата цел на Програмата е оказване на подкрепа за данъчните органи и подпомагане на данъчното облагане с цел подобряване на работата на единния пазар, повишаване на конкурентоспособността на Съюза и защита на финансовите и икономическите интереси на Съюза и неговите държави членки. </w:t>
      </w:r>
    </w:p>
    <w:p>
      <w:pPr>
        <w:pStyle w:val="ManualNumPar1"/>
        <w:rPr>
          <w:noProof/>
        </w:rPr>
      </w:pPr>
      <w:r>
        <w:t>2.</w:t>
      </w:r>
      <w:r>
        <w:tab/>
      </w:r>
      <w:r>
        <w:rPr>
          <w:noProof/>
        </w:rPr>
        <w:t xml:space="preserve">Конкретната цел на Програмата е подпомагане на данъчната политика, данъчното сътрудничество и изграждането на административния капацитет, в т.ч. компетентностите на служителите и разработването и експлоатацията на европейските електронни системи. </w:t>
      </w:r>
    </w:p>
    <w:p>
      <w:pPr>
        <w:pStyle w:val="Titrearticle"/>
        <w:rPr>
          <w:noProof/>
        </w:rPr>
      </w:pPr>
      <w:r>
        <w:rPr>
          <w:noProof/>
        </w:rPr>
        <w:t>Член 4</w:t>
      </w:r>
    </w:p>
    <w:p>
      <w:pPr>
        <w:pStyle w:val="Titrearticle"/>
        <w:rPr>
          <w:noProof/>
        </w:rPr>
      </w:pPr>
      <w:r>
        <w:rPr>
          <w:noProof/>
        </w:rPr>
        <w:t>Бюджет</w:t>
      </w:r>
    </w:p>
    <w:p>
      <w:pPr>
        <w:pStyle w:val="ManualNumPar1"/>
        <w:rPr>
          <w:noProof/>
        </w:rPr>
      </w:pPr>
      <w:r>
        <w:t>1.</w:t>
      </w:r>
      <w:r>
        <w:tab/>
      </w:r>
      <w:r>
        <w:rPr>
          <w:noProof/>
        </w:rPr>
        <w:t>Финансовият пакет за изпълнението на Програмата за периода 2021 – 2027 г. е 270 000 000 EUR по текущи цени.</w:t>
      </w:r>
    </w:p>
    <w:p>
      <w:pPr>
        <w:pStyle w:val="ManualNumPar1"/>
        <w:rPr>
          <w:noProof/>
        </w:rPr>
      </w:pPr>
      <w:r>
        <w:t>2.</w:t>
      </w:r>
      <w:r>
        <w:tab/>
      </w:r>
      <w:r>
        <w:rPr>
          <w:noProof/>
        </w:rPr>
        <w:t>Сумата по параграф 1 може да бъде използвана и за покриване на разходите за дейностите по подготовка, наблюдение, контрол, одитиране, оценяване и други дейности по управлението на Програмата, както и за оценяване на постигането на нейните цели. По нея освен това може да се покриват разходи във връзка с проучвания, срещи на експерти, информационни и съобщителни дейности, доколкото те са свързани с целите на Програмата, както и разходи, свързани с информационнотехнологични (ИТ) мрежи, предназначени за обработката и обмена на информация, в т.ч. вътрешноведомствени ИТ средства и друга техническа и административна помощ, необходима във връзка с управлението на Програмата.</w:t>
      </w:r>
    </w:p>
    <w:p>
      <w:pPr>
        <w:pStyle w:val="Titrearticle"/>
        <w:rPr>
          <w:noProof/>
        </w:rPr>
      </w:pPr>
      <w:r>
        <w:rPr>
          <w:noProof/>
        </w:rPr>
        <w:t>Член 5</w:t>
      </w:r>
    </w:p>
    <w:p>
      <w:pPr>
        <w:pStyle w:val="Titrearticle"/>
        <w:rPr>
          <w:noProof/>
        </w:rPr>
      </w:pPr>
      <w:r>
        <w:rPr>
          <w:noProof/>
        </w:rPr>
        <w:t>Трети държави, участващи в Програмата</w:t>
      </w:r>
    </w:p>
    <w:p>
      <w:pPr>
        <w:rPr>
          <w:noProof/>
        </w:rPr>
      </w:pPr>
      <w:r>
        <w:rPr>
          <w:noProof/>
        </w:rPr>
        <w:t>Програмата е отворена за следните трети държави:</w:t>
      </w:r>
    </w:p>
    <w:p>
      <w:pPr>
        <w:pStyle w:val="Point0"/>
        <w:rPr>
          <w:noProof/>
        </w:rPr>
      </w:pPr>
      <w:r>
        <w:rPr>
          <w:noProof/>
        </w:rPr>
        <w:t>а)</w:t>
      </w:r>
      <w:r>
        <w:rPr>
          <w:noProof/>
        </w:rPr>
        <w:tab/>
        <w:t>присъединяващи се държави, държави кандидатки и потенциални кандидати – в съответствие с общите принципи и общите условия и ред за участието на тези държави в програмите на Съюза, определени в съответните рамкови споразумения и решения на Съвета за асоцииране или в подобни споразумения, и в съответствие с особените условия, определени в споразуменията между Съюза и тези държави;</w:t>
      </w:r>
    </w:p>
    <w:p>
      <w:pPr>
        <w:pStyle w:val="Point0"/>
        <w:rPr>
          <w:noProof/>
        </w:rPr>
      </w:pPr>
      <w:r>
        <w:rPr>
          <w:noProof/>
        </w:rPr>
        <w:t>б)</w:t>
      </w:r>
      <w:r>
        <w:rPr>
          <w:noProof/>
        </w:rPr>
        <w:tab/>
        <w:t>държави, попадащи в обхвата на европейската политика за съседство – в съответствие с общите принципи и общите условия и ред за участието на тези държави в програмите на Съюза, определени в съответните рамкови споразумения и решения на Съвета за асоцииране или в подобни споразумения, и в съответствие с особените условия, определени в споразуменията между Съюза и тези държави, ако тези държави са достигнали достатъчно равнище на сближаване на относимото си законодателство и административни методи към тези на Съюза;</w:t>
      </w:r>
    </w:p>
    <w:p>
      <w:pPr>
        <w:pStyle w:val="Point0"/>
        <w:rPr>
          <w:noProof/>
        </w:rPr>
      </w:pPr>
      <w:r>
        <w:rPr>
          <w:noProof/>
        </w:rPr>
        <w:t>в)</w:t>
      </w:r>
      <w:r>
        <w:rPr>
          <w:noProof/>
        </w:rPr>
        <w:tab/>
        <w:t xml:space="preserve">други трети държави – в съответствие с условията, определени в нарочно споразумение, с което се урежда участието на третата държава в дадена програма на Съюза, ако: </w:t>
      </w:r>
    </w:p>
    <w:p>
      <w:pPr>
        <w:pStyle w:val="Tiret1"/>
        <w:numPr>
          <w:ilvl w:val="0"/>
          <w:numId w:val="32"/>
        </w:numPr>
        <w:rPr>
          <w:noProof/>
        </w:rPr>
      </w:pPr>
      <w:r>
        <w:rPr>
          <w:noProof/>
        </w:rPr>
        <w:t>със споразумението се осигурява справедливо съотношение между вноските на третата държава за финансиране на програмите на Съюза и ползите от участието ѝ в тях;</w:t>
      </w:r>
    </w:p>
    <w:p>
      <w:pPr>
        <w:pStyle w:val="Tiret1"/>
        <w:rPr>
          <w:noProof/>
        </w:rPr>
      </w:pPr>
      <w:r>
        <w:rPr>
          <w:noProof/>
        </w:rPr>
        <w:t xml:space="preserve">със споразумението се определят условията за участие в програмите, в т.ч. изчисляването на финансовите вноски по отделните програми и административните им разходи. Тези вноски представляват целеви приходи съгласно </w:t>
      </w:r>
      <w:r>
        <w:rPr>
          <w:noProof/>
          <w:color w:val="0000FF"/>
        </w:rPr>
        <w:t>член [21, параграф 5]</w:t>
      </w:r>
      <w:r>
        <w:rPr>
          <w:noProof/>
        </w:rPr>
        <w:t xml:space="preserve"> от Регламент </w:t>
      </w:r>
      <w:r>
        <w:rPr>
          <w:noProof/>
          <w:color w:val="0000FF"/>
        </w:rPr>
        <w:t xml:space="preserve"> [2018/XXX] [новия Финансов регламент]</w:t>
      </w:r>
      <w:r>
        <w:rPr>
          <w:noProof/>
        </w:rPr>
        <w:t>;</w:t>
      </w:r>
    </w:p>
    <w:p>
      <w:pPr>
        <w:pStyle w:val="Tiret1"/>
        <w:rPr>
          <w:noProof/>
        </w:rPr>
      </w:pPr>
      <w:r>
        <w:rPr>
          <w:noProof/>
        </w:rPr>
        <w:t>със споразумението на третата държава не се предоставя правомощие да взема решения по отношение на Програмата;</w:t>
      </w:r>
    </w:p>
    <w:p>
      <w:pPr>
        <w:pStyle w:val="Tiret1"/>
        <w:rPr>
          <w:noProof/>
        </w:rPr>
      </w:pPr>
      <w:r>
        <w:rPr>
          <w:noProof/>
        </w:rPr>
        <w:t xml:space="preserve">със споразумението се обезпечават правата на Съюза да осигурява разумно финансово управление и да защитава финансовите си интереси. </w:t>
      </w:r>
    </w:p>
    <w:p>
      <w:pPr>
        <w:pStyle w:val="Titrearticle"/>
        <w:rPr>
          <w:noProof/>
        </w:rPr>
      </w:pPr>
      <w:r>
        <w:rPr>
          <w:noProof/>
        </w:rPr>
        <w:t>Член 6</w:t>
      </w:r>
    </w:p>
    <w:p>
      <w:pPr>
        <w:pStyle w:val="Titrearticle"/>
        <w:rPr>
          <w:noProof/>
        </w:rPr>
      </w:pPr>
      <w:r>
        <w:rPr>
          <w:noProof/>
        </w:rPr>
        <w:t>Изпълнение и форми на финансиране от ЕС</w:t>
      </w:r>
    </w:p>
    <w:p>
      <w:pPr>
        <w:pStyle w:val="ManualNumPar1"/>
        <w:rPr>
          <w:noProof/>
        </w:rPr>
      </w:pPr>
      <w:r>
        <w:t>1.</w:t>
      </w:r>
      <w:r>
        <w:tab/>
      </w:r>
      <w:r>
        <w:rPr>
          <w:noProof/>
        </w:rPr>
        <w:t xml:space="preserve">Програмата се изпълнява при пряко управление в съответствие с Финансовия регламент. </w:t>
      </w:r>
    </w:p>
    <w:p>
      <w:pPr>
        <w:pStyle w:val="ManualNumPar1"/>
        <w:rPr>
          <w:noProof/>
        </w:rPr>
      </w:pPr>
      <w:r>
        <w:t>2.</w:t>
      </w:r>
      <w:r>
        <w:tab/>
      </w:r>
      <w:r>
        <w:rPr>
          <w:noProof/>
        </w:rPr>
        <w:t xml:space="preserve">По Програмата може да се предоставя финансиране под всяка от формите, предвидени във Финансовия регламент, по-специално безвъзмездни средства, награди, обществени поръчки и възстановяване на пътните, дневните и квартирните разходи на външни експерти. </w:t>
      </w:r>
    </w:p>
    <w:p>
      <w:pPr>
        <w:pStyle w:val="Titrearticle"/>
        <w:rPr>
          <w:noProof/>
        </w:rPr>
      </w:pPr>
      <w:r>
        <w:rPr>
          <w:noProof/>
        </w:rPr>
        <w:t>ГЛАВА II</w:t>
      </w:r>
    </w:p>
    <w:p>
      <w:pPr>
        <w:pStyle w:val="Titrearticle"/>
        <w:rPr>
          <w:noProof/>
        </w:rPr>
      </w:pPr>
      <w:r>
        <w:rPr>
          <w:noProof/>
        </w:rPr>
        <w:t>ДОПУСТИМОСТ</w:t>
      </w:r>
    </w:p>
    <w:p>
      <w:pPr>
        <w:pStyle w:val="Titrearticle"/>
        <w:rPr>
          <w:noProof/>
        </w:rPr>
      </w:pPr>
      <w:r>
        <w:rPr>
          <w:noProof/>
        </w:rPr>
        <w:t>Член 7</w:t>
      </w:r>
    </w:p>
    <w:p>
      <w:pPr>
        <w:pStyle w:val="Titrearticle"/>
        <w:rPr>
          <w:noProof/>
        </w:rPr>
      </w:pPr>
      <w:r>
        <w:rPr>
          <w:noProof/>
        </w:rPr>
        <w:t>Допустими дейности</w:t>
      </w:r>
    </w:p>
    <w:p>
      <w:pPr>
        <w:pStyle w:val="ManualNumPar1"/>
        <w:rPr>
          <w:noProof/>
        </w:rPr>
      </w:pPr>
      <w:r>
        <w:t>1.</w:t>
      </w:r>
      <w:r>
        <w:tab/>
      </w:r>
      <w:r>
        <w:rPr>
          <w:noProof/>
        </w:rPr>
        <w:t xml:space="preserve">Допустими за финансиране са само дейностите в изпълнение на целите по член 3. </w:t>
      </w:r>
    </w:p>
    <w:p>
      <w:pPr>
        <w:pStyle w:val="ManualNumPar1"/>
        <w:rPr>
          <w:noProof/>
        </w:rPr>
      </w:pPr>
      <w:r>
        <w:t>2.</w:t>
      </w:r>
      <w:r>
        <w:tab/>
      </w:r>
      <w:r>
        <w:rPr>
          <w:noProof/>
        </w:rPr>
        <w:t>Дейностите по параграф 1 включват следното:</w:t>
      </w:r>
    </w:p>
    <w:p>
      <w:pPr>
        <w:pStyle w:val="Point1"/>
        <w:rPr>
          <w:noProof/>
        </w:rPr>
      </w:pPr>
      <w:r>
        <w:rPr>
          <w:noProof/>
        </w:rPr>
        <w:t>а)</w:t>
      </w:r>
      <w:r>
        <w:rPr>
          <w:noProof/>
        </w:rPr>
        <w:tab/>
        <w:t>срещи и подобни събития по конкретни поводи;</w:t>
      </w:r>
    </w:p>
    <w:p>
      <w:pPr>
        <w:pStyle w:val="Point1"/>
        <w:rPr>
          <w:noProof/>
        </w:rPr>
      </w:pPr>
      <w:r>
        <w:rPr>
          <w:noProof/>
        </w:rPr>
        <w:t>б)</w:t>
      </w:r>
      <w:r>
        <w:rPr>
          <w:noProof/>
        </w:rPr>
        <w:tab/>
        <w:t xml:space="preserve">структурирано сътрудничество въз основа на проекти; </w:t>
      </w:r>
    </w:p>
    <w:p>
      <w:pPr>
        <w:pStyle w:val="Point1"/>
        <w:rPr>
          <w:noProof/>
        </w:rPr>
      </w:pPr>
      <w:r>
        <w:rPr>
          <w:noProof/>
        </w:rPr>
        <w:t>в)</w:t>
      </w:r>
      <w:r>
        <w:rPr>
          <w:noProof/>
        </w:rPr>
        <w:tab/>
        <w:t xml:space="preserve">дейности за изграждане на ИТ капацитета, по-конкретно разработване и експлоатация на европейските електронни системи; </w:t>
      </w:r>
    </w:p>
    <w:p>
      <w:pPr>
        <w:pStyle w:val="Point1"/>
        <w:rPr>
          <w:noProof/>
        </w:rPr>
      </w:pPr>
      <w:r>
        <w:rPr>
          <w:noProof/>
        </w:rPr>
        <w:t>г)</w:t>
      </w:r>
      <w:r>
        <w:rPr>
          <w:noProof/>
        </w:rPr>
        <w:tab/>
        <w:t>дейности по изграждане на компетентностите и способностите на служителите;</w:t>
      </w:r>
    </w:p>
    <w:p>
      <w:pPr>
        <w:pStyle w:val="Point1"/>
        <w:rPr>
          <w:noProof/>
        </w:rPr>
      </w:pPr>
      <w:r>
        <w:rPr>
          <w:noProof/>
        </w:rPr>
        <w:t>д)</w:t>
      </w:r>
      <w:r>
        <w:rPr>
          <w:noProof/>
        </w:rPr>
        <w:tab/>
        <w:t xml:space="preserve">помощни и други дейности, в т.ч.: </w:t>
      </w:r>
    </w:p>
    <w:p>
      <w:pPr>
        <w:pStyle w:val="Point2number"/>
        <w:numPr>
          <w:ilvl w:val="4"/>
          <w:numId w:val="33"/>
        </w:numPr>
        <w:rPr>
          <w:noProof/>
        </w:rPr>
      </w:pPr>
      <w:r>
        <w:rPr>
          <w:noProof/>
        </w:rPr>
        <w:t xml:space="preserve">проучвания; </w:t>
      </w:r>
    </w:p>
    <w:p>
      <w:pPr>
        <w:pStyle w:val="Point2number"/>
        <w:numPr>
          <w:ilvl w:val="4"/>
          <w:numId w:val="33"/>
        </w:numPr>
        <w:rPr>
          <w:noProof/>
        </w:rPr>
      </w:pPr>
      <w:r>
        <w:rPr>
          <w:noProof/>
        </w:rPr>
        <w:t>дейности във връзка с нововъведения, по-конкретно инициативи за доказване на осъществимостта на идеи, пилотни инициативи и инициативи за изпитване на прототипи;</w:t>
      </w:r>
    </w:p>
    <w:p>
      <w:pPr>
        <w:pStyle w:val="Point2number"/>
        <w:numPr>
          <w:ilvl w:val="4"/>
          <w:numId w:val="33"/>
        </w:numPr>
        <w:rPr>
          <w:noProof/>
        </w:rPr>
      </w:pPr>
      <w:r>
        <w:rPr>
          <w:noProof/>
        </w:rPr>
        <w:t xml:space="preserve">съвместно разработени съобщителни дейности; </w:t>
      </w:r>
    </w:p>
    <w:p>
      <w:pPr>
        <w:pStyle w:val="Point2number"/>
        <w:numPr>
          <w:ilvl w:val="4"/>
          <w:numId w:val="33"/>
        </w:numPr>
        <w:rPr>
          <w:noProof/>
        </w:rPr>
      </w:pPr>
      <w:r>
        <w:rPr>
          <w:noProof/>
        </w:rPr>
        <w:t xml:space="preserve">всякакви други дейности, които са предвидени в работните програми по член 13 и които са необходими за постигането на целите по член 3 или го подпомагат. </w:t>
      </w:r>
    </w:p>
    <w:p>
      <w:pPr>
        <w:pStyle w:val="Text1"/>
        <w:rPr>
          <w:noProof/>
        </w:rPr>
      </w:pPr>
      <w:r>
        <w:rPr>
          <w:noProof/>
        </w:rPr>
        <w:t xml:space="preserve">В приложение 1 се съдържа неизчерпателен списък на възможните форми на дейностите по букви а), б) и г). </w:t>
      </w:r>
    </w:p>
    <w:p>
      <w:pPr>
        <w:pStyle w:val="ManualNumPar1"/>
        <w:rPr>
          <w:noProof/>
        </w:rPr>
      </w:pPr>
      <w:r>
        <w:t>3.</w:t>
      </w:r>
      <w:r>
        <w:tab/>
      </w:r>
      <w:r>
        <w:rPr>
          <w:noProof/>
        </w:rPr>
        <w:t>Дейностите, състоящи се в разработване и експлоатация на приспособявания или разширения на общите компоненти на европейските електронни системи за сътрудничество с трети държави, които не участват в Програмата, или с международни организации, са допустими за финансиране, когато са в интерес на Съюза. Комисията въвежда необходимите административни разпоредби, с които може да се предвиди финансова вноска за тези дейности от засегнатите трети страни.</w:t>
      </w:r>
    </w:p>
    <w:p>
      <w:pPr>
        <w:pStyle w:val="ManualNumPar1"/>
        <w:rPr>
          <w:noProof/>
        </w:rPr>
      </w:pPr>
      <w:r>
        <w:t>4.</w:t>
      </w:r>
      <w:r>
        <w:tab/>
      </w:r>
      <w:r>
        <w:rPr>
          <w:noProof/>
        </w:rPr>
        <w:t xml:space="preserve">Когато дадена дейност за изграждане на ИТ капацитета по параграф 2, буква в) засяга разработването и експлоатацията на европейска електронна система, само разходите, които са свързани с отговорностите, поверени на Комисията по силата на член 11, параграф 2, са допустими за финансиране по Програмата. Разходите, които са свързани с отговорностите, поверени на държавите членки по силата на член 11, параграф 3, са за сметка на държавите членки. </w:t>
      </w:r>
    </w:p>
    <w:p>
      <w:pPr>
        <w:pStyle w:val="Titrearticle"/>
        <w:rPr>
          <w:noProof/>
        </w:rPr>
      </w:pPr>
      <w:r>
        <w:rPr>
          <w:noProof/>
        </w:rPr>
        <w:t>Член 8</w:t>
      </w:r>
    </w:p>
    <w:p>
      <w:pPr>
        <w:pStyle w:val="Titrearticle"/>
        <w:rPr>
          <w:noProof/>
        </w:rPr>
      </w:pPr>
      <w:r>
        <w:rPr>
          <w:noProof/>
        </w:rPr>
        <w:t>Външни експерти</w:t>
      </w:r>
    </w:p>
    <w:p>
      <w:pPr>
        <w:pStyle w:val="ManualNumPar1"/>
        <w:rPr>
          <w:noProof/>
        </w:rPr>
      </w:pPr>
      <w:r>
        <w:t>1.</w:t>
      </w:r>
      <w:r>
        <w:tab/>
      </w:r>
      <w:r>
        <w:rPr>
          <w:noProof/>
        </w:rPr>
        <w:t xml:space="preserve">Когато това е от полза за извършването на дейностите в изпълнение на целите по член 3, представители на органите на държавното управление, в т.ч. от трети държави, които не участват в Програмата по силата на член 5, представители на международни и други съответни организации, на икономически оператори и организации, представляващи икономически оператори, и на гражданското общество може да вземат участие в дейностите, организирани по Програмата, като външни експерти. </w:t>
      </w:r>
    </w:p>
    <w:p>
      <w:pPr>
        <w:pStyle w:val="ManualNumPar1"/>
        <w:rPr>
          <w:noProof/>
        </w:rPr>
      </w:pPr>
      <w:r>
        <w:t>2.</w:t>
      </w:r>
      <w:r>
        <w:tab/>
      </w:r>
      <w:r>
        <w:rPr>
          <w:noProof/>
        </w:rPr>
        <w:t>Разходите на външните експерти по параграф 1 са допустими за възстановяване по Програмата съгласно разпоредбите на член 238 от Финансовия регламент.</w:t>
      </w:r>
    </w:p>
    <w:p>
      <w:pPr>
        <w:pStyle w:val="ManualNumPar1"/>
        <w:rPr>
          <w:noProof/>
        </w:rPr>
      </w:pPr>
      <w:r>
        <w:t>3.</w:t>
      </w:r>
      <w:r>
        <w:tab/>
      </w:r>
      <w:r>
        <w:rPr>
          <w:noProof/>
        </w:rPr>
        <w:t xml:space="preserve">Външните експерти се подбират от Комисията въз основа на техните умения, опит и знания, свързани с конкретната дейност, като се избягват потенциалните конфликти на интереси. </w:t>
      </w:r>
    </w:p>
    <w:p>
      <w:pPr>
        <w:pStyle w:val="Titrearticle"/>
        <w:rPr>
          <w:noProof/>
        </w:rPr>
      </w:pPr>
      <w:r>
        <w:rPr>
          <w:noProof/>
        </w:rPr>
        <w:t>ГЛАВА III</w:t>
      </w:r>
    </w:p>
    <w:p>
      <w:pPr>
        <w:pStyle w:val="Titrearticle"/>
        <w:rPr>
          <w:noProof/>
        </w:rPr>
      </w:pPr>
      <w:r>
        <w:rPr>
          <w:noProof/>
        </w:rPr>
        <w:t>БЕЗВЪЗМЕЗДНИ СРЕДСТВА</w:t>
      </w:r>
    </w:p>
    <w:p>
      <w:pPr>
        <w:pStyle w:val="Titrearticle"/>
        <w:rPr>
          <w:noProof/>
        </w:rPr>
      </w:pPr>
      <w:r>
        <w:rPr>
          <w:noProof/>
        </w:rPr>
        <w:t>Член 9</w:t>
      </w:r>
    </w:p>
    <w:p>
      <w:pPr>
        <w:pStyle w:val="Titrearticle"/>
        <w:rPr>
          <w:noProof/>
        </w:rPr>
      </w:pPr>
      <w:r>
        <w:rPr>
          <w:noProof/>
        </w:rPr>
        <w:t>Отпускане, допълняемост и съчетано финансиране</w:t>
      </w:r>
    </w:p>
    <w:p>
      <w:pPr>
        <w:pStyle w:val="ManualNumPar1"/>
        <w:rPr>
          <w:noProof/>
        </w:rPr>
      </w:pPr>
      <w:r>
        <w:t>1.</w:t>
      </w:r>
      <w:r>
        <w:tab/>
      </w:r>
      <w:r>
        <w:rPr>
          <w:noProof/>
        </w:rPr>
        <w:t xml:space="preserve">Безвъзмездните средства по Програмата се отпускат и управляват в съответствие с дял VІІІ от Финансовия регламент. </w:t>
      </w:r>
    </w:p>
    <w:p>
      <w:pPr>
        <w:pStyle w:val="ManualNumPar1"/>
        <w:rPr>
          <w:noProof/>
        </w:rPr>
      </w:pPr>
      <w:r>
        <w:t>2.</w:t>
      </w:r>
      <w:r>
        <w:tab/>
      </w:r>
      <w:r>
        <w:rPr>
          <w:noProof/>
        </w:rPr>
        <w:t>За дейност, за която е получен финансов принос по друга програма на Съюза, може да бъде получен и финансов принос по Програмата, при условие че приносът не покрива същите разходи. Разпоредбите за всяка програма на Съюза, по която се осигурява финансов принос, се прилагат за съответния ѝ финансов принос за дейността. Общият размер на финансирането не може да надхвърля общия размер на допустимите разходи за дейността, а подкрепата по различните програми на Съюза може да се изчисли пропорционално в съответствие с документите, в които се определят условията за подкрепа.</w:t>
      </w:r>
    </w:p>
    <w:p>
      <w:pPr>
        <w:pStyle w:val="ManualNumPar1"/>
        <w:rPr>
          <w:noProof/>
        </w:rPr>
      </w:pPr>
      <w:r>
        <w:t>3.</w:t>
      </w:r>
      <w:r>
        <w:tab/>
      </w:r>
      <w:r>
        <w:rPr>
          <w:noProof/>
        </w:rPr>
        <w:t xml:space="preserve">По силата на член 198, буква е) от Финансовия регламент безвъзмездните средства се отпускат без покана за представяне на предложения, когато отговарящите на условията организации са данъчни органи на държавите членки и на трети държави, участващи в Програмата по силата на член 5 от настоящия регламент, ако са спазени условията по посочения член. </w:t>
      </w:r>
    </w:p>
    <w:p>
      <w:pPr>
        <w:pStyle w:val="Titrearticle"/>
        <w:rPr>
          <w:noProof/>
        </w:rPr>
      </w:pPr>
      <w:r>
        <w:rPr>
          <w:noProof/>
        </w:rPr>
        <w:t>Член 10</w:t>
      </w:r>
    </w:p>
    <w:p>
      <w:pPr>
        <w:pStyle w:val="Titrearticle"/>
        <w:rPr>
          <w:noProof/>
        </w:rPr>
      </w:pPr>
      <w:r>
        <w:rPr>
          <w:noProof/>
        </w:rPr>
        <w:t>Процент на съфинансиране</w:t>
      </w:r>
    </w:p>
    <w:p>
      <w:pPr>
        <w:pStyle w:val="ManualNumPar1"/>
        <w:rPr>
          <w:noProof/>
        </w:rPr>
      </w:pPr>
      <w:r>
        <w:t>1.</w:t>
      </w:r>
      <w:r>
        <w:tab/>
      </w:r>
      <w:r>
        <w:rPr>
          <w:noProof/>
        </w:rPr>
        <w:t xml:space="preserve">По изключение от член 190 от Финансовия регламент по Програмата може да се финансират до 100 % от допустимите разходи за дадена дейност. </w:t>
      </w:r>
    </w:p>
    <w:p>
      <w:pPr>
        <w:pStyle w:val="ManualNumPar1"/>
        <w:rPr>
          <w:noProof/>
        </w:rPr>
      </w:pPr>
      <w:r>
        <w:t>2.</w:t>
      </w:r>
      <w:r>
        <w:tab/>
      </w:r>
      <w:r>
        <w:rPr>
          <w:noProof/>
        </w:rPr>
        <w:t xml:space="preserve">Когато за дейностите е необходимо отпускането на безвъзмездни средства, приложимият процент на съфинансиране се определя в многогодишните работни програми по член 13. </w:t>
      </w:r>
    </w:p>
    <w:p>
      <w:pPr>
        <w:pStyle w:val="Titrearticle"/>
        <w:rPr>
          <w:noProof/>
        </w:rPr>
      </w:pPr>
      <w:r>
        <w:rPr>
          <w:noProof/>
        </w:rPr>
        <w:t>ГЛАВА IV</w:t>
      </w:r>
    </w:p>
    <w:p>
      <w:pPr>
        <w:pStyle w:val="Titrearticle"/>
        <w:rPr>
          <w:noProof/>
        </w:rPr>
      </w:pPr>
      <w:r>
        <w:rPr>
          <w:noProof/>
        </w:rPr>
        <w:t>ОСОБЕНИ РАЗПОРЕДБИ ЗА ДЕЙНОСТИТЕ ЗА ИЗГРАЖДАНЕ НА ИТ КАПАЦИТЕТА</w:t>
      </w:r>
    </w:p>
    <w:p>
      <w:pPr>
        <w:pStyle w:val="Titrearticle"/>
        <w:rPr>
          <w:noProof/>
        </w:rPr>
      </w:pPr>
      <w:r>
        <w:rPr>
          <w:noProof/>
        </w:rPr>
        <w:t>Член 11</w:t>
      </w:r>
    </w:p>
    <w:p>
      <w:pPr>
        <w:pStyle w:val="Titrearticle"/>
        <w:rPr>
          <w:noProof/>
        </w:rPr>
      </w:pPr>
      <w:r>
        <w:rPr>
          <w:noProof/>
        </w:rPr>
        <w:t>Отговорности</w:t>
      </w:r>
    </w:p>
    <w:p>
      <w:pPr>
        <w:pStyle w:val="ManualNumPar1"/>
        <w:rPr>
          <w:noProof/>
        </w:rPr>
      </w:pPr>
      <w:r>
        <w:t>1.</w:t>
      </w:r>
      <w:r>
        <w:tab/>
      </w:r>
      <w:r>
        <w:rPr>
          <w:noProof/>
        </w:rPr>
        <w:t xml:space="preserve">Комисията и държавите членки съвместно осигуряват разработването и експлоатацията – в т.ч. проектирането, спецификацията, изпитването за съответствие, внедряването, поддръжката, измененията, сигурността, осигуряването на качеството и контрола върху качеството – на европейските електронни системи, посочени в Многогодишния стратегически план за данъчното облагане по член 12. </w:t>
      </w:r>
    </w:p>
    <w:p>
      <w:pPr>
        <w:pStyle w:val="ManualNumPar1"/>
        <w:rPr>
          <w:noProof/>
        </w:rPr>
      </w:pPr>
      <w:r>
        <w:t>2.</w:t>
      </w:r>
      <w:r>
        <w:tab/>
      </w:r>
      <w:r>
        <w:rPr>
          <w:noProof/>
        </w:rPr>
        <w:t>Комисията по-специално осигурява следното:</w:t>
      </w:r>
    </w:p>
    <w:p>
      <w:pPr>
        <w:pStyle w:val="Point1"/>
        <w:rPr>
          <w:noProof/>
        </w:rPr>
      </w:pPr>
      <w:r>
        <w:rPr>
          <w:noProof/>
        </w:rPr>
        <w:t>а)</w:t>
      </w:r>
      <w:r>
        <w:rPr>
          <w:noProof/>
        </w:rPr>
        <w:tab/>
        <w:t xml:space="preserve">разработването и експлоатацията на общите компоненти съгласно Многогодишния стратегически план за данъчното облагане по член 12; </w:t>
      </w:r>
    </w:p>
    <w:p>
      <w:pPr>
        <w:pStyle w:val="Point1"/>
        <w:rPr>
          <w:noProof/>
        </w:rPr>
      </w:pPr>
      <w:r>
        <w:rPr>
          <w:noProof/>
        </w:rPr>
        <w:t>б)</w:t>
      </w:r>
      <w:r>
        <w:rPr>
          <w:noProof/>
        </w:rPr>
        <w:tab/>
        <w:t>цялостното съгласуване на разработването и експлоатацията на европейските електронни системи с оглед на тяхната способност за експлоатация, взаимна свързаност и постоянно усъвършенстване, както и синхронизираното им внедряване;</w:t>
      </w:r>
    </w:p>
    <w:p>
      <w:pPr>
        <w:pStyle w:val="Point1"/>
        <w:rPr>
          <w:noProof/>
        </w:rPr>
      </w:pPr>
      <w:r>
        <w:rPr>
          <w:noProof/>
        </w:rPr>
        <w:t>в)</w:t>
      </w:r>
      <w:r>
        <w:rPr>
          <w:noProof/>
        </w:rPr>
        <w:tab/>
        <w:t xml:space="preserve">съгласуването на съюзно равнище на европейските електронни системи с цел насърчаване на развитието им и внедряването им на национално равнище; </w:t>
      </w:r>
    </w:p>
    <w:p>
      <w:pPr>
        <w:pStyle w:val="Point1"/>
        <w:rPr>
          <w:noProof/>
        </w:rPr>
      </w:pPr>
      <w:r>
        <w:rPr>
          <w:noProof/>
        </w:rPr>
        <w:t>г)</w:t>
      </w:r>
      <w:r>
        <w:rPr>
          <w:noProof/>
        </w:rPr>
        <w:tab/>
        <w:t xml:space="preserve">съгласуването на разработването и експлоатацията на европейските електронни системи по отношение на взаимодействията им с трети страни, с изключение на дейностите за изпълнение на националните изисквания; </w:t>
      </w:r>
    </w:p>
    <w:p>
      <w:pPr>
        <w:pStyle w:val="Point1"/>
        <w:rPr>
          <w:noProof/>
        </w:rPr>
      </w:pPr>
      <w:r>
        <w:rPr>
          <w:noProof/>
        </w:rPr>
        <w:t>д)</w:t>
      </w:r>
      <w:r>
        <w:rPr>
          <w:noProof/>
        </w:rPr>
        <w:tab/>
        <w:t>съгласуването на европейските електронни системи с други значими дейности, свързани с електронното управление на съюзно равнище.</w:t>
      </w:r>
    </w:p>
    <w:p>
      <w:pPr>
        <w:pStyle w:val="ManualNumPar1"/>
        <w:rPr>
          <w:noProof/>
        </w:rPr>
      </w:pPr>
      <w:r>
        <w:t>3.</w:t>
      </w:r>
      <w:r>
        <w:tab/>
      </w:r>
      <w:r>
        <w:rPr>
          <w:noProof/>
        </w:rPr>
        <w:t>Държавите членки осигуряват по-специално следното:</w:t>
      </w:r>
    </w:p>
    <w:p>
      <w:pPr>
        <w:pStyle w:val="Point1"/>
        <w:rPr>
          <w:noProof/>
        </w:rPr>
      </w:pPr>
      <w:r>
        <w:rPr>
          <w:noProof/>
        </w:rPr>
        <w:t>а)</w:t>
      </w:r>
      <w:r>
        <w:rPr>
          <w:noProof/>
        </w:rPr>
        <w:tab/>
        <w:t>разработването и експлоатацията на националните компоненти съгласно Многогодишния стратегически план за данъчното облагане по член 12;</w:t>
      </w:r>
    </w:p>
    <w:p>
      <w:pPr>
        <w:pStyle w:val="Point1"/>
        <w:rPr>
          <w:noProof/>
        </w:rPr>
      </w:pPr>
      <w:r>
        <w:rPr>
          <w:noProof/>
        </w:rPr>
        <w:t>б)</w:t>
      </w:r>
      <w:r>
        <w:rPr>
          <w:noProof/>
        </w:rPr>
        <w:tab/>
        <w:t>съгласуването на разработването и експлоатацията на националните компоненти на европейските електронни системи на национално равнище;</w:t>
      </w:r>
    </w:p>
    <w:p>
      <w:pPr>
        <w:pStyle w:val="Point1"/>
        <w:rPr>
          <w:noProof/>
        </w:rPr>
      </w:pPr>
      <w:r>
        <w:rPr>
          <w:noProof/>
        </w:rPr>
        <w:t>в)</w:t>
      </w:r>
      <w:r>
        <w:rPr>
          <w:noProof/>
        </w:rPr>
        <w:tab/>
        <w:t>съгласуването на европейските електронни системи с други значими дейности, свързани с електронното управление на национално равнище;</w:t>
      </w:r>
    </w:p>
    <w:p>
      <w:pPr>
        <w:pStyle w:val="Point1"/>
        <w:rPr>
          <w:noProof/>
        </w:rPr>
      </w:pPr>
      <w:r>
        <w:rPr>
          <w:noProof/>
        </w:rPr>
        <w:t>г)</w:t>
      </w:r>
      <w:r>
        <w:rPr>
          <w:noProof/>
        </w:rPr>
        <w:tab/>
        <w:t>редовното предоставяне на Комисията на информация относно предприетите мерки, позволяващи на съответните органи или икономически оператори да използват в пълна степен европейските електронни системи;</w:t>
      </w:r>
    </w:p>
    <w:p>
      <w:pPr>
        <w:pStyle w:val="Point1"/>
        <w:rPr>
          <w:noProof/>
        </w:rPr>
      </w:pPr>
      <w:r>
        <w:rPr>
          <w:noProof/>
        </w:rPr>
        <w:t>д)</w:t>
      </w:r>
      <w:r>
        <w:rPr>
          <w:noProof/>
        </w:rPr>
        <w:tab/>
        <w:t xml:space="preserve">внедряването на европейските електронни системи на национално равнище. </w:t>
      </w:r>
    </w:p>
    <w:p>
      <w:pPr>
        <w:pStyle w:val="Titrearticle"/>
        <w:rPr>
          <w:noProof/>
        </w:rPr>
      </w:pPr>
      <w:r>
        <w:rPr>
          <w:noProof/>
        </w:rPr>
        <w:t>Член 12</w:t>
      </w:r>
    </w:p>
    <w:p>
      <w:pPr>
        <w:pStyle w:val="Titrearticle"/>
        <w:rPr>
          <w:noProof/>
        </w:rPr>
      </w:pPr>
      <w:r>
        <w:rPr>
          <w:noProof/>
        </w:rPr>
        <w:t>Многогодишен стратегически план за данъчното облагане (МГСП-ДО)</w:t>
      </w:r>
    </w:p>
    <w:p>
      <w:pPr>
        <w:pStyle w:val="ManualNumPar1"/>
        <w:rPr>
          <w:noProof/>
        </w:rPr>
      </w:pPr>
      <w:r>
        <w:t>1.</w:t>
      </w:r>
      <w:r>
        <w:tab/>
      </w:r>
      <w:r>
        <w:rPr>
          <w:noProof/>
        </w:rPr>
        <w:t xml:space="preserve">Комисията съставя и редовно обновява Многогодишния стратегически план за данъчното облагане (МГСП-ДО), в който се посочват всички задачи във връзка с разработването и експлоатацията на европейските електронни системи и в който всяка система или част от система се определя като: </w:t>
      </w:r>
    </w:p>
    <w:p>
      <w:pPr>
        <w:pStyle w:val="Point1"/>
        <w:rPr>
          <w:noProof/>
        </w:rPr>
      </w:pPr>
      <w:r>
        <w:rPr>
          <w:noProof/>
        </w:rPr>
        <w:t>а)</w:t>
      </w:r>
      <w:r>
        <w:rPr>
          <w:noProof/>
        </w:rPr>
        <w:tab/>
        <w:t xml:space="preserve">общ компонент: компонент на европейските електронни системи, разработен на съюзно равнище, който е на разположение на всички държави членки или е определен от Комисията като общ от съображения за ефикасност, сигурност и рационализация; </w:t>
      </w:r>
    </w:p>
    <w:p>
      <w:pPr>
        <w:pStyle w:val="Point1"/>
        <w:rPr>
          <w:noProof/>
        </w:rPr>
      </w:pPr>
      <w:r>
        <w:rPr>
          <w:noProof/>
        </w:rPr>
        <w:t>б)</w:t>
      </w:r>
      <w:r>
        <w:rPr>
          <w:noProof/>
        </w:rPr>
        <w:tab/>
        <w:t>национален компонент: компонент на европейските електронни системи, разработен на национално равнище, който е на разположение в държавата членка, която го е създала или е допринесла за създаването му;</w:t>
      </w:r>
    </w:p>
    <w:p>
      <w:pPr>
        <w:pStyle w:val="Point1"/>
        <w:rPr>
          <w:noProof/>
        </w:rPr>
      </w:pPr>
      <w:r>
        <w:rPr>
          <w:noProof/>
        </w:rPr>
        <w:t>в)</w:t>
      </w:r>
      <w:r>
        <w:rPr>
          <w:noProof/>
        </w:rPr>
        <w:tab/>
        <w:t>или съчетание от двете.</w:t>
      </w:r>
    </w:p>
    <w:p>
      <w:pPr>
        <w:pStyle w:val="ManualNumPar1"/>
        <w:rPr>
          <w:noProof/>
        </w:rPr>
      </w:pPr>
      <w:r>
        <w:t>2.</w:t>
      </w:r>
      <w:r>
        <w:tab/>
      </w:r>
      <w:r>
        <w:rPr>
          <w:noProof/>
        </w:rPr>
        <w:t>В Многогодишния стратегически план за данъчното облагане се включват и новаторски и пилотни дейности, както и помощните методики и инструменти, свързани с европейските електронни системи.</w:t>
      </w:r>
    </w:p>
    <w:p>
      <w:pPr>
        <w:pStyle w:val="ManualNumPar1"/>
        <w:rPr>
          <w:noProof/>
        </w:rPr>
      </w:pPr>
      <w:r>
        <w:t>3.</w:t>
      </w:r>
      <w:r>
        <w:tab/>
      </w:r>
      <w:r>
        <w:rPr>
          <w:noProof/>
        </w:rPr>
        <w:t xml:space="preserve">Държавите членки уведомяват Комисията за завършването на всяка задача, която им е възложена съгласно Многогодишния стратегически план за данъчното облагане по параграф 1. Освен това те редовно докладват на Комисията за напредъка по изпълнението на задачите си. </w:t>
      </w:r>
    </w:p>
    <w:p>
      <w:pPr>
        <w:pStyle w:val="ManualNumPar1"/>
        <w:rPr>
          <w:noProof/>
        </w:rPr>
      </w:pPr>
      <w:r>
        <w:t>4.</w:t>
      </w:r>
      <w:r>
        <w:tab/>
      </w:r>
      <w:r>
        <w:rPr>
          <w:noProof/>
        </w:rPr>
        <w:t xml:space="preserve">До 31 март всяка година държавите членки представят на Комисията годишни доклади за напредъка по изпълнението на Многогодишния стратегически план за данъчното облагане по параграф 1, обхващащи периода от 1 януари до 31 декември предходната година. Тези годишни доклади се съставят под предварително установена форма. </w:t>
      </w:r>
    </w:p>
    <w:p>
      <w:pPr>
        <w:pStyle w:val="ManualNumPar1"/>
        <w:rPr>
          <w:noProof/>
        </w:rPr>
      </w:pPr>
      <w:r>
        <w:t>5.</w:t>
      </w:r>
      <w:r>
        <w:tab/>
      </w:r>
      <w:r>
        <w:rPr>
          <w:noProof/>
        </w:rPr>
        <w:t xml:space="preserve">До 31 октомври всяка година въз основа на годишните доклади по параграф 4 Комисията съставя обобщен доклад, в който оценява напредъка по изпълнението на плана по параграф 1, постигнат от държавите членки и самата нея, и оповестява този доклад пред обществеността. </w:t>
      </w:r>
    </w:p>
    <w:p>
      <w:pPr>
        <w:pStyle w:val="Titrearticle"/>
        <w:rPr>
          <w:noProof/>
        </w:rPr>
      </w:pPr>
      <w:r>
        <w:rPr>
          <w:noProof/>
        </w:rPr>
        <w:t>ГЛАВА V</w:t>
      </w:r>
    </w:p>
    <w:p>
      <w:pPr>
        <w:pStyle w:val="Titrearticle"/>
        <w:rPr>
          <w:noProof/>
        </w:rPr>
      </w:pPr>
      <w:r>
        <w:rPr>
          <w:noProof/>
        </w:rPr>
        <w:t>ПРОГРАМИРАНЕ, НАБЛЮДЕНИЕ, ОЦЕНЯВАНЕ И КОНТРОЛ</w:t>
      </w:r>
    </w:p>
    <w:p>
      <w:pPr>
        <w:pStyle w:val="Titrearticle"/>
        <w:rPr>
          <w:noProof/>
        </w:rPr>
      </w:pPr>
      <w:r>
        <w:rPr>
          <w:noProof/>
        </w:rPr>
        <w:t>Член 13</w:t>
      </w:r>
    </w:p>
    <w:p>
      <w:pPr>
        <w:pStyle w:val="Titrearticle"/>
        <w:rPr>
          <w:noProof/>
        </w:rPr>
      </w:pPr>
      <w:r>
        <w:rPr>
          <w:noProof/>
        </w:rPr>
        <w:t>Работна програма</w:t>
      </w:r>
    </w:p>
    <w:p>
      <w:pPr>
        <w:pStyle w:val="ManualNumPar1"/>
        <w:rPr>
          <w:noProof/>
        </w:rPr>
      </w:pPr>
      <w:r>
        <w:t>1.</w:t>
      </w:r>
      <w:r>
        <w:tab/>
      </w:r>
      <w:r>
        <w:rPr>
          <w:noProof/>
        </w:rPr>
        <w:t xml:space="preserve">Програмата се изпълнява чрез многогодишните работни програми по член 108 от Финансовия регламент. </w:t>
      </w:r>
    </w:p>
    <w:p>
      <w:pPr>
        <w:pStyle w:val="ManualNumPar1"/>
        <w:rPr>
          <w:noProof/>
        </w:rPr>
      </w:pPr>
      <w:r>
        <w:t>2.</w:t>
      </w:r>
      <w:r>
        <w:tab/>
      </w:r>
      <w:r>
        <w:rPr>
          <w:noProof/>
        </w:rPr>
        <w:t>Многогодишните работни програми се приемат от Комисията посредством актове за изпълнение. Тези актове за изпълнение се приемат по процедурата по член 18, параграф 2.</w:t>
      </w:r>
    </w:p>
    <w:p>
      <w:pPr>
        <w:pStyle w:val="Titrearticle"/>
        <w:rPr>
          <w:noProof/>
        </w:rPr>
      </w:pPr>
      <w:r>
        <w:rPr>
          <w:noProof/>
        </w:rPr>
        <w:t>Член 14</w:t>
      </w:r>
    </w:p>
    <w:p>
      <w:pPr>
        <w:pStyle w:val="Titrearticle"/>
        <w:rPr>
          <w:noProof/>
        </w:rPr>
      </w:pPr>
      <w:r>
        <w:rPr>
          <w:noProof/>
        </w:rPr>
        <w:t>Наблюдение и отчитане</w:t>
      </w:r>
    </w:p>
    <w:p>
      <w:pPr>
        <w:pStyle w:val="ManualNumPar1"/>
        <w:rPr>
          <w:noProof/>
        </w:rPr>
      </w:pPr>
      <w:r>
        <w:t>1.</w:t>
      </w:r>
      <w:r>
        <w:tab/>
      </w:r>
      <w:r>
        <w:rPr>
          <w:noProof/>
        </w:rPr>
        <w:t xml:space="preserve">Показателите за отчитане на напредъка по Програмата по отношение постигането на конкретните цели, определени в член 3, се съдържат в приложение 2. </w:t>
      </w:r>
    </w:p>
    <w:p>
      <w:pPr>
        <w:pStyle w:val="ManualNumPar1"/>
        <w:rPr>
          <w:noProof/>
        </w:rPr>
      </w:pPr>
      <w:r>
        <w:t>2.</w:t>
      </w:r>
      <w:r>
        <w:tab/>
      </w:r>
      <w:r>
        <w:rPr>
          <w:noProof/>
        </w:rPr>
        <w:t xml:space="preserve">За да осигури ефективно оценяване на напредъка по отношение постигането на целите на Програмата, на Комисията се предоставя правомощието да приема делегирани актове по реда на член 17, с които да изменя приложение 2 с цел преразглеждане или допълване на показателите при необходимост и да допълва настоящия регламент с разпоредби за установяване на рамка за наблюдението и оценяването. </w:t>
      </w:r>
    </w:p>
    <w:p>
      <w:pPr>
        <w:pStyle w:val="ManualNumPar1"/>
        <w:rPr>
          <w:noProof/>
        </w:rPr>
      </w:pPr>
      <w:r>
        <w:t>3.</w:t>
      </w:r>
      <w:r>
        <w:tab/>
      </w:r>
      <w:r>
        <w:rPr>
          <w:noProof/>
        </w:rPr>
        <w:t>Системата за отчитане на изпълнението трябва да осигурява ефикасно, ефективно и навременно събиране на данните за наблюдението върху изпълнението на Програмата и нейните резултати. За тази цел по отношение на получателите на средства от Съюза се налагат пропорционални изисквания за отчитане.</w:t>
      </w:r>
    </w:p>
    <w:p>
      <w:pPr>
        <w:pStyle w:val="Titrearticle"/>
        <w:rPr>
          <w:noProof/>
        </w:rPr>
      </w:pPr>
      <w:r>
        <w:rPr>
          <w:noProof/>
        </w:rPr>
        <w:t>Член 15</w:t>
      </w:r>
    </w:p>
    <w:p>
      <w:pPr>
        <w:pStyle w:val="Titrearticle"/>
        <w:rPr>
          <w:noProof/>
        </w:rPr>
      </w:pPr>
      <w:r>
        <w:rPr>
          <w:noProof/>
        </w:rPr>
        <w:t>Оценяване</w:t>
      </w:r>
    </w:p>
    <w:p>
      <w:pPr>
        <w:pStyle w:val="ManualNumPar1"/>
        <w:rPr>
          <w:noProof/>
        </w:rPr>
      </w:pPr>
      <w:r>
        <w:t>1.</w:t>
      </w:r>
      <w:r>
        <w:tab/>
      </w:r>
      <w:r>
        <w:rPr>
          <w:noProof/>
        </w:rPr>
        <w:t>Извършват се навременни оценки, които да послужат в процеса на вземане на решения.</w:t>
      </w:r>
    </w:p>
    <w:p>
      <w:pPr>
        <w:pStyle w:val="ManualNumPar1"/>
        <w:rPr>
          <w:noProof/>
        </w:rPr>
      </w:pPr>
      <w:r>
        <w:t>2.</w:t>
      </w:r>
      <w:r>
        <w:tab/>
      </w:r>
      <w:r>
        <w:rPr>
          <w:noProof/>
        </w:rPr>
        <w:t>Междинната оценка на Програмата се извършва, когато за изпълнението на Програмата има достатъчно налична информация, но не по-късно от четири години след началото на изпълнението ѝ.</w:t>
      </w:r>
    </w:p>
    <w:p>
      <w:pPr>
        <w:pStyle w:val="ManualNumPar1"/>
        <w:rPr>
          <w:noProof/>
        </w:rPr>
      </w:pPr>
      <w:r>
        <w:t>3.</w:t>
      </w:r>
      <w:r>
        <w:tab/>
      </w:r>
      <w:r>
        <w:rPr>
          <w:noProof/>
        </w:rPr>
        <w:t>В края на изпълнението на Програмата, но не по-късно от четири години след края на периода по член 1 Комисията извършва окончателна оценка на Програмата.</w:t>
      </w:r>
    </w:p>
    <w:p>
      <w:pPr>
        <w:pStyle w:val="ManualNumPar1"/>
        <w:rPr>
          <w:noProof/>
        </w:rPr>
      </w:pPr>
      <w:r>
        <w:t>4.</w:t>
      </w:r>
      <w:r>
        <w:tab/>
      </w:r>
      <w:r>
        <w:rPr>
          <w:noProof/>
        </w:rPr>
        <w:t>Комисията съобщава заключенията от оценките, заедно със своите наблюдения, на Европейския парламент, Съвета, Европейския икономически и социален комитет и Комитета на регионите.</w:t>
      </w:r>
    </w:p>
    <w:p>
      <w:pPr>
        <w:pStyle w:val="Titrearticle"/>
        <w:rPr>
          <w:noProof/>
        </w:rPr>
      </w:pPr>
      <w:r>
        <w:rPr>
          <w:noProof/>
        </w:rPr>
        <w:t>Член 16</w:t>
      </w:r>
    </w:p>
    <w:p>
      <w:pPr>
        <w:pStyle w:val="Titrearticle"/>
        <w:rPr>
          <w:noProof/>
        </w:rPr>
      </w:pPr>
      <w:r>
        <w:rPr>
          <w:noProof/>
        </w:rPr>
        <w:t>Одити и разследвания</w:t>
      </w:r>
    </w:p>
    <w:p>
      <w:pPr>
        <w:rPr>
          <w:noProof/>
        </w:rPr>
      </w:pPr>
      <w:r>
        <w:rPr>
          <w:noProof/>
        </w:rPr>
        <w:t>Когато трета държава участва в Програмата с решение въз основа на международно споразумение или по силата на друг правен акт, тази трета държава предоставя правата и достъпа, които са необходими на отговорния разпоредител с бюджетни кредити, на Европейската служба за борба с измамите (OLAF) и на Европейската сметна палата, за да упражняват те в пълна степен съответната си компетентност. По отношение на OLAF тези права включват правото да се извършват разследвания, включително проверки и инспекции на място, предвидени в Регламент (ЕС, Евратом) № 883/2013 на Европейския парламент и на Съвета относно разследванията, провеждани от Европейската служба за борба с измамите (OLAF).</w:t>
      </w:r>
    </w:p>
    <w:p>
      <w:pPr>
        <w:pStyle w:val="Titrearticle"/>
        <w:rPr>
          <w:noProof/>
        </w:rPr>
      </w:pPr>
      <w:r>
        <w:rPr>
          <w:noProof/>
        </w:rPr>
        <w:t>ГЛАВА VI</w:t>
      </w:r>
    </w:p>
    <w:p>
      <w:pPr>
        <w:pStyle w:val="Titrearticle"/>
        <w:rPr>
          <w:noProof/>
        </w:rPr>
      </w:pPr>
      <w:r>
        <w:rPr>
          <w:noProof/>
        </w:rPr>
        <w:t>УПРАЖНЯВАНЕ НА ДЕЛЕГИРАНЕТО И ПРОЦЕДУРА НА КОМИТЕТА</w:t>
      </w:r>
    </w:p>
    <w:p>
      <w:pPr>
        <w:pStyle w:val="Titrearticle"/>
        <w:rPr>
          <w:noProof/>
        </w:rPr>
      </w:pPr>
      <w:r>
        <w:rPr>
          <w:noProof/>
        </w:rPr>
        <w:t>Член 17</w:t>
      </w:r>
    </w:p>
    <w:p>
      <w:pPr>
        <w:pStyle w:val="Titrearticle"/>
        <w:rPr>
          <w:noProof/>
        </w:rPr>
      </w:pPr>
      <w:r>
        <w:rPr>
          <w:noProof/>
        </w:rPr>
        <w:t>Упражняване на делегирането</w:t>
      </w:r>
    </w:p>
    <w:p>
      <w:pPr>
        <w:pStyle w:val="ManualNumPar1"/>
        <w:rPr>
          <w:noProof/>
        </w:rPr>
      </w:pPr>
      <w:r>
        <w:t>1.</w:t>
      </w:r>
      <w:r>
        <w:tab/>
      </w:r>
      <w:r>
        <w:rPr>
          <w:noProof/>
        </w:rPr>
        <w:t>Правомощието да приема делегирани актове се предоставя на Комисията при спазване на предвидените в настоящия член условия.</w:t>
      </w:r>
    </w:p>
    <w:p>
      <w:pPr>
        <w:pStyle w:val="ManualNumPar1"/>
        <w:rPr>
          <w:noProof/>
        </w:rPr>
      </w:pPr>
      <w:r>
        <w:t>2.</w:t>
      </w:r>
      <w:r>
        <w:tab/>
      </w:r>
      <w:r>
        <w:rPr>
          <w:noProof/>
        </w:rPr>
        <w:t xml:space="preserve">Правомощието да приема делегирани актове по член 14, параграф 2 се предоставя на Комисията за срок до 31 декември 2028 г. </w:t>
      </w:r>
    </w:p>
    <w:p>
      <w:pPr>
        <w:pStyle w:val="ManualNumPar1"/>
        <w:rPr>
          <w:noProof/>
        </w:rPr>
      </w:pPr>
      <w:r>
        <w:t>3.</w:t>
      </w:r>
      <w:r>
        <w:tab/>
      </w:r>
      <w:r>
        <w:rPr>
          <w:noProof/>
        </w:rPr>
        <w:t xml:space="preserve">Делегираното правомощие по член 14, параграф 2 може да бъде оттеглено по всяко време от Европейския парламент или от Съвета. С решението за оттегляне се прекратява посоченото в него делегирано правомощие. Оттеглянето поражда действие в деня след публикуването на решението в </w:t>
      </w:r>
      <w:r>
        <w:rPr>
          <w:i/>
          <w:noProof/>
        </w:rPr>
        <w:t>Официален вестник на Европейския съюз</w:t>
      </w:r>
      <w:r>
        <w:rPr>
          <w:noProof/>
        </w:rPr>
        <w:t xml:space="preserve"> или на по-късна дата, посочена в решението. То не засяга действителността на делегираните актове, които вече са в сила.</w:t>
      </w:r>
    </w:p>
    <w:p>
      <w:pPr>
        <w:pStyle w:val="ManualNumPar1"/>
        <w:rPr>
          <w:noProof/>
        </w:rPr>
      </w:pPr>
      <w:r>
        <w:t>4.</w:t>
      </w:r>
      <w:r>
        <w:tab/>
      </w:r>
      <w:r>
        <w:rPr>
          <w:noProof/>
        </w:rPr>
        <w:t>Преди приемането на делегиран акт Комисията се консултира с експерти,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w:t>
      </w:r>
    </w:p>
    <w:p>
      <w:pPr>
        <w:pStyle w:val="ManualNumPar1"/>
        <w:rPr>
          <w:noProof/>
        </w:rPr>
      </w:pPr>
      <w:r>
        <w:t>5.</w:t>
      </w:r>
      <w:r>
        <w:tab/>
      </w:r>
      <w:r>
        <w:rPr>
          <w:noProof/>
        </w:rPr>
        <w:t xml:space="preserve">Веднага след като приеме делегиран акт, Комисията уведомява за акта едновременно Европейския парламент и Съвета. </w:t>
      </w:r>
    </w:p>
    <w:p>
      <w:pPr>
        <w:pStyle w:val="ManualNumPar1"/>
        <w:rPr>
          <w:noProof/>
        </w:rPr>
      </w:pPr>
      <w:r>
        <w:t>6.</w:t>
      </w:r>
      <w:r>
        <w:tab/>
      </w:r>
      <w:r>
        <w:rPr>
          <w:noProof/>
        </w:rPr>
        <w:t>Делегиран акт, приет съгласно член 14, параграф 2, влиза в сила единствено ако нито Европейският парламент, нито Съветът са представили възражения в срок от два месеца след уведомяването за този акт на Европейския парламент и на Съвета или ако преди изтичането на този срок и Европейският парламент, и Съветът са уведомили Комисията, че няма да представят възражения. Посоченият срок се удължава с два месеца по инициатива на Европейския парламент или на Съвета.</w:t>
      </w:r>
    </w:p>
    <w:p>
      <w:pPr>
        <w:pStyle w:val="Titrearticle"/>
        <w:rPr>
          <w:noProof/>
        </w:rPr>
      </w:pPr>
      <w:r>
        <w:rPr>
          <w:noProof/>
        </w:rPr>
        <w:t>Член 18</w:t>
      </w:r>
    </w:p>
    <w:p>
      <w:pPr>
        <w:pStyle w:val="Titrearticle"/>
        <w:rPr>
          <w:noProof/>
        </w:rPr>
      </w:pPr>
      <w:r>
        <w:rPr>
          <w:noProof/>
        </w:rPr>
        <w:t>Процедура на комитета</w:t>
      </w:r>
    </w:p>
    <w:p>
      <w:pPr>
        <w:pStyle w:val="ManualNumPar1"/>
        <w:rPr>
          <w:noProof/>
        </w:rPr>
      </w:pPr>
      <w:r>
        <w:t>1.</w:t>
      </w:r>
      <w:r>
        <w:tab/>
      </w:r>
      <w:r>
        <w:rPr>
          <w:noProof/>
        </w:rPr>
        <w:t>Комисията се подпомага от комитет, наричан „Комитет по програма „Фискалис“. Това е комитет по смисъла на Регламент (ЕС) № 182/2011.</w:t>
      </w:r>
    </w:p>
    <w:p>
      <w:pPr>
        <w:pStyle w:val="ManualNumPar1"/>
        <w:rPr>
          <w:noProof/>
        </w:rPr>
      </w:pPr>
      <w:r>
        <w:t>2.</w:t>
      </w:r>
      <w:r>
        <w:tab/>
      </w:r>
      <w:r>
        <w:rPr>
          <w:noProof/>
        </w:rPr>
        <w:t>При позоваване на настоящия параграф се прилага член 5 от Регламент (ЕС) № 182/2011.</w:t>
      </w:r>
    </w:p>
    <w:p>
      <w:pPr>
        <w:pStyle w:val="Titrearticle"/>
        <w:rPr>
          <w:noProof/>
        </w:rPr>
      </w:pPr>
      <w:r>
        <w:rPr>
          <w:noProof/>
        </w:rPr>
        <w:t>ГЛАВА VIІ</w:t>
      </w:r>
    </w:p>
    <w:p>
      <w:pPr>
        <w:pStyle w:val="Titrearticle"/>
        <w:rPr>
          <w:noProof/>
        </w:rPr>
      </w:pPr>
      <w:r>
        <w:rPr>
          <w:noProof/>
        </w:rPr>
        <w:t>ПРЕХОДНИ И ЗАКЛЮЧИТЕЛНИ РАЗПОРЕДБИ</w:t>
      </w:r>
    </w:p>
    <w:p>
      <w:pPr>
        <w:pStyle w:val="Titrearticle"/>
        <w:rPr>
          <w:noProof/>
        </w:rPr>
      </w:pPr>
      <w:r>
        <w:rPr>
          <w:noProof/>
        </w:rPr>
        <w:t>Член 19</w:t>
      </w:r>
    </w:p>
    <w:p>
      <w:pPr>
        <w:pStyle w:val="Titrearticle"/>
        <w:rPr>
          <w:noProof/>
        </w:rPr>
      </w:pPr>
      <w:r>
        <w:rPr>
          <w:noProof/>
        </w:rPr>
        <w:t>Информация, съобщения и публичност</w:t>
      </w:r>
    </w:p>
    <w:p>
      <w:pPr>
        <w:pStyle w:val="ManualNumPar1"/>
        <w:rPr>
          <w:noProof/>
        </w:rPr>
      </w:pPr>
      <w:r>
        <w:t>1.</w:t>
      </w:r>
      <w:r>
        <w:tab/>
      </w:r>
      <w:r>
        <w:rPr>
          <w:noProof/>
        </w:rPr>
        <w:t>Получателите на финансиране от Съюза обявяват неговия произход и осигуряват видимостта на това финансиране (по-специално когато популяризират дейностите и резултатите от тях), като предоставят последователна, ефективна и подходяща по количество целенасочена информация на различни видове публика, включително средствата за масово осведомяване и обществеността.</w:t>
      </w:r>
    </w:p>
    <w:p>
      <w:pPr>
        <w:pStyle w:val="ManualNumPar1"/>
        <w:rPr>
          <w:noProof/>
        </w:rPr>
      </w:pPr>
      <w:r>
        <w:t>2.</w:t>
      </w:r>
      <w:r>
        <w:tab/>
      </w:r>
      <w:r>
        <w:rPr>
          <w:noProof/>
        </w:rPr>
        <w:t>Комисията осъществява информационни и съобщителни дейности във връзка с Програмата, дейностите по нея и резултатите от изпълнението ѝ. Чрез финансовите ресурси, отпуснати за Програмата, се допринася също така за съобщаването на политическите приоритети на Съюза от страна на ведомствата, доколкото тези приоритети са свързани с целите по член 3.</w:t>
      </w:r>
    </w:p>
    <w:p>
      <w:pPr>
        <w:pStyle w:val="Titrearticle"/>
        <w:rPr>
          <w:noProof/>
        </w:rPr>
      </w:pPr>
      <w:r>
        <w:rPr>
          <w:noProof/>
        </w:rPr>
        <w:t>Член 20</w:t>
      </w:r>
    </w:p>
    <w:p>
      <w:pPr>
        <w:pStyle w:val="Titrearticle"/>
        <w:rPr>
          <w:noProof/>
        </w:rPr>
      </w:pPr>
      <w:r>
        <w:rPr>
          <w:noProof/>
        </w:rPr>
        <w:t xml:space="preserve">Отмяна </w:t>
      </w:r>
    </w:p>
    <w:p>
      <w:pPr>
        <w:rPr>
          <w:noProof/>
        </w:rPr>
      </w:pPr>
      <w:r>
        <w:rPr>
          <w:noProof/>
        </w:rPr>
        <w:t>Регламент (ЕС) № 1286/2013 се отменя, считано от 1 януари 2021 г.</w:t>
      </w:r>
    </w:p>
    <w:p>
      <w:pPr>
        <w:pStyle w:val="Titrearticle"/>
        <w:rPr>
          <w:noProof/>
        </w:rPr>
      </w:pPr>
      <w:r>
        <w:rPr>
          <w:noProof/>
        </w:rPr>
        <w:t>Член 21</w:t>
      </w:r>
    </w:p>
    <w:p>
      <w:pPr>
        <w:pStyle w:val="Titrearticle"/>
        <w:rPr>
          <w:noProof/>
        </w:rPr>
      </w:pPr>
      <w:r>
        <w:rPr>
          <w:noProof/>
        </w:rPr>
        <w:t xml:space="preserve">Преходни разпоредби </w:t>
      </w:r>
    </w:p>
    <w:p>
      <w:pPr>
        <w:pStyle w:val="ManualNumPar1"/>
        <w:rPr>
          <w:noProof/>
        </w:rPr>
      </w:pPr>
      <w:r>
        <w:t>1.</w:t>
      </w:r>
      <w:r>
        <w:tab/>
      </w:r>
      <w:r>
        <w:rPr>
          <w:noProof/>
        </w:rPr>
        <w:t>Настоящият регламент не засяга продължаването или изменението на съответните дейности – до тяхното приключване – съгласно Регламент (ЕС) № 1286/2013, който продължава да се прилага за съответните дейности до тяхното приключване.</w:t>
      </w:r>
    </w:p>
    <w:p>
      <w:pPr>
        <w:pStyle w:val="ManualNumPar1"/>
        <w:rPr>
          <w:noProof/>
        </w:rPr>
      </w:pPr>
      <w:r>
        <w:t>2.</w:t>
      </w:r>
      <w:r>
        <w:tab/>
      </w:r>
      <w:r>
        <w:rPr>
          <w:noProof/>
        </w:rPr>
        <w:t xml:space="preserve">От финансовия пакет за Програмата може да се покриват и разходи за техническа и административна помощ, които са необходими, за да се обезпечи преходът между Програмата и мерките, приети по предшестващия я Регламент (ЕС) № 1286/2013. </w:t>
      </w:r>
    </w:p>
    <w:p>
      <w:pPr>
        <w:pStyle w:val="ManualNumPar1"/>
        <w:rPr>
          <w:noProof/>
        </w:rPr>
      </w:pPr>
      <w:r>
        <w:t>3.</w:t>
      </w:r>
      <w:r>
        <w:tab/>
      </w:r>
      <w:r>
        <w:rPr>
          <w:noProof/>
        </w:rPr>
        <w:t>Ако е необходимо, в бюджета може да се записват бюджетни кредити след 2027 г. за покриване на разходите, предвидени в член 4, параграф 2, с цел да се осигури възможност за управлението на дейностите, които не са приключили до 31 декември 2027 г.</w:t>
      </w:r>
    </w:p>
    <w:p>
      <w:pPr>
        <w:pStyle w:val="Titrearticle"/>
        <w:rPr>
          <w:noProof/>
        </w:rPr>
      </w:pPr>
      <w:r>
        <w:rPr>
          <w:noProof/>
        </w:rPr>
        <w:t>Член 22</w:t>
      </w:r>
    </w:p>
    <w:p>
      <w:pPr>
        <w:pStyle w:val="Titrearticle"/>
        <w:rPr>
          <w:noProof/>
        </w:rPr>
      </w:pPr>
      <w:r>
        <w:rPr>
          <w:noProof/>
        </w:rPr>
        <w:t>Влизане в сила</w:t>
      </w:r>
    </w:p>
    <w:p>
      <w:r>
        <w:rPr>
          <w:noProof/>
        </w:rPr>
        <w:t xml:space="preserve">Настоящият регламент влиза в сила на двадесетия ден след деня на публикуването му в </w:t>
      </w:r>
      <w:r>
        <w:rPr>
          <w:i/>
          <w:noProof/>
        </w:rPr>
        <w:t>Официален вестник на Европейския съюз.</w:t>
      </w:r>
    </w:p>
    <w:p>
      <w:pPr>
        <w:pStyle w:val="Applicationdirecte"/>
        <w:spacing w:before="0"/>
        <w:rPr>
          <w:noProof/>
        </w:rPr>
      </w:pPr>
      <w:r>
        <w:rPr>
          <w:noProof/>
        </w:rPr>
        <w:t xml:space="preserve">Настоящият регламент е задължителен в своята цялост и се прилага пряко във всички държави членки. </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За Европейския парламент</w:t>
      </w:r>
      <w:r>
        <w:rPr>
          <w:noProof/>
        </w:rPr>
        <w:tab/>
        <w:t>За Съвета</w:t>
      </w:r>
    </w:p>
    <w:p>
      <w:pPr>
        <w:pStyle w:val="Personnequisigne"/>
        <w:rPr>
          <w:noProof/>
        </w:rPr>
      </w:pPr>
      <w:r>
        <w:rPr>
          <w:noProof/>
        </w:rPr>
        <w:t>Председател</w:t>
      </w:r>
      <w:r>
        <w:rPr>
          <w:noProof/>
        </w:rPr>
        <w:tab/>
        <w:t>Председател</w:t>
      </w:r>
    </w:p>
    <w:p>
      <w:pPr>
        <w:rPr>
          <w:noProof/>
        </w:rPr>
        <w:sectPr>
          <w:footnotePr>
            <w:numRestart w:val="eachSect"/>
          </w:footnotePr>
          <w:pgSz w:w="11907" w:h="16839"/>
          <w:pgMar w:top="1134" w:right="1417" w:bottom="1134" w:left="1417" w:header="709" w:footer="709" w:gutter="0"/>
          <w:cols w:space="708"/>
          <w:docGrid w:linePitch="360"/>
        </w:sectPr>
      </w:pPr>
    </w:p>
    <w:p>
      <w:pPr>
        <w:pStyle w:val="Fichefinanciretitre"/>
        <w:rPr>
          <w:noProof/>
        </w:rPr>
      </w:pPr>
      <w:r>
        <w:rPr>
          <w:noProof/>
        </w:rPr>
        <w:t>ЗАКОНОДАТЕЛНА ФИНАНСОВА ОБОСНОВКА</w:t>
      </w:r>
    </w:p>
    <w:p>
      <w:pPr>
        <w:pStyle w:val="ManualHeading1"/>
        <w:rPr>
          <w:noProof/>
        </w:rPr>
      </w:pPr>
      <w:r>
        <w:rPr>
          <w:noProof/>
        </w:rPr>
        <w:t>1.</w:t>
      </w:r>
      <w:r>
        <w:rPr>
          <w:noProof/>
        </w:rPr>
        <w:tab/>
        <w:t xml:space="preserve">РАМКА НА ПРЕДЛОЖЕНИЕТО/ИНИЦИАТИВАТА </w:t>
      </w:r>
    </w:p>
    <w:p>
      <w:pPr>
        <w:pStyle w:val="ManualHeading2"/>
        <w:rPr>
          <w:b w:val="0"/>
          <w:noProof/>
        </w:rPr>
      </w:pPr>
      <w:r>
        <w:rPr>
          <w:noProof/>
        </w:rPr>
        <w:tab/>
      </w:r>
      <w:r>
        <w:rPr>
          <w:b w:val="0"/>
          <w:noProof/>
        </w:rPr>
        <w:t>1.1.</w:t>
      </w:r>
      <w:r>
        <w:rPr>
          <w:noProof/>
        </w:rPr>
        <w:tab/>
      </w:r>
      <w:r>
        <w:rPr>
          <w:b w:val="0"/>
          <w:noProof/>
        </w:rPr>
        <w:t xml:space="preserve">Наименование на предложението/инициативата </w:t>
      </w:r>
    </w:p>
    <w:p>
      <w:pPr>
        <w:pStyle w:val="ManualHeading2"/>
        <w:rPr>
          <w:b w:val="0"/>
          <w:noProof/>
        </w:rPr>
      </w:pPr>
      <w:r>
        <w:rPr>
          <w:noProof/>
        </w:rPr>
        <w:tab/>
      </w:r>
      <w:r>
        <w:rPr>
          <w:b w:val="0"/>
          <w:noProof/>
        </w:rPr>
        <w:t>1.2.</w:t>
      </w:r>
      <w:r>
        <w:rPr>
          <w:noProof/>
        </w:rPr>
        <w:tab/>
      </w:r>
      <w:r>
        <w:rPr>
          <w:b w:val="0"/>
          <w:noProof/>
        </w:rPr>
        <w:t xml:space="preserve">Съответни области на политиката </w:t>
      </w:r>
      <w:r>
        <w:rPr>
          <w:b w:val="0"/>
          <w:i/>
          <w:noProof/>
        </w:rPr>
        <w:t>(група програми)</w:t>
      </w:r>
    </w:p>
    <w:p>
      <w:pPr>
        <w:pStyle w:val="ManualHeading2"/>
        <w:rPr>
          <w:b w:val="0"/>
          <w:noProof/>
        </w:rPr>
      </w:pPr>
      <w:r>
        <w:rPr>
          <w:noProof/>
        </w:rPr>
        <w:tab/>
      </w:r>
      <w:r>
        <w:rPr>
          <w:b w:val="0"/>
          <w:noProof/>
        </w:rPr>
        <w:t>1.3.</w:t>
      </w:r>
      <w:r>
        <w:rPr>
          <w:noProof/>
        </w:rPr>
        <w:tab/>
      </w:r>
      <w:r>
        <w:rPr>
          <w:b w:val="0"/>
          <w:noProof/>
        </w:rPr>
        <w:t xml:space="preserve">Естество на предложението/инициативата </w:t>
      </w:r>
    </w:p>
    <w:p>
      <w:pPr>
        <w:pStyle w:val="ManualHeading2"/>
        <w:rPr>
          <w:b w:val="0"/>
          <w:noProof/>
        </w:rPr>
      </w:pPr>
      <w:r>
        <w:rPr>
          <w:noProof/>
        </w:rPr>
        <w:tab/>
      </w:r>
      <w:r>
        <w:rPr>
          <w:b w:val="0"/>
          <w:noProof/>
        </w:rPr>
        <w:t>1.4.</w:t>
      </w:r>
      <w:r>
        <w:rPr>
          <w:noProof/>
        </w:rPr>
        <w:tab/>
      </w:r>
      <w:r>
        <w:rPr>
          <w:b w:val="0"/>
          <w:noProof/>
        </w:rPr>
        <w:t xml:space="preserve">Мотиви за предложението/инициативата </w:t>
      </w:r>
    </w:p>
    <w:p>
      <w:pPr>
        <w:pStyle w:val="ManualHeading2"/>
        <w:rPr>
          <w:b w:val="0"/>
          <w:noProof/>
        </w:rPr>
      </w:pPr>
      <w:r>
        <w:rPr>
          <w:noProof/>
        </w:rPr>
        <w:tab/>
      </w:r>
      <w:r>
        <w:rPr>
          <w:b w:val="0"/>
          <w:noProof/>
        </w:rPr>
        <w:t>1.5.</w:t>
      </w:r>
      <w:r>
        <w:rPr>
          <w:noProof/>
        </w:rPr>
        <w:tab/>
      </w:r>
      <w:r>
        <w:rPr>
          <w:b w:val="0"/>
          <w:noProof/>
        </w:rPr>
        <w:t xml:space="preserve">Срок на действие и финансово отражение </w:t>
      </w:r>
    </w:p>
    <w:p>
      <w:pPr>
        <w:pStyle w:val="ManualHeading2"/>
        <w:rPr>
          <w:b w:val="0"/>
          <w:noProof/>
        </w:rPr>
      </w:pPr>
      <w:r>
        <w:rPr>
          <w:noProof/>
        </w:rPr>
        <w:tab/>
      </w:r>
      <w:r>
        <w:rPr>
          <w:b w:val="0"/>
          <w:noProof/>
        </w:rPr>
        <w:t>1.6.</w:t>
      </w:r>
      <w:r>
        <w:rPr>
          <w:noProof/>
        </w:rPr>
        <w:tab/>
      </w:r>
      <w:r>
        <w:rPr>
          <w:b w:val="0"/>
          <w:noProof/>
        </w:rPr>
        <w:t xml:space="preserve">Планирани методи на управление </w:t>
      </w:r>
    </w:p>
    <w:p>
      <w:pPr>
        <w:pStyle w:val="ManualHeading1"/>
        <w:rPr>
          <w:noProof/>
        </w:rPr>
      </w:pPr>
      <w:r>
        <w:rPr>
          <w:noProof/>
        </w:rPr>
        <w:t>2.</w:t>
      </w:r>
      <w:r>
        <w:rPr>
          <w:noProof/>
        </w:rPr>
        <w:tab/>
        <w:t xml:space="preserve">МЕРКИ ЗА УПРАВЛЕНИЕ </w:t>
      </w:r>
    </w:p>
    <w:p>
      <w:pPr>
        <w:pStyle w:val="ManualHeading2"/>
        <w:rPr>
          <w:b w:val="0"/>
          <w:noProof/>
        </w:rPr>
      </w:pPr>
      <w:r>
        <w:rPr>
          <w:noProof/>
        </w:rPr>
        <w:tab/>
      </w:r>
      <w:r>
        <w:rPr>
          <w:b w:val="0"/>
          <w:noProof/>
        </w:rPr>
        <w:t>2.1.</w:t>
      </w:r>
      <w:r>
        <w:rPr>
          <w:noProof/>
        </w:rPr>
        <w:tab/>
      </w:r>
      <w:r>
        <w:rPr>
          <w:b w:val="0"/>
          <w:noProof/>
        </w:rPr>
        <w:t xml:space="preserve">Правила за наблюдение и докладване </w:t>
      </w:r>
    </w:p>
    <w:p>
      <w:pPr>
        <w:pStyle w:val="ManualHeading2"/>
        <w:rPr>
          <w:b w:val="0"/>
          <w:noProof/>
        </w:rPr>
      </w:pPr>
      <w:r>
        <w:rPr>
          <w:noProof/>
        </w:rPr>
        <w:tab/>
      </w:r>
      <w:r>
        <w:rPr>
          <w:b w:val="0"/>
          <w:noProof/>
        </w:rPr>
        <w:t>2.2.</w:t>
      </w:r>
      <w:r>
        <w:rPr>
          <w:noProof/>
        </w:rPr>
        <w:tab/>
      </w:r>
      <w:r>
        <w:rPr>
          <w:b w:val="0"/>
          <w:noProof/>
        </w:rPr>
        <w:t xml:space="preserve">Система за управление и контрол </w:t>
      </w:r>
    </w:p>
    <w:p>
      <w:pPr>
        <w:pStyle w:val="ManualHeading2"/>
        <w:rPr>
          <w:b w:val="0"/>
          <w:noProof/>
        </w:rPr>
      </w:pPr>
      <w:r>
        <w:rPr>
          <w:noProof/>
        </w:rPr>
        <w:tab/>
      </w:r>
      <w:r>
        <w:rPr>
          <w:b w:val="0"/>
          <w:noProof/>
        </w:rPr>
        <w:t>2.3.</w:t>
      </w:r>
      <w:r>
        <w:rPr>
          <w:noProof/>
        </w:rPr>
        <w:tab/>
      </w:r>
      <w:r>
        <w:rPr>
          <w:b w:val="0"/>
          <w:noProof/>
        </w:rPr>
        <w:t xml:space="preserve">Мерки за предотвратяване на измами и нередности </w:t>
      </w:r>
    </w:p>
    <w:p>
      <w:pPr>
        <w:pStyle w:val="ManualHeading1"/>
        <w:rPr>
          <w:noProof/>
        </w:rPr>
      </w:pPr>
      <w:r>
        <w:rPr>
          <w:noProof/>
        </w:rPr>
        <w:t>3.</w:t>
      </w:r>
      <w:r>
        <w:rPr>
          <w:noProof/>
        </w:rPr>
        <w:tab/>
        <w:t xml:space="preserve">ОЧАКВАНО ФИНАНСОВО ОТРАЖЕНИЕ НА ПРЕДЛОЖЕНИЕТО/ИНИЦИАТИВАТА </w:t>
      </w:r>
    </w:p>
    <w:p>
      <w:pPr>
        <w:pStyle w:val="ManualHeading2"/>
        <w:rPr>
          <w:b w:val="0"/>
          <w:noProof/>
        </w:rPr>
      </w:pPr>
      <w:r>
        <w:rPr>
          <w:noProof/>
        </w:rPr>
        <w:tab/>
      </w:r>
      <w:r>
        <w:rPr>
          <w:b w:val="0"/>
          <w:noProof/>
        </w:rPr>
        <w:t>3.1.</w:t>
      </w:r>
      <w:r>
        <w:rPr>
          <w:noProof/>
        </w:rPr>
        <w:tab/>
      </w:r>
      <w:r>
        <w:rPr>
          <w:b w:val="0"/>
          <w:noProof/>
        </w:rPr>
        <w:t xml:space="preserve">Съответни функции от многогодишната финансова рамка и разходни бюджетни редове </w:t>
      </w:r>
    </w:p>
    <w:p>
      <w:pPr>
        <w:pStyle w:val="ManualHeading2"/>
        <w:rPr>
          <w:noProof/>
        </w:rPr>
      </w:pPr>
      <w:r>
        <w:rPr>
          <w:noProof/>
        </w:rPr>
        <w:tab/>
      </w:r>
      <w:r>
        <w:rPr>
          <w:b w:val="0"/>
          <w:noProof/>
        </w:rPr>
        <w:t>3.2.</w:t>
      </w:r>
      <w:r>
        <w:rPr>
          <w:noProof/>
        </w:rPr>
        <w:tab/>
      </w:r>
      <w:r>
        <w:rPr>
          <w:b w:val="0"/>
          <w:noProof/>
        </w:rPr>
        <w:t>Очаквано отражение върху разходите</w:t>
      </w:r>
      <w:r>
        <w:rPr>
          <w:noProof/>
        </w:rPr>
        <w:t xml:space="preserve"> </w:t>
      </w:r>
    </w:p>
    <w:p>
      <w:pPr>
        <w:pStyle w:val="ManualHeading3"/>
        <w:rPr>
          <w:noProof/>
        </w:rPr>
      </w:pPr>
      <w:r>
        <w:rPr>
          <w:noProof/>
        </w:rPr>
        <w:tab/>
        <w:t>3.2.1.</w:t>
      </w:r>
      <w:r>
        <w:rPr>
          <w:noProof/>
        </w:rPr>
        <w:tab/>
        <w:t xml:space="preserve">Обобщение на очакваното отражение върху разходите </w:t>
      </w:r>
    </w:p>
    <w:p>
      <w:pPr>
        <w:pStyle w:val="ManualHeading3"/>
        <w:rPr>
          <w:noProof/>
        </w:rPr>
      </w:pPr>
      <w:r>
        <w:rPr>
          <w:noProof/>
        </w:rPr>
        <w:tab/>
        <w:t>3.2.2.</w:t>
      </w:r>
      <w:r>
        <w:rPr>
          <w:noProof/>
        </w:rPr>
        <w:tab/>
        <w:t>Очаквано въздействие върху бюджетните кредити за административни разходи</w:t>
      </w:r>
    </w:p>
    <w:p>
      <w:pPr>
        <w:pStyle w:val="ManualHeading3"/>
        <w:rPr>
          <w:noProof/>
        </w:rPr>
      </w:pPr>
      <w:r>
        <w:rPr>
          <w:noProof/>
        </w:rPr>
        <w:tab/>
        <w:t>3.2.3.</w:t>
      </w:r>
      <w:r>
        <w:rPr>
          <w:noProof/>
        </w:rPr>
        <w:tab/>
        <w:t xml:space="preserve">Финансови вноски от трети страни </w:t>
      </w:r>
    </w:p>
    <w:p>
      <w:pPr>
        <w:pStyle w:val="ManualHeading2"/>
        <w:jc w:val="left"/>
        <w:rPr>
          <w:b w:val="0"/>
          <w:noProof/>
        </w:rPr>
      </w:pPr>
      <w:r>
        <w:rPr>
          <w:noProof/>
        </w:rPr>
        <w:tab/>
      </w:r>
      <w:r>
        <w:rPr>
          <w:b w:val="0"/>
          <w:noProof/>
        </w:rPr>
        <w:t>3.3.</w:t>
      </w:r>
      <w:r>
        <w:rPr>
          <w:noProof/>
        </w:rPr>
        <w:tab/>
      </w:r>
      <w:r>
        <w:rPr>
          <w:b w:val="0"/>
          <w:noProof/>
        </w:rPr>
        <w:t>Очаквано отражение върху приходите</w:t>
      </w:r>
    </w:p>
    <w:p>
      <w:pPr>
        <w:spacing w:before="0" w:after="0"/>
        <w:jc w:val="left"/>
        <w:rPr>
          <w:noProof/>
        </w:rPr>
        <w:sectPr>
          <w:headerReference w:type="default" r:id="rId21"/>
          <w:footerReference w:type="default" r:id="rId22"/>
          <w:headerReference w:type="first" r:id="rId23"/>
          <w:footerReference w:type="first" r:id="rId24"/>
          <w:footnotePr>
            <w:numRestart w:val="eachSect"/>
          </w:footnotePr>
          <w:pgSz w:w="11907" w:h="16840"/>
          <w:pgMar w:top="709" w:right="992" w:bottom="851" w:left="993" w:header="709" w:footer="709" w:gutter="0"/>
          <w:pgNumType w:start="1"/>
          <w:cols w:space="720"/>
          <w:docGrid w:linePitch="326"/>
        </w:sectPr>
      </w:pPr>
    </w:p>
    <w:p>
      <w:pPr>
        <w:pStyle w:val="ManualHeading1"/>
        <w:rPr>
          <w:noProof/>
        </w:rPr>
      </w:pPr>
      <w:r>
        <w:t>1.</w:t>
      </w:r>
      <w:r>
        <w:tab/>
      </w:r>
      <w:r>
        <w:rPr>
          <w:noProof/>
        </w:rPr>
        <w:t xml:space="preserve">РАМКА НА ПРЕДЛОЖЕНИЕТО/ИНИЦИАТИВАТА </w:t>
      </w:r>
    </w:p>
    <w:p>
      <w:pPr>
        <w:pStyle w:val="ManualHeading2"/>
        <w:rPr>
          <w:noProof/>
        </w:rPr>
      </w:pPr>
      <w:r>
        <w:t>1.1.</w:t>
      </w:r>
      <w:r>
        <w:tab/>
      </w:r>
      <w:r>
        <w:rPr>
          <w:noProof/>
        </w:rPr>
        <w:t xml:space="preserve">Наименование на предложението/инициативата </w:t>
      </w:r>
    </w:p>
    <w:p>
      <w:pPr>
        <w:pStyle w:val="Text1"/>
        <w:pBdr>
          <w:top w:val="single" w:sz="4" w:space="1" w:color="auto"/>
          <w:left w:val="single" w:sz="4" w:space="4" w:color="auto"/>
          <w:bottom w:val="single" w:sz="4" w:space="1" w:color="auto"/>
          <w:right w:val="single" w:sz="4" w:space="4" w:color="auto"/>
        </w:pBdr>
      </w:pPr>
      <w:r>
        <w:t xml:space="preserve"> Предложение за Регламент на Европейския парламент и на Съвета за създаване на програма „Фискалис“ за сътрудничество в областта на данъчното облагане</w:t>
      </w:r>
    </w:p>
    <w:p>
      <w:pPr>
        <w:pStyle w:val="ManualHeading2"/>
        <w:rPr>
          <w:noProof/>
          <w:szCs w:val="24"/>
        </w:rPr>
      </w:pPr>
      <w:r>
        <w:t>1.2.</w:t>
      </w:r>
      <w:r>
        <w:tab/>
      </w:r>
      <w:r>
        <w:rPr>
          <w:noProof/>
        </w:rPr>
        <w:t xml:space="preserve">Съответни области на политиката </w:t>
      </w:r>
      <w:r>
        <w:rPr>
          <w:i/>
          <w:noProof/>
        </w:rPr>
        <w:t>(група програми)</w:t>
      </w:r>
    </w:p>
    <w:p>
      <w:pPr>
        <w:pStyle w:val="Text1"/>
        <w:pBdr>
          <w:top w:val="single" w:sz="4" w:space="1" w:color="auto"/>
          <w:left w:val="single" w:sz="4" w:space="4" w:color="auto"/>
          <w:bottom w:val="single" w:sz="4" w:space="1" w:color="auto"/>
          <w:right w:val="single" w:sz="4" w:space="4" w:color="auto"/>
        </w:pBdr>
      </w:pPr>
      <w:r>
        <w:rPr>
          <w:noProof/>
        </w:rPr>
        <w:t xml:space="preserve"> </w:t>
      </w:r>
      <w:r>
        <w:t>Единен пазар, иновации и цифрова икономика</w:t>
      </w:r>
    </w:p>
    <w:p>
      <w:pPr>
        <w:pStyle w:val="ManualHeading2"/>
        <w:rPr>
          <w:bCs/>
          <w:noProof/>
          <w:szCs w:val="24"/>
        </w:rPr>
      </w:pPr>
      <w:r>
        <w:t>1.3.</w:t>
      </w:r>
      <w:r>
        <w:tab/>
      </w:r>
      <w:r>
        <w:rPr>
          <w:noProof/>
        </w:rPr>
        <w:t xml:space="preserve">Предложението/инициативата е във връзка със: </w:t>
      </w:r>
    </w:p>
    <w:p>
      <w:pPr>
        <w:pStyle w:val="Text1"/>
        <w:rPr>
          <w:b/>
          <w:noProof/>
          <w:sz w:val="22"/>
        </w:rPr>
      </w:pPr>
      <w:r>
        <w:rPr>
          <w:noProof/>
          <w:sz w:val="22"/>
        </w:rPr>
        <w:sym w:font="Wingdings" w:char="F0A8"/>
      </w:r>
      <w:r>
        <w:rPr>
          <w:i/>
          <w:noProof/>
          <w:sz w:val="22"/>
        </w:rPr>
        <w:t xml:space="preserve"> </w:t>
      </w:r>
      <w:r>
        <w:rPr>
          <w:b/>
          <w:noProof/>
        </w:rPr>
        <w:t>ново действие</w:t>
      </w:r>
      <w:r>
        <w:rPr>
          <w:b/>
          <w:noProof/>
          <w:sz w:val="22"/>
        </w:rPr>
        <w:t xml:space="preserve"> </w:t>
      </w:r>
    </w:p>
    <w:p>
      <w:pPr>
        <w:pStyle w:val="Text1"/>
        <w:rPr>
          <w:noProof/>
          <w:sz w:val="22"/>
        </w:rPr>
      </w:pPr>
      <w:r>
        <w:rPr>
          <w:noProof/>
          <w:sz w:val="22"/>
        </w:rPr>
        <w:sym w:font="Wingdings" w:char="F0A8"/>
      </w:r>
      <w:r>
        <w:rPr>
          <w:i/>
          <w:noProof/>
          <w:sz w:val="22"/>
        </w:rPr>
        <w:t xml:space="preserve"> </w:t>
      </w:r>
      <w:r>
        <w:rPr>
          <w:b/>
          <w:noProof/>
        </w:rPr>
        <w:t>ново действие след пилотен проект/подготвително действие</w:t>
      </w:r>
      <w:r>
        <w:rPr>
          <w:rStyle w:val="FootnoteReference"/>
          <w:noProof/>
        </w:rPr>
        <w:footnoteReference w:id="35"/>
      </w:r>
      <w:r>
        <w:rPr>
          <w:noProof/>
          <w:sz w:val="22"/>
        </w:rPr>
        <w:t xml:space="preserve"> </w:t>
      </w:r>
    </w:p>
    <w:p>
      <w:pPr>
        <w:pStyle w:val="Text1"/>
        <w:rPr>
          <w:noProof/>
          <w:sz w:val="22"/>
        </w:rPr>
      </w:pPr>
      <w:r>
        <w:rPr>
          <w:noProof/>
          <w:sz w:val="22"/>
        </w:rPr>
        <w:t>X</w:t>
      </w:r>
      <w:r>
        <w:rPr>
          <w:i/>
          <w:noProof/>
          <w:sz w:val="22"/>
        </w:rPr>
        <w:t xml:space="preserve"> </w:t>
      </w:r>
      <w:r>
        <w:rPr>
          <w:b/>
          <w:noProof/>
        </w:rPr>
        <w:t>продължаване на съществуващо действие</w:t>
      </w:r>
      <w:r>
        <w:rPr>
          <w:noProof/>
          <w:sz w:val="22"/>
        </w:rPr>
        <w:t xml:space="preserve"> </w:t>
      </w:r>
    </w:p>
    <w:p>
      <w:pPr>
        <w:pStyle w:val="Text1"/>
        <w:rPr>
          <w:noProof/>
        </w:rPr>
      </w:pPr>
      <w:r>
        <w:rPr>
          <w:noProof/>
          <w:sz w:val="22"/>
        </w:rPr>
        <w:sym w:font="Wingdings" w:char="F0A8"/>
      </w:r>
      <w:r>
        <w:rPr>
          <w:i/>
          <w:noProof/>
          <w:sz w:val="22"/>
        </w:rPr>
        <w:t xml:space="preserve"> </w:t>
      </w:r>
      <w:r>
        <w:rPr>
          <w:b/>
          <w:noProof/>
        </w:rPr>
        <w:t>сливане или пренасочване на едно или няколко действия към друго/ново действие</w:t>
      </w:r>
      <w:r>
        <w:rPr>
          <w:noProof/>
        </w:rPr>
        <w:t xml:space="preserve"> </w:t>
      </w:r>
    </w:p>
    <w:p>
      <w:pPr>
        <w:pStyle w:val="ManualHeading2"/>
        <w:rPr>
          <w:bCs/>
          <w:noProof/>
          <w:szCs w:val="24"/>
        </w:rPr>
      </w:pPr>
      <w:r>
        <w:t>1.4.</w:t>
      </w:r>
      <w:r>
        <w:tab/>
      </w:r>
      <w:r>
        <w:rPr>
          <w:noProof/>
        </w:rPr>
        <w:t xml:space="preserve">Мотиви за предложението/инициативата </w:t>
      </w:r>
    </w:p>
    <w:p>
      <w:pPr>
        <w:pStyle w:val="ManualHeading3"/>
        <w:rPr>
          <w:noProof/>
        </w:rPr>
      </w:pPr>
      <w:r>
        <w:t>1.4.1.</w:t>
      </w:r>
      <w:r>
        <w:tab/>
      </w:r>
      <w:r>
        <w:rPr>
          <w:noProof/>
        </w:rPr>
        <w:t>Изисквания, които трябва да бъдат изпълнени в краткосрочна или дългосрочна перспектива, включително подробен график за изпълнението на инициативата</w:t>
      </w:r>
    </w:p>
    <w:p>
      <w:pPr>
        <w:pStyle w:val="Text1"/>
        <w:pBdr>
          <w:top w:val="single" w:sz="4" w:space="1" w:color="auto"/>
          <w:left w:val="single" w:sz="4" w:space="4" w:color="auto"/>
          <w:bottom w:val="single" w:sz="4" w:space="1" w:color="auto"/>
          <w:right w:val="single" w:sz="4" w:space="4" w:color="auto"/>
        </w:pBdr>
      </w:pPr>
      <w:r>
        <w:t>Програмата ще бъде изпълнявана посредством акт за изпълнение, с който се приема многогодишна работна програма. Приемането се планира за 1-ото тримесечие на 2021 г. след консултация с Комитета по програма „Фискалис“. Изпълнението на многогодишната работна програма ще се извършва чрез сключването на споразумения за отпускане на безвъзмездни средства с бенефициерите и сключването на договори за възлагане на обществени поръчки с доставчиците на услуги най-късно от началото на 2-ото тримесечие на 2021 г.</w:t>
      </w:r>
    </w:p>
    <w:p>
      <w:pPr>
        <w:pStyle w:val="ManualHeading3"/>
        <w:rPr>
          <w:bCs/>
          <w:noProof/>
          <w:szCs w:val="24"/>
        </w:rPr>
      </w:pPr>
      <w:r>
        <w:t>1.4.2.</w:t>
      </w:r>
      <w:r>
        <w:tab/>
      </w:r>
      <w:r>
        <w:rPr>
          <w:noProof/>
        </w:rPr>
        <w:t>Добавена стойност от участието на Съюза (може да е в резултат от различни фактори, например ползи по отношение на координацията, правна сигурност, по-висока ефективност или взаимно допълване). За целите на тази точка „добавена стойност от участието на Съюза“ е стойността, която е резултат от намесата на ЕС и е допълнителна спрямо стойността, която би била създадена само от отделните държави членки.</w:t>
      </w:r>
    </w:p>
    <w:p>
      <w:pPr>
        <w:pStyle w:val="Text1"/>
        <w:pBdr>
          <w:top w:val="single" w:sz="4" w:space="1" w:color="auto"/>
          <w:left w:val="single" w:sz="4" w:space="4" w:color="auto"/>
          <w:bottom w:val="single" w:sz="4" w:space="1" w:color="auto"/>
          <w:right w:val="single" w:sz="4" w:space="4" w:color="auto"/>
        </w:pBdr>
      </w:pPr>
      <w:r>
        <w:rPr>
          <w:noProof/>
        </w:rPr>
        <w:t>Основания за действие на европейско равнище (предварително)</w:t>
      </w:r>
      <w:r>
        <w:t xml:space="preserve"> </w:t>
      </w:r>
    </w:p>
    <w:p>
      <w:pPr>
        <w:pStyle w:val="Text1"/>
        <w:pBdr>
          <w:top w:val="single" w:sz="4" w:space="1" w:color="auto"/>
          <w:left w:val="single" w:sz="4" w:space="4" w:color="auto"/>
          <w:bottom w:val="single" w:sz="4" w:space="1" w:color="auto"/>
          <w:right w:val="single" w:sz="4" w:space="4" w:color="auto"/>
        </w:pBdr>
        <w:rPr>
          <w:noProof/>
        </w:rPr>
      </w:pPr>
      <w:r>
        <w:t>Съюзът и националните данъчни органи все още страдат от недостатъчен капацитет и недостатъчна степен на сътрудничество – както в рамките на ЕС, така и с трети държави, – което затруднява ефективното и ефикасно изпълнение на задачите им. Те трябва да реагират бързо и със съвместни усилия на възникващите проблеми, като данъчните измами, отклонението от данъчно облагане и избягването на данъци, цифровизацията и новите модели на стопанска дейност, като същевременно предотвратяват възникването на излишна административна тежест за гражданите и предприятията при презгранични сделки. Тези тенденции постоянно раждат нови предизвикателства за работата на националните данъчни органи и резултатите от нея. Те призовават за по-успешни и новаторски начини за изпълнението на основната си задача, а именно събирането на данъците, с които пряко се попълва националният бюджет и косвено – бюджетът на Съюза. Ето защо Комисията предлага приемането на програма „Фискалис“, по която се предвиждат средства и бюджет за подкрепа на данъчната политика и подпомагане на данъчните органи чрез дейности по изграждане на административния капацитет и ИТ капацитета и оперативно сътрудничество.</w:t>
      </w:r>
    </w:p>
    <w:p>
      <w:pPr>
        <w:pStyle w:val="Text1"/>
        <w:pBdr>
          <w:top w:val="single" w:sz="4" w:space="1" w:color="auto"/>
          <w:left w:val="single" w:sz="4" w:space="4" w:color="auto"/>
          <w:bottom w:val="single" w:sz="4" w:space="1" w:color="auto"/>
          <w:right w:val="single" w:sz="4" w:space="4" w:color="auto"/>
        </w:pBdr>
        <w:rPr>
          <w:noProof/>
        </w:rPr>
      </w:pPr>
      <w:r>
        <w:rPr>
          <w:noProof/>
        </w:rPr>
        <w:t xml:space="preserve">Очаквана генерирана добавена стойност от ЕС (последващо) </w:t>
      </w:r>
    </w:p>
    <w:p>
      <w:pPr>
        <w:pStyle w:val="Text1"/>
        <w:pBdr>
          <w:top w:val="single" w:sz="4" w:space="1" w:color="auto"/>
          <w:left w:val="single" w:sz="4" w:space="4" w:color="auto"/>
          <w:bottom w:val="single" w:sz="4" w:space="1" w:color="auto"/>
          <w:right w:val="single" w:sz="4" w:space="4" w:color="auto"/>
        </w:pBdr>
      </w:pPr>
      <w:r>
        <w:t>По-голямата част от средствата по предложения бюджет ще бъдат изразходвани за дейности по изграждане на ИТ капацитета. Главният елемент на данъчното сътрудничество е специална добре защитена съобщителна мрежа, при която се гарантира, че всяка национална администрация трябва да се свърже само веднъж към тази обща инфраструктура, за да е в състояние да обменя всякакъв вид информация. Без наличието на такава инфраструктура би било необходимо държавите членки да се свързват 27 пъти към националните системи на всяка от останалите държави членки.</w:t>
      </w:r>
    </w:p>
    <w:p>
      <w:pPr>
        <w:pStyle w:val="ManualHeading3"/>
        <w:rPr>
          <w:bCs/>
          <w:noProof/>
          <w:szCs w:val="24"/>
        </w:rPr>
      </w:pPr>
      <w:r>
        <w:t>1.4.3.</w:t>
      </w:r>
      <w:r>
        <w:tab/>
      </w:r>
      <w:r>
        <w:rPr>
          <w:noProof/>
        </w:rPr>
        <w:t>Изводи от подобен опит в миналото</w:t>
      </w:r>
    </w:p>
    <w:p>
      <w:pPr>
        <w:pStyle w:val="Text1"/>
        <w:pBdr>
          <w:top w:val="single" w:sz="4" w:space="1" w:color="auto"/>
          <w:left w:val="single" w:sz="4" w:space="4" w:color="auto"/>
          <w:bottom w:val="single" w:sz="4" w:space="1" w:color="auto"/>
          <w:right w:val="single" w:sz="4" w:space="4" w:color="auto"/>
        </w:pBdr>
      </w:pPr>
      <w:r>
        <w:t>В настоящото предложение са отчетени препоръките от окончателната оценка на програма „Фискалис 2013“, както и предварителните резултати от извършваната понастоящем междинна оценка на програма „Фискалис 2020“. Те показват, че Програмата осигурява висока добавена стойност от ЕС, създава доверие и насърчава засиленото сътрудничество между държавите членки и с другите участващи държави (държави кандидатки и потенциални кандидати). Освен това с помощта на Програмата се улеснява изпълнението на законодателството на ЕС, като същевременно се осигурява и по-висока ефикасност (чрез обединяване на ресурсите), особено в областта на електронните системи (където намесата на ЕС води до икономии от мащаба и намаление на развойните разходи) и модулите за обучение (където според получените сведения намесата на ЕС води до икономия на време и пари за някои органи). Участниците съобщават и за все по-висок интерес към съвместните дейности (особено работни посещения, семинари и работилници) като ефективно средство, което допринася за сътрудничеството и подобряването на обмена на информация между данъчните органи. Въвеждането на експертни екипи се разглежда като важна движеща сила за задълбочаването на сътрудничеството (на регионална или тематична основа) предвид на особените разпоредби за финансирането и оперативната им структура. Някои участници посочват възможността за повишаване на сегашното разпределение на средствата в полза на тази дейност по изграждане на административния капацитет.</w:t>
      </w:r>
    </w:p>
    <w:p>
      <w:pPr>
        <w:pStyle w:val="ManualHeading3"/>
        <w:rPr>
          <w:bCs/>
          <w:noProof/>
          <w:szCs w:val="24"/>
        </w:rPr>
      </w:pPr>
      <w:r>
        <w:t>1.4.4.</w:t>
      </w:r>
      <w:r>
        <w:tab/>
      </w:r>
      <w:r>
        <w:rPr>
          <w:noProof/>
        </w:rPr>
        <w:t>Съвместимост и евентуално полезно взаимодействие с други инструменти</w:t>
      </w:r>
    </w:p>
    <w:p>
      <w:pPr>
        <w:pStyle w:val="Text1"/>
        <w:pBdr>
          <w:top w:val="single" w:sz="4" w:space="1" w:color="auto"/>
          <w:left w:val="single" w:sz="4" w:space="4" w:color="auto"/>
          <w:bottom w:val="single" w:sz="4" w:space="1" w:color="auto"/>
          <w:right w:val="single" w:sz="4" w:space="4" w:color="auto"/>
        </w:pBdr>
      </w:pPr>
      <w:r>
        <w:t xml:space="preserve">Настоящото предложение е съгласувано с другите предложени програми за дейности и фондове на ЕС, които имат сходни цели в близки области: </w:t>
      </w:r>
    </w:p>
    <w:p>
      <w:pPr>
        <w:pStyle w:val="Text1"/>
        <w:pBdr>
          <w:top w:val="single" w:sz="4" w:space="1" w:color="auto"/>
          <w:left w:val="single" w:sz="4" w:space="4" w:color="auto"/>
          <w:bottom w:val="single" w:sz="4" w:space="1" w:color="auto"/>
          <w:right w:val="single" w:sz="4" w:space="4" w:color="auto"/>
        </w:pBdr>
      </w:pPr>
      <w:r>
        <w:t>-</w:t>
      </w:r>
      <w:r>
        <w:rPr>
          <w:noProof/>
        </w:rPr>
        <w:tab/>
      </w:r>
      <w:r>
        <w:t xml:space="preserve">програма „Митници“, по която се оказва подкрепа за сътрудничеството в областта на митниците; </w:t>
      </w:r>
    </w:p>
    <w:p>
      <w:pPr>
        <w:pStyle w:val="Text1"/>
        <w:pBdr>
          <w:top w:val="single" w:sz="4" w:space="1" w:color="auto"/>
          <w:left w:val="single" w:sz="4" w:space="4" w:color="auto"/>
          <w:bottom w:val="single" w:sz="4" w:space="1" w:color="auto"/>
          <w:right w:val="single" w:sz="4" w:space="4" w:color="auto"/>
        </w:pBdr>
      </w:pPr>
      <w:r>
        <w:t>-</w:t>
      </w:r>
      <w:r>
        <w:rPr>
          <w:noProof/>
        </w:rPr>
        <w:tab/>
      </w:r>
      <w:r>
        <w:t xml:space="preserve">Програмата на ЕС за борба с измамите, чието предназначение е противодействие на измамите с цел защита на финансовите интереси на Съюза по силата на член 325 от ДФЕС; </w:t>
      </w:r>
    </w:p>
    <w:p>
      <w:pPr>
        <w:pStyle w:val="Text1"/>
        <w:pBdr>
          <w:top w:val="single" w:sz="4" w:space="1" w:color="auto"/>
          <w:left w:val="single" w:sz="4" w:space="4" w:color="auto"/>
          <w:bottom w:val="single" w:sz="4" w:space="1" w:color="auto"/>
          <w:right w:val="single" w:sz="4" w:space="4" w:color="auto"/>
        </w:pBdr>
      </w:pPr>
      <w:r>
        <w:t>-</w:t>
      </w:r>
      <w:r>
        <w:rPr>
          <w:noProof/>
        </w:rPr>
        <w:tab/>
      </w:r>
      <w:r>
        <w:t>Програмата за единния пазар, по която се подкрепят дейности на ЕС за подобряване на работата на единния пазар;</w:t>
      </w:r>
    </w:p>
    <w:p>
      <w:pPr>
        <w:pStyle w:val="Text1"/>
        <w:pBdr>
          <w:top w:val="single" w:sz="4" w:space="1" w:color="auto"/>
          <w:left w:val="single" w:sz="4" w:space="4" w:color="auto"/>
          <w:bottom w:val="single" w:sz="4" w:space="1" w:color="auto"/>
          <w:right w:val="single" w:sz="4" w:space="4" w:color="auto"/>
        </w:pBdr>
      </w:pPr>
      <w:r>
        <w:t>-</w:t>
      </w:r>
      <w:r>
        <w:rPr>
          <w:noProof/>
        </w:rPr>
        <w:tab/>
      </w:r>
      <w:r>
        <w:t>Програмата за подкрепа на реформите, с която определени държави от ЕС се подкрепят в усилията им да изградят по-ефективни институции, по-силна уредба за управлението и по-ефикасни публични органи.</w:t>
      </w:r>
    </w:p>
    <w:p>
      <w:pPr>
        <w:pStyle w:val="ManualHeading2"/>
        <w:rPr>
          <w:bCs/>
          <w:noProof/>
          <w:szCs w:val="24"/>
        </w:rPr>
      </w:pPr>
      <w:r>
        <w:rPr>
          <w:noProof/>
        </w:rPr>
        <w:br w:type="page"/>
      </w:r>
      <w:r>
        <w:t>1.5.</w:t>
      </w:r>
      <w:r>
        <w:tab/>
      </w:r>
      <w:r>
        <w:rPr>
          <w:noProof/>
        </w:rPr>
        <w:t xml:space="preserve">Срок на действие и финансово отражение </w:t>
      </w:r>
    </w:p>
    <w:p>
      <w:pPr>
        <w:pStyle w:val="Text1"/>
        <w:rPr>
          <w:noProof/>
        </w:rPr>
      </w:pPr>
      <w:r>
        <w:rPr>
          <w:b/>
          <w:i/>
          <w:noProof/>
        </w:rPr>
        <w:t xml:space="preserve">X </w:t>
      </w:r>
      <w:r>
        <w:rPr>
          <w:b/>
          <w:noProof/>
        </w:rPr>
        <w:t xml:space="preserve">ограничен срок на действие </w:t>
      </w:r>
    </w:p>
    <w:p>
      <w:pPr>
        <w:pStyle w:val="ListDash2"/>
        <w:rPr>
          <w:noProof/>
        </w:rPr>
      </w:pPr>
      <w:r>
        <w:rPr>
          <w:noProof/>
        </w:rPr>
        <w:t>X</w:t>
      </w:r>
      <w:r>
        <w:rPr>
          <w:noProof/>
        </w:rPr>
        <w:tab/>
        <w:t>от 1.1.2021 г. до 31.12.2027 г.</w:t>
      </w:r>
    </w:p>
    <w:p>
      <w:pPr>
        <w:pStyle w:val="ListDash2"/>
        <w:rPr>
          <w:noProof/>
        </w:rPr>
      </w:pPr>
      <w:r>
        <w:rPr>
          <w:noProof/>
        </w:rPr>
        <w:t>X</w:t>
      </w:r>
      <w:r>
        <w:rPr>
          <w:noProof/>
        </w:rPr>
        <w:tab/>
        <w:t xml:space="preserve">Финансово отражение от 2021 г. до 2027 г. за бюджетните кредити за поети задължения и от 2021 г. до 2030 г. за бюджетните кредити за плащания. </w:t>
      </w:r>
    </w:p>
    <w:p>
      <w:pPr>
        <w:pStyle w:val="Text1"/>
        <w:rPr>
          <w:noProof/>
        </w:rPr>
      </w:pPr>
      <w:r>
        <w:rPr>
          <w:noProof/>
        </w:rPr>
        <w:sym w:font="Wingdings" w:char="F0A8"/>
      </w:r>
      <w:r>
        <w:rPr>
          <w:b/>
          <w:i/>
          <w:noProof/>
        </w:rPr>
        <w:t xml:space="preserve"> </w:t>
      </w:r>
      <w:r>
        <w:rPr>
          <w:b/>
          <w:noProof/>
        </w:rPr>
        <w:t>неограничен срок на действие</w:t>
      </w:r>
    </w:p>
    <w:p>
      <w:pPr>
        <w:pStyle w:val="ListDash2"/>
        <w:rPr>
          <w:noProof/>
        </w:rPr>
      </w:pPr>
      <w:r>
        <w:rPr>
          <w:noProof/>
        </w:rPr>
        <w:t>Изпълнение с период на започване на дейност от ГГГГ до ГГГГ,</w:t>
      </w:r>
    </w:p>
    <w:p>
      <w:pPr>
        <w:pStyle w:val="ListDash2"/>
        <w:rPr>
          <w:noProof/>
        </w:rPr>
      </w:pPr>
      <w:r>
        <w:rPr>
          <w:noProof/>
        </w:rPr>
        <w:t>последван от функциониране с пълен капацитет.</w:t>
      </w:r>
    </w:p>
    <w:p>
      <w:pPr>
        <w:pStyle w:val="ManualHeading2"/>
        <w:rPr>
          <w:bCs/>
          <w:noProof/>
          <w:szCs w:val="24"/>
        </w:rPr>
      </w:pPr>
      <w:r>
        <w:t>1.6.</w:t>
      </w:r>
      <w:r>
        <w:tab/>
      </w:r>
      <w:r>
        <w:rPr>
          <w:noProof/>
        </w:rPr>
        <w:t>Планирани методи на управление</w:t>
      </w:r>
      <w:r>
        <w:rPr>
          <w:rStyle w:val="FootnoteReference"/>
          <w:noProof/>
        </w:rPr>
        <w:footnoteReference w:id="36"/>
      </w:r>
      <w:r>
        <w:rPr>
          <w:noProof/>
        </w:rPr>
        <w:t xml:space="preserve"> </w:t>
      </w:r>
    </w:p>
    <w:p>
      <w:pPr>
        <w:pStyle w:val="Text1"/>
        <w:rPr>
          <w:noProof/>
        </w:rPr>
      </w:pPr>
      <w:r>
        <w:rPr>
          <w:i/>
          <w:noProof/>
        </w:rPr>
        <w:t>X</w:t>
      </w:r>
      <w:r>
        <w:rPr>
          <w:noProof/>
        </w:rPr>
        <w:t xml:space="preserve"> </w:t>
      </w:r>
      <w:r>
        <w:rPr>
          <w:b/>
          <w:noProof/>
        </w:rPr>
        <w:t>Пряко управление</w:t>
      </w:r>
      <w:r>
        <w:rPr>
          <w:noProof/>
        </w:rPr>
        <w:t xml:space="preserve"> от Комисията</w:t>
      </w:r>
    </w:p>
    <w:p>
      <w:pPr>
        <w:pStyle w:val="ListDash2"/>
        <w:rPr>
          <w:rFonts w:cs="EUAlbertina"/>
          <w:noProof/>
        </w:rPr>
      </w:pPr>
      <w:r>
        <w:rPr>
          <w:noProof/>
        </w:rPr>
        <w:t xml:space="preserve">Х от нейните служби, включително от нейния персонал в делегациите на Съюза; </w:t>
      </w:r>
    </w:p>
    <w:p>
      <w:pPr>
        <w:pStyle w:val="ListDash2"/>
        <w:rPr>
          <w:noProof/>
        </w:rPr>
      </w:pPr>
      <w:r>
        <w:rPr>
          <w:noProof/>
        </w:rPr>
        <w:sym w:font="Wingdings" w:char="F0A8"/>
      </w:r>
      <w:r>
        <w:rPr>
          <w:noProof/>
        </w:rPr>
        <w:tab/>
        <w:t xml:space="preserve">от изпълнителните агенции </w:t>
      </w:r>
    </w:p>
    <w:p>
      <w:pPr>
        <w:pStyle w:val="Text1"/>
        <w:rPr>
          <w:noProof/>
        </w:rPr>
      </w:pPr>
      <w:r>
        <w:rPr>
          <w:noProof/>
        </w:rPr>
        <w:sym w:font="Wingdings" w:char="F0A8"/>
      </w:r>
      <w:r>
        <w:rPr>
          <w:b/>
          <w:i/>
          <w:noProof/>
        </w:rPr>
        <w:t xml:space="preserve"> </w:t>
      </w:r>
      <w:r>
        <w:rPr>
          <w:b/>
          <w:noProof/>
        </w:rPr>
        <w:t>Споделено управление</w:t>
      </w:r>
      <w:r>
        <w:rPr>
          <w:noProof/>
        </w:rPr>
        <w:t xml:space="preserve"> с държавите членки </w:t>
      </w:r>
    </w:p>
    <w:p>
      <w:pPr>
        <w:pStyle w:val="Text1"/>
        <w:rPr>
          <w:noProof/>
        </w:rPr>
      </w:pPr>
      <w:r>
        <w:rPr>
          <w:noProof/>
        </w:rPr>
        <w:sym w:font="Wingdings" w:char="F0A8"/>
      </w:r>
      <w:r>
        <w:rPr>
          <w:i/>
          <w:noProof/>
        </w:rPr>
        <w:t xml:space="preserve"> </w:t>
      </w:r>
      <w:r>
        <w:rPr>
          <w:b/>
          <w:noProof/>
        </w:rPr>
        <w:t>Непряко управление</w:t>
      </w:r>
      <w:r>
        <w:rPr>
          <w:noProof/>
        </w:rPr>
        <w:t xml:space="preserve"> чрез възлагане на задачи по изпълнението на бюджета на:</w:t>
      </w:r>
    </w:p>
    <w:p>
      <w:pPr>
        <w:pStyle w:val="ListDash2"/>
        <w:rPr>
          <w:noProof/>
        </w:rPr>
      </w:pPr>
      <w:r>
        <w:rPr>
          <w:noProof/>
        </w:rPr>
        <w:sym w:font="Wingdings" w:char="F0A8"/>
      </w:r>
      <w:r>
        <w:rPr>
          <w:noProof/>
        </w:rPr>
        <w:t>трети държави или органите, определени от тях;</w:t>
      </w:r>
    </w:p>
    <w:p>
      <w:pPr>
        <w:pStyle w:val="ListDash2"/>
        <w:rPr>
          <w:noProof/>
        </w:rPr>
      </w:pPr>
      <w:r>
        <w:rPr>
          <w:noProof/>
        </w:rPr>
        <w:sym w:font="Wingdings" w:char="F0A8"/>
      </w:r>
      <w:r>
        <w:rPr>
          <w:noProof/>
        </w:rPr>
        <w:t>международни организации и техните агенции (да се уточни);</w:t>
      </w:r>
    </w:p>
    <w:p>
      <w:pPr>
        <w:pStyle w:val="ListDash2"/>
        <w:rPr>
          <w:noProof/>
        </w:rPr>
      </w:pPr>
      <w:r>
        <w:rPr>
          <w:noProof/>
        </w:rPr>
        <w:sym w:font="Wingdings" w:char="F0A8"/>
      </w:r>
      <w:r>
        <w:rPr>
          <w:noProof/>
        </w:rPr>
        <w:t>ЕИБ и Европейския инвестиционен фонд;</w:t>
      </w:r>
    </w:p>
    <w:p>
      <w:pPr>
        <w:pStyle w:val="ListDash2"/>
        <w:rPr>
          <w:noProof/>
        </w:rPr>
      </w:pPr>
      <w:r>
        <w:rPr>
          <w:noProof/>
        </w:rPr>
        <w:sym w:font="Wingdings" w:char="F0A8"/>
      </w:r>
      <w:r>
        <w:rPr>
          <w:noProof/>
        </w:rPr>
        <w:t>органите, посочени в членове 70 и 71 от Финансовия регламент;</w:t>
      </w:r>
    </w:p>
    <w:p>
      <w:pPr>
        <w:pStyle w:val="ListDash2"/>
        <w:rPr>
          <w:noProof/>
        </w:rPr>
      </w:pPr>
      <w:r>
        <w:rPr>
          <w:noProof/>
        </w:rPr>
        <w:sym w:font="Wingdings" w:char="F0A8"/>
      </w:r>
      <w:r>
        <w:rPr>
          <w:noProof/>
        </w:rPr>
        <w:t>публичноправни органи;</w:t>
      </w:r>
    </w:p>
    <w:p>
      <w:pPr>
        <w:pStyle w:val="ListDash2"/>
        <w:rPr>
          <w:noProof/>
        </w:rPr>
      </w:pPr>
      <w:r>
        <w:rPr>
          <w:noProof/>
        </w:rPr>
        <w:sym w:font="Wingdings" w:char="F0A8"/>
      </w:r>
      <w:r>
        <w:rPr>
          <w:noProof/>
        </w:rPr>
        <w:t>частноправни организации със задължение за обществена услуга, доколкото предоставят подходящи финансови гаранции;</w:t>
      </w:r>
    </w:p>
    <w:p>
      <w:pPr>
        <w:pStyle w:val="ListDash2"/>
        <w:rPr>
          <w:noProof/>
        </w:rPr>
      </w:pPr>
      <w:r>
        <w:rPr>
          <w:noProof/>
        </w:rPr>
        <w:sym w:font="Wingdings" w:char="F0A8"/>
      </w:r>
      <w:r>
        <w:rPr>
          <w:noProof/>
        </w:rPr>
        <w:t>частноправни организации в държава членка, на които е възложено осъществяването на публично-частно партньорство и които предоставят подходящи финансови гаранции;</w:t>
      </w:r>
    </w:p>
    <w:p>
      <w:pPr>
        <w:pStyle w:val="ListDash2"/>
        <w:rPr>
          <w:noProof/>
        </w:rPr>
      </w:pPr>
      <w:r>
        <w:rPr>
          <w:noProof/>
        </w:rPr>
        <w:sym w:font="Wingdings" w:char="F0A8"/>
      </w:r>
      <w:r>
        <w:rPr>
          <w:noProof/>
        </w:rPr>
        <w:t>лица, на които е възложено изпълнението на специфични дейности в областта на ОВППС съгласно дял V от ДЕС и които са посочени в съответния основен акт.</w:t>
      </w:r>
    </w:p>
    <w:p>
      <w:pPr>
        <w:pStyle w:val="ListDash2"/>
        <w:rPr>
          <w:i/>
          <w:noProof/>
          <w:sz w:val="18"/>
          <w:u w:val="single"/>
        </w:rPr>
      </w:pPr>
      <w:r>
        <w:rPr>
          <w:i/>
          <w:noProof/>
          <w:sz w:val="18"/>
        </w:rPr>
        <w:t>Ако е посочен повече от един метод на управление, пояснете в частта „Забележки“.</w:t>
      </w:r>
    </w:p>
    <w:p>
      <w:pPr>
        <w:rPr>
          <w:noProof/>
        </w:rPr>
      </w:pPr>
      <w:r>
        <w:rPr>
          <w:noProof/>
        </w:rPr>
        <w:t xml:space="preserve">Забележки </w:t>
      </w:r>
    </w:p>
    <w:p>
      <w:pPr>
        <w:pBdr>
          <w:top w:val="single" w:sz="4" w:space="1" w:color="auto"/>
          <w:left w:val="single" w:sz="4" w:space="4" w:color="auto"/>
          <w:bottom w:val="single" w:sz="4" w:space="1" w:color="auto"/>
          <w:right w:val="single" w:sz="4" w:space="4" w:color="auto"/>
        </w:pBdr>
        <w:rPr>
          <w:noProof/>
        </w:rPr>
      </w:pPr>
      <w:r>
        <w:rPr>
          <w:noProof/>
        </w:rPr>
        <w:t>Няма.</w:t>
      </w:r>
    </w:p>
    <w:p>
      <w:pPr>
        <w:spacing w:before="0" w:after="0"/>
        <w:jc w:val="left"/>
        <w:rPr>
          <w:noProof/>
        </w:rPr>
        <w:sectPr>
          <w:headerReference w:type="default" r:id="rId25"/>
          <w:footerReference w:type="default" r:id="rId26"/>
          <w:headerReference w:type="first" r:id="rId27"/>
          <w:footerReference w:type="first" r:id="rId28"/>
          <w:footnotePr>
            <w:numRestart w:val="eachSect"/>
          </w:footnotePr>
          <w:pgSz w:w="11907" w:h="16840"/>
          <w:pgMar w:top="1134" w:right="1418" w:bottom="1134" w:left="1418" w:header="709" w:footer="709" w:gutter="0"/>
          <w:cols w:space="720"/>
          <w:docGrid w:linePitch="326"/>
        </w:sectPr>
      </w:pPr>
    </w:p>
    <w:p>
      <w:pPr>
        <w:pStyle w:val="ManualHeading1"/>
        <w:rPr>
          <w:bCs/>
          <w:noProof/>
          <w:szCs w:val="24"/>
        </w:rPr>
      </w:pPr>
      <w:r>
        <w:t>2.</w:t>
      </w:r>
      <w:r>
        <w:tab/>
      </w:r>
      <w:r>
        <w:rPr>
          <w:noProof/>
        </w:rPr>
        <w:t xml:space="preserve">МЕРКИ ЗА УПРАВЛЕНИЕ </w:t>
      </w:r>
    </w:p>
    <w:p>
      <w:pPr>
        <w:pStyle w:val="ManualHeading2"/>
        <w:rPr>
          <w:noProof/>
        </w:rPr>
      </w:pPr>
      <w:r>
        <w:t>2.1.</w:t>
      </w:r>
      <w:r>
        <w:tab/>
      </w:r>
      <w:r>
        <w:rPr>
          <w:noProof/>
        </w:rPr>
        <w:t xml:space="preserve">Правила за наблюдение и докладване </w:t>
      </w:r>
    </w:p>
    <w:p>
      <w:pPr>
        <w:pStyle w:val="Text1"/>
        <w:rPr>
          <w:i/>
          <w:noProof/>
          <w:sz w:val="20"/>
          <w:u w:val="single"/>
        </w:rPr>
      </w:pPr>
      <w:r>
        <w:rPr>
          <w:i/>
          <w:noProof/>
          <w:sz w:val="20"/>
        </w:rPr>
        <w:t>Да се посочат честотата и условията.</w:t>
      </w:r>
    </w:p>
    <w:p>
      <w:pPr>
        <w:pStyle w:val="Text1"/>
        <w:pBdr>
          <w:top w:val="single" w:sz="4" w:space="1" w:color="auto"/>
          <w:left w:val="single" w:sz="4" w:space="4" w:color="auto"/>
          <w:bottom w:val="single" w:sz="4" w:space="1" w:color="auto"/>
          <w:right w:val="single" w:sz="4" w:space="4" w:color="auto"/>
        </w:pBdr>
      </w:pPr>
      <w:r>
        <w:t>Въздействието на предложената програма „Фискалис“ ще бъде оценявано посредством междинни и окончателни оценки, както и чрез постоянно наблюдение върху набор от ключови показатели за изпълнението на високо равнище.</w:t>
      </w:r>
    </w:p>
    <w:p>
      <w:pPr>
        <w:pStyle w:val="Text1"/>
        <w:pBdr>
          <w:top w:val="single" w:sz="4" w:space="1" w:color="auto"/>
          <w:left w:val="single" w:sz="4" w:space="4" w:color="auto"/>
          <w:bottom w:val="single" w:sz="4" w:space="1" w:color="auto"/>
          <w:right w:val="single" w:sz="4" w:space="4" w:color="auto"/>
        </w:pBdr>
      </w:pPr>
      <w:r>
        <w:t xml:space="preserve">Резултатите и крайните продукти от изпълнението на Програмата ще бъдат редовно оценявани посредством всеобхватна система за наблюдение въз основа на определени показатели, за да се осигури отчетност във връзка с икономическата изгода. Данните за измерването на изпълнението ще бъдат извличани от различни средства за събиране на данни, в т.ч. формуляри за проследяване на дейностите, формуляри за оценяване на събитията, редовни проучвания сред служителите на митниците. </w:t>
      </w:r>
    </w:p>
    <w:p>
      <w:pPr>
        <w:pStyle w:val="Text1"/>
        <w:pBdr>
          <w:top w:val="single" w:sz="4" w:space="1" w:color="auto"/>
          <w:left w:val="single" w:sz="4" w:space="4" w:color="auto"/>
          <w:bottom w:val="single" w:sz="4" w:space="1" w:color="auto"/>
          <w:right w:val="single" w:sz="4" w:space="4" w:color="auto"/>
        </w:pBdr>
      </w:pPr>
      <w:r>
        <w:t xml:space="preserve">Програмата играе спомагателна роля, като по нея органите на участващите държави се подпомагат при споделянето на информация и повишаването на капацитета им, поради което системата за наблюдение е съсредоточена върху проследяването на напредъка на дейностите по Програмата от гледна точка на показателите на равнище крайни продукти. Във всички случаи, когато това е възможно, чрез тази система се следят показателите в областите, свързани с целите на Програмата на високо равнище. </w:t>
      </w:r>
    </w:p>
    <w:p>
      <w:pPr>
        <w:pStyle w:val="Text1"/>
        <w:pBdr>
          <w:top w:val="single" w:sz="4" w:space="1" w:color="auto"/>
          <w:left w:val="single" w:sz="4" w:space="4" w:color="auto"/>
          <w:bottom w:val="single" w:sz="4" w:space="1" w:color="auto"/>
          <w:right w:val="single" w:sz="4" w:space="4" w:color="auto"/>
        </w:pBdr>
      </w:pPr>
      <w:r>
        <w:t>Комисията ще издава ежегодно доклад за напредъка, в който ще се съдържат обобщени сведения за изпълнението на целите на Програмата и за съответните показатели за крайните продукти и резултатите.</w:t>
      </w:r>
    </w:p>
    <w:p>
      <w:pPr>
        <w:pStyle w:val="ManualHeading2"/>
        <w:rPr>
          <w:bCs/>
          <w:noProof/>
          <w:szCs w:val="24"/>
        </w:rPr>
      </w:pPr>
      <w:r>
        <w:t>2.2.</w:t>
      </w:r>
      <w:r>
        <w:tab/>
      </w:r>
      <w:r>
        <w:rPr>
          <w:noProof/>
        </w:rPr>
        <w:t xml:space="preserve">Системи за управление и контрол </w:t>
      </w:r>
    </w:p>
    <w:p>
      <w:pPr>
        <w:pStyle w:val="ManualHeading3"/>
        <w:rPr>
          <w:noProof/>
        </w:rPr>
      </w:pPr>
      <w:r>
        <w:t>2.2.1.</w:t>
      </w:r>
      <w:r>
        <w:tab/>
      </w:r>
      <w:r>
        <w:rPr>
          <w:noProof/>
        </w:rPr>
        <w:t>Обосновка на предложените методи на управление, механизми за финансиране на изпълнението, ред и условия за плащане и стратегия за контрол</w:t>
      </w:r>
    </w:p>
    <w:p>
      <w:pPr>
        <w:pStyle w:val="Text1"/>
        <w:pBdr>
          <w:top w:val="single" w:sz="4" w:space="1" w:color="auto"/>
          <w:left w:val="single" w:sz="4" w:space="4" w:color="auto"/>
          <w:bottom w:val="single" w:sz="4" w:space="1" w:color="auto"/>
          <w:right w:val="single" w:sz="4" w:space="4" w:color="auto"/>
        </w:pBdr>
      </w:pPr>
      <w:r>
        <w:t>Програмата ще бъде изпълнявана под пряко управление поради естеството на дейностите по нея, поради насочеността ѝ към данъчните органи като бенефициери и поради националния суверенитет на държавите членки по отношение на данъчното облагане. Този метод на управление осигурява най-ефикасното разпределение на финансовите ресурси и възможно най-голямото въздействие. В действителност тя осигурява на Комисията както гъвкавост, така и ръководни правомощия, за да може ежегодно чрез решението си за финансиране да разпределя необходимите средства според приоритетите, договорени с държавите членки по процедурата на комитета, включително според нововъзникващите потребности.</w:t>
      </w:r>
    </w:p>
    <w:p>
      <w:pPr>
        <w:pStyle w:val="Text1"/>
        <w:pBdr>
          <w:top w:val="single" w:sz="4" w:space="1" w:color="auto"/>
          <w:left w:val="single" w:sz="4" w:space="4" w:color="auto"/>
          <w:bottom w:val="single" w:sz="4" w:space="1" w:color="auto"/>
          <w:right w:val="single" w:sz="4" w:space="4" w:color="auto"/>
        </w:pBdr>
      </w:pPr>
      <w:r>
        <w:t>Изпълнението ще се осъществява главно чрез обществени поръчки и до по-малка степен чрез споразумения за отпускане на безвъзмездни средства, сключвани с националните органи.</w:t>
      </w:r>
    </w:p>
    <w:p>
      <w:pPr>
        <w:pStyle w:val="Text1"/>
        <w:pBdr>
          <w:top w:val="single" w:sz="4" w:space="1" w:color="auto"/>
          <w:left w:val="single" w:sz="4" w:space="4" w:color="auto"/>
          <w:bottom w:val="single" w:sz="4" w:space="1" w:color="auto"/>
          <w:right w:val="single" w:sz="4" w:space="4" w:color="auto"/>
        </w:pBdr>
      </w:pPr>
      <w:r>
        <w:t xml:space="preserve">По отношение на обществените поръчки редът и условията за плащане са напълно съобразени с вътрешноведомствените стандарти (без предварително финансиране; всички плащания са свързани с приемането на предварително определени изисквани резултати). </w:t>
      </w:r>
    </w:p>
    <w:p>
      <w:pPr>
        <w:pStyle w:val="Text1"/>
        <w:pBdr>
          <w:top w:val="single" w:sz="4" w:space="1" w:color="auto"/>
          <w:left w:val="single" w:sz="4" w:space="4" w:color="auto"/>
          <w:bottom w:val="single" w:sz="4" w:space="1" w:color="auto"/>
          <w:right w:val="single" w:sz="4" w:space="4" w:color="auto"/>
        </w:pBdr>
      </w:pPr>
      <w:r>
        <w:t>По отношение на безвъзмездните средства се предвижда предварително финансиране до 90 %. Окончателното плащане / събирането на суми при безвъзмездните средства се извършва въз основа на финансовите отчети в съчетание с последващи одити на място.</w:t>
      </w:r>
    </w:p>
    <w:p>
      <w:pPr>
        <w:pStyle w:val="Text1"/>
        <w:pBdr>
          <w:top w:val="single" w:sz="4" w:space="1" w:color="auto"/>
          <w:left w:val="single" w:sz="4" w:space="4" w:color="auto"/>
          <w:bottom w:val="single" w:sz="4" w:space="1" w:color="auto"/>
          <w:right w:val="single" w:sz="4" w:space="4" w:color="auto"/>
        </w:pBdr>
      </w:pPr>
      <w:r>
        <w:t xml:space="preserve">Системата за контрол върху обществените поръчки се основава на задълбочена предварителна проверка на 100 % от сделките, като по този начин се изключват всякакви грешки към момента на плащането. </w:t>
      </w:r>
    </w:p>
    <w:p>
      <w:pPr>
        <w:pStyle w:val="Text1"/>
        <w:pBdr>
          <w:top w:val="single" w:sz="4" w:space="1" w:color="auto"/>
          <w:left w:val="single" w:sz="4" w:space="4" w:color="auto"/>
          <w:bottom w:val="single" w:sz="4" w:space="1" w:color="auto"/>
          <w:right w:val="single" w:sz="4" w:space="4" w:color="auto"/>
        </w:pBdr>
      </w:pPr>
      <w:r>
        <w:t>По отношение на безвъзмездните средства стратегията за контрол почива върху двоен подход:</w:t>
      </w:r>
    </w:p>
    <w:p>
      <w:pPr>
        <w:pStyle w:val="Text1"/>
        <w:pBdr>
          <w:top w:val="single" w:sz="4" w:space="1" w:color="auto"/>
          <w:left w:val="single" w:sz="4" w:space="4" w:color="auto"/>
          <w:bottom w:val="single" w:sz="4" w:space="1" w:color="auto"/>
          <w:right w:val="single" w:sz="4" w:space="4" w:color="auto"/>
        </w:pBdr>
      </w:pPr>
      <w:r>
        <w:t>(1) финансовите отчети на националните органи се приключват след бърз кабинетен преглед, последван от окончателното нареждане за плащане / събиране (като по този начин се ограничава забавата при плащанията). Тези нареждания за плащане / събиране продължават да се проверяват в рамките на обичайните предварителни проверки, внедрени във финансовите вериги (предварителна проверка на 100 % от сделките).</w:t>
      </w:r>
    </w:p>
    <w:p>
      <w:pPr>
        <w:pStyle w:val="Text1"/>
        <w:pBdr>
          <w:top w:val="single" w:sz="4" w:space="1" w:color="auto"/>
          <w:left w:val="single" w:sz="4" w:space="4" w:color="auto"/>
          <w:bottom w:val="single" w:sz="4" w:space="1" w:color="auto"/>
          <w:right w:val="single" w:sz="4" w:space="4" w:color="auto"/>
        </w:pBdr>
      </w:pPr>
      <w:r>
        <w:t>(2) гореспоменатите проверки се подпомагат от последващи одити на място в държавите членки. ГД „Данъчно облагане и митнически съюз“ има за цел да извършва посещения за одити на място в 3 до 5 държави членки годишно, за да обхване повечето участващи държави до края на програмния период.</w:t>
      </w:r>
    </w:p>
    <w:p>
      <w:pPr>
        <w:pStyle w:val="ManualHeading3"/>
        <w:rPr>
          <w:bCs/>
          <w:noProof/>
          <w:szCs w:val="24"/>
        </w:rPr>
      </w:pPr>
      <w:r>
        <w:t>2.2.2.</w:t>
      </w:r>
      <w:r>
        <w:tab/>
      </w:r>
      <w:r>
        <w:rPr>
          <w:noProof/>
        </w:rPr>
        <w:t>Информация относно установените рискове и системите за вътрешен контрол, създадени с цел намаляването им</w:t>
      </w:r>
    </w:p>
    <w:p>
      <w:pPr>
        <w:pStyle w:val="Text1"/>
        <w:pBdr>
          <w:top w:val="single" w:sz="4" w:space="1" w:color="auto"/>
          <w:left w:val="single" w:sz="4" w:space="4" w:color="auto"/>
          <w:bottom w:val="single" w:sz="4" w:space="1" w:color="auto"/>
          <w:right w:val="single" w:sz="4" w:space="4" w:color="auto"/>
        </w:pBdr>
      </w:pPr>
      <w:r>
        <w:t xml:space="preserve">Рисковете, свързани с финансовите сделки по изпълнението на Програмата, са ограничени. </w:t>
      </w:r>
    </w:p>
    <w:p>
      <w:pPr>
        <w:pStyle w:val="Text1"/>
        <w:pBdr>
          <w:top w:val="single" w:sz="4" w:space="1" w:color="auto"/>
          <w:left w:val="single" w:sz="4" w:space="4" w:color="auto"/>
          <w:bottom w:val="single" w:sz="4" w:space="1" w:color="auto"/>
          <w:right w:val="single" w:sz="4" w:space="4" w:color="auto"/>
        </w:pBdr>
      </w:pPr>
      <w:r>
        <w:t xml:space="preserve">(1) При обществените поръчки повечето сделки (най-често свързани с разработването и експлоатацията на електронните системи) се изпълняват чрез действащи рамкови договори и/или чрез съделегиране на други служби на Комисията. </w:t>
      </w:r>
    </w:p>
    <w:p>
      <w:pPr>
        <w:pStyle w:val="Text1"/>
        <w:pBdr>
          <w:top w:val="single" w:sz="4" w:space="1" w:color="auto"/>
          <w:left w:val="single" w:sz="4" w:space="4" w:color="auto"/>
          <w:bottom w:val="single" w:sz="4" w:space="1" w:color="auto"/>
          <w:right w:val="single" w:sz="4" w:space="4" w:color="auto"/>
        </w:pBdr>
      </w:pPr>
      <w:r>
        <w:t>Общата система за вътрешен контрол в ГД „Данъчно облагане и митнически съюз“ (основаваща се на задълбочена предварителна проверка на 100 % от съответните сделки) позволи процентите на грешка по предходната програма да се задържат много под прага на същественост (а именно на равнище от 0,5 % според оценките). Тази система за контрол ще продължи да се използва и прилага за всички сделки по новата програма и така процентите на грешка ще се поддържат много под прага на същественост.</w:t>
      </w:r>
    </w:p>
    <w:p>
      <w:pPr>
        <w:pStyle w:val="Text1"/>
        <w:pBdr>
          <w:top w:val="single" w:sz="4" w:space="1" w:color="auto"/>
          <w:left w:val="single" w:sz="4" w:space="4" w:color="auto"/>
          <w:bottom w:val="single" w:sz="4" w:space="1" w:color="auto"/>
          <w:right w:val="single" w:sz="4" w:space="4" w:color="auto"/>
        </w:pBdr>
      </w:pPr>
      <w:r>
        <w:t>(2) При безвъзмездните средства сделките също се отличават с нисък риск, по-конкретно по следните причини:</w:t>
      </w:r>
    </w:p>
    <w:p>
      <w:pPr>
        <w:pStyle w:val="Text1"/>
        <w:pBdr>
          <w:top w:val="single" w:sz="4" w:space="1" w:color="auto"/>
          <w:left w:val="single" w:sz="4" w:space="4" w:color="auto"/>
          <w:bottom w:val="single" w:sz="4" w:space="1" w:color="auto"/>
          <w:right w:val="single" w:sz="4" w:space="4" w:color="auto"/>
        </w:pBdr>
        <w:ind w:left="1701" w:hanging="851"/>
      </w:pPr>
      <w:r>
        <w:t>•</w:t>
      </w:r>
      <w:r>
        <w:rPr>
          <w:noProof/>
        </w:rPr>
        <w:tab/>
      </w:r>
      <w:r>
        <w:t>бенефициерите са данъчните органи на държавите членки, държавите кандидатки и потенциалните кандидати, а в такъв случай няма покани за представяне на предложения;</w:t>
      </w:r>
    </w:p>
    <w:p>
      <w:pPr>
        <w:pStyle w:val="Text1"/>
        <w:pBdr>
          <w:top w:val="single" w:sz="4" w:space="1" w:color="auto"/>
          <w:left w:val="single" w:sz="4" w:space="4" w:color="auto"/>
          <w:bottom w:val="single" w:sz="4" w:space="1" w:color="auto"/>
          <w:right w:val="single" w:sz="4" w:space="4" w:color="auto"/>
        </w:pBdr>
        <w:ind w:left="1701" w:hanging="851"/>
      </w:pPr>
      <w:r>
        <w:t>•</w:t>
      </w:r>
      <w:r>
        <w:rPr>
          <w:noProof/>
        </w:rPr>
        <w:tab/>
      </w:r>
      <w:r>
        <w:t>разходите са свързани най-вече с многобройни дейности, по всяка от които се изразходва относително малка сума (главно възстановяване на пътни, дневни и квартирни разходи);</w:t>
      </w:r>
    </w:p>
    <w:p>
      <w:pPr>
        <w:pStyle w:val="Text1"/>
        <w:pBdr>
          <w:top w:val="single" w:sz="4" w:space="1" w:color="auto"/>
          <w:left w:val="single" w:sz="4" w:space="4" w:color="auto"/>
          <w:bottom w:val="single" w:sz="4" w:space="1" w:color="auto"/>
          <w:right w:val="single" w:sz="4" w:space="4" w:color="auto"/>
        </w:pBdr>
        <w:ind w:left="1701" w:hanging="851"/>
      </w:pPr>
      <w:r>
        <w:t>•</w:t>
      </w:r>
      <w:r>
        <w:rPr>
          <w:noProof/>
        </w:rPr>
        <w:tab/>
      </w:r>
      <w:r>
        <w:t>задължително използване на ART2 (електронната система за наблюдение върху разходите) за завеждане на дейностите и съставяне на финансовите отчети – тази система съдържа вградени функции за проверка;</w:t>
      </w:r>
    </w:p>
    <w:p>
      <w:pPr>
        <w:pStyle w:val="Text1"/>
        <w:pBdr>
          <w:top w:val="single" w:sz="4" w:space="1" w:color="auto"/>
          <w:left w:val="single" w:sz="4" w:space="4" w:color="auto"/>
          <w:bottom w:val="single" w:sz="4" w:space="1" w:color="auto"/>
          <w:right w:val="single" w:sz="4" w:space="4" w:color="auto"/>
        </w:pBdr>
        <w:ind w:left="1701" w:hanging="851"/>
      </w:pPr>
      <w:r>
        <w:t>•</w:t>
      </w:r>
      <w:r>
        <w:rPr>
          <w:noProof/>
        </w:rPr>
        <w:tab/>
      </w:r>
      <w:r>
        <w:t>всички проекти и дейности по Програмата се одобряват предварително от ГД „Данъчно облагане и митнически съюз“, а проверките, свързани с етапите на подбор и договаряне, осигуряват законосъобразността и редовността на задълженията за отпускане на безвъзмездните средства;</w:t>
      </w:r>
    </w:p>
    <w:p>
      <w:pPr>
        <w:pStyle w:val="Text1"/>
        <w:pBdr>
          <w:top w:val="single" w:sz="4" w:space="1" w:color="auto"/>
          <w:left w:val="single" w:sz="4" w:space="4" w:color="auto"/>
          <w:bottom w:val="single" w:sz="4" w:space="1" w:color="auto"/>
          <w:right w:val="single" w:sz="4" w:space="4" w:color="auto"/>
        </w:pBdr>
        <w:ind w:left="1701" w:hanging="851"/>
      </w:pPr>
      <w:r>
        <w:t>•</w:t>
      </w:r>
      <w:r>
        <w:rPr>
          <w:noProof/>
        </w:rPr>
        <w:tab/>
      </w:r>
      <w:r>
        <w:t>анализът на най-често срещаните грешки, откривани при последващите проверки или последващите одити на място в миналото, потвърждава, че съответните финансови сделки са нискорискови.</w:t>
      </w:r>
    </w:p>
    <w:p>
      <w:pPr>
        <w:pStyle w:val="Text1"/>
        <w:pBdr>
          <w:top w:val="single" w:sz="4" w:space="1" w:color="auto"/>
          <w:left w:val="single" w:sz="4" w:space="4" w:color="auto"/>
          <w:bottom w:val="single" w:sz="4" w:space="1" w:color="auto"/>
          <w:right w:val="single" w:sz="4" w:space="4" w:color="auto"/>
        </w:pBdr>
      </w:pPr>
      <w:r>
        <w:t>По предходната програма процентът на грешка за изпълнената чрез безвъзмездни средства част също бе трайно под прага на същественост (а именно около 1 %). Тази система за контрол ще продължи да се прилага и така процентите на грешка ще се поддържат много под прага на същественост.</w:t>
      </w:r>
    </w:p>
    <w:p>
      <w:pPr>
        <w:pStyle w:val="ManualHeading3"/>
        <w:rPr>
          <w:noProof/>
        </w:rPr>
      </w:pPr>
      <w:r>
        <w:t>2.2.3.</w:t>
      </w:r>
      <w:r>
        <w:tab/>
      </w:r>
      <w:r>
        <w:rPr>
          <w:noProof/>
        </w:rPr>
        <w:t xml:space="preserve">Оценка и обосновка на разходната ефективност на проверките (съотношение „разходи за проверки ÷ стойност на съответните управлявани средства“) и оценка на очакваната степен на риска от грешки (при плащане и при приключване) </w:t>
      </w:r>
    </w:p>
    <w:p>
      <w:pPr>
        <w:pStyle w:val="Text1"/>
        <w:pBdr>
          <w:top w:val="single" w:sz="4" w:space="1" w:color="auto"/>
          <w:left w:val="single" w:sz="4" w:space="4" w:color="auto"/>
          <w:bottom w:val="single" w:sz="4" w:space="1" w:color="auto"/>
          <w:right w:val="single" w:sz="4" w:space="4" w:color="auto"/>
        </w:pBdr>
      </w:pPr>
      <w:r>
        <w:t>Относителният общ годишен размер на разходите за проверки  по предходната програма трайно беше около 1,5 % (разходи за всички проверки – за обществените поръчки и безвъзмездните средства – по отношение на плащанията, извършени през годината) и се смята, че проверките са разходноефективни.</w:t>
      </w:r>
    </w:p>
    <w:p>
      <w:pPr>
        <w:pStyle w:val="Text1"/>
        <w:pBdr>
          <w:top w:val="single" w:sz="4" w:space="1" w:color="auto"/>
          <w:left w:val="single" w:sz="4" w:space="4" w:color="auto"/>
          <w:bottom w:val="single" w:sz="4" w:space="1" w:color="auto"/>
          <w:right w:val="single" w:sz="4" w:space="4" w:color="auto"/>
        </w:pBdr>
      </w:pPr>
      <w:r>
        <w:t>Както е посочено по-горе, рискът от грешка е ограничен, като се имат предвид естеството и методът на изпълнение на съответните финансови сделки. Освен това общата система за вътрешен контрол, основаваща се на задълбочени предварителни проверки, е предназначена за отстраняване на всички възможни грешки преди плащанията/приключването.</w:t>
      </w:r>
    </w:p>
    <w:p>
      <w:pPr>
        <w:pStyle w:val="Text1"/>
        <w:pBdr>
          <w:top w:val="single" w:sz="4" w:space="1" w:color="auto"/>
          <w:left w:val="single" w:sz="4" w:space="4" w:color="auto"/>
          <w:bottom w:val="single" w:sz="4" w:space="1" w:color="auto"/>
          <w:right w:val="single" w:sz="4" w:space="4" w:color="auto"/>
        </w:pBdr>
      </w:pPr>
      <w:r>
        <w:t>Чрез последващите проверки на място по отношение на безвъзмездните средства допълнително се намалява рискът от грешка при плащанията/приключването благодарение на силното им възпиращо действие.</w:t>
      </w:r>
    </w:p>
    <w:p>
      <w:pPr>
        <w:pStyle w:val="Text1"/>
        <w:pBdr>
          <w:top w:val="single" w:sz="4" w:space="1" w:color="auto"/>
          <w:left w:val="single" w:sz="4" w:space="4" w:color="auto"/>
          <w:bottom w:val="single" w:sz="4" w:space="1" w:color="auto"/>
          <w:right w:val="single" w:sz="4" w:space="4" w:color="auto"/>
        </w:pBdr>
      </w:pPr>
      <w:r>
        <w:t xml:space="preserve">Прилаганата стратегия за контрол се доказа като ефективна и ефикасна по предходната програма, а разходите за проверките бяха ограничени. </w:t>
      </w:r>
    </w:p>
    <w:p>
      <w:pPr>
        <w:pStyle w:val="Text1"/>
        <w:pBdr>
          <w:top w:val="single" w:sz="4" w:space="1" w:color="auto"/>
          <w:left w:val="single" w:sz="4" w:space="4" w:color="auto"/>
          <w:bottom w:val="single" w:sz="4" w:space="1" w:color="auto"/>
          <w:right w:val="single" w:sz="4" w:space="4" w:color="auto"/>
        </w:pBdr>
        <w:rPr>
          <w:noProof/>
        </w:rPr>
      </w:pPr>
      <w:r>
        <w:t>Като се има предвид, че същите системи за контрол ще бъдат използвани и за новата програма, предвижданите разходи за проверките и очакваното равнище на риска от грешки при плащанията/приключването ще бъдат сходни.</w:t>
      </w:r>
    </w:p>
    <w:p>
      <w:pPr>
        <w:pStyle w:val="ManualHeading2"/>
        <w:rPr>
          <w:bCs/>
          <w:noProof/>
          <w:szCs w:val="24"/>
        </w:rPr>
      </w:pPr>
      <w:r>
        <w:t>2.3.</w:t>
      </w:r>
      <w:r>
        <w:tab/>
      </w:r>
      <w:r>
        <w:rPr>
          <w:noProof/>
        </w:rPr>
        <w:t xml:space="preserve">Мерки за предотвратяване на измами и нередности </w:t>
      </w:r>
    </w:p>
    <w:p>
      <w:pPr>
        <w:pStyle w:val="Text1"/>
        <w:rPr>
          <w:i/>
          <w:noProof/>
          <w:sz w:val="20"/>
        </w:rPr>
      </w:pPr>
      <w:r>
        <w:rPr>
          <w:i/>
          <w:noProof/>
          <w:sz w:val="20"/>
        </w:rPr>
        <w:t>Да се посочат съществуващите или планираните мерки за предотвратяване и защита, например от стратегията за борба с измамите.</w:t>
      </w:r>
    </w:p>
    <w:p>
      <w:pPr>
        <w:pStyle w:val="Text1"/>
        <w:pBdr>
          <w:top w:val="single" w:sz="4" w:space="1" w:color="auto"/>
          <w:left w:val="single" w:sz="4" w:space="4" w:color="auto"/>
          <w:bottom w:val="single" w:sz="4" w:space="1" w:color="auto"/>
          <w:right w:val="single" w:sz="4" w:space="4" w:color="auto"/>
        </w:pBdr>
      </w:pPr>
      <w:r>
        <w:t xml:space="preserve">Стратегията на ГД „Данъчно облагане и митнически съюз“ за борба с измамите (СБИ) е съсредоточена върху развитието на силен начин на мислене, насочен срещу измамите, в рамките на тази ГД чрез дейности за повишаване на осведомеността във връзка с рисковете от измами и нравственост в поведението на служителите ѝ. Освен това в стратегията се обръща внимание на дейното сътрудничество с OLAF и включването на аспектите, свързани с измамите, в цикъла на стратегическото планиране и програмиране (СПП) на тази ГД. </w:t>
      </w:r>
    </w:p>
    <w:p>
      <w:pPr>
        <w:pStyle w:val="Text1"/>
        <w:pBdr>
          <w:top w:val="single" w:sz="4" w:space="1" w:color="auto"/>
          <w:left w:val="single" w:sz="4" w:space="4" w:color="auto"/>
          <w:bottom w:val="single" w:sz="4" w:space="1" w:color="auto"/>
          <w:right w:val="single" w:sz="4" w:space="4" w:color="auto"/>
        </w:pBdr>
        <w:rPr>
          <w:noProof/>
        </w:rPr>
      </w:pPr>
      <w:r>
        <w:t>Като се има предвид, че Програмата ще бъде изпълнявана (най-вече) чрез обществени поръчки, цел 3 на СБИ на ГД „Данъчно облагане и митнически съюз“ (а именно „Повишаване на осведомеността относно евентуални конфликти на интереси при работа с външни заинтересовани лица, като лобисти, оференти, изпълнители“), която ще бъде съсредоточена върху: 1) поддържане на отчетност за връзките с лобисти, 2) централизирано управление на процедурите за възлагане на обществени поръчки и връзките с оферентите, 3) нарочно обучение за връзките с лобисти, ще бъде особено важна за постигане при изпълнението на Програмата. Задължението да се прави справка в системата за ранно откриване и отстраняване, преди да се сключват договори за обществени поръчки (и всякакви финансови сделки), ще послужи за допълнително ограничаване на потенциалните измами и нередности.</w:t>
      </w:r>
    </w:p>
    <w:p>
      <w:pPr>
        <w:spacing w:before="0" w:after="0"/>
        <w:jc w:val="left"/>
        <w:rPr>
          <w:noProof/>
        </w:rPr>
        <w:sectPr>
          <w:footnotePr>
            <w:numRestart w:val="eachSect"/>
          </w:footnotePr>
          <w:pgSz w:w="11907" w:h="16840"/>
          <w:pgMar w:top="1134" w:right="1418" w:bottom="1134" w:left="1418" w:header="709" w:footer="709" w:gutter="0"/>
          <w:cols w:space="720"/>
          <w:docGrid w:linePitch="326"/>
        </w:sectPr>
      </w:pPr>
    </w:p>
    <w:p>
      <w:pPr>
        <w:pStyle w:val="ManualHeading1"/>
        <w:rPr>
          <w:bCs/>
          <w:noProof/>
          <w:szCs w:val="24"/>
        </w:rPr>
      </w:pPr>
      <w:r>
        <w:t>3.</w:t>
      </w:r>
      <w:r>
        <w:tab/>
      </w:r>
      <w:r>
        <w:rPr>
          <w:noProof/>
        </w:rPr>
        <w:t xml:space="preserve">ОЧАКВАНО ФИНАНСОВО ОТРАЖЕНИЕ НА ПРЕДЛОЖЕНИЕТО/ИНИЦИАТИВАТА </w:t>
      </w:r>
    </w:p>
    <w:p>
      <w:pPr>
        <w:pStyle w:val="ManualHeading2"/>
        <w:rPr>
          <w:noProof/>
        </w:rPr>
      </w:pPr>
      <w:r>
        <w:t>3.1.</w:t>
      </w:r>
      <w:r>
        <w:tab/>
      </w:r>
      <w:r>
        <w:rPr>
          <w:noProof/>
        </w:rPr>
        <w:t xml:space="preserve">Функция от многогодишната финансова рамка и предложени нови разходни бюджетни редове </w:t>
      </w:r>
    </w:p>
    <w:tbl>
      <w:tblPr>
        <w:tblW w:w="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18"/>
              </w:rPr>
              <w:t>Функция от многогодишната финансова рамка</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20"/>
              </w:rPr>
              <w:t>Бюджетен ред</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18"/>
              </w:rPr>
              <w:t>Вид на</w:t>
            </w:r>
            <w:r>
              <w:rPr>
                <w:noProof/>
                <w:sz w:val="22"/>
              </w:rPr>
              <w:br/>
            </w:r>
            <w:r>
              <w:rPr>
                <w:noProof/>
                <w:sz w:val="18"/>
              </w:rPr>
              <w:t>разхода</w:t>
            </w:r>
          </w:p>
        </w:tc>
        <w:tc>
          <w:tcPr>
            <w:tcW w:w="4440" w:type="dxa"/>
            <w:gridSpan w:val="4"/>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noProof/>
                <w:sz w:val="20"/>
              </w:rPr>
              <w:t xml:space="preserve">Вноска </w:t>
            </w:r>
          </w:p>
        </w:tc>
      </w:tr>
      <w:tr>
        <w:tc>
          <w:tcPr>
            <w:tcW w:w="1080"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396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0"/>
              </w:rPr>
              <w:t xml:space="preserve">Номер </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rPr>
              <w:t>Многогод./едногод.</w:t>
            </w:r>
            <w:r>
              <w:rPr>
                <w:rStyle w:val="FootnoteReference"/>
                <w:noProof/>
              </w:rPr>
              <w:footnoteReference w:id="37"/>
            </w:r>
          </w:p>
        </w:tc>
        <w:tc>
          <w:tcPr>
            <w:tcW w:w="956"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18"/>
              </w:rPr>
              <w:t>от държави от ЕАСТ</w:t>
            </w:r>
            <w:r>
              <w:rPr>
                <w:rStyle w:val="FootnoteReference"/>
                <w:noProof/>
              </w:rPr>
              <w:footnoteReference w:id="38"/>
            </w:r>
          </w:p>
          <w:p>
            <w:pPr>
              <w:spacing w:before="0" w:after="0"/>
              <w:jc w:val="center"/>
              <w:rPr>
                <w:b/>
                <w:noProof/>
                <w:sz w:val="18"/>
              </w:rPr>
            </w:pPr>
          </w:p>
        </w:tc>
        <w:tc>
          <w:tcPr>
            <w:tcW w:w="1080" w:type="dxa"/>
            <w:tcBorders>
              <w:top w:val="single" w:sz="4" w:space="0" w:color="auto"/>
              <w:left w:val="single" w:sz="4" w:space="0" w:color="auto"/>
              <w:bottom w:val="single" w:sz="4" w:space="0" w:color="auto"/>
              <w:right w:val="single" w:sz="4" w:space="0" w:color="auto"/>
            </w:tcBorders>
            <w:vAlign w:val="center"/>
          </w:tcPr>
          <w:p>
            <w:pPr>
              <w:jc w:val="center"/>
              <w:rPr>
                <w:noProof/>
              </w:rPr>
            </w:pPr>
            <w:r>
              <w:rPr>
                <w:noProof/>
                <w:sz w:val="18"/>
              </w:rPr>
              <w:t>от държави кандидатки</w:t>
            </w:r>
            <w:r>
              <w:rPr>
                <w:rStyle w:val="FootnoteReference"/>
                <w:noProof/>
              </w:rPr>
              <w:footnoteReference w:id="39"/>
            </w:r>
          </w:p>
          <w:p>
            <w:pPr>
              <w:spacing w:before="0" w:after="0"/>
              <w:jc w:val="center"/>
              <w:rPr>
                <w:noProof/>
                <w:sz w:val="18"/>
              </w:rPr>
            </w:pP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sz w:val="18"/>
              </w:rPr>
            </w:pPr>
            <w:r>
              <w:rPr>
                <w:noProof/>
                <w:sz w:val="18"/>
              </w:rPr>
              <w:t>от трети държави</w:t>
            </w:r>
          </w:p>
        </w:tc>
        <w:tc>
          <w:tcPr>
            <w:tcW w:w="1448"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16"/>
              </w:rPr>
              <w:t xml:space="preserve">по смисъла на член [21, параграф 2, буква б)] от Финансовия регламент </w:t>
            </w:r>
          </w:p>
        </w:tc>
      </w:tr>
      <w:tr>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color w:val="0000FF"/>
              </w:rPr>
            </w:pPr>
            <w:r>
              <w:rPr>
                <w:noProof/>
                <w:color w:val="0000FF"/>
              </w:rPr>
              <w:t>1</w:t>
            </w:r>
          </w:p>
        </w:tc>
        <w:tc>
          <w:tcPr>
            <w:tcW w:w="3960" w:type="dxa"/>
            <w:tcBorders>
              <w:top w:val="single" w:sz="4" w:space="0" w:color="auto"/>
              <w:left w:val="single" w:sz="4" w:space="0" w:color="auto"/>
              <w:bottom w:val="single" w:sz="4" w:space="0" w:color="auto"/>
              <w:right w:val="single" w:sz="4" w:space="0" w:color="auto"/>
            </w:tcBorders>
            <w:vAlign w:val="center"/>
            <w:hideMark/>
          </w:tcPr>
          <w:p>
            <w:pPr>
              <w:spacing w:before="60"/>
            </w:pPr>
            <w:r>
              <w:t>03.01 Единен пазар – административен ред</w:t>
            </w:r>
          </w:p>
          <w:p>
            <w:pPr>
              <w:spacing w:before="60"/>
              <w:rPr>
                <w:noProof/>
              </w:rPr>
            </w:pPr>
            <w:r>
              <w:t>03.04 Единен пазар – сътрудничество в областта на данъчното облагане (ФИСКАЛИС)</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color w:val="0000FF"/>
              </w:rPr>
            </w:pPr>
            <w:r>
              <w:rPr>
                <w:noProof/>
                <w:sz w:val="22"/>
              </w:rPr>
              <w:t>Многогод.</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НЕ</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ДА</w:t>
            </w:r>
          </w:p>
        </w:tc>
        <w:tc>
          <w:tcPr>
            <w:tcW w:w="956"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ДА</w:t>
            </w:r>
          </w:p>
        </w:tc>
        <w:tc>
          <w:tcPr>
            <w:tcW w:w="1448" w:type="dxa"/>
            <w:tcBorders>
              <w:top w:val="single" w:sz="4" w:space="0" w:color="auto"/>
              <w:left w:val="single" w:sz="4" w:space="0" w:color="auto"/>
              <w:bottom w:val="single" w:sz="4" w:space="0" w:color="auto"/>
              <w:right w:val="single" w:sz="4" w:space="0" w:color="auto"/>
            </w:tcBorders>
            <w:vAlign w:val="center"/>
            <w:hideMark/>
          </w:tcPr>
          <w:p>
            <w:pPr>
              <w:jc w:val="center"/>
              <w:rPr>
                <w:noProof/>
              </w:rPr>
            </w:pPr>
            <w:r>
              <w:rPr>
                <w:noProof/>
                <w:sz w:val="22"/>
              </w:rPr>
              <w:t>НЕ</w:t>
            </w:r>
          </w:p>
        </w:tc>
      </w:tr>
    </w:tbl>
    <w:p>
      <w:pPr>
        <w:spacing w:before="0" w:after="0"/>
        <w:jc w:val="left"/>
        <w:rPr>
          <w:noProof/>
        </w:rPr>
        <w:sectPr>
          <w:footnotePr>
            <w:numRestart w:val="eachSect"/>
          </w:footnotePr>
          <w:pgSz w:w="11907" w:h="16840"/>
          <w:pgMar w:top="1134" w:right="1418" w:bottom="1134" w:left="1418" w:header="709" w:footer="709" w:gutter="0"/>
          <w:cols w:space="720"/>
          <w:docGrid w:linePitch="326"/>
        </w:sectPr>
      </w:pPr>
    </w:p>
    <w:p>
      <w:pPr>
        <w:pStyle w:val="ManualHeading2"/>
        <w:rPr>
          <w:bCs/>
          <w:noProof/>
          <w:szCs w:val="24"/>
        </w:rPr>
      </w:pPr>
      <w:r>
        <w:t>3.2.</w:t>
      </w:r>
      <w:r>
        <w:tab/>
      </w:r>
      <w:r>
        <w:rPr>
          <w:noProof/>
        </w:rPr>
        <w:t xml:space="preserve">Очаквано отражение върху разходите </w:t>
      </w:r>
    </w:p>
    <w:p>
      <w:pPr>
        <w:pStyle w:val="ManualHeading3"/>
        <w:rPr>
          <w:noProof/>
          <w:u w:val="single"/>
        </w:rPr>
      </w:pPr>
      <w:r>
        <w:t>3.2.1.</w:t>
      </w:r>
      <w:r>
        <w:tab/>
      </w:r>
      <w:r>
        <w:rPr>
          <w:noProof/>
        </w:rPr>
        <w:t xml:space="preserve">Обобщение на очакваното отражение върху разходите </w:t>
      </w:r>
    </w:p>
    <w:p>
      <w:pPr>
        <w:jc w:val="right"/>
        <w:rPr>
          <w:noProof/>
          <w:sz w:val="20"/>
        </w:rPr>
      </w:pPr>
      <w:r>
        <w:rPr>
          <w:noProof/>
          <w:sz w:val="20"/>
        </w:rPr>
        <w:t>млн. евро (до третия знак след десетичната запетая)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b/>
                <w:noProof/>
              </w:rPr>
            </w:pPr>
            <w:r>
              <w:rPr>
                <w:b/>
                <w:noProof/>
              </w:rPr>
              <w:t>Функция от многогодишната финансова</w:t>
            </w:r>
            <w:r>
              <w:rPr>
                <w:noProof/>
                <w:sz w:val="22"/>
              </w:rPr>
              <w:br/>
            </w:r>
            <w:r>
              <w:rPr>
                <w:b/>
                <w:noProof/>
                <w:sz w:val="22"/>
              </w:rPr>
              <w:t xml:space="preserve">рамка </w:t>
            </w:r>
          </w:p>
        </w:tc>
        <w:tc>
          <w:tcPr>
            <w:tcW w:w="1080" w:type="dxa"/>
            <w:tcBorders>
              <w:top w:val="single" w:sz="4" w:space="0" w:color="auto"/>
              <w:left w:val="single" w:sz="4" w:space="0" w:color="auto"/>
              <w:bottom w:val="single" w:sz="4" w:space="0" w:color="auto"/>
              <w:right w:val="single" w:sz="4" w:space="0" w:color="auto"/>
            </w:tcBorders>
            <w:vAlign w:val="center"/>
            <w:hideMark/>
          </w:tcPr>
          <w:p>
            <w:pPr>
              <w:spacing w:before="60" w:after="60"/>
              <w:jc w:val="center"/>
              <w:rPr>
                <w:noProof/>
              </w:rPr>
            </w:pPr>
            <w:r>
              <w:rPr>
                <w:b/>
                <w:noProof/>
                <w:sz w:val="22"/>
              </w:rPr>
              <w:t>1</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rPr>
            </w:pPr>
            <w:r>
              <w:rPr>
                <w:noProof/>
                <w:sz w:val="20"/>
              </w:rPr>
              <w:t>Единен пазар, иновации и цифрова икономика</w:t>
            </w:r>
          </w:p>
        </w:tc>
      </w:tr>
    </w:tbl>
    <w:p>
      <w:pPr>
        <w:rPr>
          <w:noProof/>
          <w:sz w:val="16"/>
        </w:rPr>
      </w:pP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trPr>
          <w:jc w:val="center"/>
        </w:trPr>
        <w:tc>
          <w:tcPr>
            <w:tcW w:w="6197" w:type="dxa"/>
            <w:gridSpan w:val="3"/>
            <w:tcBorders>
              <w:top w:val="nil"/>
              <w:left w:val="nil"/>
              <w:bottom w:val="nil"/>
              <w:right w:val="single" w:sz="4" w:space="0" w:color="auto"/>
            </w:tcBorders>
            <w:vAlign w:val="center"/>
          </w:tcPr>
          <w:p>
            <w:pPr>
              <w:jc w:val="center"/>
              <w:rPr>
                <w:b/>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2021</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2022</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2023</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2024</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2025</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2026</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2027</w:t>
            </w:r>
          </w:p>
        </w:tc>
        <w:tc>
          <w:tcPr>
            <w:tcW w:w="909" w:type="dxa"/>
            <w:tcBorders>
              <w:top w:val="single" w:sz="4" w:space="0" w:color="auto"/>
              <w:left w:val="single" w:sz="4" w:space="0" w:color="auto"/>
              <w:bottom w:val="single" w:sz="4" w:space="0" w:color="auto"/>
              <w:right w:val="single" w:sz="4" w:space="0" w:color="auto"/>
            </w:tcBorders>
            <w:hideMark/>
          </w:tcPr>
          <w:p>
            <w:pPr>
              <w:jc w:val="center"/>
              <w:rPr>
                <w:b/>
                <w:i/>
                <w:noProof/>
                <w:sz w:val="20"/>
              </w:rPr>
            </w:pPr>
            <w:r>
              <w:rPr>
                <w:b/>
                <w:i/>
                <w:noProof/>
                <w:sz w:val="20"/>
              </w:rPr>
              <w:t>След 2027 г.</w:t>
            </w:r>
          </w:p>
        </w:tc>
        <w:tc>
          <w:tcPr>
            <w:tcW w:w="1289"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ОБЩО</w:t>
            </w:r>
          </w:p>
        </w:tc>
      </w:tr>
      <w:tr>
        <w:trPr>
          <w:trHeight w:val="433"/>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pPr>
              <w:rPr>
                <w:noProof/>
              </w:rPr>
            </w:pPr>
            <w:r>
              <w:rPr>
                <w:noProof/>
                <w:sz w:val="20"/>
              </w:rPr>
              <w:t xml:space="preserve">Бюджетни кредити за оперативни разходи (разпределени по бюджетните редове, изброени в точка 3.1) </w:t>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sz w:val="18"/>
              </w:rPr>
            </w:pPr>
            <w:r>
              <w:rPr>
                <w:noProof/>
                <w:sz w:val="18"/>
              </w:rPr>
              <w:t>Поети задължения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noProof/>
                <w:sz w:val="14"/>
              </w:rPr>
            </w:pPr>
            <w:r>
              <w:rPr>
                <w:noProof/>
                <w:sz w:val="14"/>
              </w:rPr>
              <w:t>(1)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noProof/>
                <w:color w:val="000000"/>
                <w:sz w:val="20"/>
                <w:szCs w:val="20"/>
              </w:rPr>
            </w:pPr>
            <w:r>
              <w:rPr>
                <w:rFonts w:ascii="Arial" w:hAnsi="Arial"/>
                <w:noProof/>
                <w:color w:val="000000"/>
                <w:sz w:val="20"/>
              </w:rPr>
              <w:t>33,202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noProof/>
                <w:color w:val="000000"/>
                <w:sz w:val="20"/>
                <w:szCs w:val="20"/>
              </w:rPr>
            </w:pPr>
            <w:r>
              <w:rPr>
                <w:rFonts w:ascii="Arial" w:hAnsi="Arial"/>
                <w:noProof/>
                <w:color w:val="000000"/>
                <w:sz w:val="20"/>
              </w:rPr>
              <w:t>34,036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noProof/>
                <w:color w:val="000000"/>
                <w:sz w:val="20"/>
                <w:szCs w:val="20"/>
              </w:rPr>
            </w:pPr>
            <w:r>
              <w:rPr>
                <w:rFonts w:ascii="Arial" w:hAnsi="Arial"/>
                <w:noProof/>
                <w:color w:val="000000"/>
                <w:sz w:val="20"/>
              </w:rPr>
              <w:t>35,326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noProof/>
                <w:color w:val="000000"/>
                <w:sz w:val="20"/>
                <w:szCs w:val="20"/>
              </w:rPr>
            </w:pPr>
            <w:r>
              <w:rPr>
                <w:rFonts w:ascii="Arial" w:hAnsi="Arial"/>
                <w:noProof/>
                <w:color w:val="000000"/>
                <w:sz w:val="20"/>
              </w:rPr>
              <w:t>37,122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noProof/>
                <w:color w:val="000000"/>
                <w:sz w:val="20"/>
                <w:szCs w:val="20"/>
              </w:rPr>
            </w:pPr>
            <w:r>
              <w:rPr>
                <w:rFonts w:ascii="Arial" w:hAnsi="Arial"/>
                <w:noProof/>
                <w:color w:val="000000"/>
                <w:sz w:val="20"/>
              </w:rPr>
              <w:t>39,494</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noProof/>
                <w:color w:val="000000"/>
                <w:sz w:val="20"/>
                <w:szCs w:val="20"/>
              </w:rPr>
            </w:pPr>
            <w:r>
              <w:rPr>
                <w:rFonts w:ascii="Arial" w:hAnsi="Arial"/>
                <w:noProof/>
                <w:color w:val="000000"/>
                <w:sz w:val="20"/>
              </w:rPr>
              <w:t>42,540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noProof/>
                <w:color w:val="000000"/>
                <w:sz w:val="20"/>
                <w:szCs w:val="20"/>
              </w:rPr>
            </w:pPr>
            <w:r>
              <w:rPr>
                <w:rFonts w:ascii="Arial" w:hAnsi="Arial"/>
                <w:noProof/>
                <w:color w:val="000000"/>
                <w:sz w:val="20"/>
              </w:rPr>
              <w:t>46,180</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pPr>
              <w:spacing w:before="40" w:after="40"/>
              <w:jc w:val="right"/>
              <w:rPr>
                <w:rFonts w:ascii="Arial" w:hAnsi="Arial" w:cs="Arial"/>
                <w:noProof/>
                <w:color w:val="000000"/>
                <w:sz w:val="20"/>
                <w:szCs w:val="20"/>
              </w:rPr>
            </w:pPr>
          </w:p>
        </w:tc>
        <w:tc>
          <w:tcPr>
            <w:tcW w:w="1289"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b/>
                <w:noProof/>
                <w:color w:val="000000"/>
                <w:sz w:val="20"/>
                <w:szCs w:val="20"/>
              </w:rPr>
            </w:pPr>
            <w:r>
              <w:rPr>
                <w:rFonts w:ascii="Arial" w:hAnsi="Arial"/>
                <w:b/>
                <w:noProof/>
                <w:color w:val="000000"/>
                <w:sz w:val="20"/>
              </w:rPr>
              <w:t>267,900</w:t>
            </w:r>
          </w:p>
        </w:tc>
      </w:tr>
      <w:tr>
        <w:trPr>
          <w:trHeight w:val="411"/>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sz w:val="18"/>
              </w:rPr>
            </w:pPr>
            <w:r>
              <w:rPr>
                <w:noProof/>
                <w:sz w:val="18"/>
              </w:rPr>
              <w:t>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20" w:after="20"/>
              <w:jc w:val="center"/>
              <w:rPr>
                <w:noProof/>
                <w:sz w:val="14"/>
              </w:rPr>
            </w:pPr>
            <w:r>
              <w:rPr>
                <w:noProof/>
                <w:sz w:val="14"/>
              </w:rPr>
              <w:t>(2)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noProof/>
                <w:color w:val="000000"/>
                <w:sz w:val="20"/>
                <w:szCs w:val="20"/>
              </w:rPr>
            </w:pPr>
            <w:r>
              <w:rPr>
                <w:rFonts w:ascii="Arial" w:hAnsi="Arial"/>
                <w:noProof/>
                <w:color w:val="000000"/>
                <w:sz w:val="20"/>
              </w:rPr>
              <w:t>7,957</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noProof/>
                <w:color w:val="000000"/>
                <w:sz w:val="20"/>
                <w:szCs w:val="20"/>
              </w:rPr>
            </w:pPr>
            <w:r>
              <w:rPr>
                <w:rFonts w:ascii="Arial" w:hAnsi="Arial"/>
                <w:noProof/>
                <w:color w:val="000000"/>
                <w:sz w:val="20"/>
              </w:rPr>
              <w:t>24,607</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noProof/>
                <w:color w:val="000000"/>
                <w:sz w:val="20"/>
                <w:szCs w:val="20"/>
              </w:rPr>
            </w:pPr>
            <w:r>
              <w:rPr>
                <w:rFonts w:ascii="Arial" w:hAnsi="Arial"/>
                <w:noProof/>
                <w:color w:val="000000"/>
                <w:sz w:val="20"/>
              </w:rPr>
              <w:t>31,141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noProof/>
                <w:color w:val="000000"/>
                <w:sz w:val="20"/>
                <w:szCs w:val="20"/>
              </w:rPr>
            </w:pPr>
            <w:r>
              <w:rPr>
                <w:rFonts w:ascii="Arial" w:hAnsi="Arial"/>
                <w:noProof/>
                <w:color w:val="000000"/>
                <w:sz w:val="20"/>
              </w:rPr>
              <w:t>33,479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noProof/>
                <w:color w:val="000000"/>
                <w:sz w:val="20"/>
                <w:szCs w:val="20"/>
              </w:rPr>
            </w:pPr>
            <w:r>
              <w:rPr>
                <w:rFonts w:ascii="Arial" w:hAnsi="Arial"/>
                <w:noProof/>
                <w:color w:val="000000"/>
                <w:sz w:val="20"/>
              </w:rPr>
              <w:t>35,699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noProof/>
                <w:color w:val="000000"/>
                <w:sz w:val="20"/>
                <w:szCs w:val="20"/>
              </w:rPr>
            </w:pPr>
            <w:r>
              <w:rPr>
                <w:rFonts w:ascii="Arial" w:hAnsi="Arial"/>
                <w:noProof/>
                <w:color w:val="000000"/>
                <w:sz w:val="20"/>
              </w:rPr>
              <w:t>38,342</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noProof/>
                <w:color w:val="000000"/>
                <w:sz w:val="20"/>
                <w:szCs w:val="20"/>
              </w:rPr>
            </w:pPr>
            <w:r>
              <w:rPr>
                <w:rFonts w:ascii="Arial" w:hAnsi="Arial"/>
                <w:noProof/>
                <w:color w:val="000000"/>
                <w:sz w:val="20"/>
              </w:rPr>
              <w:t>41,504</w:t>
            </w:r>
          </w:p>
        </w:tc>
        <w:tc>
          <w:tcPr>
            <w:tcW w:w="909"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noProof/>
                <w:color w:val="000000"/>
                <w:sz w:val="20"/>
                <w:szCs w:val="20"/>
              </w:rPr>
            </w:pPr>
            <w:r>
              <w:rPr>
                <w:rFonts w:ascii="Arial" w:hAnsi="Arial"/>
                <w:noProof/>
                <w:color w:val="000000"/>
                <w:sz w:val="20"/>
              </w:rPr>
              <w:t>55,171</w:t>
            </w:r>
          </w:p>
        </w:tc>
        <w:tc>
          <w:tcPr>
            <w:tcW w:w="1289"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b/>
                <w:noProof/>
                <w:color w:val="000000"/>
                <w:sz w:val="20"/>
                <w:szCs w:val="20"/>
              </w:rPr>
            </w:pPr>
            <w:r>
              <w:rPr>
                <w:rFonts w:ascii="Arial" w:hAnsi="Arial"/>
                <w:b/>
                <w:noProof/>
                <w:color w:val="000000"/>
                <w:sz w:val="20"/>
              </w:rPr>
              <w:t>267,900</w:t>
            </w:r>
          </w:p>
        </w:tc>
      </w:tr>
      <w:tr>
        <w:trPr>
          <w:trHeight w:val="319"/>
          <w:jc w:val="center"/>
        </w:trPr>
        <w:tc>
          <w:tcPr>
            <w:tcW w:w="4103"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noProof/>
              </w:rPr>
            </w:pPr>
            <w:r>
              <w:rPr>
                <w:noProof/>
                <w:sz w:val="20"/>
              </w:rPr>
              <w:t>Бюджетни кредити за административни разходи, финансирани от пакета за Програмата</w:t>
            </w:r>
            <w:r>
              <w:rPr>
                <w:rStyle w:val="FootnoteReference"/>
                <w:noProof/>
              </w:rPr>
              <w:footnoteReference w:id="40"/>
            </w:r>
          </w:p>
        </w:tc>
        <w:tc>
          <w:tcPr>
            <w:tcW w:w="1440" w:type="dxa"/>
            <w:tcBorders>
              <w:top w:val="single" w:sz="4" w:space="0" w:color="auto"/>
              <w:left w:val="single" w:sz="4" w:space="0" w:color="auto"/>
              <w:bottom w:val="single" w:sz="4" w:space="0" w:color="auto"/>
              <w:right w:val="single" w:sz="4" w:space="0" w:color="auto"/>
            </w:tcBorders>
            <w:vAlign w:val="center"/>
            <w:hideMark/>
          </w:tcPr>
          <w:p>
            <w:pPr>
              <w:spacing w:before="40" w:after="40"/>
              <w:jc w:val="left"/>
              <w:rPr>
                <w:noProof/>
                <w:sz w:val="18"/>
              </w:rPr>
            </w:pPr>
            <w:r>
              <w:rPr>
                <w:noProof/>
                <w:sz w:val="18"/>
              </w:rPr>
              <w:t>Поети задължения = 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spacing w:before="40" w:after="40"/>
              <w:jc w:val="center"/>
              <w:rPr>
                <w:noProof/>
                <w:sz w:val="14"/>
              </w:rPr>
            </w:pPr>
            <w:r>
              <w:rPr>
                <w:noProof/>
                <w:sz w:val="14"/>
              </w:rPr>
              <w:t>(3)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noProof/>
                <w:color w:val="000000"/>
                <w:sz w:val="20"/>
                <w:szCs w:val="20"/>
              </w:rPr>
            </w:pPr>
            <w:r>
              <w:rPr>
                <w:rFonts w:ascii="Arial" w:hAnsi="Arial"/>
                <w:noProof/>
                <w:color w:val="000000"/>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noProof/>
                <w:color w:val="000000"/>
                <w:sz w:val="20"/>
                <w:szCs w:val="20"/>
              </w:rPr>
            </w:pPr>
            <w:r>
              <w:rPr>
                <w:rFonts w:ascii="Arial" w:hAnsi="Arial"/>
                <w:noProof/>
                <w:color w:val="000000"/>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noProof/>
                <w:color w:val="000000"/>
                <w:sz w:val="20"/>
                <w:szCs w:val="20"/>
              </w:rPr>
            </w:pPr>
            <w:r>
              <w:rPr>
                <w:rFonts w:ascii="Arial" w:hAnsi="Arial"/>
                <w:noProof/>
                <w:color w:val="000000"/>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noProof/>
                <w:color w:val="000000"/>
                <w:sz w:val="20"/>
                <w:szCs w:val="20"/>
              </w:rPr>
            </w:pPr>
            <w:r>
              <w:rPr>
                <w:rFonts w:ascii="Arial" w:hAnsi="Arial"/>
                <w:noProof/>
                <w:color w:val="000000"/>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noProof/>
                <w:color w:val="000000"/>
                <w:sz w:val="20"/>
                <w:szCs w:val="20"/>
              </w:rPr>
            </w:pPr>
            <w:r>
              <w:rPr>
                <w:rFonts w:ascii="Arial" w:hAnsi="Arial"/>
                <w:noProof/>
                <w:color w:val="000000"/>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noProof/>
                <w:color w:val="000000"/>
                <w:sz w:val="20"/>
                <w:szCs w:val="20"/>
              </w:rPr>
            </w:pPr>
            <w:r>
              <w:rPr>
                <w:rFonts w:ascii="Arial" w:hAnsi="Arial"/>
                <w:noProof/>
                <w:color w:val="000000"/>
                <w:sz w:val="20"/>
              </w:rPr>
              <w:t>0,300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noProof/>
                <w:color w:val="000000"/>
                <w:sz w:val="20"/>
                <w:szCs w:val="20"/>
              </w:rPr>
            </w:pPr>
            <w:r>
              <w:rPr>
                <w:rFonts w:ascii="Arial" w:hAnsi="Arial"/>
                <w:noProof/>
                <w:color w:val="000000"/>
                <w:sz w:val="20"/>
              </w:rPr>
              <w:t>0,300</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pPr>
              <w:spacing w:before="40" w:after="40"/>
              <w:jc w:val="right"/>
              <w:rPr>
                <w:rFonts w:ascii="Arial" w:hAnsi="Arial" w:cs="Arial"/>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hideMark/>
          </w:tcPr>
          <w:p>
            <w:pPr>
              <w:spacing w:before="40" w:after="40"/>
              <w:jc w:val="right"/>
              <w:rPr>
                <w:rFonts w:ascii="Arial" w:hAnsi="Arial" w:cs="Arial"/>
                <w:b/>
                <w:noProof/>
                <w:sz w:val="20"/>
              </w:rPr>
            </w:pPr>
            <w:r>
              <w:rPr>
                <w:rFonts w:ascii="Arial" w:hAnsi="Arial"/>
                <w:b/>
                <w:noProof/>
                <w:sz w:val="20"/>
              </w:rPr>
              <w:t>2,100</w:t>
            </w:r>
          </w:p>
        </w:tc>
      </w:tr>
      <w:tr>
        <w:trPr>
          <w:jc w:val="center"/>
        </w:trPr>
        <w:tc>
          <w:tcPr>
            <w:tcW w:w="4103" w:type="dxa"/>
            <w:vMerge w:val="restart"/>
            <w:tcBorders>
              <w:top w:val="single" w:sz="4" w:space="0" w:color="auto"/>
              <w:left w:val="single" w:sz="4" w:space="0" w:color="auto"/>
              <w:bottom w:val="single" w:sz="4" w:space="0" w:color="auto"/>
              <w:right w:val="single" w:sz="4" w:space="0" w:color="auto"/>
            </w:tcBorders>
            <w:vAlign w:val="center"/>
            <w:hideMark/>
          </w:tcPr>
          <w:p>
            <w:pPr>
              <w:jc w:val="left"/>
              <w:rPr>
                <w:b/>
                <w:noProof/>
              </w:rPr>
            </w:pPr>
            <w:r>
              <w:rPr>
                <w:b/>
                <w:noProof/>
                <w:sz w:val="22"/>
              </w:rPr>
              <w:t>ОБЩО бюджетни кредити за финансовия пакет на Програмата</w:t>
            </w:r>
          </w:p>
        </w:tc>
        <w:tc>
          <w:tcPr>
            <w:tcW w:w="1440" w:type="dxa"/>
            <w:tcBorders>
              <w:top w:val="single" w:sz="4" w:space="0" w:color="auto"/>
              <w:left w:val="single" w:sz="4" w:space="0" w:color="auto"/>
              <w:bottom w:val="single" w:sz="4" w:space="0" w:color="auto"/>
              <w:right w:val="single" w:sz="4" w:space="0" w:color="auto"/>
            </w:tcBorders>
            <w:vAlign w:val="center"/>
            <w:hideMark/>
          </w:tcPr>
          <w:p>
            <w:pPr>
              <w:jc w:val="left"/>
              <w:rPr>
                <w:noProof/>
                <w:sz w:val="18"/>
              </w:rPr>
            </w:pPr>
            <w:r>
              <w:rPr>
                <w:noProof/>
                <w:sz w:val="18"/>
              </w:rPr>
              <w:t>Поети задължения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jc w:val="center"/>
              <w:rPr>
                <w:noProof/>
                <w:sz w:val="14"/>
              </w:rPr>
            </w:pPr>
            <w:r>
              <w:rPr>
                <w:noProof/>
                <w:sz w:val="14"/>
              </w:rPr>
              <w:t>=1+3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noProof/>
                <w:sz w:val="20"/>
              </w:rPr>
            </w:pPr>
            <w:r>
              <w:rPr>
                <w:rFonts w:ascii="Arial" w:hAnsi="Arial"/>
                <w:noProof/>
                <w:color w:val="000000"/>
                <w:sz w:val="20"/>
              </w:rPr>
              <w:t xml:space="preserve">33,502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noProof/>
                <w:sz w:val="20"/>
              </w:rPr>
            </w:pPr>
            <w:r>
              <w:rPr>
                <w:rFonts w:ascii="Arial" w:hAnsi="Arial"/>
                <w:noProof/>
                <w:color w:val="000000"/>
                <w:sz w:val="20"/>
              </w:rPr>
              <w:t xml:space="preserve">34,336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noProof/>
                <w:sz w:val="20"/>
              </w:rPr>
            </w:pPr>
            <w:r>
              <w:rPr>
                <w:rFonts w:ascii="Arial" w:hAnsi="Arial"/>
                <w:noProof/>
                <w:color w:val="000000"/>
                <w:sz w:val="20"/>
              </w:rPr>
              <w:t xml:space="preserve">35,626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noProof/>
                <w:sz w:val="20"/>
              </w:rPr>
            </w:pPr>
            <w:r>
              <w:rPr>
                <w:rFonts w:ascii="Arial" w:hAnsi="Arial"/>
                <w:noProof/>
                <w:color w:val="000000"/>
                <w:sz w:val="20"/>
              </w:rPr>
              <w:t xml:space="preserve">37,422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noProof/>
                <w:sz w:val="20"/>
              </w:rPr>
            </w:pPr>
            <w:r>
              <w:rPr>
                <w:rFonts w:ascii="Arial" w:hAnsi="Arial"/>
                <w:noProof/>
                <w:color w:val="000000"/>
                <w:sz w:val="20"/>
              </w:rPr>
              <w:t xml:space="preserve">39,794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noProof/>
                <w:sz w:val="20"/>
              </w:rPr>
            </w:pPr>
            <w:r>
              <w:rPr>
                <w:rFonts w:ascii="Arial" w:hAnsi="Arial"/>
                <w:noProof/>
                <w:color w:val="000000"/>
                <w:sz w:val="20"/>
              </w:rPr>
              <w:t xml:space="preserve">42,840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sz w:val="20"/>
              </w:rPr>
            </w:pPr>
            <w:r>
              <w:rPr>
                <w:rFonts w:ascii="Arial" w:hAnsi="Arial"/>
                <w:noProof/>
                <w:color w:val="000000"/>
                <w:sz w:val="20"/>
              </w:rPr>
              <w:t xml:space="preserve">46,480 </w:t>
            </w:r>
          </w:p>
        </w:tc>
        <w:tc>
          <w:tcPr>
            <w:tcW w:w="909"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pPr>
              <w:spacing w:before="20" w:after="20"/>
              <w:jc w:val="right"/>
              <w:rPr>
                <w:rFonts w:ascii="Arial" w:hAnsi="Arial" w:cs="Arial"/>
                <w:b/>
                <w:noProof/>
                <w:sz w:val="20"/>
              </w:rPr>
            </w:pPr>
          </w:p>
        </w:tc>
        <w:tc>
          <w:tcPr>
            <w:tcW w:w="1289"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sz w:val="20"/>
              </w:rPr>
            </w:pPr>
            <w:r>
              <w:rPr>
                <w:rFonts w:ascii="Arial" w:hAnsi="Arial"/>
                <w:b/>
                <w:noProof/>
                <w:sz w:val="20"/>
              </w:rPr>
              <w:t>270,000</w:t>
            </w:r>
          </w:p>
        </w:tc>
      </w:tr>
      <w:tr>
        <w:trPr>
          <w:jc w:val="center"/>
        </w:trPr>
        <w:tc>
          <w:tcPr>
            <w:tcW w:w="6197"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rPr>
            </w:pPr>
          </w:p>
        </w:tc>
        <w:tc>
          <w:tcPr>
            <w:tcW w:w="1440" w:type="dxa"/>
            <w:tcBorders>
              <w:top w:val="single" w:sz="4" w:space="0" w:color="auto"/>
              <w:left w:val="single" w:sz="4" w:space="0" w:color="auto"/>
              <w:bottom w:val="single" w:sz="4" w:space="0" w:color="auto"/>
              <w:right w:val="single" w:sz="4" w:space="0" w:color="auto"/>
            </w:tcBorders>
            <w:vAlign w:val="center"/>
            <w:hideMark/>
          </w:tcPr>
          <w:p>
            <w:pPr>
              <w:jc w:val="left"/>
              <w:rPr>
                <w:noProof/>
                <w:sz w:val="18"/>
              </w:rPr>
            </w:pPr>
            <w:r>
              <w:rPr>
                <w:noProof/>
                <w:sz w:val="18"/>
              </w:rPr>
              <w:t>Плащания</w:t>
            </w:r>
          </w:p>
        </w:tc>
        <w:tc>
          <w:tcPr>
            <w:tcW w:w="654" w:type="dxa"/>
            <w:tcBorders>
              <w:top w:val="single" w:sz="4" w:space="0" w:color="auto"/>
              <w:left w:val="single" w:sz="4" w:space="0" w:color="auto"/>
              <w:bottom w:val="single" w:sz="4" w:space="0" w:color="auto"/>
              <w:right w:val="single" w:sz="4" w:space="0" w:color="auto"/>
            </w:tcBorders>
            <w:vAlign w:val="center"/>
            <w:hideMark/>
          </w:tcPr>
          <w:p>
            <w:pPr>
              <w:jc w:val="center"/>
              <w:rPr>
                <w:noProof/>
                <w:sz w:val="14"/>
              </w:rPr>
            </w:pPr>
            <w:r>
              <w:rPr>
                <w:noProof/>
                <w:sz w:val="14"/>
              </w:rPr>
              <w:t>=2+3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noProof/>
                <w:sz w:val="20"/>
              </w:rPr>
            </w:pPr>
            <w:r>
              <w:rPr>
                <w:rFonts w:ascii="Arial" w:hAnsi="Arial"/>
                <w:noProof/>
                <w:color w:val="000000"/>
                <w:sz w:val="20"/>
              </w:rPr>
              <w:t xml:space="preserve">8,257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noProof/>
                <w:sz w:val="20"/>
              </w:rPr>
            </w:pPr>
            <w:r>
              <w:rPr>
                <w:rFonts w:ascii="Arial" w:hAnsi="Arial"/>
                <w:noProof/>
                <w:color w:val="000000"/>
                <w:sz w:val="20"/>
              </w:rPr>
              <w:t xml:space="preserve">24,907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noProof/>
                <w:sz w:val="20"/>
              </w:rPr>
            </w:pPr>
            <w:r>
              <w:rPr>
                <w:rFonts w:ascii="Arial" w:hAnsi="Arial"/>
                <w:noProof/>
                <w:color w:val="000000"/>
                <w:sz w:val="20"/>
              </w:rPr>
              <w:t xml:space="preserve">31,441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noProof/>
                <w:sz w:val="20"/>
              </w:rPr>
            </w:pPr>
            <w:r>
              <w:rPr>
                <w:rFonts w:ascii="Arial" w:hAnsi="Arial"/>
                <w:noProof/>
                <w:color w:val="000000"/>
                <w:sz w:val="20"/>
              </w:rPr>
              <w:t xml:space="preserve">33,779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noProof/>
                <w:sz w:val="20"/>
              </w:rPr>
            </w:pPr>
            <w:r>
              <w:rPr>
                <w:rFonts w:ascii="Arial" w:hAnsi="Arial"/>
                <w:noProof/>
                <w:color w:val="000000"/>
                <w:sz w:val="20"/>
              </w:rPr>
              <w:t xml:space="preserve">35,999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noProof/>
                <w:sz w:val="20"/>
              </w:rPr>
            </w:pPr>
            <w:r>
              <w:rPr>
                <w:rFonts w:ascii="Arial" w:hAnsi="Arial"/>
                <w:noProof/>
                <w:color w:val="000000"/>
                <w:sz w:val="20"/>
              </w:rPr>
              <w:t xml:space="preserve">38,642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sz w:val="20"/>
              </w:rPr>
            </w:pPr>
            <w:r>
              <w:rPr>
                <w:rFonts w:ascii="Arial" w:hAnsi="Arial"/>
                <w:noProof/>
                <w:color w:val="000000"/>
                <w:sz w:val="20"/>
              </w:rPr>
              <w:t xml:space="preserve">41,804 </w:t>
            </w:r>
          </w:p>
        </w:tc>
        <w:tc>
          <w:tcPr>
            <w:tcW w:w="909"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sz w:val="20"/>
              </w:rPr>
            </w:pPr>
            <w:r>
              <w:rPr>
                <w:rFonts w:ascii="Arial" w:hAnsi="Arial"/>
                <w:noProof/>
                <w:color w:val="000000"/>
                <w:sz w:val="20"/>
              </w:rPr>
              <w:t xml:space="preserve">55,171 </w:t>
            </w:r>
          </w:p>
        </w:tc>
        <w:tc>
          <w:tcPr>
            <w:tcW w:w="1289"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sz w:val="20"/>
              </w:rPr>
            </w:pPr>
            <w:r>
              <w:rPr>
                <w:rFonts w:ascii="Arial" w:hAnsi="Arial"/>
                <w:b/>
                <w:noProof/>
                <w:sz w:val="20"/>
              </w:rPr>
              <w:t>270,000</w:t>
            </w:r>
          </w:p>
        </w:tc>
      </w:tr>
    </w:tbl>
    <w:p>
      <w:pPr>
        <w:rPr>
          <w:noProof/>
        </w:rPr>
      </w:pPr>
    </w:p>
    <w:p>
      <w:pPr>
        <w:rPr>
          <w:noProof/>
        </w:rPr>
      </w:pPr>
      <w:r>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b/>
                <w:noProof/>
              </w:rPr>
            </w:pPr>
            <w:r>
              <w:rPr>
                <w:noProof/>
              </w:rPr>
              <w:br w:type="page"/>
            </w:r>
            <w:r>
              <w:rPr>
                <w:b/>
                <w:noProof/>
              </w:rPr>
              <w:t>Функция от многогодишната финансова</w:t>
            </w:r>
            <w:r>
              <w:rPr>
                <w:noProof/>
                <w:sz w:val="22"/>
              </w:rPr>
              <w:br/>
            </w:r>
            <w:r>
              <w:rPr>
                <w:b/>
                <w:noProof/>
                <w:sz w:val="22"/>
              </w:rPr>
              <w:t xml:space="preserve">рамка </w:t>
            </w:r>
          </w:p>
        </w:tc>
        <w:tc>
          <w:tcPr>
            <w:tcW w:w="1080" w:type="dxa"/>
            <w:tcBorders>
              <w:top w:val="single" w:sz="4" w:space="0" w:color="auto"/>
              <w:left w:val="single" w:sz="4" w:space="0" w:color="auto"/>
              <w:bottom w:val="single" w:sz="4" w:space="0" w:color="auto"/>
              <w:right w:val="single" w:sz="4" w:space="0" w:color="auto"/>
            </w:tcBorders>
            <w:shd w:val="thinDiagStripe" w:color="C0C0C0" w:fill="auto"/>
            <w:vAlign w:val="center"/>
            <w:hideMark/>
          </w:tcPr>
          <w:p>
            <w:pPr>
              <w:spacing w:before="60" w:after="60"/>
              <w:jc w:val="center"/>
              <w:rPr>
                <w:noProof/>
              </w:rPr>
            </w:pPr>
            <w:r>
              <w:rPr>
                <w:noProof/>
              </w:rPr>
              <w:t>7</w:t>
            </w:r>
          </w:p>
        </w:tc>
        <w:tc>
          <w:tcPr>
            <w:tcW w:w="7817" w:type="dxa"/>
            <w:tcBorders>
              <w:top w:val="single" w:sz="4" w:space="0" w:color="auto"/>
              <w:left w:val="single" w:sz="4" w:space="0" w:color="auto"/>
              <w:bottom w:val="single" w:sz="4" w:space="0" w:color="auto"/>
              <w:right w:val="single" w:sz="4" w:space="0" w:color="auto"/>
            </w:tcBorders>
            <w:vAlign w:val="center"/>
            <w:hideMark/>
          </w:tcPr>
          <w:p>
            <w:pPr>
              <w:spacing w:before="60" w:after="60"/>
              <w:rPr>
                <w:noProof/>
              </w:rPr>
            </w:pPr>
            <w:r>
              <w:rPr>
                <w:noProof/>
                <w:sz w:val="22"/>
              </w:rPr>
              <w:t>„Административни разходи“</w:t>
            </w:r>
          </w:p>
        </w:tc>
      </w:tr>
    </w:tbl>
    <w:p>
      <w:pPr>
        <w:jc w:val="right"/>
        <w:rPr>
          <w:noProof/>
          <w:sz w:val="20"/>
        </w:rPr>
      </w:pPr>
    </w:p>
    <w:p>
      <w:pPr>
        <w:jc w:val="right"/>
        <w:rPr>
          <w:noProof/>
          <w:sz w:val="20"/>
        </w:rPr>
      </w:pPr>
      <w:r>
        <w:rPr>
          <w:noProof/>
          <w:sz w:val="20"/>
        </w:rPr>
        <w:t>млн. евро (до третия знак след десетичната запетая)</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trPr>
          <w:jc w:val="center"/>
        </w:trPr>
        <w:tc>
          <w:tcPr>
            <w:tcW w:w="6245" w:type="dxa"/>
            <w:gridSpan w:val="2"/>
            <w:tcBorders>
              <w:top w:val="nil"/>
              <w:left w:val="nil"/>
              <w:bottom w:val="single" w:sz="4" w:space="0" w:color="auto"/>
              <w:right w:val="single" w:sz="4" w:space="0" w:color="auto"/>
            </w:tcBorders>
            <w:vAlign w:val="center"/>
          </w:tcPr>
          <w:p>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2021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2022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2023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2024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2025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2026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2027 г.</w:t>
            </w:r>
          </w:p>
        </w:tc>
        <w:tc>
          <w:tcPr>
            <w:tcW w:w="887" w:type="dxa"/>
            <w:tcBorders>
              <w:top w:val="single" w:sz="4" w:space="0" w:color="auto"/>
              <w:left w:val="single" w:sz="4" w:space="0" w:color="auto"/>
              <w:bottom w:val="single" w:sz="4" w:space="0" w:color="auto"/>
              <w:right w:val="single" w:sz="4" w:space="0" w:color="auto"/>
            </w:tcBorders>
            <w:hideMark/>
          </w:tcPr>
          <w:p>
            <w:pPr>
              <w:jc w:val="center"/>
              <w:rPr>
                <w:b/>
                <w:noProof/>
                <w:sz w:val="20"/>
              </w:rPr>
            </w:pPr>
            <w:r>
              <w:rPr>
                <w:b/>
                <w:i/>
                <w:noProof/>
                <w:sz w:val="20"/>
              </w:rPr>
              <w:t>След 2027 г.</w:t>
            </w:r>
          </w:p>
        </w:tc>
        <w:tc>
          <w:tcPr>
            <w:tcW w:w="1291"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ОБЩО</w:t>
            </w:r>
          </w:p>
        </w:tc>
      </w:tr>
      <w:tr>
        <w:trPr>
          <w:trHeight w:val="313"/>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rPr>
                <w:noProof/>
              </w:rPr>
            </w:pPr>
            <w:r>
              <w:rPr>
                <w:noProof/>
                <w:sz w:val="22"/>
              </w:rPr>
              <w:t xml:space="preserve">Човешки ресурси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noProof/>
                <w:sz w:val="20"/>
              </w:rPr>
            </w:pPr>
            <w:r>
              <w:rPr>
                <w:rFonts w:ascii="Arial" w:hAnsi="Arial"/>
                <w:noProof/>
                <w:color w:val="000000"/>
                <w:sz w:val="20"/>
              </w:rPr>
              <w:t>6,556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noProof/>
                <w:sz w:val="20"/>
              </w:rPr>
            </w:pPr>
            <w:r>
              <w:rPr>
                <w:rFonts w:ascii="Arial" w:hAnsi="Arial"/>
                <w:noProof/>
                <w:color w:val="000000"/>
                <w:sz w:val="20"/>
              </w:rPr>
              <w:t>6,556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noProof/>
                <w:sz w:val="20"/>
              </w:rPr>
            </w:pPr>
            <w:r>
              <w:rPr>
                <w:rFonts w:ascii="Arial" w:hAnsi="Arial"/>
                <w:noProof/>
                <w:color w:val="000000"/>
                <w:sz w:val="20"/>
              </w:rPr>
              <w:t>6,556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noProof/>
                <w:sz w:val="20"/>
              </w:rPr>
            </w:pPr>
            <w:r>
              <w:rPr>
                <w:rFonts w:ascii="Arial" w:hAnsi="Arial"/>
                <w:noProof/>
                <w:color w:val="000000"/>
                <w:sz w:val="20"/>
              </w:rPr>
              <w:t>6,556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noProof/>
                <w:sz w:val="20"/>
              </w:rPr>
            </w:pPr>
            <w:r>
              <w:rPr>
                <w:rFonts w:ascii="Arial" w:hAnsi="Arial"/>
                <w:noProof/>
                <w:color w:val="000000"/>
                <w:sz w:val="20"/>
              </w:rPr>
              <w:t>6,556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noProof/>
                <w:sz w:val="20"/>
              </w:rPr>
            </w:pPr>
            <w:r>
              <w:rPr>
                <w:rFonts w:ascii="Arial" w:hAnsi="Arial"/>
                <w:noProof/>
                <w:color w:val="000000"/>
                <w:sz w:val="20"/>
              </w:rPr>
              <w:t>6,556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sz w:val="20"/>
              </w:rPr>
            </w:pPr>
            <w:r>
              <w:rPr>
                <w:rFonts w:ascii="Arial" w:hAnsi="Arial"/>
                <w:noProof/>
                <w:color w:val="000000"/>
                <w:sz w:val="20"/>
              </w:rPr>
              <w:t>6,556</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rFonts w:ascii="Arial" w:hAnsi="Arial" w:cs="Arial"/>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sz w:val="20"/>
              </w:rPr>
            </w:pPr>
            <w:r>
              <w:rPr>
                <w:rFonts w:ascii="Arial" w:hAnsi="Arial"/>
                <w:b/>
                <w:noProof/>
                <w:sz w:val="20"/>
              </w:rPr>
              <w:t>45,892</w:t>
            </w:r>
          </w:p>
        </w:tc>
      </w:tr>
      <w:tr>
        <w:trPr>
          <w:trHeight w:val="351"/>
          <w:jc w:val="center"/>
        </w:trPr>
        <w:tc>
          <w:tcPr>
            <w:tcW w:w="6245" w:type="dxa"/>
            <w:gridSpan w:val="2"/>
            <w:tcBorders>
              <w:top w:val="single" w:sz="4" w:space="0" w:color="auto"/>
              <w:left w:val="single" w:sz="4" w:space="0" w:color="auto"/>
              <w:bottom w:val="single" w:sz="4" w:space="0" w:color="auto"/>
              <w:right w:val="single" w:sz="4" w:space="0" w:color="auto"/>
            </w:tcBorders>
            <w:vAlign w:val="center"/>
            <w:hideMark/>
          </w:tcPr>
          <w:p>
            <w:pPr>
              <w:spacing w:before="20" w:after="20"/>
              <w:rPr>
                <w:noProof/>
              </w:rPr>
            </w:pPr>
            <w:r>
              <w:rPr>
                <w:noProof/>
                <w:sz w:val="22"/>
              </w:rPr>
              <w:t xml:space="preserve">Други административни разходи </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noProof/>
                <w:sz w:val="20"/>
              </w:rPr>
            </w:pPr>
            <w:r>
              <w:rPr>
                <w:rFonts w:ascii="Arial" w:hAnsi="Arial"/>
                <w:noProof/>
                <w:sz w:val="20"/>
              </w:rPr>
              <w:t>0,303</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rFonts w:ascii="Arial" w:hAnsi="Arial" w:cs="Arial"/>
                <w:noProof/>
                <w:sz w:val="20"/>
              </w:rPr>
            </w:pPr>
            <w:r>
              <w:rPr>
                <w:rFonts w:ascii="Arial" w:hAnsi="Arial"/>
                <w:noProof/>
                <w:sz w:val="20"/>
              </w:rPr>
              <w:t>0,303</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rFonts w:ascii="Arial" w:hAnsi="Arial" w:cs="Arial"/>
                <w:noProof/>
                <w:sz w:val="20"/>
              </w:rPr>
            </w:pPr>
            <w:r>
              <w:rPr>
                <w:rFonts w:ascii="Arial" w:hAnsi="Arial"/>
                <w:noProof/>
                <w:sz w:val="20"/>
              </w:rPr>
              <w:t>0,303</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rFonts w:ascii="Arial" w:hAnsi="Arial" w:cs="Arial"/>
                <w:noProof/>
                <w:sz w:val="20"/>
              </w:rPr>
            </w:pPr>
            <w:r>
              <w:rPr>
                <w:rFonts w:ascii="Arial" w:hAnsi="Arial"/>
                <w:noProof/>
                <w:sz w:val="20"/>
              </w:rPr>
              <w:t>0,303</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rFonts w:ascii="Arial" w:hAnsi="Arial" w:cs="Arial"/>
                <w:noProof/>
                <w:sz w:val="20"/>
              </w:rPr>
            </w:pPr>
            <w:r>
              <w:rPr>
                <w:rFonts w:ascii="Arial" w:hAnsi="Arial"/>
                <w:noProof/>
                <w:sz w:val="20"/>
              </w:rPr>
              <w:t>0,303</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rFonts w:ascii="Arial" w:hAnsi="Arial" w:cs="Arial"/>
                <w:noProof/>
                <w:sz w:val="20"/>
              </w:rPr>
            </w:pPr>
            <w:r>
              <w:rPr>
                <w:rFonts w:ascii="Arial" w:hAnsi="Arial"/>
                <w:noProof/>
                <w:sz w:val="20"/>
              </w:rPr>
              <w:t>0,303</w:t>
            </w:r>
          </w:p>
        </w:tc>
        <w:tc>
          <w:tcPr>
            <w:tcW w:w="868" w:type="dxa"/>
            <w:tcBorders>
              <w:top w:val="single" w:sz="4" w:space="0" w:color="auto"/>
              <w:left w:val="single" w:sz="4" w:space="0" w:color="auto"/>
              <w:bottom w:val="single" w:sz="4" w:space="0" w:color="auto"/>
              <w:right w:val="single" w:sz="4" w:space="0" w:color="auto"/>
            </w:tcBorders>
            <w:hideMark/>
          </w:tcPr>
          <w:p>
            <w:pPr>
              <w:spacing w:before="20" w:after="20"/>
              <w:jc w:val="right"/>
              <w:rPr>
                <w:rFonts w:ascii="Arial" w:hAnsi="Arial" w:cs="Arial"/>
                <w:noProof/>
                <w:sz w:val="20"/>
              </w:rPr>
            </w:pPr>
            <w:r>
              <w:rPr>
                <w:rFonts w:ascii="Arial" w:hAnsi="Arial"/>
                <w:noProof/>
                <w:sz w:val="20"/>
              </w:rPr>
              <w:t>0,303</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rFonts w:ascii="Arial" w:hAnsi="Arial" w:cs="Arial"/>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sz w:val="20"/>
              </w:rPr>
            </w:pPr>
            <w:r>
              <w:rPr>
                <w:rFonts w:ascii="Arial" w:hAnsi="Arial"/>
                <w:b/>
                <w:noProof/>
                <w:sz w:val="20"/>
              </w:rPr>
              <w:t>2,121</w:t>
            </w:r>
          </w:p>
        </w:tc>
      </w:tr>
      <w:tr>
        <w:trPr>
          <w:trHeight w:val="351"/>
          <w:jc w:val="center"/>
        </w:trPr>
        <w:tc>
          <w:tcPr>
            <w:tcW w:w="4199" w:type="dxa"/>
            <w:tcBorders>
              <w:top w:val="single" w:sz="4" w:space="0" w:color="auto"/>
              <w:left w:val="single" w:sz="4" w:space="0" w:color="auto"/>
              <w:bottom w:val="single" w:sz="4" w:space="0" w:color="auto"/>
              <w:right w:val="single" w:sz="4" w:space="0" w:color="auto"/>
            </w:tcBorders>
            <w:vAlign w:val="center"/>
            <w:hideMark/>
          </w:tcPr>
          <w:p>
            <w:pPr>
              <w:spacing w:before="20" w:after="20"/>
              <w:jc w:val="left"/>
              <w:rPr>
                <w:b/>
                <w:noProof/>
                <w:sz w:val="22"/>
              </w:rPr>
            </w:pPr>
            <w:r>
              <w:rPr>
                <w:b/>
                <w:noProof/>
                <w:sz w:val="22"/>
              </w:rPr>
              <w:t>ОБЩО бюджетни кредити за ФУНКЦИЯ 7 от многогодишната финансова рамка</w:t>
            </w:r>
          </w:p>
        </w:tc>
        <w:tc>
          <w:tcPr>
            <w:tcW w:w="2046" w:type="dxa"/>
            <w:tcBorders>
              <w:top w:val="single" w:sz="4" w:space="0" w:color="auto"/>
              <w:left w:val="single" w:sz="4" w:space="0" w:color="auto"/>
              <w:bottom w:val="single" w:sz="4" w:space="0" w:color="auto"/>
              <w:right w:val="single" w:sz="4" w:space="0" w:color="auto"/>
            </w:tcBorders>
            <w:vAlign w:val="center"/>
            <w:hideMark/>
          </w:tcPr>
          <w:p>
            <w:pPr>
              <w:spacing w:before="20" w:after="20"/>
              <w:rPr>
                <w:noProof/>
                <w:sz w:val="22"/>
              </w:rPr>
            </w:pPr>
            <w:r>
              <w:rPr>
                <w:noProof/>
                <w:sz w:val="18"/>
              </w:rPr>
              <w:t>(Общо поети задължения = oбщо плащания)</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sz w:val="20"/>
              </w:rPr>
            </w:pPr>
            <w:r>
              <w:rPr>
                <w:rFonts w:ascii="Arial" w:hAnsi="Arial"/>
                <w:b/>
                <w:noProof/>
                <w:sz w:val="20"/>
              </w:rPr>
              <w:t>6,859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sz w:val="20"/>
              </w:rPr>
            </w:pPr>
            <w:r>
              <w:rPr>
                <w:rFonts w:ascii="Arial" w:hAnsi="Arial"/>
                <w:b/>
                <w:noProof/>
                <w:sz w:val="20"/>
              </w:rPr>
              <w:t>6,859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sz w:val="20"/>
              </w:rPr>
            </w:pPr>
            <w:r>
              <w:rPr>
                <w:rFonts w:ascii="Arial" w:hAnsi="Arial"/>
                <w:b/>
                <w:noProof/>
                <w:sz w:val="20"/>
              </w:rPr>
              <w:t>6,859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sz w:val="20"/>
              </w:rPr>
            </w:pPr>
            <w:r>
              <w:rPr>
                <w:rFonts w:ascii="Arial" w:hAnsi="Arial"/>
                <w:b/>
                <w:noProof/>
                <w:sz w:val="20"/>
              </w:rPr>
              <w:t>6,859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sz w:val="20"/>
              </w:rPr>
            </w:pPr>
            <w:r>
              <w:rPr>
                <w:rFonts w:ascii="Arial" w:hAnsi="Arial"/>
                <w:b/>
                <w:noProof/>
                <w:sz w:val="20"/>
              </w:rPr>
              <w:t>6,859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sz w:val="20"/>
              </w:rPr>
            </w:pPr>
            <w:r>
              <w:rPr>
                <w:rFonts w:ascii="Arial" w:hAnsi="Arial"/>
                <w:b/>
                <w:noProof/>
                <w:sz w:val="20"/>
              </w:rPr>
              <w:t>6,859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sz w:val="20"/>
              </w:rPr>
            </w:pPr>
            <w:r>
              <w:rPr>
                <w:rFonts w:ascii="Arial" w:hAnsi="Arial"/>
                <w:b/>
                <w:noProof/>
                <w:sz w:val="20"/>
              </w:rPr>
              <w:t>6,859</w:t>
            </w:r>
          </w:p>
        </w:tc>
        <w:tc>
          <w:tcPr>
            <w:tcW w:w="88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pPr>
              <w:spacing w:before="20" w:after="20"/>
              <w:jc w:val="right"/>
              <w:rPr>
                <w:rFonts w:ascii="Arial" w:hAnsi="Arial" w:cs="Arial"/>
                <w:b/>
                <w:noProof/>
                <w:sz w:val="20"/>
              </w:rPr>
            </w:pPr>
          </w:p>
        </w:tc>
        <w:tc>
          <w:tcPr>
            <w:tcW w:w="1291"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sz w:val="20"/>
              </w:rPr>
            </w:pPr>
            <w:r>
              <w:rPr>
                <w:rFonts w:ascii="Arial" w:hAnsi="Arial"/>
                <w:b/>
                <w:noProof/>
                <w:sz w:val="20"/>
              </w:rPr>
              <w:t>48,013</w:t>
            </w:r>
          </w:p>
        </w:tc>
      </w:tr>
    </w:tbl>
    <w:p>
      <w:pPr>
        <w:jc w:val="right"/>
        <w:rPr>
          <w:noProof/>
          <w:sz w:val="20"/>
        </w:rPr>
      </w:pPr>
      <w:r>
        <w:rPr>
          <w:noProof/>
          <w:sz w:val="20"/>
        </w:rPr>
        <w:t>млн. евро (до третия знак след десетичната запетая)</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trPr>
          <w:jc w:val="center"/>
        </w:trPr>
        <w:tc>
          <w:tcPr>
            <w:tcW w:w="4173" w:type="dxa"/>
            <w:tcBorders>
              <w:top w:val="nil"/>
              <w:left w:val="nil"/>
              <w:bottom w:val="single" w:sz="4" w:space="0" w:color="auto"/>
              <w:right w:val="nil"/>
            </w:tcBorders>
            <w:vAlign w:val="center"/>
          </w:tcPr>
          <w:p>
            <w:pPr>
              <w:jc w:val="center"/>
              <w:rPr>
                <w:noProof/>
              </w:rPr>
            </w:pPr>
          </w:p>
        </w:tc>
        <w:tc>
          <w:tcPr>
            <w:tcW w:w="1560" w:type="dxa"/>
            <w:tcBorders>
              <w:top w:val="nil"/>
              <w:left w:val="nil"/>
              <w:bottom w:val="single" w:sz="4" w:space="0" w:color="auto"/>
              <w:right w:val="nil"/>
            </w:tcBorders>
          </w:tcPr>
          <w:p>
            <w:pPr>
              <w:rPr>
                <w:noProof/>
                <w:sz w:val="20"/>
              </w:rPr>
            </w:pPr>
          </w:p>
        </w:tc>
        <w:tc>
          <w:tcPr>
            <w:tcW w:w="534" w:type="dxa"/>
            <w:tcBorders>
              <w:top w:val="nil"/>
              <w:left w:val="nil"/>
              <w:bottom w:val="single" w:sz="4" w:space="0" w:color="auto"/>
              <w:right w:val="single" w:sz="4" w:space="0" w:color="auto"/>
            </w:tcBorders>
          </w:tcPr>
          <w:p>
            <w:pPr>
              <w:jc w:val="center"/>
              <w:rPr>
                <w:noProof/>
                <w:sz w:val="20"/>
              </w:rPr>
            </w:pP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2021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2022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2023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noProof/>
                <w:sz w:val="20"/>
              </w:rPr>
            </w:pPr>
            <w:r>
              <w:rPr>
                <w:b/>
                <w:noProof/>
                <w:sz w:val="20"/>
              </w:rPr>
              <w:t>2024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2025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2026 г.</w:t>
            </w:r>
          </w:p>
        </w:tc>
        <w:tc>
          <w:tcPr>
            <w:tcW w:w="868"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18"/>
              </w:rPr>
            </w:pPr>
            <w:r>
              <w:rPr>
                <w:b/>
                <w:noProof/>
                <w:sz w:val="18"/>
              </w:rPr>
              <w:t>2027 г.</w:t>
            </w:r>
          </w:p>
        </w:tc>
        <w:tc>
          <w:tcPr>
            <w:tcW w:w="877" w:type="dxa"/>
            <w:tcBorders>
              <w:top w:val="single" w:sz="4" w:space="0" w:color="auto"/>
              <w:left w:val="single" w:sz="4" w:space="0" w:color="auto"/>
              <w:bottom w:val="single" w:sz="4" w:space="0" w:color="auto"/>
              <w:right w:val="single" w:sz="4" w:space="0" w:color="auto"/>
            </w:tcBorders>
            <w:hideMark/>
          </w:tcPr>
          <w:p>
            <w:pPr>
              <w:jc w:val="center"/>
              <w:rPr>
                <w:b/>
                <w:noProof/>
                <w:sz w:val="20"/>
              </w:rPr>
            </w:pPr>
            <w:r>
              <w:rPr>
                <w:b/>
                <w:i/>
                <w:noProof/>
                <w:sz w:val="20"/>
              </w:rPr>
              <w:t>След 2027 г.</w:t>
            </w:r>
          </w:p>
        </w:tc>
        <w:tc>
          <w:tcPr>
            <w:tcW w:w="1292"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ОБЩО</w:t>
            </w:r>
          </w:p>
        </w:tc>
      </w:tr>
      <w:tr>
        <w:trPr>
          <w:jc w:val="center"/>
        </w:trPr>
        <w:tc>
          <w:tcPr>
            <w:tcW w:w="4173" w:type="dxa"/>
            <w:vMerge w:val="restart"/>
            <w:tcBorders>
              <w:top w:val="single" w:sz="4" w:space="0" w:color="auto"/>
              <w:left w:val="single" w:sz="4" w:space="0" w:color="auto"/>
              <w:bottom w:val="single" w:sz="4" w:space="0" w:color="auto"/>
              <w:right w:val="single" w:sz="4" w:space="0" w:color="auto"/>
            </w:tcBorders>
            <w:shd w:val="clear" w:color="auto" w:fill="C0C0C0"/>
            <w:vAlign w:val="center"/>
            <w:hideMark/>
          </w:tcPr>
          <w:p>
            <w:pPr>
              <w:jc w:val="center"/>
              <w:rPr>
                <w:b/>
                <w:noProof/>
              </w:rPr>
            </w:pPr>
            <w:r>
              <w:rPr>
                <w:b/>
                <w:noProof/>
              </w:rPr>
              <w:t>ОБЩО бюджетни кредити</w:t>
            </w:r>
            <w:r>
              <w:rPr>
                <w:noProof/>
                <w:sz w:val="22"/>
              </w:rPr>
              <w:br/>
            </w:r>
            <w:r>
              <w:rPr>
                <w:b/>
                <w:noProof/>
                <w:sz w:val="22"/>
              </w:rPr>
              <w:t xml:space="preserve">по всички ФУНКЦИИ </w:t>
            </w:r>
            <w:r>
              <w:rPr>
                <w:noProof/>
                <w:sz w:val="22"/>
              </w:rPr>
              <w:br/>
              <w:t>от многогодишната финансова рамка</w:t>
            </w:r>
            <w:r>
              <w:rPr>
                <w:b/>
                <w:noProof/>
                <w:sz w:val="22"/>
              </w:rPr>
              <w:t xml:space="preserve"> </w:t>
            </w: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rPr>
                <w:noProof/>
                <w:sz w:val="14"/>
              </w:rPr>
            </w:pPr>
            <w:r>
              <w:rPr>
                <w:noProof/>
                <w:sz w:val="18"/>
              </w:rPr>
              <w:t>Поети задължения</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color w:val="000000"/>
                <w:sz w:val="20"/>
                <w:szCs w:val="20"/>
              </w:rPr>
            </w:pPr>
            <w:r>
              <w:rPr>
                <w:rFonts w:ascii="Arial" w:hAnsi="Arial"/>
                <w:b/>
                <w:noProof/>
                <w:color w:val="000000"/>
                <w:sz w:val="20"/>
              </w:rPr>
              <w:t>40,361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color w:val="000000"/>
                <w:sz w:val="20"/>
                <w:szCs w:val="20"/>
              </w:rPr>
            </w:pPr>
            <w:r>
              <w:rPr>
                <w:rFonts w:ascii="Arial" w:hAnsi="Arial"/>
                <w:b/>
                <w:noProof/>
                <w:color w:val="000000"/>
                <w:sz w:val="20"/>
              </w:rPr>
              <w:t>41,195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color w:val="000000"/>
                <w:sz w:val="20"/>
                <w:szCs w:val="20"/>
              </w:rPr>
            </w:pPr>
            <w:r>
              <w:rPr>
                <w:rFonts w:ascii="Arial" w:hAnsi="Arial"/>
                <w:b/>
                <w:noProof/>
                <w:color w:val="000000"/>
                <w:sz w:val="20"/>
              </w:rPr>
              <w:t>42,485</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color w:val="000000"/>
                <w:sz w:val="20"/>
                <w:szCs w:val="20"/>
              </w:rPr>
            </w:pPr>
            <w:r>
              <w:rPr>
                <w:rFonts w:ascii="Arial" w:hAnsi="Arial"/>
                <w:b/>
                <w:noProof/>
                <w:color w:val="000000"/>
                <w:sz w:val="20"/>
              </w:rPr>
              <w:t>44,281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color w:val="000000"/>
                <w:sz w:val="20"/>
                <w:szCs w:val="20"/>
              </w:rPr>
            </w:pPr>
            <w:r>
              <w:rPr>
                <w:rFonts w:ascii="Arial" w:hAnsi="Arial"/>
                <w:b/>
                <w:noProof/>
                <w:color w:val="000000"/>
                <w:sz w:val="20"/>
              </w:rPr>
              <w:t>46,653</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color w:val="000000"/>
                <w:sz w:val="20"/>
                <w:szCs w:val="20"/>
              </w:rPr>
            </w:pPr>
            <w:r>
              <w:rPr>
                <w:rFonts w:ascii="Arial" w:hAnsi="Arial"/>
                <w:b/>
                <w:noProof/>
                <w:color w:val="000000"/>
                <w:sz w:val="20"/>
              </w:rPr>
              <w:t>49,699</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color w:val="000000"/>
                <w:sz w:val="20"/>
                <w:szCs w:val="20"/>
              </w:rPr>
            </w:pPr>
            <w:r>
              <w:rPr>
                <w:rFonts w:ascii="Arial" w:hAnsi="Arial"/>
                <w:b/>
                <w:noProof/>
                <w:color w:val="000000"/>
                <w:sz w:val="20"/>
              </w:rPr>
              <w:t>53,339</w:t>
            </w:r>
          </w:p>
        </w:tc>
        <w:tc>
          <w:tcPr>
            <w:tcW w:w="877"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pPr>
              <w:spacing w:before="20" w:after="20"/>
              <w:jc w:val="right"/>
              <w:rPr>
                <w:rFonts w:ascii="Arial" w:hAnsi="Arial" w:cs="Arial"/>
                <w:b/>
                <w:noProof/>
                <w:color w:val="000000"/>
                <w:sz w:val="20"/>
                <w:szCs w:val="20"/>
              </w:rPr>
            </w:pPr>
          </w:p>
        </w:tc>
        <w:tc>
          <w:tcPr>
            <w:tcW w:w="1292"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color w:val="000000"/>
                <w:sz w:val="20"/>
                <w:szCs w:val="20"/>
              </w:rPr>
            </w:pPr>
            <w:r>
              <w:rPr>
                <w:rFonts w:ascii="Arial" w:hAnsi="Arial"/>
                <w:b/>
                <w:noProof/>
                <w:color w:val="000000"/>
                <w:sz w:val="20"/>
              </w:rPr>
              <w:t>318,013</w:t>
            </w:r>
          </w:p>
        </w:tc>
      </w:tr>
      <w:tr>
        <w:trPr>
          <w:jc w:val="center"/>
        </w:trPr>
        <w:tc>
          <w:tcPr>
            <w:tcW w:w="4173"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b/>
                <w:noProof/>
              </w:rPr>
            </w:pPr>
          </w:p>
        </w:tc>
        <w:tc>
          <w:tcPr>
            <w:tcW w:w="2094" w:type="dxa"/>
            <w:gridSpan w:val="2"/>
            <w:tcBorders>
              <w:top w:val="single" w:sz="4" w:space="0" w:color="auto"/>
              <w:left w:val="single" w:sz="4" w:space="0" w:color="auto"/>
              <w:bottom w:val="single" w:sz="4" w:space="0" w:color="auto"/>
              <w:right w:val="single" w:sz="4" w:space="0" w:color="auto"/>
            </w:tcBorders>
            <w:vAlign w:val="center"/>
            <w:hideMark/>
          </w:tcPr>
          <w:p>
            <w:pPr>
              <w:rPr>
                <w:noProof/>
                <w:sz w:val="14"/>
              </w:rPr>
            </w:pPr>
            <w:r>
              <w:rPr>
                <w:noProof/>
                <w:sz w:val="18"/>
              </w:rPr>
              <w:t>Плащания</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color w:val="000000"/>
                <w:sz w:val="20"/>
                <w:szCs w:val="20"/>
              </w:rPr>
            </w:pPr>
            <w:r>
              <w:rPr>
                <w:rFonts w:ascii="Arial" w:hAnsi="Arial"/>
                <w:b/>
                <w:noProof/>
                <w:color w:val="000000"/>
                <w:sz w:val="20"/>
              </w:rPr>
              <w:t>15,116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color w:val="000000"/>
                <w:sz w:val="20"/>
                <w:szCs w:val="20"/>
              </w:rPr>
            </w:pPr>
            <w:r>
              <w:rPr>
                <w:rFonts w:ascii="Arial" w:hAnsi="Arial"/>
                <w:b/>
                <w:noProof/>
                <w:color w:val="000000"/>
                <w:sz w:val="20"/>
              </w:rPr>
              <w:t>31,766</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color w:val="000000"/>
                <w:sz w:val="20"/>
                <w:szCs w:val="20"/>
              </w:rPr>
            </w:pPr>
            <w:r>
              <w:rPr>
                <w:rFonts w:ascii="Arial" w:hAnsi="Arial"/>
                <w:b/>
                <w:noProof/>
                <w:color w:val="000000"/>
                <w:sz w:val="20"/>
              </w:rPr>
              <w:t>38,300</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color w:val="000000"/>
                <w:sz w:val="20"/>
                <w:szCs w:val="20"/>
              </w:rPr>
            </w:pPr>
            <w:r>
              <w:rPr>
                <w:rFonts w:ascii="Arial" w:hAnsi="Arial"/>
                <w:b/>
                <w:noProof/>
                <w:color w:val="000000"/>
                <w:sz w:val="20"/>
              </w:rPr>
              <w:t>40,638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color w:val="000000"/>
                <w:sz w:val="20"/>
                <w:szCs w:val="20"/>
              </w:rPr>
            </w:pPr>
            <w:r>
              <w:rPr>
                <w:rFonts w:ascii="Arial" w:hAnsi="Arial"/>
                <w:b/>
                <w:noProof/>
                <w:color w:val="000000"/>
                <w:sz w:val="20"/>
              </w:rPr>
              <w:t>42,858</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color w:val="000000"/>
                <w:sz w:val="20"/>
                <w:szCs w:val="20"/>
              </w:rPr>
            </w:pPr>
            <w:r>
              <w:rPr>
                <w:rFonts w:ascii="Arial" w:hAnsi="Arial"/>
                <w:b/>
                <w:noProof/>
                <w:color w:val="000000"/>
                <w:sz w:val="20"/>
              </w:rPr>
              <w:t>45,501</w:t>
            </w:r>
          </w:p>
        </w:tc>
        <w:tc>
          <w:tcPr>
            <w:tcW w:w="868"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color w:val="000000"/>
                <w:sz w:val="20"/>
                <w:szCs w:val="20"/>
              </w:rPr>
            </w:pPr>
            <w:r>
              <w:rPr>
                <w:rFonts w:ascii="Arial" w:hAnsi="Arial"/>
                <w:b/>
                <w:noProof/>
                <w:color w:val="000000"/>
                <w:sz w:val="20"/>
              </w:rPr>
              <w:t>48,663</w:t>
            </w:r>
          </w:p>
        </w:tc>
        <w:tc>
          <w:tcPr>
            <w:tcW w:w="877"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color w:val="000000"/>
                <w:sz w:val="20"/>
                <w:szCs w:val="20"/>
              </w:rPr>
            </w:pPr>
            <w:r>
              <w:rPr>
                <w:rFonts w:ascii="Arial" w:hAnsi="Arial"/>
                <w:b/>
                <w:noProof/>
                <w:color w:val="000000"/>
                <w:sz w:val="20"/>
              </w:rPr>
              <w:t>55,171</w:t>
            </w:r>
          </w:p>
        </w:tc>
        <w:tc>
          <w:tcPr>
            <w:tcW w:w="1292" w:type="dxa"/>
            <w:tcBorders>
              <w:top w:val="single" w:sz="4" w:space="0" w:color="auto"/>
              <w:left w:val="single" w:sz="4" w:space="0" w:color="auto"/>
              <w:bottom w:val="single" w:sz="4" w:space="0" w:color="auto"/>
              <w:right w:val="single" w:sz="4" w:space="0" w:color="auto"/>
            </w:tcBorders>
            <w:vAlign w:val="center"/>
            <w:hideMark/>
          </w:tcPr>
          <w:p>
            <w:pPr>
              <w:spacing w:before="20" w:after="20"/>
              <w:jc w:val="right"/>
              <w:rPr>
                <w:rFonts w:ascii="Arial" w:hAnsi="Arial" w:cs="Arial"/>
                <w:b/>
                <w:noProof/>
                <w:color w:val="000000"/>
                <w:sz w:val="20"/>
                <w:szCs w:val="20"/>
              </w:rPr>
            </w:pPr>
            <w:r>
              <w:rPr>
                <w:rFonts w:ascii="Arial" w:hAnsi="Arial"/>
                <w:b/>
                <w:noProof/>
                <w:color w:val="000000"/>
                <w:sz w:val="20"/>
              </w:rPr>
              <w:t>318,013</w:t>
            </w:r>
          </w:p>
        </w:tc>
      </w:tr>
    </w:tbl>
    <w:p>
      <w:pPr>
        <w:spacing w:before="0" w:after="0"/>
        <w:jc w:val="left"/>
        <w:rPr>
          <w:noProof/>
        </w:rPr>
        <w:sectPr>
          <w:headerReference w:type="default" r:id="rId29"/>
          <w:footerReference w:type="default" r:id="rId30"/>
          <w:headerReference w:type="first" r:id="rId31"/>
          <w:footerReference w:type="first" r:id="rId32"/>
          <w:footnotePr>
            <w:numRestart w:val="eachSect"/>
          </w:footnotePr>
          <w:pgSz w:w="16840" w:h="11907" w:orient="landscape"/>
          <w:pgMar w:top="1134" w:right="1418" w:bottom="1134" w:left="1418" w:header="709" w:footer="709" w:gutter="0"/>
          <w:cols w:space="720"/>
          <w:docGrid w:linePitch="326"/>
        </w:sectPr>
      </w:pPr>
    </w:p>
    <w:p>
      <w:pPr>
        <w:pStyle w:val="ManualHeading3"/>
        <w:rPr>
          <w:bCs/>
          <w:noProof/>
          <w:szCs w:val="24"/>
        </w:rPr>
      </w:pPr>
      <w:r>
        <w:t>3.2.2.</w:t>
      </w:r>
      <w:r>
        <w:tab/>
      </w:r>
      <w:r>
        <w:rPr>
          <w:noProof/>
        </w:rPr>
        <w:t>Обобщение на очакваното отражение върху бюджетните кредити за административни разходи</w:t>
      </w:r>
    </w:p>
    <w:p>
      <w:pPr>
        <w:pStyle w:val="ListDash1"/>
        <w:rPr>
          <w:noProof/>
        </w:rPr>
      </w:pPr>
      <w:r>
        <w:rPr>
          <w:noProof/>
        </w:rPr>
        <w:sym w:font="Wingdings" w:char="F0A8"/>
      </w:r>
      <w:r>
        <w:rPr>
          <w:noProof/>
        </w:rPr>
        <w:tab/>
        <w:t xml:space="preserve">Предложението/инициативата не налага използване на бюджетни кредити за административни разходи </w:t>
      </w:r>
    </w:p>
    <w:p>
      <w:pPr>
        <w:pStyle w:val="ListDash1"/>
        <w:rPr>
          <w:noProof/>
        </w:rPr>
      </w:pPr>
      <w:r>
        <w:rPr>
          <w:noProof/>
        </w:rPr>
        <w:t>X</w:t>
      </w:r>
      <w:r>
        <w:rPr>
          <w:noProof/>
        </w:rPr>
        <w:tab/>
        <w:t>Предложението/инициативата налага използване на бюджетни кредити за административни разходи съгласно обяснението по-долу:</w:t>
      </w:r>
    </w:p>
    <w:p>
      <w:pPr>
        <w:rPr>
          <w:noProof/>
          <w:sz w:val="20"/>
        </w:rPr>
      </w:pPr>
      <w:r>
        <w:rPr>
          <w:noProof/>
          <w:sz w:val="20"/>
        </w:rPr>
        <w:t>млн. евро (до третия знак след десетичната запетая)</w:t>
      </w: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szCs w:val="16"/>
              </w:rPr>
            </w:pPr>
            <w:r>
              <w:rPr>
                <w:b/>
                <w:noProof/>
                <w:sz w:val="16"/>
              </w:rPr>
              <w:t>Година</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2021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2022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2023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noProof/>
                <w:sz w:val="16"/>
                <w:szCs w:val="16"/>
              </w:rPr>
            </w:pPr>
            <w:r>
              <w:rPr>
                <w:b/>
                <w:noProof/>
                <w:sz w:val="20"/>
              </w:rPr>
              <w:t>2024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b/>
                <w:noProof/>
                <w:sz w:val="18"/>
              </w:rPr>
              <w:t>2025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b/>
                <w:noProof/>
                <w:sz w:val="18"/>
              </w:rPr>
              <w:t>2026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line="200" w:lineRule="exact"/>
              <w:jc w:val="center"/>
              <w:rPr>
                <w:b/>
                <w:noProof/>
                <w:sz w:val="16"/>
                <w:szCs w:val="16"/>
              </w:rPr>
            </w:pPr>
            <w:r>
              <w:rPr>
                <w:b/>
                <w:noProof/>
                <w:sz w:val="18"/>
              </w:rPr>
              <w:t>2027 г.</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center"/>
              <w:rPr>
                <w:b/>
                <w:noProof/>
                <w:sz w:val="16"/>
                <w:szCs w:val="16"/>
              </w:rPr>
            </w:pPr>
            <w:r>
              <w:rPr>
                <w:b/>
                <w:noProof/>
                <w:sz w:val="16"/>
              </w:rPr>
              <w:t>ОБЩО</w:t>
            </w:r>
          </w:p>
        </w:tc>
      </w:tr>
    </w:tbl>
    <w:p>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rPr>
              <w:t xml:space="preserve">ФУНКЦИЯ 7 </w:t>
            </w:r>
            <w:r>
              <w:rPr>
                <w:b/>
                <w:noProof/>
                <w:sz w:val="16"/>
              </w:rPr>
              <w:t>от многогодишната финансова рамка</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6,556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6,556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6,556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6,556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6,556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6,556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noProof/>
                <w:sz w:val="16"/>
              </w:rPr>
              <w:t>6,556</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45,892</w:t>
            </w: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Други административни разходи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0,303</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0,303</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0,303</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0,303</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0,303</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0,303</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0,303</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2,121</w:t>
            </w: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rPr>
              <w:t xml:space="preserve">Междинен сбор за ФУНКЦИЯ 7 </w:t>
            </w:r>
            <w:r>
              <w:rPr>
                <w:b/>
                <w:noProof/>
                <w:sz w:val="16"/>
              </w:rPr>
              <w:t xml:space="preserve">от многогодишната финансова рамка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6,859</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6,859</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6,859</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6,859</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6,859</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6,859</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6,859</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48,013</w:t>
            </w:r>
          </w:p>
        </w:tc>
      </w:tr>
    </w:tbl>
    <w:p>
      <w:pPr>
        <w:spacing w:line="200" w:lineRule="exact"/>
        <w:rPr>
          <w:noProof/>
          <w:sz w:val="16"/>
          <w:szCs w:val="16"/>
        </w:rPr>
      </w:pPr>
    </w:p>
    <w:tbl>
      <w:tblPr>
        <w:tblW w:w="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tcPr>
          <w:p>
            <w:pPr>
              <w:spacing w:before="60" w:after="60" w:line="200" w:lineRule="exact"/>
              <w:jc w:val="center"/>
              <w:rPr>
                <w:noProof/>
                <w:sz w:val="16"/>
                <w:szCs w:val="16"/>
              </w:rPr>
            </w:pPr>
            <w:r>
              <w:rPr>
                <w:b/>
                <w:noProof/>
              </w:rPr>
              <w:t>Извън ФУНКЦИЯ 7</w:t>
            </w:r>
            <w:r>
              <w:rPr>
                <w:rStyle w:val="FootnoteReference"/>
                <w:noProof/>
              </w:rPr>
              <w:footnoteReference w:id="41"/>
            </w:r>
            <w:r>
              <w:rPr>
                <w:b/>
                <w:noProof/>
              </w:rPr>
              <w:br/>
            </w:r>
            <w:r>
              <w:rPr>
                <w:b/>
                <w:noProof/>
                <w:sz w:val="16"/>
              </w:rPr>
              <w:t xml:space="preserve">от многогодишната финансова рамка </w:t>
            </w:r>
          </w:p>
          <w:p>
            <w:pPr>
              <w:spacing w:before="0" w:after="0" w:line="200" w:lineRule="exact"/>
              <w:jc w:val="center"/>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 xml:space="preserve">Човешки ресурси </w:t>
            </w: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c>
          <w:tcPr>
            <w:tcW w:w="1080" w:type="dxa"/>
            <w:tcBorders>
              <w:top w:val="single" w:sz="2" w:space="0" w:color="auto"/>
              <w:left w:val="single" w:sz="2" w:space="0" w:color="auto"/>
              <w:bottom w:val="single" w:sz="2" w:space="0" w:color="auto"/>
              <w:right w:val="single" w:sz="2" w:space="0" w:color="auto"/>
            </w:tcBorders>
            <w:vAlign w:val="center"/>
          </w:tcPr>
          <w:p>
            <w:pPr>
              <w:spacing w:before="60" w:after="60" w:line="200" w:lineRule="exact"/>
              <w:jc w:val="right"/>
              <w:rPr>
                <w:b/>
                <w:noProof/>
                <w:sz w:val="16"/>
                <w:szCs w:val="16"/>
              </w:rPr>
            </w:pPr>
          </w:p>
        </w:tc>
      </w:tr>
      <w:tr>
        <w:trPr>
          <w:trHeight w:val="585"/>
        </w:trPr>
        <w:tc>
          <w:tcPr>
            <w:tcW w:w="19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ind w:left="72"/>
              <w:jc w:val="left"/>
              <w:rPr>
                <w:noProof/>
                <w:sz w:val="16"/>
                <w:szCs w:val="16"/>
              </w:rPr>
            </w:pPr>
            <w:r>
              <w:rPr>
                <w:noProof/>
                <w:sz w:val="16"/>
              </w:rPr>
              <w:t>Други разходи</w:t>
            </w:r>
            <w:r>
              <w:rPr>
                <w:noProof/>
              </w:rPr>
              <w:t xml:space="preserve"> </w:t>
            </w:r>
            <w:r>
              <w:rPr>
                <w:noProof/>
                <w:sz w:val="16"/>
              </w:rPr>
              <w:t>с административен характер</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noProof/>
                <w:sz w:val="16"/>
                <w:szCs w:val="16"/>
              </w:rPr>
            </w:pPr>
            <w:r>
              <w:rPr>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2,100</w:t>
            </w:r>
          </w:p>
        </w:tc>
      </w:tr>
      <w:tr>
        <w:trPr>
          <w:trHeight w:val="585"/>
        </w:trPr>
        <w:tc>
          <w:tcPr>
            <w:tcW w:w="1980" w:type="dxa"/>
            <w:tcBorders>
              <w:top w:val="single" w:sz="2" w:space="0" w:color="auto"/>
              <w:left w:val="single" w:sz="2" w:space="0" w:color="auto"/>
              <w:bottom w:val="single" w:sz="2" w:space="0" w:color="auto"/>
              <w:right w:val="single" w:sz="2" w:space="0" w:color="auto"/>
            </w:tcBorders>
            <w:shd w:val="clear" w:color="auto" w:fill="CCCCCC"/>
            <w:vAlign w:val="center"/>
            <w:hideMark/>
          </w:tcPr>
          <w:p>
            <w:pPr>
              <w:spacing w:before="60" w:after="60" w:line="200" w:lineRule="exact"/>
              <w:jc w:val="center"/>
              <w:rPr>
                <w:b/>
                <w:noProof/>
                <w:sz w:val="16"/>
                <w:szCs w:val="16"/>
              </w:rPr>
            </w:pPr>
            <w:r>
              <w:rPr>
                <w:b/>
                <w:noProof/>
              </w:rPr>
              <w:t>Междинен сбор</w:t>
            </w:r>
            <w:r>
              <w:rPr>
                <w:b/>
                <w:noProof/>
              </w:rPr>
              <w:br/>
              <w:t>Извън ФУНКЦИЯ 7</w:t>
            </w:r>
            <w:r>
              <w:rPr>
                <w:b/>
                <w:noProof/>
              </w:rPr>
              <w:br/>
            </w:r>
            <w:r>
              <w:rPr>
                <w:b/>
                <w:noProof/>
                <w:sz w:val="16"/>
              </w:rPr>
              <w:t xml:space="preserve">от многогодишната финансова рамка </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0,300</w:t>
            </w:r>
          </w:p>
        </w:tc>
        <w:tc>
          <w:tcPr>
            <w:tcW w:w="1080" w:type="dxa"/>
            <w:tcBorders>
              <w:top w:val="single" w:sz="2" w:space="0" w:color="auto"/>
              <w:left w:val="single" w:sz="2" w:space="0" w:color="auto"/>
              <w:bottom w:val="single" w:sz="2" w:space="0" w:color="auto"/>
              <w:right w:val="single" w:sz="2" w:space="0" w:color="auto"/>
            </w:tcBorders>
            <w:vAlign w:val="center"/>
            <w:hideMark/>
          </w:tcPr>
          <w:p>
            <w:pPr>
              <w:spacing w:before="60" w:after="60" w:line="200" w:lineRule="exact"/>
              <w:jc w:val="right"/>
              <w:rPr>
                <w:b/>
                <w:noProof/>
                <w:sz w:val="16"/>
                <w:szCs w:val="16"/>
              </w:rPr>
            </w:pPr>
            <w:r>
              <w:rPr>
                <w:b/>
                <w:noProof/>
                <w:sz w:val="16"/>
              </w:rPr>
              <w:t>2,100</w:t>
            </w:r>
          </w:p>
        </w:tc>
      </w:tr>
    </w:tbl>
    <w:p>
      <w:pPr>
        <w:spacing w:line="200" w:lineRule="exact"/>
        <w:rPr>
          <w:noProof/>
          <w:sz w:val="16"/>
          <w:szCs w:val="16"/>
        </w:rPr>
      </w:pPr>
    </w:p>
    <w:tbl>
      <w:tblPr>
        <w:tblW w:w="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trPr>
          <w:trHeight w:val="585"/>
        </w:trPr>
        <w:tc>
          <w:tcPr>
            <w:tcW w:w="1980" w:type="dxa"/>
            <w:tcBorders>
              <w:top w:val="single" w:sz="12" w:space="0" w:color="auto"/>
              <w:left w:val="single" w:sz="12" w:space="0" w:color="auto"/>
              <w:bottom w:val="single" w:sz="12" w:space="0" w:color="auto"/>
              <w:right w:val="single" w:sz="2" w:space="0" w:color="auto"/>
            </w:tcBorders>
            <w:vAlign w:val="center"/>
            <w:hideMark/>
          </w:tcPr>
          <w:p>
            <w:pPr>
              <w:spacing w:before="60" w:after="60" w:line="200" w:lineRule="exact"/>
              <w:jc w:val="center"/>
              <w:rPr>
                <w:noProof/>
                <w:sz w:val="16"/>
                <w:szCs w:val="16"/>
              </w:rPr>
            </w:pPr>
            <w:r>
              <w:rPr>
                <w:b/>
                <w:noProof/>
                <w:sz w:val="16"/>
              </w:rPr>
              <w:t>ОБЩО</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rPr>
              <w:t>7,159</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rPr>
              <w:t>7,159</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rPr>
              <w:t>7,159</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rPr>
              <w:t>7,159</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rPr>
              <w:t>7,159</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rPr>
              <w:t>7,159</w:t>
            </w:r>
          </w:p>
        </w:tc>
        <w:tc>
          <w:tcPr>
            <w:tcW w:w="1080" w:type="dxa"/>
            <w:tcBorders>
              <w:top w:val="single" w:sz="12" w:space="0" w:color="auto"/>
              <w:left w:val="single" w:sz="2" w:space="0" w:color="auto"/>
              <w:bottom w:val="single" w:sz="12" w:space="0" w:color="auto"/>
              <w:right w:val="single" w:sz="2" w:space="0" w:color="auto"/>
            </w:tcBorders>
            <w:vAlign w:val="center"/>
            <w:hideMark/>
          </w:tcPr>
          <w:p>
            <w:pPr>
              <w:spacing w:before="60" w:after="60" w:line="200" w:lineRule="exact"/>
              <w:jc w:val="right"/>
              <w:rPr>
                <w:b/>
                <w:noProof/>
                <w:sz w:val="16"/>
                <w:szCs w:val="16"/>
              </w:rPr>
            </w:pPr>
            <w:r>
              <w:rPr>
                <w:b/>
                <w:noProof/>
                <w:sz w:val="16"/>
              </w:rPr>
              <w:t>7,159</w:t>
            </w:r>
          </w:p>
        </w:tc>
        <w:tc>
          <w:tcPr>
            <w:tcW w:w="1080" w:type="dxa"/>
            <w:tcBorders>
              <w:top w:val="single" w:sz="12" w:space="0" w:color="auto"/>
              <w:left w:val="single" w:sz="2" w:space="0" w:color="auto"/>
              <w:bottom w:val="single" w:sz="12" w:space="0" w:color="auto"/>
              <w:right w:val="single" w:sz="12" w:space="0" w:color="auto"/>
            </w:tcBorders>
            <w:vAlign w:val="center"/>
            <w:hideMark/>
          </w:tcPr>
          <w:p>
            <w:pPr>
              <w:spacing w:before="60" w:after="60" w:line="200" w:lineRule="exact"/>
              <w:jc w:val="right"/>
              <w:rPr>
                <w:b/>
                <w:noProof/>
                <w:sz w:val="16"/>
                <w:szCs w:val="16"/>
              </w:rPr>
            </w:pPr>
            <w:r>
              <w:rPr>
                <w:b/>
                <w:noProof/>
                <w:sz w:val="16"/>
              </w:rPr>
              <w:t>50,113</w:t>
            </w:r>
          </w:p>
        </w:tc>
      </w:tr>
    </w:tbl>
    <w:p>
      <w:pPr>
        <w:rPr>
          <w:noProof/>
          <w:sz w:val="18"/>
        </w:rPr>
      </w:pPr>
      <w:r>
        <w:rPr>
          <w:noProof/>
          <w:sz w:val="18"/>
        </w:rPr>
        <w:t>Бюджетните кредити, необходими за човешки ресурси и други разходи с административен характер, ще бъдат покрити от бюджетни кредити на ГД, които вече са определени за управлението на действието и/или които са преразпределени в рамките на ГД, при необходимост заедно с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spacing w:before="0" w:after="0"/>
        <w:jc w:val="left"/>
        <w:rPr>
          <w:bCs/>
          <w:iCs/>
          <w:noProof/>
        </w:rPr>
      </w:pPr>
      <w:r>
        <w:rPr>
          <w:noProof/>
        </w:rPr>
        <w:br w:type="page"/>
      </w:r>
    </w:p>
    <w:p>
      <w:pPr>
        <w:pStyle w:val="ManualHeading4"/>
        <w:rPr>
          <w:bCs/>
          <w:noProof/>
          <w:szCs w:val="24"/>
        </w:rPr>
      </w:pPr>
      <w:r>
        <w:t>3.2.2.1.</w:t>
      </w:r>
      <w:r>
        <w:tab/>
      </w:r>
      <w:r>
        <w:rPr>
          <w:noProof/>
        </w:rPr>
        <w:t>Очаквани нужди от човешки ресурси</w:t>
      </w:r>
    </w:p>
    <w:p>
      <w:pPr>
        <w:pStyle w:val="ListDash1"/>
        <w:rPr>
          <w:noProof/>
        </w:rPr>
      </w:pPr>
      <w:r>
        <w:rPr>
          <w:noProof/>
        </w:rPr>
        <w:sym w:font="Wingdings" w:char="F0A8"/>
      </w:r>
      <w:r>
        <w:rPr>
          <w:noProof/>
        </w:rPr>
        <w:tab/>
        <w:t xml:space="preserve">Предложението/инициативата не налага използване на човешки ресурси. </w:t>
      </w:r>
    </w:p>
    <w:p>
      <w:pPr>
        <w:pStyle w:val="ListDash1"/>
        <w:rPr>
          <w:noProof/>
        </w:rPr>
      </w:pPr>
      <w:r>
        <w:rPr>
          <w:noProof/>
        </w:rPr>
        <w:t>X</w:t>
      </w:r>
      <w:r>
        <w:rPr>
          <w:noProof/>
        </w:rPr>
        <w:tab/>
        <w:t>Предложението/инициативата налага използване на човешки ресурси съгласно обяснението по-долу:</w:t>
      </w:r>
    </w:p>
    <w:p>
      <w:pPr>
        <w:spacing w:after="60"/>
        <w:jc w:val="right"/>
        <w:rPr>
          <w:i/>
          <w:noProof/>
          <w:sz w:val="20"/>
        </w:rPr>
      </w:pPr>
      <w:r>
        <w:rPr>
          <w:i/>
          <w:noProof/>
          <w:sz w:val="20"/>
        </w:rPr>
        <w:t>Оценката се посочва в еквиваленти на пълно работно време</w:t>
      </w:r>
    </w:p>
    <w:tbl>
      <w:tblPr>
        <w:tblW w:w="5700"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2348"/>
        <w:gridCol w:w="2040"/>
        <w:gridCol w:w="805"/>
        <w:gridCol w:w="949"/>
        <w:gridCol w:w="805"/>
        <w:gridCol w:w="949"/>
        <w:gridCol w:w="947"/>
        <w:gridCol w:w="809"/>
        <w:gridCol w:w="935"/>
      </w:tblGrid>
      <w:tr>
        <w:trPr>
          <w:trHeight w:val="289"/>
        </w:trPr>
        <w:tc>
          <w:tcPr>
            <w:tcW w:w="1472" w:type="pct"/>
            <w:gridSpan w:val="2"/>
            <w:tcBorders>
              <w:top w:val="single" w:sz="6" w:space="0" w:color="auto"/>
              <w:left w:val="single" w:sz="6" w:space="0" w:color="auto"/>
              <w:bottom w:val="single" w:sz="6" w:space="0" w:color="auto"/>
              <w:right w:val="single" w:sz="6" w:space="0" w:color="auto"/>
            </w:tcBorders>
            <w:vAlign w:val="center"/>
            <w:hideMark/>
          </w:tcPr>
          <w:p>
            <w:pPr>
              <w:pStyle w:val="Text1"/>
              <w:spacing w:before="40" w:after="40"/>
              <w:ind w:left="0"/>
              <w:jc w:val="center"/>
              <w:rPr>
                <w:i/>
                <w:noProof/>
                <w:sz w:val="16"/>
                <w:szCs w:val="16"/>
              </w:rPr>
            </w:pPr>
            <w:r>
              <w:rPr>
                <w:b/>
                <w:noProof/>
                <w:sz w:val="16"/>
              </w:rPr>
              <w:t>Година</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16"/>
                <w:szCs w:val="16"/>
              </w:rPr>
            </w:pPr>
            <w:r>
              <w:rPr>
                <w:b/>
                <w:noProof/>
                <w:sz w:val="20"/>
              </w:rPr>
              <w:t>2021 г.</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20"/>
              </w:rPr>
            </w:pPr>
            <w:r>
              <w:rPr>
                <w:b/>
                <w:noProof/>
                <w:sz w:val="20"/>
              </w:rPr>
              <w:t>2022 г.</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20"/>
              </w:rPr>
            </w:pPr>
            <w:r>
              <w:rPr>
                <w:b/>
                <w:noProof/>
                <w:sz w:val="20"/>
              </w:rPr>
              <w:t>2023 г.</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20" w:after="20"/>
              <w:jc w:val="center"/>
              <w:rPr>
                <w:b/>
                <w:noProof/>
                <w:sz w:val="20"/>
              </w:rPr>
            </w:pPr>
            <w:r>
              <w:rPr>
                <w:b/>
                <w:noProof/>
                <w:sz w:val="20"/>
              </w:rPr>
              <w:t>2024 г.</w:t>
            </w:r>
          </w:p>
        </w:tc>
        <w:tc>
          <w:tcPr>
            <w:tcW w:w="533" w:type="pct"/>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2025 г.</w:t>
            </w:r>
          </w:p>
        </w:tc>
        <w:tc>
          <w:tcPr>
            <w:tcW w:w="468" w:type="pct"/>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2026 г.</w:t>
            </w:r>
          </w:p>
        </w:tc>
        <w:tc>
          <w:tcPr>
            <w:tcW w:w="527" w:type="pct"/>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2027 г.</w:t>
            </w:r>
          </w:p>
        </w:tc>
      </w:tr>
      <w:tr>
        <w:trPr>
          <w:trHeight w:val="289"/>
        </w:trPr>
        <w:tc>
          <w:tcPr>
            <w:tcW w:w="5000" w:type="pct"/>
            <w:gridSpan w:val="9"/>
            <w:tcBorders>
              <w:top w:val="single" w:sz="6" w:space="0" w:color="auto"/>
              <w:left w:val="single" w:sz="6" w:space="0" w:color="auto"/>
              <w:bottom w:val="single" w:sz="6" w:space="0" w:color="auto"/>
              <w:right w:val="single" w:sz="6" w:space="0" w:color="auto"/>
            </w:tcBorders>
            <w:hideMark/>
          </w:tcPr>
          <w:p>
            <w:pPr>
              <w:jc w:val="left"/>
              <w:rPr>
                <w:noProof/>
                <w:sz w:val="16"/>
                <w:szCs w:val="16"/>
              </w:rPr>
            </w:pPr>
            <w:r>
              <w:rPr>
                <w:b/>
                <w:noProof/>
                <w:sz w:val="16"/>
              </w:rPr>
              <w:sym w:font="Wingdings" w:char="F09F"/>
            </w:r>
            <w:r>
              <w:rPr>
                <w:b/>
                <w:noProof/>
              </w:rPr>
              <w:t>Длъжности в щатното разписание (длъжностни лица и срочно наети служители)</w:t>
            </w: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b/>
                <w:noProof/>
                <w:sz w:val="16"/>
                <w:szCs w:val="16"/>
              </w:rPr>
            </w:pPr>
            <w:r>
              <w:rPr>
                <w:noProof/>
                <w:sz w:val="16"/>
              </w:rPr>
              <w:t>Централа и представителства на Комисията</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42</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42</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42</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42</w:t>
            </w:r>
          </w:p>
        </w:tc>
        <w:tc>
          <w:tcPr>
            <w:tcW w:w="5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42</w:t>
            </w:r>
          </w:p>
        </w:tc>
        <w:tc>
          <w:tcPr>
            <w:tcW w:w="46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42</w:t>
            </w:r>
          </w:p>
        </w:tc>
        <w:tc>
          <w:tcPr>
            <w:tcW w:w="52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42</w:t>
            </w: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noProof/>
                <w:sz w:val="16"/>
                <w:szCs w:val="16"/>
              </w:rPr>
            </w:pPr>
            <w:r>
              <w:rPr>
                <w:noProof/>
                <w:sz w:val="16"/>
              </w:rPr>
              <w:t>Делегации</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4"/>
              <w:jc w:val="left"/>
              <w:rPr>
                <w:noProof/>
                <w:sz w:val="16"/>
                <w:szCs w:val="16"/>
              </w:rPr>
            </w:pPr>
            <w:r>
              <w:rPr>
                <w:noProof/>
                <w:sz w:val="16"/>
              </w:rPr>
              <w:t>Научни изследвания</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93"/>
        </w:trPr>
        <w:tc>
          <w:tcPr>
            <w:tcW w:w="5000" w:type="pct"/>
            <w:gridSpan w:val="9"/>
            <w:tcBorders>
              <w:top w:val="single" w:sz="6" w:space="0" w:color="auto"/>
              <w:left w:val="single" w:sz="6" w:space="0" w:color="auto"/>
              <w:bottom w:val="single" w:sz="6" w:space="0" w:color="auto"/>
              <w:right w:val="single" w:sz="6" w:space="0" w:color="auto"/>
            </w:tcBorders>
            <w:hideMark/>
          </w:tcPr>
          <w:p>
            <w:pPr>
              <w:pStyle w:val="Text1"/>
              <w:spacing w:before="60" w:after="60"/>
              <w:ind w:left="0"/>
              <w:jc w:val="left"/>
              <w:rPr>
                <w:b/>
                <w:noProof/>
                <w:sz w:val="16"/>
                <w:szCs w:val="16"/>
              </w:rPr>
            </w:pPr>
            <w:r>
              <w:rPr>
                <w:b/>
                <w:noProof/>
                <w:sz w:val="16"/>
              </w:rPr>
              <w:sym w:font="Wingdings" w:char="F09F"/>
            </w:r>
            <w:r>
              <w:rPr>
                <w:b/>
                <w:noProof/>
              </w:rPr>
              <w:t>Външен персонал (в еквивалент на пълно работно време –</w:t>
            </w:r>
            <w:r>
              <w:rPr>
                <w:b/>
                <w:noProof/>
                <w:sz w:val="16"/>
              </w:rPr>
              <w:t xml:space="preserve"> ЕПРВ) – ДНП , МП, КНЕ, ПНА, МЕД</w:t>
            </w:r>
            <w:r>
              <w:rPr>
                <w:rStyle w:val="FootnoteReference"/>
                <w:noProof/>
              </w:rPr>
              <w:footnoteReference w:id="42"/>
            </w:r>
          </w:p>
          <w:p>
            <w:pPr>
              <w:pStyle w:val="Text1"/>
              <w:spacing w:before="0" w:after="0"/>
              <w:ind w:left="0"/>
              <w:jc w:val="left"/>
              <w:rPr>
                <w:noProof/>
                <w:sz w:val="16"/>
                <w:szCs w:val="16"/>
              </w:rPr>
            </w:pPr>
            <w:r>
              <w:rPr>
                <w:noProof/>
                <w:sz w:val="16"/>
              </w:rPr>
              <w:t>Функция 7</w:t>
            </w:r>
          </w:p>
        </w:tc>
      </w:tr>
      <w:tr>
        <w:trPr>
          <w:trHeight w:val="485"/>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rPr>
              <w:t>Финансирани по ФУНКЦИЯ 7 от многогодишната финансова рамка</w:t>
            </w:r>
            <w:r>
              <w:rPr>
                <w:b/>
                <w:noProof/>
                <w:sz w:val="16"/>
              </w:rPr>
              <w:t xml:space="preserve"> </w:t>
            </w: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rPr>
              <w:t>- в централата</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7</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7</w:t>
            </w:r>
          </w:p>
        </w:tc>
        <w:tc>
          <w:tcPr>
            <w:tcW w:w="466"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7</w:t>
            </w:r>
          </w:p>
        </w:tc>
        <w:tc>
          <w:tcPr>
            <w:tcW w:w="534"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7</w:t>
            </w:r>
          </w:p>
        </w:tc>
        <w:tc>
          <w:tcPr>
            <w:tcW w:w="533"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7</w:t>
            </w:r>
          </w:p>
        </w:tc>
        <w:tc>
          <w:tcPr>
            <w:tcW w:w="468"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7</w:t>
            </w:r>
          </w:p>
        </w:tc>
        <w:tc>
          <w:tcPr>
            <w:tcW w:w="527" w:type="pct"/>
            <w:tcBorders>
              <w:top w:val="single" w:sz="6" w:space="0" w:color="auto"/>
              <w:left w:val="single" w:sz="6" w:space="0" w:color="auto"/>
              <w:bottom w:val="single" w:sz="6" w:space="0" w:color="auto"/>
              <w:right w:val="single" w:sz="6" w:space="0" w:color="auto"/>
            </w:tcBorders>
            <w:vAlign w:val="center"/>
            <w:hideMark/>
          </w:tcPr>
          <w:p>
            <w:pPr>
              <w:spacing w:beforeLines="20" w:before="48" w:afterLines="20" w:after="48"/>
              <w:jc w:val="center"/>
              <w:rPr>
                <w:noProof/>
                <w:sz w:val="16"/>
                <w:szCs w:val="16"/>
              </w:rPr>
            </w:pPr>
            <w:r>
              <w:rPr>
                <w:noProof/>
                <w:sz w:val="16"/>
              </w:rPr>
              <w:t>7</w:t>
            </w:r>
          </w:p>
        </w:tc>
      </w:tr>
      <w:tr>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noProof/>
                <w:sz w:val="16"/>
                <w:szCs w:val="16"/>
              </w:rPr>
            </w:pPr>
            <w:r>
              <w:rPr>
                <w:noProof/>
                <w:sz w:val="16"/>
              </w:rPr>
              <w:t xml:space="preserve">- в делегациите </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370"/>
        </w:trPr>
        <w:tc>
          <w:tcPr>
            <w:tcW w:w="735" w:type="pct"/>
            <w:vMerge w:val="restar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rPr>
              <w:t>Финансирани от финансовия пакет на Програмата</w:t>
            </w:r>
            <w:r>
              <w:rPr>
                <w:rStyle w:val="FootnoteReference"/>
                <w:noProof/>
              </w:rPr>
              <w:footnoteReference w:id="43"/>
            </w: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rPr>
              <w:t>- в централата</w:t>
            </w:r>
          </w:p>
        </w:tc>
        <w:tc>
          <w:tcPr>
            <w:tcW w:w="466"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0" w:type="auto"/>
            <w:vMerge/>
            <w:tcBorders>
              <w:top w:val="single" w:sz="6" w:space="0" w:color="auto"/>
              <w:left w:val="single" w:sz="6" w:space="0" w:color="auto"/>
              <w:bottom w:val="single" w:sz="6" w:space="0" w:color="auto"/>
              <w:right w:val="single" w:sz="6" w:space="0" w:color="auto"/>
            </w:tcBorders>
            <w:vAlign w:val="center"/>
            <w:hideMark/>
          </w:tcPr>
          <w:p>
            <w:pPr>
              <w:spacing w:before="0" w:after="0"/>
              <w:jc w:val="left"/>
              <w:rPr>
                <w:b/>
                <w:noProof/>
                <w:sz w:val="16"/>
                <w:szCs w:val="16"/>
              </w:rPr>
            </w:pPr>
          </w:p>
        </w:tc>
        <w:tc>
          <w:tcPr>
            <w:tcW w:w="737" w:type="pct"/>
            <w:tcBorders>
              <w:top w:val="single" w:sz="6" w:space="0" w:color="auto"/>
              <w:left w:val="single" w:sz="6" w:space="0" w:color="auto"/>
              <w:bottom w:val="single" w:sz="6" w:space="0" w:color="auto"/>
              <w:right w:val="single" w:sz="6" w:space="0" w:color="auto"/>
            </w:tcBorders>
            <w:vAlign w:val="center"/>
            <w:hideMark/>
          </w:tcPr>
          <w:p>
            <w:pPr>
              <w:pStyle w:val="Text1"/>
              <w:spacing w:beforeLines="20" w:before="48" w:afterLines="20" w:after="48"/>
              <w:ind w:left="986"/>
              <w:jc w:val="left"/>
              <w:rPr>
                <w:b/>
                <w:noProof/>
                <w:sz w:val="16"/>
                <w:szCs w:val="16"/>
              </w:rPr>
            </w:pPr>
            <w:r>
              <w:rPr>
                <w:noProof/>
                <w:sz w:val="16"/>
              </w:rPr>
              <w:t xml:space="preserve">- в делегациите </w:t>
            </w:r>
          </w:p>
        </w:tc>
        <w:tc>
          <w:tcPr>
            <w:tcW w:w="466" w:type="pct"/>
            <w:tcBorders>
              <w:top w:val="single" w:sz="6" w:space="0" w:color="auto"/>
              <w:left w:val="single" w:sz="6" w:space="0" w:color="auto"/>
              <w:bottom w:val="single" w:sz="6" w:space="0" w:color="auto"/>
              <w:right w:val="single" w:sz="6" w:space="0" w:color="auto"/>
            </w:tcBorders>
            <w:vAlign w:val="center"/>
          </w:tcPr>
          <w:p>
            <w:pPr>
              <w:pStyle w:val="Text1"/>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single" w:sz="6" w:space="0" w:color="auto"/>
              <w:right w:val="single" w:sz="6" w:space="0" w:color="auto"/>
            </w:tcBorders>
            <w:hideMark/>
          </w:tcPr>
          <w:p>
            <w:pPr>
              <w:pStyle w:val="Text1"/>
              <w:spacing w:beforeLines="20" w:before="48" w:afterLines="20" w:after="48"/>
              <w:ind w:left="986"/>
              <w:jc w:val="left"/>
              <w:rPr>
                <w:noProof/>
                <w:sz w:val="16"/>
                <w:szCs w:val="16"/>
              </w:rPr>
            </w:pPr>
            <w:r>
              <w:rPr>
                <w:noProof/>
                <w:sz w:val="16"/>
              </w:rPr>
              <w:t>Научни изследвания</w:t>
            </w: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single" w:sz="6"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single" w:sz="6" w:space="0" w:color="auto"/>
              <w:left w:val="single" w:sz="6" w:space="0" w:color="auto"/>
              <w:bottom w:val="double" w:sz="4" w:space="0" w:color="auto"/>
              <w:right w:val="single" w:sz="6" w:space="0" w:color="auto"/>
            </w:tcBorders>
            <w:hideMark/>
          </w:tcPr>
          <w:p>
            <w:pPr>
              <w:pStyle w:val="Text1"/>
              <w:spacing w:beforeLines="20" w:before="48" w:afterLines="20" w:after="48"/>
              <w:ind w:left="984"/>
              <w:jc w:val="left"/>
              <w:rPr>
                <w:noProof/>
                <w:sz w:val="16"/>
                <w:szCs w:val="16"/>
              </w:rPr>
            </w:pPr>
            <w:r>
              <w:rPr>
                <w:noProof/>
                <w:sz w:val="16"/>
              </w:rPr>
              <w:t>Други (да се посочат)</w:t>
            </w:r>
          </w:p>
        </w:tc>
        <w:tc>
          <w:tcPr>
            <w:tcW w:w="4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466"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34"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33"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468"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c>
          <w:tcPr>
            <w:tcW w:w="527" w:type="pct"/>
            <w:tcBorders>
              <w:top w:val="single" w:sz="6" w:space="0" w:color="auto"/>
              <w:left w:val="single" w:sz="6" w:space="0" w:color="auto"/>
              <w:bottom w:val="double" w:sz="4" w:space="0" w:color="auto"/>
              <w:right w:val="single" w:sz="6" w:space="0" w:color="auto"/>
            </w:tcBorders>
            <w:vAlign w:val="center"/>
          </w:tcPr>
          <w:p>
            <w:pPr>
              <w:spacing w:beforeLines="20" w:before="48" w:afterLines="20" w:after="48"/>
              <w:jc w:val="center"/>
              <w:rPr>
                <w:noProof/>
                <w:sz w:val="16"/>
                <w:szCs w:val="16"/>
              </w:rPr>
            </w:pPr>
          </w:p>
        </w:tc>
      </w:tr>
      <w:tr>
        <w:trPr>
          <w:trHeight w:val="289"/>
        </w:trPr>
        <w:tc>
          <w:tcPr>
            <w:tcW w:w="1472" w:type="pct"/>
            <w:gridSpan w:val="2"/>
            <w:tcBorders>
              <w:top w:val="double" w:sz="4" w:space="0" w:color="auto"/>
              <w:left w:val="single" w:sz="6" w:space="0" w:color="auto"/>
              <w:bottom w:val="single" w:sz="6" w:space="0" w:color="auto"/>
              <w:right w:val="single" w:sz="6" w:space="0" w:color="auto"/>
            </w:tcBorders>
            <w:hideMark/>
          </w:tcPr>
          <w:p>
            <w:pPr>
              <w:pStyle w:val="Text1"/>
              <w:spacing w:beforeLines="20" w:before="48" w:afterLines="20" w:after="48"/>
              <w:ind w:left="986"/>
              <w:jc w:val="left"/>
              <w:rPr>
                <w:noProof/>
                <w:sz w:val="16"/>
                <w:szCs w:val="16"/>
              </w:rPr>
            </w:pPr>
            <w:r>
              <w:rPr>
                <w:b/>
                <w:noProof/>
                <w:sz w:val="16"/>
              </w:rPr>
              <w:t>ОБЩО</w:t>
            </w:r>
          </w:p>
        </w:tc>
        <w:tc>
          <w:tcPr>
            <w:tcW w:w="46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jc w:val="center"/>
              <w:rPr>
                <w:b/>
                <w:noProof/>
                <w:sz w:val="16"/>
                <w:szCs w:val="16"/>
              </w:rPr>
            </w:pPr>
            <w:r>
              <w:rPr>
                <w:b/>
                <w:noProof/>
                <w:sz w:val="16"/>
              </w:rPr>
              <w:t>49</w:t>
            </w:r>
          </w:p>
        </w:tc>
        <w:tc>
          <w:tcPr>
            <w:tcW w:w="534"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jc w:val="center"/>
              <w:rPr>
                <w:b/>
                <w:noProof/>
                <w:sz w:val="16"/>
                <w:szCs w:val="16"/>
              </w:rPr>
            </w:pPr>
            <w:r>
              <w:rPr>
                <w:b/>
                <w:noProof/>
                <w:sz w:val="16"/>
              </w:rPr>
              <w:t>49</w:t>
            </w:r>
          </w:p>
        </w:tc>
        <w:tc>
          <w:tcPr>
            <w:tcW w:w="466"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jc w:val="center"/>
              <w:rPr>
                <w:b/>
                <w:noProof/>
                <w:sz w:val="16"/>
                <w:szCs w:val="16"/>
              </w:rPr>
            </w:pPr>
            <w:r>
              <w:rPr>
                <w:b/>
                <w:noProof/>
                <w:sz w:val="16"/>
              </w:rPr>
              <w:t>49</w:t>
            </w:r>
          </w:p>
        </w:tc>
        <w:tc>
          <w:tcPr>
            <w:tcW w:w="534"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jc w:val="center"/>
              <w:rPr>
                <w:b/>
                <w:noProof/>
                <w:sz w:val="16"/>
                <w:szCs w:val="16"/>
              </w:rPr>
            </w:pPr>
            <w:r>
              <w:rPr>
                <w:b/>
                <w:noProof/>
                <w:sz w:val="16"/>
              </w:rPr>
              <w:t>49</w:t>
            </w:r>
          </w:p>
        </w:tc>
        <w:tc>
          <w:tcPr>
            <w:tcW w:w="533"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jc w:val="center"/>
              <w:rPr>
                <w:b/>
                <w:noProof/>
                <w:sz w:val="16"/>
                <w:szCs w:val="16"/>
              </w:rPr>
            </w:pPr>
            <w:r>
              <w:rPr>
                <w:b/>
                <w:noProof/>
                <w:sz w:val="16"/>
              </w:rPr>
              <w:t>49</w:t>
            </w:r>
          </w:p>
        </w:tc>
        <w:tc>
          <w:tcPr>
            <w:tcW w:w="468"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jc w:val="center"/>
              <w:rPr>
                <w:b/>
                <w:noProof/>
                <w:sz w:val="16"/>
                <w:szCs w:val="16"/>
              </w:rPr>
            </w:pPr>
            <w:r>
              <w:rPr>
                <w:b/>
                <w:noProof/>
                <w:sz w:val="16"/>
              </w:rPr>
              <w:t>49</w:t>
            </w:r>
          </w:p>
        </w:tc>
        <w:tc>
          <w:tcPr>
            <w:tcW w:w="527" w:type="pct"/>
            <w:tcBorders>
              <w:top w:val="double" w:sz="4" w:space="0" w:color="auto"/>
              <w:left w:val="single" w:sz="6" w:space="0" w:color="auto"/>
              <w:bottom w:val="single" w:sz="6" w:space="0" w:color="auto"/>
              <w:right w:val="single" w:sz="6" w:space="0" w:color="auto"/>
            </w:tcBorders>
            <w:vAlign w:val="center"/>
            <w:hideMark/>
          </w:tcPr>
          <w:p>
            <w:pPr>
              <w:spacing w:beforeLines="20" w:before="48" w:afterLines="20" w:after="48"/>
              <w:jc w:val="center"/>
              <w:rPr>
                <w:b/>
                <w:noProof/>
                <w:sz w:val="16"/>
                <w:szCs w:val="16"/>
              </w:rPr>
            </w:pPr>
            <w:r>
              <w:rPr>
                <w:b/>
                <w:noProof/>
                <w:sz w:val="16"/>
              </w:rPr>
              <w:t>49</w:t>
            </w:r>
          </w:p>
        </w:tc>
      </w:tr>
    </w:tbl>
    <w:p>
      <w:pPr>
        <w:pStyle w:val="Text1"/>
        <w:ind w:left="0"/>
        <w:rPr>
          <w:noProof/>
          <w:sz w:val="18"/>
          <w:szCs w:val="18"/>
        </w:rPr>
      </w:pPr>
      <w:r>
        <w:rPr>
          <w:noProof/>
          <w:sz w:val="18"/>
        </w:rPr>
        <w:t>Нуждите от човешки ресурси ще бъдат покрити от персонала на ГД, на който вече е възложено управлението на действието и/или който е преразпределен в рамките на ГД, при необходимост заедно с всички допълнително отпуснати ресурси, които могат да бъдат предоставени на управляващата ГД в рамките на годишната процедура за отпускане на средства и като се имат предвид бюджетните ограничения.</w:t>
      </w:r>
    </w:p>
    <w:p>
      <w:pPr>
        <w:rPr>
          <w:noProof/>
          <w:sz w:val="20"/>
        </w:rPr>
      </w:pPr>
      <w:r>
        <w:rPr>
          <w:noProof/>
          <w:sz w:val="20"/>
        </w:rPr>
        <w:t>Описание на задачите, които трябва да се изпълняват:</w:t>
      </w:r>
    </w:p>
    <w:tbl>
      <w:tblPr>
        <w:tblW w:w="0"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tc>
          <w:tcPr>
            <w:tcW w:w="3240" w:type="dxa"/>
            <w:tcBorders>
              <w:top w:val="single" w:sz="2" w:space="0" w:color="auto"/>
              <w:left w:val="single" w:sz="2" w:space="0" w:color="auto"/>
              <w:bottom w:val="single" w:sz="2" w:space="0" w:color="auto"/>
              <w:right w:val="single" w:sz="2" w:space="0" w:color="auto"/>
            </w:tcBorders>
            <w:hideMark/>
          </w:tcPr>
          <w:p>
            <w:pPr>
              <w:rPr>
                <w:noProof/>
                <w:sz w:val="20"/>
              </w:rPr>
            </w:pPr>
            <w:r>
              <w:rPr>
                <w:noProof/>
                <w:sz w:val="20"/>
              </w:rPr>
              <w:t>Длъжностни лица и срочно наети служители</w:t>
            </w:r>
          </w:p>
        </w:tc>
        <w:tc>
          <w:tcPr>
            <w:tcW w:w="7392" w:type="dxa"/>
            <w:tcBorders>
              <w:top w:val="single" w:sz="2" w:space="0" w:color="auto"/>
              <w:left w:val="single" w:sz="2" w:space="0" w:color="auto"/>
              <w:bottom w:val="single" w:sz="2" w:space="0" w:color="auto"/>
              <w:right w:val="single" w:sz="2" w:space="0" w:color="auto"/>
            </w:tcBorders>
            <w:hideMark/>
          </w:tcPr>
          <w:p>
            <w:pPr>
              <w:rPr>
                <w:noProof/>
                <w:sz w:val="20"/>
              </w:rPr>
            </w:pPr>
            <w:r>
              <w:rPr>
                <w:noProof/>
                <w:sz w:val="20"/>
              </w:rPr>
              <w:t xml:space="preserve">Числата включват както служителите, работещи по прякото управление и изпълнение на Програмата, така и служителите, работещи в областите, подкрепяни/финансирани по Програмата. </w:t>
            </w:r>
          </w:p>
        </w:tc>
      </w:tr>
      <w:tr>
        <w:tc>
          <w:tcPr>
            <w:tcW w:w="3240" w:type="dxa"/>
            <w:tcBorders>
              <w:top w:val="single" w:sz="2" w:space="0" w:color="auto"/>
              <w:left w:val="single" w:sz="2" w:space="0" w:color="auto"/>
              <w:bottom w:val="single" w:sz="2" w:space="0" w:color="auto"/>
              <w:right w:val="single" w:sz="2" w:space="0" w:color="auto"/>
            </w:tcBorders>
            <w:hideMark/>
          </w:tcPr>
          <w:p>
            <w:pPr>
              <w:spacing w:before="60" w:after="60"/>
              <w:rPr>
                <w:noProof/>
                <w:sz w:val="20"/>
              </w:rPr>
            </w:pPr>
            <w:r>
              <w:rPr>
                <w:noProof/>
                <w:sz w:val="20"/>
              </w:rPr>
              <w:t>Външен персонал</w:t>
            </w:r>
          </w:p>
        </w:tc>
        <w:tc>
          <w:tcPr>
            <w:tcW w:w="7392" w:type="dxa"/>
            <w:tcBorders>
              <w:top w:val="single" w:sz="2" w:space="0" w:color="auto"/>
              <w:left w:val="single" w:sz="2" w:space="0" w:color="auto"/>
              <w:bottom w:val="single" w:sz="2" w:space="0" w:color="auto"/>
              <w:right w:val="single" w:sz="2" w:space="0" w:color="auto"/>
            </w:tcBorders>
            <w:hideMark/>
          </w:tcPr>
          <w:p>
            <w:pPr>
              <w:rPr>
                <w:noProof/>
                <w:sz w:val="20"/>
              </w:rPr>
            </w:pPr>
            <w:r>
              <w:rPr>
                <w:noProof/>
                <w:sz w:val="20"/>
              </w:rPr>
              <w:t>Числата включват както служителите, работещи по прякото управление и изпълнение на Програмата, така и служителите, работещи в областите, подкрепяни/финансирани по Програмата.</w:t>
            </w:r>
          </w:p>
        </w:tc>
      </w:tr>
    </w:tbl>
    <w:p>
      <w:pPr>
        <w:spacing w:before="0" w:after="0"/>
        <w:jc w:val="left"/>
        <w:rPr>
          <w:noProof/>
        </w:rPr>
        <w:sectPr>
          <w:headerReference w:type="default" r:id="rId33"/>
          <w:footerReference w:type="default" r:id="rId34"/>
          <w:headerReference w:type="first" r:id="rId35"/>
          <w:footerReference w:type="first" r:id="rId36"/>
          <w:footnotePr>
            <w:numRestart w:val="eachSect"/>
          </w:footnotePr>
          <w:pgSz w:w="11907" w:h="16840"/>
          <w:pgMar w:top="1134" w:right="1418" w:bottom="1134" w:left="1418" w:header="709" w:footer="709" w:gutter="0"/>
          <w:cols w:space="720"/>
          <w:docGrid w:linePitch="326"/>
        </w:sectPr>
      </w:pPr>
    </w:p>
    <w:p>
      <w:pPr>
        <w:pStyle w:val="ManualHeading3"/>
        <w:rPr>
          <w:bCs/>
          <w:noProof/>
          <w:szCs w:val="24"/>
        </w:rPr>
      </w:pPr>
      <w:r>
        <w:t>3.2.3.</w:t>
      </w:r>
      <w:r>
        <w:tab/>
      </w:r>
      <w:r>
        <w:rPr>
          <w:noProof/>
        </w:rPr>
        <w:t xml:space="preserve">Финансови вноски от трети страни </w:t>
      </w:r>
    </w:p>
    <w:p>
      <w:pPr>
        <w:pStyle w:val="Text1"/>
        <w:rPr>
          <w:noProof/>
        </w:rPr>
      </w:pPr>
      <w:r>
        <w:rPr>
          <w:noProof/>
        </w:rPr>
        <w:t>Предложението/инициативата:</w:t>
      </w:r>
    </w:p>
    <w:p>
      <w:pPr>
        <w:pStyle w:val="ListDash1"/>
        <w:rPr>
          <w:noProof/>
        </w:rPr>
      </w:pPr>
      <w:r>
        <w:rPr>
          <w:noProof/>
        </w:rPr>
        <w:t>X</w:t>
      </w:r>
      <w:r>
        <w:rPr>
          <w:noProof/>
        </w:rPr>
        <w:tab/>
        <w:t>не предвижда съфинансиране от трети страни</w:t>
      </w:r>
    </w:p>
    <w:p>
      <w:pPr>
        <w:pStyle w:val="ListDash1"/>
        <w:rPr>
          <w:noProof/>
        </w:rPr>
      </w:pPr>
      <w:r>
        <w:rPr>
          <w:noProof/>
        </w:rPr>
        <w:sym w:font="Wingdings" w:char="F0A8"/>
      </w:r>
      <w:r>
        <w:rPr>
          <w:noProof/>
        </w:rPr>
        <w:tab/>
        <w:t>предвижда следното съфинансиране от трети страни, като оценките са дадени по-долу:</w:t>
      </w:r>
    </w:p>
    <w:p>
      <w:pPr>
        <w:jc w:val="right"/>
        <w:rPr>
          <w:noProof/>
          <w:sz w:val="20"/>
        </w:rPr>
      </w:pPr>
      <w:r>
        <w:rPr>
          <w:noProof/>
          <w:sz w:val="20"/>
        </w:rPr>
        <w:t>Бюджетни кредити в млн. евро (до третия знак след десетичната запетая)</w:t>
      </w:r>
    </w:p>
    <w:tbl>
      <w:tblPr>
        <w:tblW w:w="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340"/>
        <w:gridCol w:w="964"/>
        <w:gridCol w:w="964"/>
        <w:gridCol w:w="964"/>
        <w:gridCol w:w="964"/>
        <w:gridCol w:w="964"/>
        <w:gridCol w:w="964"/>
        <w:gridCol w:w="964"/>
        <w:gridCol w:w="1158"/>
      </w:tblGrid>
      <w:tr>
        <w:trPr>
          <w:cantSplit/>
          <w:jc w:val="center"/>
        </w:trPr>
        <w:tc>
          <w:tcPr>
            <w:tcW w:w="2340"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b/>
                <w:noProof/>
                <w:sz w:val="20"/>
              </w:rPr>
            </w:pPr>
            <w:r>
              <w:rPr>
                <w:b/>
                <w:noProof/>
                <w:sz w:val="20"/>
              </w:rPr>
              <w:t>Година</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noProof/>
                <w:sz w:val="20"/>
              </w:rPr>
            </w:pPr>
            <w:r>
              <w:rPr>
                <w:b/>
                <w:noProof/>
                <w:sz w:val="20"/>
              </w:rPr>
              <w:t>2021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2022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2023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2024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2025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2026 г.</w:t>
            </w:r>
          </w:p>
        </w:tc>
        <w:tc>
          <w:tcPr>
            <w:tcW w:w="964" w:type="dxa"/>
            <w:tcBorders>
              <w:top w:val="single" w:sz="6" w:space="0" w:color="auto"/>
              <w:left w:val="single" w:sz="6" w:space="0" w:color="auto"/>
              <w:bottom w:val="single" w:sz="6" w:space="0" w:color="auto"/>
              <w:right w:val="single" w:sz="6" w:space="0" w:color="auto"/>
            </w:tcBorders>
            <w:vAlign w:val="center"/>
            <w:hideMark/>
          </w:tcPr>
          <w:p>
            <w:pPr>
              <w:jc w:val="center"/>
              <w:rPr>
                <w:b/>
                <w:noProof/>
                <w:sz w:val="20"/>
              </w:rPr>
            </w:pPr>
            <w:r>
              <w:rPr>
                <w:b/>
                <w:noProof/>
                <w:sz w:val="20"/>
              </w:rPr>
              <w:t>2027 г.</w:t>
            </w:r>
          </w:p>
        </w:tc>
        <w:tc>
          <w:tcPr>
            <w:tcW w:w="1158" w:type="dxa"/>
            <w:tcBorders>
              <w:top w:val="single" w:sz="6" w:space="0" w:color="auto"/>
              <w:left w:val="single" w:sz="6" w:space="0" w:color="auto"/>
              <w:bottom w:val="single" w:sz="6" w:space="0" w:color="auto"/>
              <w:right w:val="single" w:sz="6" w:space="0" w:color="auto"/>
            </w:tcBorders>
            <w:vAlign w:val="center"/>
            <w:hideMark/>
          </w:tcPr>
          <w:p>
            <w:pPr>
              <w:spacing w:before="60" w:after="60"/>
              <w:jc w:val="center"/>
              <w:rPr>
                <w:b/>
                <w:noProof/>
                <w:sz w:val="20"/>
              </w:rPr>
            </w:pPr>
            <w:r>
              <w:rPr>
                <w:b/>
                <w:noProof/>
                <w:sz w:val="20"/>
              </w:rPr>
              <w:t>ОБЩО</w:t>
            </w:r>
          </w:p>
        </w:tc>
      </w:tr>
      <w:tr>
        <w:trPr>
          <w:cantSplit/>
          <w:jc w:val="center"/>
        </w:trPr>
        <w:tc>
          <w:tcPr>
            <w:tcW w:w="2340" w:type="dxa"/>
            <w:tcBorders>
              <w:top w:val="single" w:sz="6" w:space="0" w:color="auto"/>
              <w:left w:val="single" w:sz="6" w:space="0" w:color="auto"/>
              <w:bottom w:val="single" w:sz="6" w:space="0" w:color="auto"/>
              <w:right w:val="single" w:sz="6" w:space="0" w:color="auto"/>
            </w:tcBorders>
            <w:hideMark/>
          </w:tcPr>
          <w:p>
            <w:pPr>
              <w:rPr>
                <w:noProof/>
              </w:rPr>
            </w:pPr>
            <w:r>
              <w:rPr>
                <w:noProof/>
                <w:sz w:val="20"/>
              </w:rPr>
              <w:t>Да се посочи съфинансиращият орган</w:t>
            </w:r>
            <w:r>
              <w:rPr>
                <w:i/>
                <w:noProof/>
                <w:sz w:val="20"/>
              </w:rPr>
              <w:t xml:space="preserve">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r>
      <w:tr>
        <w:trPr>
          <w:cantSplit/>
          <w:jc w:val="center"/>
        </w:trPr>
        <w:tc>
          <w:tcPr>
            <w:tcW w:w="2340" w:type="dxa"/>
            <w:tcBorders>
              <w:top w:val="single" w:sz="6" w:space="0" w:color="auto"/>
              <w:left w:val="single" w:sz="6" w:space="0" w:color="auto"/>
              <w:bottom w:val="single" w:sz="6" w:space="0" w:color="auto"/>
              <w:right w:val="single" w:sz="6" w:space="0" w:color="auto"/>
            </w:tcBorders>
            <w:hideMark/>
          </w:tcPr>
          <w:p>
            <w:pPr>
              <w:spacing w:before="60" w:after="60"/>
              <w:jc w:val="left"/>
              <w:rPr>
                <w:noProof/>
                <w:sz w:val="20"/>
              </w:rPr>
            </w:pPr>
            <w:r>
              <w:rPr>
                <w:noProof/>
                <w:sz w:val="20"/>
              </w:rPr>
              <w:t xml:space="preserve">ОБЩО съфинансирани бюджетни кредити </w:t>
            </w: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964"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c>
          <w:tcPr>
            <w:tcW w:w="1158" w:type="dxa"/>
            <w:tcBorders>
              <w:top w:val="single" w:sz="6" w:space="0" w:color="auto"/>
              <w:left w:val="single" w:sz="6" w:space="0" w:color="auto"/>
              <w:bottom w:val="single" w:sz="6" w:space="0" w:color="auto"/>
              <w:right w:val="single" w:sz="6" w:space="0" w:color="auto"/>
            </w:tcBorders>
            <w:vAlign w:val="center"/>
          </w:tcPr>
          <w:p>
            <w:pPr>
              <w:spacing w:before="60" w:after="60"/>
              <w:jc w:val="center"/>
              <w:rPr>
                <w:noProof/>
                <w:sz w:val="20"/>
              </w:rPr>
            </w:pPr>
          </w:p>
        </w:tc>
      </w:tr>
    </w:tbl>
    <w:p>
      <w:pPr>
        <w:rPr>
          <w:noProof/>
        </w:rPr>
      </w:pPr>
    </w:p>
    <w:p>
      <w:pPr>
        <w:pStyle w:val="ManualHeading2"/>
        <w:rPr>
          <w:bCs/>
          <w:noProof/>
          <w:szCs w:val="24"/>
        </w:rPr>
      </w:pPr>
      <w:r>
        <w:t>3.3.</w:t>
      </w:r>
      <w:r>
        <w:tab/>
      </w:r>
      <w:r>
        <w:rPr>
          <w:noProof/>
        </w:rPr>
        <w:t xml:space="preserve">Очаквано отражение върху приходите </w:t>
      </w:r>
    </w:p>
    <w:p>
      <w:pPr>
        <w:pStyle w:val="ListDash1"/>
        <w:rPr>
          <w:noProof/>
        </w:rPr>
      </w:pPr>
      <w:r>
        <w:rPr>
          <w:noProof/>
        </w:rPr>
        <w:sym w:font="Wingdings" w:char="F0A8"/>
      </w:r>
      <w:r>
        <w:rPr>
          <w:noProof/>
        </w:rPr>
        <w:tab/>
        <w:t>Предложението/инициативата няма финансово отражение върху приходите.</w:t>
      </w:r>
    </w:p>
    <w:p>
      <w:pPr>
        <w:pStyle w:val="ListDash1"/>
        <w:rPr>
          <w:noProof/>
        </w:rPr>
      </w:pPr>
      <w:r>
        <w:rPr>
          <w:noProof/>
        </w:rPr>
        <w:t xml:space="preserve">X </w:t>
      </w:r>
      <w:r>
        <w:rPr>
          <w:noProof/>
        </w:rPr>
        <w:tab/>
        <w:t>Предложението/инициативата има следното финансово отражение:</w:t>
      </w:r>
    </w:p>
    <w:p>
      <w:pPr>
        <w:pStyle w:val="ListDash2"/>
        <w:rPr>
          <w:noProof/>
        </w:rPr>
      </w:pPr>
      <w:r>
        <w:rPr>
          <w:noProof/>
        </w:rPr>
        <w:t>X</w:t>
      </w:r>
      <w:r>
        <w:rPr>
          <w:noProof/>
        </w:rPr>
        <w:tab/>
        <w:t xml:space="preserve">върху собствените ресурси </w:t>
      </w:r>
    </w:p>
    <w:p>
      <w:pPr>
        <w:pStyle w:val="ListDash2"/>
        <w:rPr>
          <w:noProof/>
        </w:rPr>
      </w:pPr>
      <w:r>
        <w:rPr>
          <w:noProof/>
        </w:rPr>
        <w:sym w:font="Wingdings" w:char="F0A8"/>
      </w:r>
      <w:r>
        <w:rPr>
          <w:noProof/>
        </w:rPr>
        <w:tab/>
        <w:t>върху разните приходи</w:t>
      </w:r>
    </w:p>
    <w:p>
      <w:pPr>
        <w:jc w:val="right"/>
        <w:rPr>
          <w:noProof/>
        </w:rPr>
      </w:pPr>
      <w:r>
        <w:rPr>
          <w:noProof/>
        </w:rPr>
        <w:t xml:space="preserve">   Моля, посочете дали приходите са записани като целеви по разходни бюджетни редове. </w:t>
      </w:r>
      <w:r>
        <w:rPr>
          <w:noProof/>
        </w:rPr>
        <w:sym w:font="Wingdings" w:char="F0A8"/>
      </w:r>
      <w:r>
        <w:rPr>
          <w:noProof/>
        </w:rPr>
        <w:tab/>
      </w:r>
    </w:p>
    <w:p>
      <w:pPr>
        <w:jc w:val="right"/>
        <w:rPr>
          <w:i/>
          <w:noProof/>
          <w:sz w:val="20"/>
        </w:rPr>
      </w:pPr>
      <w:r>
        <w:rPr>
          <w:noProof/>
        </w:rPr>
        <w:t>млн. евро (до третия знак след десетичната запетая)</w:t>
      </w:r>
    </w:p>
    <w:tbl>
      <w:tblPr>
        <w:tblW w:w="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4"/>
        <w:gridCol w:w="1080"/>
        <w:gridCol w:w="900"/>
        <w:gridCol w:w="900"/>
        <w:gridCol w:w="1080"/>
        <w:gridCol w:w="1080"/>
        <w:gridCol w:w="1080"/>
        <w:gridCol w:w="1080"/>
      </w:tblGrid>
      <w:tr>
        <w:trPr>
          <w:trHeight w:val="388"/>
          <w:jc w:val="center"/>
        </w:trPr>
        <w:tc>
          <w:tcPr>
            <w:tcW w:w="2144" w:type="dxa"/>
            <w:vMerge w:val="restart"/>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18"/>
              </w:rPr>
            </w:pPr>
            <w:r>
              <w:rPr>
                <w:noProof/>
                <w:sz w:val="18"/>
              </w:rPr>
              <w:t>Приходен бюджетен ред:</w:t>
            </w:r>
          </w:p>
        </w:tc>
        <w:tc>
          <w:tcPr>
            <w:tcW w:w="7200" w:type="dxa"/>
            <w:gridSpan w:val="7"/>
            <w:tcBorders>
              <w:top w:val="single" w:sz="4" w:space="0" w:color="auto"/>
              <w:left w:val="single" w:sz="4" w:space="0" w:color="auto"/>
              <w:bottom w:val="single" w:sz="4" w:space="0" w:color="auto"/>
              <w:right w:val="single" w:sz="4" w:space="0" w:color="auto"/>
            </w:tcBorders>
            <w:vAlign w:val="center"/>
            <w:hideMark/>
          </w:tcPr>
          <w:p>
            <w:pPr>
              <w:jc w:val="center"/>
              <w:rPr>
                <w:noProof/>
                <w:sz w:val="18"/>
              </w:rPr>
            </w:pPr>
            <w:r>
              <w:rPr>
                <w:noProof/>
                <w:sz w:val="18"/>
              </w:rPr>
              <w:t>Отражение на предложението/инициативата</w:t>
            </w:r>
            <w:r>
              <w:rPr>
                <w:rStyle w:val="FootnoteReference"/>
                <w:noProof/>
              </w:rPr>
              <w:footnoteReference w:id="44"/>
            </w:r>
          </w:p>
        </w:tc>
      </w:tr>
      <w:tr>
        <w:trPr>
          <w:trHeight w:val="388"/>
          <w:jc w:val="center"/>
        </w:trPr>
        <w:tc>
          <w:tcPr>
            <w:tcW w:w="2144" w:type="dxa"/>
            <w:vMerge/>
            <w:tcBorders>
              <w:top w:val="single" w:sz="4" w:space="0" w:color="auto"/>
              <w:left w:val="single" w:sz="4" w:space="0" w:color="auto"/>
              <w:bottom w:val="single" w:sz="4" w:space="0" w:color="auto"/>
              <w:right w:val="single" w:sz="4" w:space="0" w:color="auto"/>
            </w:tcBorders>
            <w:vAlign w:val="center"/>
            <w:hideMark/>
          </w:tcPr>
          <w:p>
            <w:pPr>
              <w:spacing w:before="0" w:after="0"/>
              <w:jc w:val="left"/>
              <w:rPr>
                <w:noProof/>
                <w:sz w:val="18"/>
              </w:rPr>
            </w:pP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noProof/>
                <w:sz w:val="18"/>
              </w:rPr>
            </w:pPr>
            <w:r>
              <w:rPr>
                <w:b/>
                <w:noProof/>
                <w:sz w:val="20"/>
              </w:rPr>
              <w:t>2021 г.</w:t>
            </w:r>
          </w:p>
        </w:tc>
        <w:tc>
          <w:tcPr>
            <w:tcW w:w="90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2022 г.</w:t>
            </w:r>
          </w:p>
        </w:tc>
        <w:tc>
          <w:tcPr>
            <w:tcW w:w="90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2023 г.</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2024 г.</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2025 г.</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2026 г.</w:t>
            </w:r>
          </w:p>
        </w:tc>
        <w:tc>
          <w:tcPr>
            <w:tcW w:w="1080" w:type="dxa"/>
            <w:tcBorders>
              <w:top w:val="single" w:sz="4" w:space="0" w:color="auto"/>
              <w:left w:val="single" w:sz="4" w:space="0" w:color="auto"/>
              <w:bottom w:val="single" w:sz="4" w:space="0" w:color="auto"/>
              <w:right w:val="single" w:sz="4" w:space="0" w:color="auto"/>
            </w:tcBorders>
            <w:vAlign w:val="center"/>
            <w:hideMark/>
          </w:tcPr>
          <w:p>
            <w:pPr>
              <w:jc w:val="center"/>
              <w:rPr>
                <w:b/>
                <w:noProof/>
                <w:sz w:val="20"/>
              </w:rPr>
            </w:pPr>
            <w:r>
              <w:rPr>
                <w:b/>
                <w:noProof/>
                <w:sz w:val="20"/>
              </w:rPr>
              <w:t>2027 г.</w:t>
            </w:r>
          </w:p>
        </w:tc>
      </w:tr>
      <w:tr>
        <w:trPr>
          <w:trHeight w:val="388"/>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pPr>
              <w:spacing w:before="40" w:after="40"/>
              <w:rPr>
                <w:noProof/>
                <w:sz w:val="18"/>
              </w:rPr>
            </w:pPr>
            <w:r>
              <w:rPr>
                <w:noProof/>
                <w:sz w:val="18"/>
              </w:rPr>
              <w:t>Статия ………….</w:t>
            </w: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90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c>
          <w:tcPr>
            <w:tcW w:w="1080" w:type="dxa"/>
            <w:tcBorders>
              <w:top w:val="single" w:sz="4" w:space="0" w:color="auto"/>
              <w:left w:val="single" w:sz="4" w:space="0" w:color="auto"/>
              <w:bottom w:val="single" w:sz="4" w:space="0" w:color="auto"/>
              <w:right w:val="single" w:sz="4" w:space="0" w:color="auto"/>
            </w:tcBorders>
          </w:tcPr>
          <w:p>
            <w:pPr>
              <w:spacing w:beforeLines="40" w:before="96" w:afterLines="40" w:after="96"/>
              <w:jc w:val="center"/>
              <w:rPr>
                <w:noProof/>
                <w:sz w:val="18"/>
              </w:rPr>
            </w:pPr>
          </w:p>
        </w:tc>
      </w:tr>
    </w:tbl>
    <w:p>
      <w:pPr>
        <w:pStyle w:val="Text1"/>
        <w:rPr>
          <w:noProof/>
          <w:sz w:val="20"/>
        </w:rPr>
      </w:pPr>
      <w:r>
        <w:rPr>
          <w:noProof/>
          <w:sz w:val="20"/>
        </w:rPr>
        <w:t>За целевите приходи да се посочат съответните разходни бюджетни редове.</w:t>
      </w:r>
    </w:p>
    <w:p>
      <w:pPr>
        <w:pStyle w:val="Text1"/>
        <w:pBdr>
          <w:top w:val="single" w:sz="4" w:space="1" w:color="auto"/>
          <w:left w:val="single" w:sz="4" w:space="4" w:color="auto"/>
          <w:bottom w:val="single" w:sz="4" w:space="1" w:color="auto"/>
          <w:right w:val="single" w:sz="4" w:space="4" w:color="auto"/>
        </w:pBdr>
        <w:rPr>
          <w:noProof/>
        </w:rPr>
      </w:pPr>
      <w:r>
        <w:t>n.a.</w:t>
      </w:r>
    </w:p>
    <w:p>
      <w:pPr>
        <w:pStyle w:val="Text1"/>
        <w:rPr>
          <w:noProof/>
          <w:sz w:val="20"/>
        </w:rPr>
      </w:pPr>
      <w:r>
        <w:rPr>
          <w:noProof/>
          <w:sz w:val="20"/>
        </w:rPr>
        <w:t>Други забележки (например метод/формула за изчисляване на отражението върху приходите или друга информация).</w:t>
      </w:r>
    </w:p>
    <w:p>
      <w:pPr>
        <w:pStyle w:val="Text1"/>
        <w:pBdr>
          <w:top w:val="single" w:sz="4" w:space="1" w:color="auto"/>
          <w:left w:val="single" w:sz="4" w:space="4" w:color="auto"/>
          <w:bottom w:val="single" w:sz="4" w:space="1" w:color="auto"/>
          <w:right w:val="single" w:sz="4" w:space="4" w:color="auto"/>
        </w:pBdr>
        <w:rPr>
          <w:noProof/>
        </w:rPr>
      </w:pPr>
      <w:r>
        <w:t xml:space="preserve">Програмата може да има косвено отражение върху приходите на ЕС, тъй като в резултат на подобренията и по-високата ефикасност на националните данъчни органи се очаква, освен другите резултати, да бъде събран повече ДДС. Този резултат обаче не може да бъде оценен количествено. </w:t>
      </w:r>
    </w:p>
    <w:p>
      <w:pPr>
        <w:pStyle w:val="ManualHeading1"/>
        <w:rPr>
          <w:noProof/>
        </w:rPr>
      </w:pPr>
    </w:p>
    <w:sectPr>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EUAlbertina">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16</w:t>
    </w:r>
    <w:r>
      <w:fldChar w:fldCharType="end"/>
    </w:r>
    <w:r>
      <w:tab/>
    </w:r>
    <w:r>
      <w:tab/>
    </w:r>
    <w:r>
      <w:rPr>
        <w:rFonts w:ascii="Arial" w:hAnsi="Arial" w:cs="Arial"/>
        <w:b/>
        <w:sz w:val="48"/>
      </w:rPr>
      <w:t>BG</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25</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BG</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rPr>
          <w:lang w:val="ru-RU"/>
        </w:rPr>
      </w:pPr>
      <w:r>
        <w:rPr>
          <w:rStyle w:val="FootnoteReference"/>
        </w:rPr>
        <w:footnoteRef/>
      </w:r>
      <w:r>
        <w:rPr>
          <w:lang w:val="ru-RU"/>
        </w:rPr>
        <w:tab/>
        <w:t>СОМ(2018)</w:t>
      </w:r>
      <w:r>
        <w:t> </w:t>
      </w:r>
      <w:r>
        <w:rPr>
          <w:lang w:val="ru-RU"/>
        </w:rPr>
        <w:t xml:space="preserve">322 </w:t>
      </w:r>
      <w:r>
        <w:t>final</w:t>
      </w:r>
      <w:r>
        <w:rPr>
          <w:lang w:val="ru-RU"/>
        </w:rPr>
        <w:t>.</w:t>
      </w:r>
    </w:p>
  </w:footnote>
  <w:footnote w:id="3">
    <w:p>
      <w:pPr>
        <w:pStyle w:val="FootnoteText"/>
        <w:rPr>
          <w:lang w:val="ru-RU"/>
        </w:rPr>
      </w:pPr>
      <w:r>
        <w:rPr>
          <w:rStyle w:val="FootnoteReference"/>
        </w:rPr>
        <w:footnoteRef/>
      </w:r>
      <w:r>
        <w:rPr>
          <w:lang w:val="ru-RU"/>
        </w:rPr>
        <w:tab/>
        <w:t>СОМ(2018)</w:t>
      </w:r>
      <w:r>
        <w:t> </w:t>
      </w:r>
      <w:r>
        <w:rPr>
          <w:lang w:val="ru-RU"/>
        </w:rPr>
        <w:t xml:space="preserve">321 </w:t>
      </w:r>
      <w:r>
        <w:t>final</w:t>
      </w:r>
      <w:r>
        <w:rPr>
          <w:lang w:val="ru-RU"/>
        </w:rPr>
        <w:t>.</w:t>
      </w:r>
    </w:p>
  </w:footnote>
  <w:footnote w:id="4">
    <w:p>
      <w:pPr>
        <w:pStyle w:val="FootnoteText"/>
        <w:rPr>
          <w:lang w:val="ru-RU"/>
        </w:rPr>
      </w:pPr>
      <w:r>
        <w:rPr>
          <w:rStyle w:val="FootnoteReference"/>
        </w:rPr>
        <w:footnoteRef/>
      </w:r>
      <w:r>
        <w:rPr>
          <w:lang w:val="ru-RU"/>
        </w:rPr>
        <w:tab/>
        <w:t xml:space="preserve">Ето някои примери за законодателни намеси: </w:t>
      </w:r>
      <w:r>
        <w:rPr>
          <w:lang w:val="ru-RU"/>
        </w:rPr>
        <w:tab/>
      </w:r>
      <w:r>
        <w:rPr>
          <w:lang w:val="ru-RU"/>
        </w:rPr>
        <w:br/>
        <w:t xml:space="preserve">- Директива 2011/16/ЕС на Съвета от 15 февруари 2011 г. относно административното сътрудничество в областта на данъчното облагане (ОВ </w:t>
      </w:r>
      <w:r>
        <w:t>L</w:t>
      </w:r>
      <w:r>
        <w:rPr>
          <w:lang w:val="ru-RU"/>
        </w:rPr>
        <w:t xml:space="preserve"> 64, 11.3.2011 г., стр. 1); </w:t>
      </w:r>
      <w:r>
        <w:rPr>
          <w:lang w:val="ru-RU"/>
        </w:rPr>
        <w:tab/>
      </w:r>
      <w:r>
        <w:rPr>
          <w:lang w:val="ru-RU"/>
        </w:rPr>
        <w:br/>
        <w:t xml:space="preserve">- Директива 2006/112/ЕО на Съвета от 28 ноември 2006 г. относно общата система на данъка върху добавената стойност (ОВ </w:t>
      </w:r>
      <w:r>
        <w:t>L </w:t>
      </w:r>
      <w:r>
        <w:rPr>
          <w:lang w:val="ru-RU"/>
        </w:rPr>
        <w:t>347, 11.12.2006</w:t>
      </w:r>
      <w:r>
        <w:t> </w:t>
      </w:r>
      <w:r>
        <w:rPr>
          <w:lang w:val="ru-RU"/>
        </w:rPr>
        <w:t>г., стр.</w:t>
      </w:r>
      <w:r>
        <w:t> </w:t>
      </w:r>
      <w:r>
        <w:rPr>
          <w:lang w:val="ru-RU"/>
        </w:rPr>
        <w:t xml:space="preserve">1); </w:t>
      </w:r>
      <w:r>
        <w:rPr>
          <w:lang w:val="ru-RU"/>
        </w:rPr>
        <w:tab/>
      </w:r>
      <w:r>
        <w:rPr>
          <w:lang w:val="ru-RU"/>
        </w:rPr>
        <w:br/>
        <w:t>- Регламент (ЕС) №</w:t>
      </w:r>
      <w:r>
        <w:t> </w:t>
      </w:r>
      <w:r>
        <w:rPr>
          <w:lang w:val="ru-RU"/>
        </w:rPr>
        <w:t>389/2012 на Съвета от 2 май 2012 г. относно административното сътрудничество в областта на акцизите (</w:t>
      </w:r>
      <w:r>
        <w:t>O</w:t>
      </w:r>
      <w:r>
        <w:rPr>
          <w:lang w:val="ru-RU"/>
        </w:rPr>
        <w:t>В</w:t>
      </w:r>
      <w:r>
        <w:t> L </w:t>
      </w:r>
      <w:r>
        <w:rPr>
          <w:lang w:val="ru-RU"/>
        </w:rPr>
        <w:t>121, 8.5.2012</w:t>
      </w:r>
      <w:r>
        <w:t> </w:t>
      </w:r>
      <w:r>
        <w:rPr>
          <w:lang w:val="ru-RU"/>
        </w:rPr>
        <w:t>г., стр.</w:t>
      </w:r>
      <w:r>
        <w:t> </w:t>
      </w:r>
      <w:r>
        <w:rPr>
          <w:lang w:val="ru-RU"/>
        </w:rPr>
        <w:t xml:space="preserve">1); </w:t>
      </w:r>
      <w:r>
        <w:rPr>
          <w:lang w:val="ru-RU"/>
        </w:rPr>
        <w:tab/>
      </w:r>
      <w:r>
        <w:rPr>
          <w:lang w:val="ru-RU"/>
        </w:rPr>
        <w:br/>
        <w:t>- Директива 2010/24/ЕС на Съвета от 16</w:t>
      </w:r>
      <w:r>
        <w:t> </w:t>
      </w:r>
      <w:r>
        <w:rPr>
          <w:lang w:val="ru-RU"/>
        </w:rPr>
        <w:t>март 2010</w:t>
      </w:r>
      <w:r>
        <w:t> </w:t>
      </w:r>
      <w:r>
        <w:rPr>
          <w:lang w:val="ru-RU"/>
        </w:rPr>
        <w:t>г. относно взаимната помощ при събиране на вземания, свързани с данъци, такси и други мерки (ОВ</w:t>
      </w:r>
      <w:r>
        <w:t> L </w:t>
      </w:r>
      <w:r>
        <w:rPr>
          <w:lang w:val="ru-RU"/>
        </w:rPr>
        <w:t>84, 31.3.2010</w:t>
      </w:r>
      <w:r>
        <w:t> </w:t>
      </w:r>
      <w:r>
        <w:rPr>
          <w:lang w:val="ru-RU"/>
        </w:rPr>
        <w:t>г., стр.</w:t>
      </w:r>
      <w:r>
        <w:t> </w:t>
      </w:r>
      <w:r>
        <w:rPr>
          <w:lang w:val="ru-RU"/>
        </w:rPr>
        <w:t xml:space="preserve">1). </w:t>
      </w:r>
    </w:p>
  </w:footnote>
  <w:footnote w:id="5">
    <w:p>
      <w:pPr>
        <w:pStyle w:val="FootnoteText"/>
        <w:rPr>
          <w:lang w:val="pt-PT"/>
        </w:rPr>
      </w:pPr>
      <w:r>
        <w:rPr>
          <w:rStyle w:val="FootnoteReference"/>
        </w:rPr>
        <w:footnoteRef/>
      </w:r>
      <w:r>
        <w:rPr>
          <w:lang w:val="pt-PT"/>
        </w:rPr>
        <w:tab/>
        <w:t>COM(2018) 442.</w:t>
      </w:r>
    </w:p>
  </w:footnote>
  <w:footnote w:id="6">
    <w:p>
      <w:pPr>
        <w:pStyle w:val="FootnoteText"/>
        <w:rPr>
          <w:lang w:val="pt-PT"/>
        </w:rPr>
      </w:pPr>
      <w:r>
        <w:rPr>
          <w:rStyle w:val="FootnoteReference"/>
        </w:rPr>
        <w:footnoteRef/>
      </w:r>
      <w:r>
        <w:rPr>
          <w:lang w:val="pt-PT"/>
        </w:rPr>
        <w:tab/>
        <w:t>COM(2018) 386.</w:t>
      </w:r>
    </w:p>
  </w:footnote>
  <w:footnote w:id="7">
    <w:p>
      <w:pPr>
        <w:pStyle w:val="FootnoteText"/>
        <w:rPr>
          <w:lang w:val="pt-PT"/>
        </w:rPr>
      </w:pPr>
      <w:r>
        <w:rPr>
          <w:rStyle w:val="FootnoteReference"/>
        </w:rPr>
        <w:footnoteRef/>
      </w:r>
      <w:r>
        <w:rPr>
          <w:lang w:val="pt-PT"/>
        </w:rPr>
        <w:tab/>
        <w:t>COM(2018) 441.</w:t>
      </w:r>
    </w:p>
  </w:footnote>
  <w:footnote w:id="8">
    <w:p>
      <w:pPr>
        <w:pStyle w:val="FootnoteText"/>
        <w:rPr>
          <w:lang w:val="pt-PT"/>
        </w:rPr>
      </w:pPr>
      <w:r>
        <w:rPr>
          <w:rStyle w:val="FootnoteReference"/>
        </w:rPr>
        <w:footnoteRef/>
      </w:r>
      <w:r>
        <w:rPr>
          <w:lang w:val="pt-PT"/>
        </w:rPr>
        <w:tab/>
        <w:t>COM(2018) 391.</w:t>
      </w:r>
    </w:p>
  </w:footnote>
  <w:footnote w:id="9">
    <w:p>
      <w:pPr>
        <w:pStyle w:val="FootnoteText"/>
        <w:rPr>
          <w:lang w:val="pt-PT"/>
        </w:rPr>
      </w:pPr>
      <w:r>
        <w:rPr>
          <w:rStyle w:val="FootnoteReference"/>
        </w:rPr>
        <w:footnoteRef/>
      </w:r>
      <w:r>
        <w:rPr>
          <w:lang w:val="pt-PT"/>
        </w:rPr>
        <w:tab/>
        <w:t>COM(2018) 434.</w:t>
      </w:r>
    </w:p>
  </w:footnote>
  <w:footnote w:id="10">
    <w:p>
      <w:pPr>
        <w:pStyle w:val="FootnoteText"/>
        <w:rPr>
          <w:lang w:val="pt-PT"/>
        </w:rPr>
      </w:pPr>
      <w:r>
        <w:rPr>
          <w:rStyle w:val="FootnoteReference"/>
        </w:rPr>
        <w:footnoteRef/>
      </w:r>
      <w:r>
        <w:rPr>
          <w:lang w:val="pt-PT"/>
        </w:rPr>
        <w:tab/>
      </w:r>
      <w:hyperlink r:id="rId1">
        <w:r>
          <w:rPr>
            <w:rStyle w:val="Hyperlink"/>
            <w:lang w:val="pt-PT"/>
          </w:rPr>
          <w:t>https://ec.europa.eu/cefdigital/wiki/display/CEFDIGITAL/CEF+Digital+Home</w:t>
        </w:r>
      </w:hyperlink>
      <w:r>
        <w:rPr>
          <w:lang w:val="pt-PT"/>
        </w:rPr>
        <w:t xml:space="preserve"> </w:t>
      </w:r>
    </w:p>
  </w:footnote>
  <w:footnote w:id="11">
    <w:p>
      <w:pPr>
        <w:pStyle w:val="FootnoteText"/>
        <w:rPr>
          <w:lang w:val="pt-PT"/>
        </w:rPr>
      </w:pPr>
      <w:r>
        <w:rPr>
          <w:rStyle w:val="FootnoteReference"/>
        </w:rPr>
        <w:footnoteRef/>
      </w:r>
      <w:r>
        <w:rPr>
          <w:lang w:val="pt-PT"/>
        </w:rPr>
        <w:tab/>
        <w:t xml:space="preserve">COM(2017) 134. </w:t>
      </w:r>
    </w:p>
  </w:footnote>
  <w:footnote w:id="12">
    <w:p>
      <w:pPr>
        <w:pStyle w:val="FootnoteText"/>
        <w:rPr>
          <w:lang w:val="pt-PT"/>
        </w:rPr>
      </w:pPr>
      <w:r>
        <w:rPr>
          <w:rStyle w:val="FootnoteReference"/>
        </w:rPr>
        <w:footnoteRef/>
      </w:r>
      <w:r>
        <w:rPr>
          <w:lang w:val="pt-PT"/>
        </w:rPr>
        <w:tab/>
      </w:r>
      <w:hyperlink r:id="rId2">
        <w:r>
          <w:rPr>
            <w:rStyle w:val="Hyperlink"/>
            <w:lang w:val="pt-PT"/>
          </w:rPr>
          <w:t>https://ec.europa.eu/growth/industry/policy/ict-standardisation_en</w:t>
        </w:r>
      </w:hyperlink>
      <w:r>
        <w:rPr>
          <w:lang w:val="pt-PT"/>
        </w:rPr>
        <w:t xml:space="preserve"> </w:t>
      </w:r>
    </w:p>
  </w:footnote>
  <w:footnote w:id="13">
    <w:p>
      <w:pPr>
        <w:pStyle w:val="FootnoteText"/>
        <w:rPr>
          <w:lang w:val="pt-PT"/>
        </w:rPr>
      </w:pPr>
      <w:r>
        <w:rPr>
          <w:rStyle w:val="FootnoteReference"/>
        </w:rPr>
        <w:footnoteRef/>
      </w:r>
      <w:r>
        <w:rPr>
          <w:lang w:val="pt-PT"/>
        </w:rPr>
        <w:tab/>
      </w:r>
      <w:hyperlink r:id="rId3" w:anchor="action-plan">
        <w:r>
          <w:rPr>
            <w:rStyle w:val="Hyperlink"/>
            <w:lang w:val="pt-PT"/>
          </w:rPr>
          <w:t>https://ec.europa.eu/info/business-economy-euro/banking-and-finance/fintech_en#action-plan</w:t>
        </w:r>
      </w:hyperlink>
      <w:r>
        <w:rPr>
          <w:lang w:val="pt-PT"/>
        </w:rPr>
        <w:t xml:space="preserve"> </w:t>
      </w:r>
    </w:p>
  </w:footnote>
  <w:footnote w:id="14">
    <w:p>
      <w:pPr>
        <w:pStyle w:val="FootnoteText"/>
        <w:rPr>
          <w:lang w:val="pt-PT"/>
        </w:rPr>
      </w:pPr>
      <w:r>
        <w:rPr>
          <w:rStyle w:val="FootnoteReference"/>
        </w:rPr>
        <w:footnoteRef/>
      </w:r>
      <w:r>
        <w:rPr>
          <w:lang w:val="pt-PT"/>
        </w:rPr>
        <w:tab/>
        <w:t>https://ec.europa.eu/info/designing-next-research-and-innovation-framework-programme/what-shapes-next-framework-programme_en</w:t>
      </w:r>
    </w:p>
  </w:footnote>
  <w:footnote w:id="15">
    <w:p>
      <w:pPr>
        <w:pStyle w:val="FootnoteText"/>
        <w:rPr>
          <w:lang w:val="pt-PT"/>
        </w:rPr>
      </w:pPr>
      <w:r>
        <w:rPr>
          <w:rStyle w:val="FootnoteReference"/>
        </w:rPr>
        <w:footnoteRef/>
      </w:r>
      <w:r>
        <w:rPr>
          <w:lang w:val="pt-PT"/>
        </w:rPr>
        <w:tab/>
      </w:r>
      <w:hyperlink r:id="rId4">
        <w:r>
          <w:rPr>
            <w:rStyle w:val="Hyperlink"/>
            <w:lang w:val="pt-PT"/>
          </w:rPr>
          <w:t>https://ec.europa.eu/digital-single-market/en/news/european-commission-launches-eu-blockchain-observatory-and-forum</w:t>
        </w:r>
      </w:hyperlink>
      <w:r>
        <w:rPr>
          <w:lang w:val="pt-PT"/>
        </w:rPr>
        <w:t xml:space="preserve"> </w:t>
      </w:r>
    </w:p>
  </w:footnote>
  <w:footnote w:id="16">
    <w:p>
      <w:pPr>
        <w:pStyle w:val="FootnoteText"/>
        <w:rPr>
          <w:lang w:val="ru-RU"/>
        </w:rPr>
      </w:pPr>
      <w:r>
        <w:rPr>
          <w:rStyle w:val="FootnoteReference"/>
        </w:rPr>
        <w:footnoteRef/>
      </w:r>
      <w:r>
        <w:rPr>
          <w:lang w:val="ru-RU"/>
        </w:rPr>
        <w:tab/>
        <w:t>СОМ(2018)</w:t>
      </w:r>
      <w:r>
        <w:t> </w:t>
      </w:r>
      <w:r>
        <w:rPr>
          <w:lang w:val="ru-RU"/>
        </w:rPr>
        <w:t xml:space="preserve">322 </w:t>
      </w:r>
      <w:r>
        <w:t>final</w:t>
      </w:r>
      <w:r>
        <w:rPr>
          <w:lang w:val="ru-RU"/>
        </w:rPr>
        <w:t xml:space="preserve">. </w:t>
      </w:r>
    </w:p>
  </w:footnote>
  <w:footnote w:id="17">
    <w:p>
      <w:pPr>
        <w:pStyle w:val="FootnoteText"/>
        <w:rPr>
          <w:lang w:val="ru-RU"/>
        </w:rPr>
      </w:pPr>
      <w:r>
        <w:rPr>
          <w:rStyle w:val="FootnoteReference"/>
        </w:rPr>
        <w:footnoteRef/>
      </w:r>
      <w:r>
        <w:rPr>
          <w:lang w:val="ru-RU"/>
        </w:rPr>
        <w:tab/>
        <w:t>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ОВ</w:t>
      </w:r>
      <w:r>
        <w:t> L </w:t>
      </w:r>
      <w:r>
        <w:rPr>
          <w:lang w:val="ru-RU"/>
        </w:rPr>
        <w:t>123, 12.5.2016</w:t>
      </w:r>
      <w:r>
        <w:t> </w:t>
      </w:r>
      <w:r>
        <w:rPr>
          <w:lang w:val="ru-RU"/>
        </w:rPr>
        <w:t>г., стр.</w:t>
      </w:r>
      <w:r>
        <w:t> </w:t>
      </w:r>
      <w:r>
        <w:rPr>
          <w:lang w:val="ru-RU"/>
        </w:rPr>
        <w:t>1</w:t>
      </w:r>
      <w:r>
        <w:t> </w:t>
      </w:r>
      <w:r>
        <w:rPr>
          <w:lang w:val="ru-RU"/>
        </w:rPr>
        <w:t>–</w:t>
      </w:r>
      <w:r>
        <w:t> </w:t>
      </w:r>
      <w:r>
        <w:rPr>
          <w:lang w:val="ru-RU"/>
        </w:rPr>
        <w:t>14.</w:t>
      </w:r>
    </w:p>
  </w:footnote>
  <w:footnote w:id="18">
    <w:p>
      <w:pPr>
        <w:pStyle w:val="FootnoteText"/>
        <w:rPr>
          <w:lang w:val="ru-RU"/>
        </w:rPr>
      </w:pPr>
      <w:r>
        <w:rPr>
          <w:rStyle w:val="FootnoteReference"/>
        </w:rPr>
        <w:footnoteRef/>
      </w:r>
      <w:r>
        <w:rPr>
          <w:lang w:val="ru-RU"/>
        </w:rPr>
        <w:tab/>
        <w:t>ОВ</w:t>
      </w:r>
      <w:r>
        <w:t> C </w:t>
      </w:r>
      <w:r>
        <w:rPr>
          <w:lang w:val="ru-RU"/>
        </w:rPr>
        <w:t xml:space="preserve">, </w:t>
      </w:r>
      <w:r>
        <w:t> </w:t>
      </w:r>
      <w:r>
        <w:rPr>
          <w:lang w:val="ru-RU"/>
        </w:rPr>
        <w:t>г., стр.</w:t>
      </w:r>
      <w:r>
        <w:t> </w:t>
      </w:r>
      <w:r>
        <w:rPr>
          <w:lang w:val="ru-RU"/>
        </w:rPr>
        <w:t>.</w:t>
      </w:r>
    </w:p>
  </w:footnote>
  <w:footnote w:id="19">
    <w:p>
      <w:pPr>
        <w:pStyle w:val="FootnoteText"/>
        <w:rPr>
          <w:lang w:val="ru-RU"/>
        </w:rPr>
      </w:pPr>
      <w:r>
        <w:rPr>
          <w:rStyle w:val="FootnoteReference"/>
        </w:rPr>
        <w:footnoteRef/>
      </w:r>
      <w:r>
        <w:rPr>
          <w:lang w:val="ru-RU"/>
        </w:rPr>
        <w:tab/>
        <w:t>Регламент (ЕС) № 1286/2013 на Европейския парламент и на Съвета от 11</w:t>
      </w:r>
      <w:r>
        <w:t> </w:t>
      </w:r>
      <w:r>
        <w:rPr>
          <w:lang w:val="ru-RU"/>
        </w:rPr>
        <w:t>декември 2013 г. за създаване на програма за действие за подобряване на функционирането на системите за данъчно облагане в Европейския съюз за периода 2014 – 2020 г. („Фискалис 2020“ ) и за отмяна на Решение № 1482/2007/ЕО (</w:t>
      </w:r>
      <w:r>
        <w:t>OB</w:t>
      </w:r>
      <w:r>
        <w:rPr>
          <w:lang w:val="ru-RU"/>
        </w:rPr>
        <w:t xml:space="preserve"> </w:t>
      </w:r>
      <w:r>
        <w:t>L</w:t>
      </w:r>
      <w:r>
        <w:rPr>
          <w:lang w:val="ru-RU"/>
        </w:rPr>
        <w:t xml:space="preserve"> 347, 20.12.2013 г., стр. 25). </w:t>
      </w:r>
    </w:p>
  </w:footnote>
  <w:footnote w:id="20">
    <w:p>
      <w:pPr>
        <w:pStyle w:val="FootnoteText"/>
      </w:pPr>
      <w:r>
        <w:rPr>
          <w:rStyle w:val="FootnoteReference"/>
        </w:rPr>
        <w:footnoteRef/>
      </w:r>
      <w:r>
        <w:rPr>
          <w:lang w:val="ru-RU"/>
        </w:rPr>
        <w:tab/>
        <w:t>ОВ</w:t>
      </w:r>
      <w:r>
        <w:t> C </w:t>
      </w:r>
      <w:r>
        <w:rPr>
          <w:lang w:val="ru-RU"/>
        </w:rPr>
        <w:t>373, 20.12.2013</w:t>
      </w:r>
      <w:r>
        <w:t> </w:t>
      </w:r>
      <w:r>
        <w:rPr>
          <w:lang w:val="ru-RU"/>
        </w:rPr>
        <w:t>г., стр.</w:t>
      </w:r>
      <w:r>
        <w:t> </w:t>
      </w:r>
      <w:r>
        <w:rPr>
          <w:lang w:val="ru-RU"/>
        </w:rPr>
        <w:t xml:space="preserve">1. </w:t>
      </w:r>
    </w:p>
  </w:footnote>
  <w:footnote w:id="21">
    <w:p>
      <w:pPr>
        <w:pStyle w:val="FootnoteText"/>
        <w:rPr>
          <w:lang w:val="ru-RU"/>
        </w:rPr>
      </w:pPr>
      <w:r>
        <w:rPr>
          <w:rStyle w:val="FootnoteReference"/>
        </w:rPr>
        <w:footnoteRef/>
      </w:r>
      <w:r>
        <w:rPr>
          <w:lang w:val="ru-RU"/>
        </w:rPr>
        <w:tab/>
        <w:t>СОМ(2016)</w:t>
      </w:r>
      <w:r>
        <w:t> </w:t>
      </w:r>
      <w:r>
        <w:rPr>
          <w:lang w:val="ru-RU"/>
        </w:rPr>
        <w:t xml:space="preserve">605 </w:t>
      </w:r>
      <w:r>
        <w:t>final</w:t>
      </w:r>
      <w:r>
        <w:rPr>
          <w:lang w:val="ru-RU"/>
        </w:rPr>
        <w:t>.</w:t>
      </w:r>
    </w:p>
  </w:footnote>
  <w:footnote w:id="22">
    <w:p>
      <w:pPr>
        <w:pStyle w:val="FootnoteText"/>
        <w:rPr>
          <w:lang w:val="ru-RU"/>
        </w:rPr>
      </w:pPr>
      <w:r>
        <w:rPr>
          <w:rStyle w:val="FootnoteReference"/>
        </w:rPr>
        <w:footnoteRef/>
      </w:r>
      <w:r>
        <w:rPr>
          <w:lang w:val="ru-RU"/>
        </w:rPr>
        <w:tab/>
        <w:t>СОМ(2010)</w:t>
      </w:r>
      <w:r>
        <w:t> </w:t>
      </w:r>
      <w:r>
        <w:rPr>
          <w:lang w:val="ru-RU"/>
        </w:rPr>
        <w:t xml:space="preserve">700 </w:t>
      </w:r>
      <w:r>
        <w:t>final</w:t>
      </w:r>
      <w:r>
        <w:rPr>
          <w:lang w:val="ru-RU"/>
        </w:rPr>
        <w:t>.</w:t>
      </w:r>
    </w:p>
  </w:footnote>
  <w:footnote w:id="23">
    <w:p>
      <w:pPr>
        <w:pStyle w:val="FootnoteText"/>
        <w:rPr>
          <w:lang w:val="ru-RU"/>
        </w:rPr>
      </w:pPr>
      <w:r>
        <w:rPr>
          <w:rStyle w:val="FootnoteReference"/>
        </w:rPr>
        <w:footnoteRef/>
      </w:r>
      <w:r>
        <w:rPr>
          <w:lang w:val="ru-RU"/>
        </w:rPr>
        <w:tab/>
        <w:t>Регламент (ЕС) №</w:t>
      </w:r>
      <w:r>
        <w:t> </w:t>
      </w:r>
      <w:r>
        <w:rPr>
          <w:lang w:val="ru-RU"/>
        </w:rPr>
        <w:t>182/2011 на Европейския парламент и на Съвета от 16 февруари 2011</w:t>
      </w:r>
      <w:r>
        <w:t> </w:t>
      </w:r>
      <w:r>
        <w:rPr>
          <w:lang w:val="ru-RU"/>
        </w:rPr>
        <w:t>г. за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(ОВ</w:t>
      </w:r>
      <w:r>
        <w:t> L </w:t>
      </w:r>
      <w:r>
        <w:rPr>
          <w:lang w:val="ru-RU"/>
        </w:rPr>
        <w:t>55, 28.2.2011</w:t>
      </w:r>
      <w:r>
        <w:t> </w:t>
      </w:r>
      <w:r>
        <w:rPr>
          <w:lang w:val="ru-RU"/>
        </w:rPr>
        <w:t>г., стр.</w:t>
      </w:r>
      <w:r>
        <w:t> </w:t>
      </w:r>
      <w:r>
        <w:rPr>
          <w:lang w:val="ru-RU"/>
        </w:rPr>
        <w:t>13).</w:t>
      </w:r>
    </w:p>
  </w:footnote>
  <w:footnote w:id="24">
    <w:p>
      <w:pPr>
        <w:pStyle w:val="FootnoteText"/>
        <w:rPr>
          <w:lang w:val="ru-RU"/>
        </w:rPr>
      </w:pPr>
      <w:r>
        <w:rPr>
          <w:rStyle w:val="FootnoteReference"/>
        </w:rPr>
        <w:footnoteRef/>
      </w:r>
      <w:r>
        <w:rPr>
          <w:lang w:val="ru-RU"/>
        </w:rPr>
        <w:tab/>
        <w:t xml:space="preserve">Междуинституционално споразумение между Европейския парламент, Съвета на Европейския съюз и Европейската комисия за по-добро законотворчество от 13 април 2016 г. ОВ </w:t>
      </w:r>
      <w:r>
        <w:t>L</w:t>
      </w:r>
      <w:r>
        <w:rPr>
          <w:lang w:val="ru-RU"/>
        </w:rPr>
        <w:t xml:space="preserve"> 123, 12.5.2016</w:t>
      </w:r>
      <w:r>
        <w:t> </w:t>
      </w:r>
      <w:r>
        <w:rPr>
          <w:lang w:val="ru-RU"/>
        </w:rPr>
        <w:t>г., стр.1–14.</w:t>
      </w:r>
    </w:p>
  </w:footnote>
  <w:footnote w:id="25">
    <w:p>
      <w:pPr>
        <w:pStyle w:val="FootnoteText"/>
        <w:rPr>
          <w:lang w:val="lv-LV"/>
        </w:rPr>
      </w:pPr>
      <w:r>
        <w:rPr>
          <w:rStyle w:val="FootnoteReference"/>
        </w:rPr>
        <w:footnoteRef/>
      </w:r>
      <w:r>
        <w:rPr>
          <w:lang w:val="ru-RU"/>
        </w:rPr>
        <w:tab/>
        <w:t>Регламент (ЕС, Евратом) №</w:t>
      </w:r>
      <w:r>
        <w:t> </w:t>
      </w:r>
      <w:r>
        <w:rPr>
          <w:lang w:val="ru-RU"/>
        </w:rPr>
        <w:t>883/2013 на Европейския парламент и на Съвета от 11 септември 2013 г. относно разследванията, провеждани от Европейската служба за борба с измамите (</w:t>
      </w:r>
      <w:r>
        <w:t>OLAF</w:t>
      </w:r>
      <w:r>
        <w:rPr>
          <w:lang w:val="ru-RU"/>
        </w:rPr>
        <w:t xml:space="preserve">), и за отмяна на Регламент (ЕО) № 1073/1999 на Европейския парламент и на Съвета и Регламент (Евратом) № 1074/1999 на Съвета  (ОВ </w:t>
      </w:r>
      <w:r>
        <w:t>L </w:t>
      </w:r>
      <w:r>
        <w:rPr>
          <w:lang w:val="ru-RU"/>
        </w:rPr>
        <w:t>248, 18.9.2013</w:t>
      </w:r>
      <w:r>
        <w:t> </w:t>
      </w:r>
      <w:r>
        <w:rPr>
          <w:lang w:val="ru-RU"/>
        </w:rPr>
        <w:t>г., стр.</w:t>
      </w:r>
      <w:r>
        <w:t> </w:t>
      </w:r>
      <w:r>
        <w:rPr>
          <w:lang w:val="ru-RU"/>
        </w:rPr>
        <w:t>1).</w:t>
      </w:r>
    </w:p>
  </w:footnote>
  <w:footnote w:id="26">
    <w:p>
      <w:pPr>
        <w:pStyle w:val="FootnoteText"/>
        <w:rPr>
          <w:lang w:val="ru-RU"/>
        </w:rPr>
      </w:pPr>
      <w:r>
        <w:rPr>
          <w:rStyle w:val="FootnoteReference"/>
        </w:rPr>
        <w:footnoteRef/>
      </w:r>
      <w:r>
        <w:rPr>
          <w:lang w:val="ru-RU"/>
        </w:rPr>
        <w:tab/>
        <w:t>Регламент (</w:t>
      </w:r>
      <w:r>
        <w:t>E</w:t>
      </w:r>
      <w:r>
        <w:rPr>
          <w:lang w:val="ru-RU"/>
        </w:rPr>
        <w:t>О, Евратом) № 2988/95 на Съвета от 18 декември 1995 г. относно защитата на финансовите интереси на Европейските общности (</w:t>
      </w:r>
      <w:r>
        <w:t>O</w:t>
      </w:r>
      <w:r>
        <w:rPr>
          <w:lang w:val="ru-RU"/>
        </w:rPr>
        <w:t xml:space="preserve">В </w:t>
      </w:r>
      <w:r>
        <w:t>L</w:t>
      </w:r>
      <w:r>
        <w:rPr>
          <w:lang w:val="ru-RU"/>
        </w:rPr>
        <w:t xml:space="preserve"> 312, 23.12.1995 г., стр.1).</w:t>
      </w:r>
    </w:p>
  </w:footnote>
  <w:footnote w:id="27">
    <w:p>
      <w:pPr>
        <w:pStyle w:val="FootnoteText"/>
        <w:rPr>
          <w:lang w:val="lv-LV"/>
        </w:rPr>
      </w:pPr>
      <w:r>
        <w:rPr>
          <w:rStyle w:val="FootnoteReference"/>
        </w:rPr>
        <w:footnoteRef/>
      </w:r>
      <w:r>
        <w:rPr>
          <w:lang w:val="ru-RU"/>
        </w:rPr>
        <w:tab/>
        <w:t>Регламент (Евратом, ЕО) №</w:t>
      </w:r>
      <w:r>
        <w:t> </w:t>
      </w:r>
      <w:r>
        <w:rPr>
          <w:lang w:val="ru-RU"/>
        </w:rPr>
        <w:t>2185/96 на Съвета от 11 ноември 1996</w:t>
      </w:r>
      <w:r>
        <w:t> </w:t>
      </w:r>
      <w:r>
        <w:rPr>
          <w:lang w:val="ru-RU"/>
        </w:rPr>
        <w:t>г. относно контрола и проверките на място, извършвани от Комисията за защита на финансовите интереси на Европейските общности срещу измами и други нередности (</w:t>
      </w:r>
      <w:r>
        <w:t>OB L </w:t>
      </w:r>
      <w:r>
        <w:rPr>
          <w:lang w:val="ru-RU"/>
        </w:rPr>
        <w:t>292, 15.11.1996</w:t>
      </w:r>
      <w:r>
        <w:t> </w:t>
      </w:r>
      <w:r>
        <w:rPr>
          <w:lang w:val="ru-RU"/>
        </w:rPr>
        <w:t>г., стр.</w:t>
      </w:r>
      <w:r>
        <w:t> </w:t>
      </w:r>
      <w:r>
        <w:rPr>
          <w:lang w:val="ru-RU"/>
        </w:rPr>
        <w:t>2).</w:t>
      </w:r>
    </w:p>
  </w:footnote>
  <w:footnote w:id="28">
    <w:p>
      <w:pPr>
        <w:pStyle w:val="FootnoteText"/>
        <w:rPr>
          <w:lang w:val="ru-RU"/>
        </w:rPr>
      </w:pPr>
      <w:r>
        <w:rPr>
          <w:rStyle w:val="FootnoteReference"/>
        </w:rPr>
        <w:footnoteRef/>
      </w:r>
      <w:r>
        <w:rPr>
          <w:lang w:val="ru-RU"/>
        </w:rPr>
        <w:tab/>
        <w:t xml:space="preserve">Регламент (ЕС) 2017/1939 на Съвета от 12 октомври 2017 г. за установяване на засилено сътрудничество за създаване на Европейска прокуратура (ОВ </w:t>
      </w:r>
      <w:r>
        <w:t>L</w:t>
      </w:r>
      <w:r>
        <w:rPr>
          <w:lang w:val="ru-RU"/>
        </w:rPr>
        <w:t xml:space="preserve"> 283, 31.10.2017</w:t>
      </w:r>
      <w:r>
        <w:t> </w:t>
      </w:r>
      <w:r>
        <w:rPr>
          <w:lang w:val="ru-RU"/>
        </w:rPr>
        <w:t>г., стр. 1</w:t>
      </w:r>
      <w:r>
        <w:t>)</w:t>
      </w:r>
      <w:r>
        <w:rPr>
          <w:lang w:val="ru-RU"/>
        </w:rPr>
        <w:t>.</w:t>
      </w:r>
    </w:p>
  </w:footnote>
  <w:footnote w:id="29">
    <w:p>
      <w:pPr>
        <w:pStyle w:val="FootnoteText"/>
        <w:rPr>
          <w:lang w:val="ru-RU"/>
        </w:rPr>
      </w:pPr>
      <w:r>
        <w:rPr>
          <w:rStyle w:val="FootnoteReference"/>
        </w:rPr>
        <w:footnoteRef/>
      </w:r>
      <w:r>
        <w:rPr>
          <w:lang w:val="ru-RU"/>
        </w:rPr>
        <w:tab/>
        <w:t>Директива (ЕС) 2017/1371 на Европейския парламент и на Съвета от 5 юли 2017</w:t>
      </w:r>
      <w:r>
        <w:t> </w:t>
      </w:r>
      <w:r>
        <w:rPr>
          <w:lang w:val="ru-RU"/>
        </w:rPr>
        <w:t xml:space="preserve">г. относно борбата с измамите, засягащи финансовите интереси на Съюза, по наказателноправен ред (ОВ </w:t>
      </w:r>
      <w:r>
        <w:t>L</w:t>
      </w:r>
      <w:r>
        <w:rPr>
          <w:lang w:val="ru-RU"/>
        </w:rPr>
        <w:t xml:space="preserve"> 198, 28.7.2017 г., стр. 29).</w:t>
      </w:r>
    </w:p>
  </w:footnote>
  <w:footnote w:id="30">
    <w:p>
      <w:pPr>
        <w:pStyle w:val="FootnoteText"/>
        <w:rPr>
          <w:lang w:val="ru-RU"/>
        </w:rPr>
      </w:pPr>
      <w:r>
        <w:rPr>
          <w:rStyle w:val="FootnoteReference"/>
        </w:rPr>
        <w:footnoteRef/>
      </w:r>
      <w:r>
        <w:rPr>
          <w:lang w:val="ru-RU"/>
        </w:rPr>
        <w:tab/>
        <w:t>Директива 2006/112/ЕО на Съвета от 28</w:t>
      </w:r>
      <w:r>
        <w:t> </w:t>
      </w:r>
      <w:r>
        <w:rPr>
          <w:lang w:val="ru-RU"/>
        </w:rPr>
        <w:t xml:space="preserve">ноември 2006 г. относно общата система на данъка върху добавената стойност </w:t>
      </w:r>
    </w:p>
    <w:p>
      <w:pPr>
        <w:pStyle w:val="FootnoteText"/>
        <w:ind w:firstLine="0"/>
        <w:rPr>
          <w:lang w:val="ru-RU"/>
        </w:rPr>
      </w:pPr>
      <w:r>
        <w:rPr>
          <w:lang w:val="ru-RU"/>
        </w:rPr>
        <w:t xml:space="preserve">(ОВ </w:t>
      </w:r>
      <w:r>
        <w:t>L </w:t>
      </w:r>
      <w:r>
        <w:rPr>
          <w:lang w:val="ru-RU"/>
        </w:rPr>
        <w:t>347, 11.12.2006</w:t>
      </w:r>
      <w:r>
        <w:t> </w:t>
      </w:r>
      <w:r>
        <w:rPr>
          <w:lang w:val="ru-RU"/>
        </w:rPr>
        <w:t>г., стр.</w:t>
      </w:r>
      <w:r>
        <w:t> </w:t>
      </w:r>
      <w:r>
        <w:rPr>
          <w:lang w:val="ru-RU"/>
        </w:rPr>
        <w:t xml:space="preserve">1). </w:t>
      </w:r>
    </w:p>
  </w:footnote>
  <w:footnote w:id="31">
    <w:p>
      <w:pPr>
        <w:pStyle w:val="FootnoteText"/>
        <w:rPr>
          <w:lang w:val="ru-RU"/>
        </w:rPr>
      </w:pPr>
      <w:r>
        <w:rPr>
          <w:rStyle w:val="FootnoteReference"/>
        </w:rPr>
        <w:footnoteRef/>
      </w:r>
      <w:r>
        <w:rPr>
          <w:lang w:val="ru-RU"/>
        </w:rPr>
        <w:tab/>
        <w:t xml:space="preserve">Директива 92/83/ЕИО на Съвета от 19 октомври 1992 г. за хармонизиране на структурата на акцизите върху алкохола и алкохолните напитки (ОВ </w:t>
      </w:r>
      <w:r>
        <w:t>L </w:t>
      </w:r>
      <w:r>
        <w:rPr>
          <w:lang w:val="ru-RU"/>
        </w:rPr>
        <w:t>316, 31.10.1992</w:t>
      </w:r>
      <w:r>
        <w:t> </w:t>
      </w:r>
      <w:r>
        <w:rPr>
          <w:lang w:val="ru-RU"/>
        </w:rPr>
        <w:t>г., стр.</w:t>
      </w:r>
      <w:r>
        <w:t> </w:t>
      </w:r>
      <w:r>
        <w:rPr>
          <w:lang w:val="ru-RU"/>
        </w:rPr>
        <w:t xml:space="preserve">21). </w:t>
      </w:r>
    </w:p>
  </w:footnote>
  <w:footnote w:id="32">
    <w:p>
      <w:pPr>
        <w:pStyle w:val="FootnoteText"/>
        <w:rPr>
          <w:lang w:val="ru-RU"/>
        </w:rPr>
      </w:pPr>
      <w:r>
        <w:rPr>
          <w:rStyle w:val="FootnoteReference"/>
        </w:rPr>
        <w:footnoteRef/>
      </w:r>
      <w:r>
        <w:rPr>
          <w:lang w:val="ru-RU"/>
        </w:rPr>
        <w:tab/>
        <w:t>Директива 2011/64/ЕС на Съвета от 21 юни 2011</w:t>
      </w:r>
      <w:r>
        <w:t> </w:t>
      </w:r>
      <w:r>
        <w:rPr>
          <w:lang w:val="ru-RU"/>
        </w:rPr>
        <w:t xml:space="preserve">г. относно структурата и ставките на акциза върху обработен тютюн (ОВ </w:t>
      </w:r>
      <w:r>
        <w:t>L </w:t>
      </w:r>
      <w:r>
        <w:rPr>
          <w:lang w:val="ru-RU"/>
        </w:rPr>
        <w:t>176, 5.7.2011</w:t>
      </w:r>
      <w:r>
        <w:t> </w:t>
      </w:r>
      <w:r>
        <w:rPr>
          <w:lang w:val="ru-RU"/>
        </w:rPr>
        <w:t>г., стр.</w:t>
      </w:r>
      <w:r>
        <w:t> </w:t>
      </w:r>
      <w:r>
        <w:rPr>
          <w:lang w:val="ru-RU"/>
        </w:rPr>
        <w:t xml:space="preserve">24). </w:t>
      </w:r>
    </w:p>
  </w:footnote>
  <w:footnote w:id="33">
    <w:p>
      <w:pPr>
        <w:pStyle w:val="FootnoteText"/>
        <w:rPr>
          <w:lang w:val="ru-RU"/>
        </w:rPr>
      </w:pPr>
      <w:r>
        <w:rPr>
          <w:rStyle w:val="FootnoteReference"/>
        </w:rPr>
        <w:footnoteRef/>
      </w:r>
      <w:r>
        <w:rPr>
          <w:lang w:val="ru-RU"/>
        </w:rPr>
        <w:tab/>
        <w:t xml:space="preserve">Директива 2003/96/ЕО на Съвета от 27 октомври 2003 г. относно преструктурирането на правната рамка на Общността за данъчно облагане на енергийните продукти и електрическата енергия (ОВ </w:t>
      </w:r>
      <w:r>
        <w:t>L</w:t>
      </w:r>
      <w:r>
        <w:rPr>
          <w:lang w:val="ru-RU"/>
        </w:rPr>
        <w:t xml:space="preserve"> 283, 31.10.2003 г., стр. 51). </w:t>
      </w:r>
    </w:p>
  </w:footnote>
  <w:footnote w:id="34">
    <w:p>
      <w:pPr>
        <w:pStyle w:val="FootnoteText"/>
        <w:rPr>
          <w:lang w:val="ru-RU"/>
        </w:rPr>
      </w:pPr>
      <w:r>
        <w:rPr>
          <w:rStyle w:val="FootnoteReference"/>
        </w:rPr>
        <w:footnoteRef/>
      </w:r>
      <w:r>
        <w:rPr>
          <w:lang w:val="ru-RU"/>
        </w:rPr>
        <w:tab/>
        <w:t>Директива 2010/24/ЕС на Съвета от 16</w:t>
      </w:r>
      <w:r>
        <w:t> </w:t>
      </w:r>
      <w:r>
        <w:rPr>
          <w:lang w:val="ru-RU"/>
        </w:rPr>
        <w:t>март 2010</w:t>
      </w:r>
      <w:r>
        <w:t> </w:t>
      </w:r>
      <w:r>
        <w:rPr>
          <w:lang w:val="ru-RU"/>
        </w:rPr>
        <w:t>г. относно взаимната помощ при събиране на вземания, свързани с данъци, такси и други мерки (ОВ</w:t>
      </w:r>
      <w:r>
        <w:t> L </w:t>
      </w:r>
      <w:r>
        <w:rPr>
          <w:lang w:val="ru-RU"/>
        </w:rPr>
        <w:t>84, 31.3.2010</w:t>
      </w:r>
      <w:r>
        <w:t> </w:t>
      </w:r>
      <w:r>
        <w:rPr>
          <w:lang w:val="ru-RU"/>
        </w:rPr>
        <w:t>г., стр.</w:t>
      </w:r>
      <w:r>
        <w:t> </w:t>
      </w:r>
      <w:r>
        <w:rPr>
          <w:lang w:val="ru-RU"/>
        </w:rPr>
        <w:t xml:space="preserve">1). </w:t>
      </w:r>
    </w:p>
  </w:footnote>
  <w:footnote w:id="35">
    <w:p>
      <w:pPr>
        <w:pStyle w:val="FootnoteText"/>
        <w:rPr>
          <w:szCs w:val="24"/>
          <w:lang w:val="ru-RU"/>
        </w:rPr>
      </w:pPr>
      <w:r>
        <w:rPr>
          <w:rStyle w:val="FootnoteReference"/>
        </w:rPr>
        <w:footnoteRef/>
      </w:r>
      <w:r>
        <w:rPr>
          <w:lang w:val="ru-RU"/>
        </w:rPr>
        <w:tab/>
        <w:t>Съгласно член 58, параграф 2, буква а) или б) от Финансовия регламент.</w:t>
      </w:r>
    </w:p>
  </w:footnote>
  <w:footnote w:id="36">
    <w:p>
      <w:pPr>
        <w:pStyle w:val="FootnoteText"/>
        <w:jc w:val="left"/>
        <w:rPr>
          <w:szCs w:val="24"/>
          <w:lang w:val="ru-RU"/>
        </w:rPr>
      </w:pPr>
      <w:r>
        <w:rPr>
          <w:rStyle w:val="FootnoteReference"/>
        </w:rPr>
        <w:footnoteRef/>
      </w:r>
      <w:r>
        <w:rPr>
          <w:lang w:val="ru-RU"/>
        </w:rPr>
        <w:tab/>
        <w:t xml:space="preserve">Сведения за методите на управление и препратки към Финансовия регламент може да бъдат намерени на уебсайта </w:t>
      </w:r>
      <w:r>
        <w:t>BudgWeb</w:t>
      </w:r>
      <w:r>
        <w:rPr>
          <w:lang w:val="ru-RU"/>
        </w:rPr>
        <w:t xml:space="preserve">: </w:t>
      </w:r>
      <w:hyperlink r:id="rId5">
        <w:r>
          <w:rPr>
            <w:rStyle w:val="Hyperlink"/>
          </w:rPr>
          <w:t>https</w:t>
        </w:r>
        <w:r>
          <w:rPr>
            <w:rStyle w:val="Hyperlink"/>
            <w:lang w:val="ru-RU"/>
          </w:rPr>
          <w:t>://</w:t>
        </w:r>
        <w:r>
          <w:rPr>
            <w:rStyle w:val="Hyperlink"/>
          </w:rPr>
          <w:t>myintracomm</w:t>
        </w:r>
        <w:r>
          <w:rPr>
            <w:rStyle w:val="Hyperlink"/>
            <w:lang w:val="ru-RU"/>
          </w:rPr>
          <w:t>.</w:t>
        </w:r>
        <w:r>
          <w:rPr>
            <w:rStyle w:val="Hyperlink"/>
          </w:rPr>
          <w:t>ec</w:t>
        </w:r>
        <w:r>
          <w:rPr>
            <w:rStyle w:val="Hyperlink"/>
            <w:lang w:val="ru-RU"/>
          </w:rPr>
          <w:t>.</w:t>
        </w:r>
        <w:r>
          <w:rPr>
            <w:rStyle w:val="Hyperlink"/>
          </w:rPr>
          <w:t>europa</w:t>
        </w:r>
        <w:r>
          <w:rPr>
            <w:rStyle w:val="Hyperlink"/>
            <w:lang w:val="ru-RU"/>
          </w:rPr>
          <w:t>.</w:t>
        </w:r>
        <w:r>
          <w:rPr>
            <w:rStyle w:val="Hyperlink"/>
          </w:rPr>
          <w:t>eu</w:t>
        </w:r>
        <w:r>
          <w:rPr>
            <w:rStyle w:val="Hyperlink"/>
            <w:lang w:val="ru-RU"/>
          </w:rPr>
          <w:t>/</w:t>
        </w:r>
        <w:r>
          <w:rPr>
            <w:rStyle w:val="Hyperlink"/>
          </w:rPr>
          <w:t>budgweb</w:t>
        </w:r>
        <w:r>
          <w:rPr>
            <w:rStyle w:val="Hyperlink"/>
            <w:lang w:val="ru-RU"/>
          </w:rPr>
          <w:t>/</w:t>
        </w:r>
        <w:r>
          <w:rPr>
            <w:rStyle w:val="Hyperlink"/>
          </w:rPr>
          <w:t>EN</w:t>
        </w:r>
        <w:r>
          <w:rPr>
            <w:rStyle w:val="Hyperlink"/>
            <w:lang w:val="ru-RU"/>
          </w:rPr>
          <w:t>/</w:t>
        </w:r>
        <w:r>
          <w:rPr>
            <w:rStyle w:val="Hyperlink"/>
          </w:rPr>
          <w:t>man</w:t>
        </w:r>
        <w:r>
          <w:rPr>
            <w:rStyle w:val="Hyperlink"/>
            <w:lang w:val="ru-RU"/>
          </w:rPr>
          <w:t>/</w:t>
        </w:r>
        <w:r>
          <w:rPr>
            <w:rStyle w:val="Hyperlink"/>
          </w:rPr>
          <w:t>budgmanag</w:t>
        </w:r>
        <w:r>
          <w:rPr>
            <w:rStyle w:val="Hyperlink"/>
            <w:lang w:val="ru-RU"/>
          </w:rPr>
          <w:t>/</w:t>
        </w:r>
        <w:r>
          <w:rPr>
            <w:rStyle w:val="Hyperlink"/>
          </w:rPr>
          <w:t>Pages</w:t>
        </w:r>
        <w:r>
          <w:rPr>
            <w:rStyle w:val="Hyperlink"/>
            <w:lang w:val="ru-RU"/>
          </w:rPr>
          <w:t>/</w:t>
        </w:r>
        <w:r>
          <w:rPr>
            <w:rStyle w:val="Hyperlink"/>
          </w:rPr>
          <w:t>budgmanag</w:t>
        </w:r>
        <w:r>
          <w:rPr>
            <w:rStyle w:val="Hyperlink"/>
            <w:lang w:val="ru-RU"/>
          </w:rPr>
          <w:t>.</w:t>
        </w:r>
        <w:r>
          <w:rPr>
            <w:rStyle w:val="Hyperlink"/>
          </w:rPr>
          <w:t>aspx</w:t>
        </w:r>
      </w:hyperlink>
      <w:r>
        <w:rPr>
          <w:lang w:val="ru-RU"/>
        </w:rPr>
        <w:t xml:space="preserve"> </w:t>
      </w:r>
    </w:p>
  </w:footnote>
  <w:footnote w:id="37">
    <w:p>
      <w:pPr>
        <w:pStyle w:val="FootnoteText"/>
        <w:rPr>
          <w:szCs w:val="24"/>
          <w:lang w:val="ru-RU"/>
        </w:rPr>
      </w:pPr>
      <w:r>
        <w:rPr>
          <w:rStyle w:val="FootnoteReference"/>
        </w:rPr>
        <w:footnoteRef/>
      </w:r>
      <w:r>
        <w:rPr>
          <w:lang w:val="ru-RU"/>
        </w:rPr>
        <w:tab/>
        <w:t>Многогод. = многогодишни бюджетни кредити / едногод. = едногодишни бюджетни кредити.</w:t>
      </w:r>
    </w:p>
  </w:footnote>
  <w:footnote w:id="38">
    <w:p>
      <w:pPr>
        <w:pStyle w:val="FootnoteText"/>
        <w:rPr>
          <w:szCs w:val="24"/>
          <w:lang w:val="ru-RU"/>
        </w:rPr>
      </w:pPr>
      <w:r>
        <w:rPr>
          <w:rStyle w:val="FootnoteReference"/>
        </w:rPr>
        <w:footnoteRef/>
      </w:r>
      <w:r>
        <w:rPr>
          <w:lang w:val="ru-RU"/>
        </w:rPr>
        <w:tab/>
        <w:t xml:space="preserve">ЕАСТ: Европейска асоциация за свободна търговия. </w:t>
      </w:r>
    </w:p>
  </w:footnote>
  <w:footnote w:id="39">
    <w:p>
      <w:pPr>
        <w:pStyle w:val="FootnoteText"/>
        <w:rPr>
          <w:lang w:val="ru-RU"/>
        </w:rPr>
      </w:pPr>
      <w:r>
        <w:rPr>
          <w:rStyle w:val="FootnoteReference"/>
        </w:rPr>
        <w:footnoteRef/>
      </w:r>
      <w:r>
        <w:rPr>
          <w:lang w:val="ru-RU"/>
        </w:rPr>
        <w:tab/>
        <w:t>Държави кандидатки и, ако е приложимо, потенциални кандидати от Западните Балкани.</w:t>
      </w:r>
    </w:p>
  </w:footnote>
  <w:footnote w:id="40">
    <w:p>
      <w:pPr>
        <w:pStyle w:val="FootnoteText"/>
        <w:rPr>
          <w:lang w:val="ru-RU"/>
        </w:rPr>
      </w:pPr>
      <w:r>
        <w:rPr>
          <w:rStyle w:val="FootnoteReference"/>
        </w:rPr>
        <w:footnoteRef/>
      </w:r>
      <w:r>
        <w:rPr>
          <w:lang w:val="ru-RU"/>
        </w:rPr>
        <w:tab/>
        <w:t xml:space="preserve">Техническа и/или административна помощ и разходи в подкрепа на изпълнението на програми и/или дейности на ЕС (предишни редове </w:t>
      </w:r>
      <w:r>
        <w:t>BA</w:t>
      </w:r>
      <w:r>
        <w:rPr>
          <w:lang w:val="ru-RU"/>
        </w:rPr>
        <w:t>), непреки научни изследвания, преки научни изследвания.</w:t>
      </w:r>
    </w:p>
  </w:footnote>
  <w:footnote w:id="41">
    <w:p>
      <w:pPr>
        <w:pStyle w:val="FootnoteText"/>
        <w:rPr>
          <w:szCs w:val="24"/>
          <w:lang w:val="ru-RU"/>
        </w:rPr>
      </w:pPr>
      <w:r>
        <w:rPr>
          <w:rStyle w:val="FootnoteReference"/>
        </w:rPr>
        <w:footnoteRef/>
      </w:r>
      <w:r>
        <w:rPr>
          <w:lang w:val="ru-RU"/>
        </w:rPr>
        <w:tab/>
        <w:t xml:space="preserve">Техническа и/или административна помощ и разходи в подкрепа на изпълнението на програми и/или дейности на ЕС (предишни редове </w:t>
      </w:r>
      <w:r>
        <w:t>BA</w:t>
      </w:r>
      <w:r>
        <w:rPr>
          <w:lang w:val="ru-RU"/>
        </w:rPr>
        <w:t>), непреки научни изследвания, преки научни изследвания.</w:t>
      </w:r>
    </w:p>
  </w:footnote>
  <w:footnote w:id="42">
    <w:p>
      <w:pPr>
        <w:pStyle w:val="FootnoteText"/>
        <w:rPr>
          <w:lang w:val="ru-RU"/>
        </w:rPr>
      </w:pPr>
      <w:r>
        <w:rPr>
          <w:rStyle w:val="FootnoteReference"/>
        </w:rPr>
        <w:footnoteRef/>
      </w:r>
      <w:r>
        <w:rPr>
          <w:lang w:val="ru-RU"/>
        </w:rPr>
        <w:tab/>
        <w:t>ДНП = договорно нает персонал; МП = местен персонал; КНЕ = командирован национален експерт; ПНА = персонал, нает чрез агенции за временна заетост; МЕД = младши експерт в делегация.</w:t>
      </w:r>
    </w:p>
  </w:footnote>
  <w:footnote w:id="43">
    <w:p>
      <w:pPr>
        <w:pStyle w:val="FootnoteText"/>
        <w:rPr>
          <w:lang w:val="ru-RU"/>
        </w:rPr>
      </w:pPr>
      <w:r>
        <w:rPr>
          <w:rStyle w:val="FootnoteReference"/>
        </w:rPr>
        <w:footnoteRef/>
      </w:r>
      <w:r>
        <w:rPr>
          <w:lang w:val="ru-RU"/>
        </w:rPr>
        <w:tab/>
        <w:t xml:space="preserve">Подтаван за външния персонал, покрит с бюджетните кредити за оперативни разходи (предишни редове </w:t>
      </w:r>
      <w:r>
        <w:t>BA</w:t>
      </w:r>
      <w:r>
        <w:rPr>
          <w:lang w:val="ru-RU"/>
        </w:rPr>
        <w:t>).</w:t>
      </w:r>
    </w:p>
  </w:footnote>
  <w:footnote w:id="44">
    <w:p>
      <w:pPr>
        <w:pStyle w:val="FootnoteText"/>
        <w:rPr>
          <w:szCs w:val="24"/>
          <w:lang w:val="ru-RU"/>
        </w:rPr>
      </w:pPr>
      <w:r>
        <w:rPr>
          <w:rStyle w:val="FootnoteReference"/>
        </w:rPr>
        <w:footnoteRef/>
      </w:r>
      <w:r>
        <w:rPr>
          <w:lang w:val="ru-RU"/>
        </w:rPr>
        <w:tab/>
        <w:t>Що се отнася до традиционните собствени ресурси (мита, налози върху захарта), посочените суми трябва да бъдат нетни, т.е. брутни суми, от които са приспаднати разходите по събирането.</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DECC4B0"/>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8B0A61DC"/>
    <w:lvl w:ilvl="0">
      <w:start w:val="1"/>
      <w:numFmt w:val="decimal"/>
      <w:pStyle w:val="ListNumber3"/>
      <w:lvlText w:val="%1."/>
      <w:lvlJc w:val="left"/>
      <w:pPr>
        <w:tabs>
          <w:tab w:val="num" w:pos="926"/>
        </w:tabs>
        <w:ind w:left="926" w:hanging="360"/>
      </w:pPr>
    </w:lvl>
  </w:abstractNum>
  <w:abstractNum w:abstractNumId="2">
    <w:nsid w:val="FFFFFF7F"/>
    <w:multiLevelType w:val="singleLevel"/>
    <w:tmpl w:val="A426E7FA"/>
    <w:lvl w:ilvl="0">
      <w:start w:val="1"/>
      <w:numFmt w:val="decimal"/>
      <w:pStyle w:val="ListNumber2"/>
      <w:lvlText w:val="%1."/>
      <w:lvlJc w:val="left"/>
      <w:pPr>
        <w:tabs>
          <w:tab w:val="num" w:pos="643"/>
        </w:tabs>
        <w:ind w:left="643" w:hanging="360"/>
      </w:pPr>
    </w:lvl>
  </w:abstractNum>
  <w:abstractNum w:abstractNumId="3">
    <w:nsid w:val="FFFFFF81"/>
    <w:multiLevelType w:val="singleLevel"/>
    <w:tmpl w:val="96CA6754"/>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3DC0418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0DC6A9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F12838CA"/>
    <w:lvl w:ilvl="0">
      <w:start w:val="1"/>
      <w:numFmt w:val="decimal"/>
      <w:pStyle w:val="ListNumber"/>
      <w:lvlText w:val="%1."/>
      <w:lvlJc w:val="left"/>
      <w:pPr>
        <w:tabs>
          <w:tab w:val="num" w:pos="360"/>
        </w:tabs>
        <w:ind w:left="360" w:hanging="360"/>
      </w:pPr>
    </w:lvl>
  </w:abstractNum>
  <w:abstractNum w:abstractNumId="7">
    <w:nsid w:val="FFFFFF89"/>
    <w:multiLevelType w:val="singleLevel"/>
    <w:tmpl w:val="46A0E59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9">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4">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5">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6">
    <w:nsid w:val="489D74ED"/>
    <w:multiLevelType w:val="singleLevel"/>
    <w:tmpl w:val="C2E2F936"/>
    <w:name w:val="List Dash 2"/>
    <w:lvl w:ilvl="0">
      <w:start w:val="1"/>
      <w:numFmt w:val="bullet"/>
      <w:pStyle w:val="ListDash2"/>
      <w:lvlText w:val="–"/>
      <w:lvlJc w:val="left"/>
      <w:pPr>
        <w:tabs>
          <w:tab w:val="num" w:pos="1134"/>
        </w:tabs>
        <w:ind w:left="1134" w:hanging="283"/>
      </w:pPr>
      <w:rPr>
        <w:rFonts w:ascii="Times New Roman" w:hAnsi="Times New Roman"/>
      </w:rPr>
    </w:lvl>
  </w:abstractNum>
  <w:abstractNum w:abstractNumId="17">
    <w:nsid w:val="4D0C058A"/>
    <w:multiLevelType w:val="singleLevel"/>
    <w:tmpl w:val="BAE8D90E"/>
    <w:name w:val="List Dash 1"/>
    <w:lvl w:ilvl="0">
      <w:start w:val="1"/>
      <w:numFmt w:val="bullet"/>
      <w:pStyle w:val="ListDash1"/>
      <w:lvlText w:val="–"/>
      <w:lvlJc w:val="left"/>
      <w:pPr>
        <w:tabs>
          <w:tab w:val="num" w:pos="1134"/>
        </w:tabs>
        <w:ind w:left="1134" w:hanging="283"/>
      </w:pPr>
      <w:rPr>
        <w:rFonts w:ascii="Times New Roman" w:hAnsi="Times New Roman"/>
      </w:rPr>
    </w:lvl>
  </w:abstractNum>
  <w:abstractNum w:abstractNumId="18">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24"/>
    <w:lvlOverride w:ilvl="0">
      <w:startOverride w:val="1"/>
    </w:lvlOverride>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4"/>
  </w:num>
  <w:num w:numId="21">
    <w:abstractNumId w:val="3"/>
  </w:num>
  <w:num w:numId="22">
    <w:abstractNumId w:val="6"/>
  </w:num>
  <w:num w:numId="23">
    <w:abstractNumId w:val="2"/>
  </w:num>
  <w:num w:numId="24">
    <w:abstractNumId w:val="1"/>
  </w:num>
  <w:num w:numId="25">
    <w:abstractNumId w:val="0"/>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7"/>
  </w:num>
  <w:num w:numId="28">
    <w:abstractNumId w:val="16"/>
  </w:num>
  <w:num w:numId="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lvlOverride w:ilvl="0">
      <w:startOverride w:val="1"/>
    </w:lvlOverride>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1"/>
  </w:num>
  <w:num w:numId="37">
    <w:abstractNumId w:val="13"/>
  </w:num>
  <w:num w:numId="38">
    <w:abstractNumId w:val="23"/>
  </w:num>
  <w:num w:numId="39">
    <w:abstractNumId w:val="12"/>
  </w:num>
  <w:num w:numId="40">
    <w:abstractNumId w:val="14"/>
  </w:num>
  <w:num w:numId="41">
    <w:abstractNumId w:val="10"/>
  </w:num>
  <w:num w:numId="42">
    <w:abstractNumId w:val="22"/>
  </w:num>
  <w:num w:numId="43">
    <w:abstractNumId w:val="9"/>
  </w:num>
  <w:num w:numId="44">
    <w:abstractNumId w:val="15"/>
  </w:num>
  <w:num w:numId="45">
    <w:abstractNumId w:val="19"/>
  </w:num>
  <w:num w:numId="46">
    <w:abstractNumId w:val="20"/>
  </w:num>
  <w:num w:numId="47">
    <w:abstractNumId w:val="11"/>
  </w:num>
  <w:num w:numId="48">
    <w:abstractNumId w:val="18"/>
  </w:num>
  <w:num w:numId="49">
    <w:abstractNumId w:val="24"/>
  </w:num>
  <w:numIdMacAtCleanup w:val="4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MOULIN Pierre-Yves (TAXUD)">
    <w15:presenceInfo w15:providerId="None" w15:userId="DEMOULIN Pierre-Yves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oNotTrackFormatting/>
  <w:defaultTabStop w:val="720"/>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14 09:33:4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1"/>
    <w:docVar w:name="DQCResult_StructureCheck" w:val="0;0"/>
    <w:docVar w:name="DQCResult_SuperfluousWhitespace" w:val="0;1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F11A0DFE-F0DA-4AE9-9EE4-F0805FD11A0B"/>
    <w:docVar w:name="LW_COVERPAGE_TYPE" w:val="1"/>
    <w:docVar w:name="LW_CROSSREFERENCE" w:val="{SWD(2018) 323 final}_x000b_{SWD(2018) 324 final}"/>
    <w:docVar w:name="LW_DocType" w:val="COM"/>
    <w:docVar w:name="LW_EMISSION" w:val="8.6.2018"/>
    <w:docVar w:name="LW_EMISSION_ISODATE" w:val="2018-06-08"/>
    <w:docVar w:name="LW_EMISSION_LOCATION" w:val="BRX"/>
    <w:docVar w:name="LW_EMISSION_PREFIX" w:val="Брюксел, "/>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233"/>
    <w:docVar w:name="LW_REF.II.NEW.CP_YEAR" w:val="2018"/>
    <w:docVar w:name="LW_REF.INST.NEW" w:val="COM"/>
    <w:docVar w:name="LW_REF.INST.NEW_ADOPTED" w:val="final"/>
    <w:docVar w:name="LW_REF.INST.NEW_TEXT" w:val="(2018) 44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9?\u1098?\u1079?\u1076?\u1072?\u1074?\u1072?\u1085?\u1077? \u1085?\u1072? \u1087?\u1088?\u1086?\u1075?\u1088?\u1072?\u1084?\u1072? \u8222?\u1060?\u1080?\u1089?\u1082?\u1072?\u1083?\u1080?\u1089?\u8220? \u1079?\u1072? \u1089?\u1098?\u1090?\u1088?\u1091?\u1076?\u1085?\u1080?\u1095?\u1077?\u1089?\u1090?\u1074?\u1086? \u1074? \u1086?\u1073?\u1083?\u1072?\u1089?\u1090?\u1090?\u1072? \u1085?\u1072? \u1076?\u1072?\u1085?\u1098?\u1095?\u1085?\u1086?\u1090?\u1086? \u1086?\u1073?\u1083?\u1072?\u1075?\u1072?\u1085?\u1077?"/>
    <w:docVar w:name="LW_TYPE.DOC.CP" w:val="\u1056?\u1045?\u1043?\u1051?\u1040?\u1052?\u1045?\u1053?\u1058? \u1053?\u1040? \u1045?\u1042?\u1056?\u1054?\u1055?\u1045?\u1049?\u1057?\u1050?\u1048?\u1071? \u1055?\u1040?\u1056?\u1051?\u1040?\u1052?\u1045?\u1053?\u1058? \u1048?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ind w:left="720"/>
      <w:contextualSpacing/>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Pr>
      <w:rFonts w:ascii="Times New Roman" w:hAnsi="Times New Roman" w:cs="Times New Roman"/>
      <w:sz w:val="24"/>
      <w:lang w:val="bg-BG"/>
    </w:rPr>
  </w:style>
  <w:style w:type="character" w:styleId="Hyperlink">
    <w:name w:val="Hyperlink"/>
    <w:basedOn w:val="DefaultParagraphFont"/>
    <w:uiPriority w:val="99"/>
    <w:unhideWhenUsed/>
    <w:rPr>
      <w:color w:val="0000FF" w:themeColor="hyperlink"/>
      <w:u w:val="single"/>
    </w:rPr>
  </w:style>
  <w:style w:type="character" w:customStyle="1" w:styleId="italic1">
    <w:name w:val="italic1"/>
    <w:basedOn w:val="DefaultParagraphFon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8"/>
      </w:numPr>
      <w:contextualSpacing/>
    </w:pPr>
  </w:style>
  <w:style w:type="paragraph" w:styleId="ListBullet2">
    <w:name w:val="List Bullet 2"/>
    <w:basedOn w:val="Normal"/>
    <w:uiPriority w:val="99"/>
    <w:semiHidden/>
    <w:unhideWhenUsed/>
    <w:pPr>
      <w:numPr>
        <w:numId w:val="19"/>
      </w:numPr>
      <w:contextualSpacing/>
    </w:pPr>
  </w:style>
  <w:style w:type="paragraph" w:styleId="ListBullet3">
    <w:name w:val="List Bullet 3"/>
    <w:basedOn w:val="Normal"/>
    <w:uiPriority w:val="99"/>
    <w:semiHidden/>
    <w:unhideWhenUsed/>
    <w:pPr>
      <w:numPr>
        <w:numId w:val="20"/>
      </w:numPr>
      <w:contextualSpacing/>
    </w:pPr>
  </w:style>
  <w:style w:type="paragraph" w:styleId="ListBullet4">
    <w:name w:val="List Bullet 4"/>
    <w:basedOn w:val="Normal"/>
    <w:uiPriority w:val="99"/>
    <w:semiHidden/>
    <w:unhideWhenUsed/>
    <w:pPr>
      <w:numPr>
        <w:numId w:val="21"/>
      </w:numPr>
      <w:contextualSpacing/>
    </w:pPr>
  </w:style>
  <w:style w:type="paragraph" w:styleId="ListNumber">
    <w:name w:val="List Number"/>
    <w:basedOn w:val="Normal"/>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ListDash1">
    <w:name w:val="List Dash 1"/>
    <w:basedOn w:val="Normal"/>
    <w:pPr>
      <w:numPr>
        <w:numId w:val="27"/>
      </w:numPr>
    </w:pPr>
    <w:rPr>
      <w:rFonts w:eastAsia="Times New Roman"/>
    </w:rPr>
  </w:style>
  <w:style w:type="paragraph" w:customStyle="1" w:styleId="ListDash2">
    <w:name w:val="List Dash 2"/>
    <w:basedOn w:val="Normal"/>
    <w:pPr>
      <w:numPr>
        <w:numId w:val="28"/>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ListBullet1">
    <w:name w:val="List Bullet 1"/>
    <w:basedOn w:val="Normal"/>
    <w:pPr>
      <w:numPr>
        <w:numId w:val="30"/>
      </w:numPr>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4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1st level - Bullet List Paragraph,List Paragraph1,Lettre d'introduction,Paragrafo elenco,Medium Grid 1 - Accent 21"/>
    <w:basedOn w:val="Normal"/>
    <w:link w:val="ListParagraphChar"/>
    <w:uiPriority w:val="34"/>
    <w:qFormat/>
    <w:pPr>
      <w:ind w:left="720"/>
      <w:contextualSpacing/>
    </w:pPr>
  </w:style>
  <w:style w:type="character" w:customStyle="1" w:styleId="ListParagraphChar">
    <w:name w:val="List Paragraph Char"/>
    <w:aliases w:val="2 Char,1st level - Bullet List Paragraph Char,List Paragraph1 Char,Lettre d'introduction Char,Paragrafo elenco Char,Medium Grid 1 - Accent 21 Char"/>
    <w:link w:val="ListParagraph"/>
    <w:uiPriority w:val="34"/>
    <w:locked/>
    <w:rPr>
      <w:rFonts w:ascii="Times New Roman" w:hAnsi="Times New Roman" w:cs="Times New Roman"/>
      <w:sz w:val="24"/>
      <w:lang w:val="bg-BG"/>
    </w:rPr>
  </w:style>
  <w:style w:type="character" w:styleId="Hyperlink">
    <w:name w:val="Hyperlink"/>
    <w:basedOn w:val="DefaultParagraphFont"/>
    <w:uiPriority w:val="99"/>
    <w:unhideWhenUsed/>
    <w:rPr>
      <w:color w:val="0000FF" w:themeColor="hyperlink"/>
      <w:u w:val="single"/>
    </w:rPr>
  </w:style>
  <w:style w:type="character" w:customStyle="1" w:styleId="italic1">
    <w:name w:val="italic1"/>
    <w:basedOn w:val="DefaultParagraphFont"/>
    <w:rPr>
      <w:i/>
      <w:iCs/>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8"/>
      </w:numPr>
      <w:contextualSpacing/>
    </w:pPr>
  </w:style>
  <w:style w:type="paragraph" w:styleId="ListBullet2">
    <w:name w:val="List Bullet 2"/>
    <w:basedOn w:val="Normal"/>
    <w:uiPriority w:val="99"/>
    <w:semiHidden/>
    <w:unhideWhenUsed/>
    <w:pPr>
      <w:numPr>
        <w:numId w:val="19"/>
      </w:numPr>
      <w:contextualSpacing/>
    </w:pPr>
  </w:style>
  <w:style w:type="paragraph" w:styleId="ListBullet3">
    <w:name w:val="List Bullet 3"/>
    <w:basedOn w:val="Normal"/>
    <w:uiPriority w:val="99"/>
    <w:semiHidden/>
    <w:unhideWhenUsed/>
    <w:pPr>
      <w:numPr>
        <w:numId w:val="20"/>
      </w:numPr>
      <w:contextualSpacing/>
    </w:pPr>
  </w:style>
  <w:style w:type="paragraph" w:styleId="ListBullet4">
    <w:name w:val="List Bullet 4"/>
    <w:basedOn w:val="Normal"/>
    <w:uiPriority w:val="99"/>
    <w:semiHidden/>
    <w:unhideWhenUsed/>
    <w:pPr>
      <w:numPr>
        <w:numId w:val="21"/>
      </w:numPr>
      <w:contextualSpacing/>
    </w:pPr>
  </w:style>
  <w:style w:type="paragraph" w:styleId="ListNumber">
    <w:name w:val="List Number"/>
    <w:basedOn w:val="Normal"/>
    <w:unhideWhenUsed/>
    <w:pPr>
      <w:numPr>
        <w:numId w:val="22"/>
      </w:numPr>
      <w:contextualSpacing/>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customStyle="1" w:styleId="ListDash1">
    <w:name w:val="List Dash 1"/>
    <w:basedOn w:val="Normal"/>
    <w:pPr>
      <w:numPr>
        <w:numId w:val="27"/>
      </w:numPr>
    </w:pPr>
    <w:rPr>
      <w:rFonts w:eastAsia="Times New Roman"/>
    </w:rPr>
  </w:style>
  <w:style w:type="paragraph" w:customStyle="1" w:styleId="ListDash2">
    <w:name w:val="List Dash 2"/>
    <w:basedOn w:val="Normal"/>
    <w:pPr>
      <w:numPr>
        <w:numId w:val="28"/>
      </w:numPr>
    </w:pPr>
    <w:rPr>
      <w:rFonts w:eastAsia="Times New Roman"/>
    </w:rPr>
  </w:style>
  <w:style w:type="paragraph" w:customStyle="1" w:styleId="ListNumberLevel2">
    <w:name w:val="List Number (Level 2)"/>
    <w:basedOn w:val="Normal"/>
    <w:pPr>
      <w:tabs>
        <w:tab w:val="num" w:pos="1417"/>
      </w:tabs>
      <w:ind w:left="1417" w:hanging="708"/>
    </w:pPr>
    <w:rPr>
      <w:rFonts w:eastAsia="Times New Roman"/>
    </w:rPr>
  </w:style>
  <w:style w:type="paragraph" w:customStyle="1" w:styleId="ListNumberLevel3">
    <w:name w:val="List Number (Level 3)"/>
    <w:basedOn w:val="Normal"/>
    <w:pPr>
      <w:tabs>
        <w:tab w:val="num" w:pos="2126"/>
      </w:tabs>
      <w:ind w:left="2126" w:hanging="709"/>
    </w:pPr>
    <w:rPr>
      <w:rFonts w:eastAsia="Times New Roman"/>
    </w:rPr>
  </w:style>
  <w:style w:type="paragraph" w:customStyle="1" w:styleId="ListNumberLevel4">
    <w:name w:val="List Number (Level 4)"/>
    <w:basedOn w:val="Normal"/>
    <w:pPr>
      <w:tabs>
        <w:tab w:val="num" w:pos="2835"/>
      </w:tabs>
      <w:ind w:left="2835" w:hanging="709"/>
    </w:pPr>
    <w:rPr>
      <w:rFonts w:eastAsia="Times New Roman"/>
    </w:rPr>
  </w:style>
  <w:style w:type="paragraph" w:customStyle="1" w:styleId="ListBullet1">
    <w:name w:val="List Bullet 1"/>
    <w:basedOn w:val="Normal"/>
    <w:pPr>
      <w:numPr>
        <w:numId w:val="30"/>
      </w:numPr>
    </w:pPr>
    <w:rPr>
      <w:rFonts w:eastAsia="Times New Roman"/>
    </w:rPr>
  </w:style>
  <w:style w:type="character" w:styleId="FollowedHyperlink">
    <w:name w:val="FollowedHyperlink"/>
    <w:basedOn w:val="DefaultParagraphFont"/>
    <w:uiPriority w:val="99"/>
    <w:semiHidden/>
    <w:unhideWhenUsed/>
    <w:rPr>
      <w:color w:val="800080" w:themeColor="followedHyperlink"/>
      <w:u w:val="single"/>
    </w:r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6"/>
      </w:numPr>
    </w:pPr>
  </w:style>
  <w:style w:type="paragraph" w:customStyle="1" w:styleId="Tiret1">
    <w:name w:val="Tiret 1"/>
    <w:basedOn w:val="Point1"/>
    <w:pPr>
      <w:numPr>
        <w:numId w:val="37"/>
      </w:numPr>
    </w:pPr>
  </w:style>
  <w:style w:type="paragraph" w:customStyle="1" w:styleId="Tiret2">
    <w:name w:val="Tiret 2"/>
    <w:basedOn w:val="Point2"/>
    <w:pPr>
      <w:numPr>
        <w:numId w:val="38"/>
      </w:numPr>
    </w:pPr>
  </w:style>
  <w:style w:type="paragraph" w:customStyle="1" w:styleId="Tiret3">
    <w:name w:val="Tiret 3"/>
    <w:basedOn w:val="Point3"/>
    <w:pPr>
      <w:numPr>
        <w:numId w:val="39"/>
      </w:numPr>
    </w:pPr>
  </w:style>
  <w:style w:type="paragraph" w:customStyle="1" w:styleId="Tiret4">
    <w:name w:val="Tiret 4"/>
    <w:basedOn w:val="Point4"/>
    <w:pPr>
      <w:numPr>
        <w:numId w:val="4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41"/>
      </w:numPr>
    </w:pPr>
  </w:style>
  <w:style w:type="paragraph" w:customStyle="1" w:styleId="NumPar2">
    <w:name w:val="NumPar 2"/>
    <w:basedOn w:val="Normal"/>
    <w:next w:val="Text1"/>
    <w:pPr>
      <w:numPr>
        <w:ilvl w:val="1"/>
        <w:numId w:val="41"/>
      </w:numPr>
    </w:pPr>
  </w:style>
  <w:style w:type="paragraph" w:customStyle="1" w:styleId="NumPar3">
    <w:name w:val="NumPar 3"/>
    <w:basedOn w:val="Normal"/>
    <w:next w:val="Text1"/>
    <w:pPr>
      <w:numPr>
        <w:ilvl w:val="2"/>
        <w:numId w:val="41"/>
      </w:numPr>
    </w:pPr>
  </w:style>
  <w:style w:type="paragraph" w:customStyle="1" w:styleId="NumPar4">
    <w:name w:val="NumPar 4"/>
    <w:basedOn w:val="Normal"/>
    <w:next w:val="Text1"/>
    <w:pPr>
      <w:numPr>
        <w:ilvl w:val="3"/>
        <w:numId w:val="4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3"/>
      </w:numPr>
    </w:pPr>
  </w:style>
  <w:style w:type="paragraph" w:customStyle="1" w:styleId="Point1number">
    <w:name w:val="Point 1 (number)"/>
    <w:basedOn w:val="Normal"/>
    <w:pPr>
      <w:numPr>
        <w:ilvl w:val="2"/>
        <w:numId w:val="43"/>
      </w:numPr>
    </w:pPr>
  </w:style>
  <w:style w:type="paragraph" w:customStyle="1" w:styleId="Point2number">
    <w:name w:val="Point 2 (number)"/>
    <w:basedOn w:val="Normal"/>
    <w:pPr>
      <w:numPr>
        <w:ilvl w:val="4"/>
        <w:numId w:val="43"/>
      </w:numPr>
    </w:pPr>
  </w:style>
  <w:style w:type="paragraph" w:customStyle="1" w:styleId="Point3number">
    <w:name w:val="Point 3 (number)"/>
    <w:basedOn w:val="Normal"/>
    <w:pPr>
      <w:numPr>
        <w:ilvl w:val="6"/>
        <w:numId w:val="43"/>
      </w:numPr>
    </w:pPr>
  </w:style>
  <w:style w:type="paragraph" w:customStyle="1" w:styleId="Point0letter">
    <w:name w:val="Point 0 (letter)"/>
    <w:basedOn w:val="Normal"/>
    <w:pPr>
      <w:numPr>
        <w:ilvl w:val="1"/>
        <w:numId w:val="43"/>
      </w:numPr>
    </w:pPr>
  </w:style>
  <w:style w:type="paragraph" w:customStyle="1" w:styleId="Point1letter">
    <w:name w:val="Point 1 (letter)"/>
    <w:basedOn w:val="Normal"/>
    <w:pPr>
      <w:numPr>
        <w:ilvl w:val="3"/>
        <w:numId w:val="43"/>
      </w:numPr>
    </w:pPr>
  </w:style>
  <w:style w:type="paragraph" w:customStyle="1" w:styleId="Point2letter">
    <w:name w:val="Point 2 (letter)"/>
    <w:basedOn w:val="Normal"/>
    <w:pPr>
      <w:numPr>
        <w:ilvl w:val="5"/>
        <w:numId w:val="43"/>
      </w:numPr>
    </w:pPr>
  </w:style>
  <w:style w:type="paragraph" w:customStyle="1" w:styleId="Point3letter">
    <w:name w:val="Point 3 (letter)"/>
    <w:basedOn w:val="Normal"/>
    <w:pPr>
      <w:numPr>
        <w:ilvl w:val="7"/>
        <w:numId w:val="43"/>
      </w:numPr>
    </w:pPr>
  </w:style>
  <w:style w:type="paragraph" w:customStyle="1" w:styleId="Point4letter">
    <w:name w:val="Point 4 (letter)"/>
    <w:basedOn w:val="Normal"/>
    <w:pPr>
      <w:numPr>
        <w:ilvl w:val="8"/>
        <w:numId w:val="43"/>
      </w:numPr>
    </w:pPr>
  </w:style>
  <w:style w:type="paragraph" w:customStyle="1" w:styleId="Bullet0">
    <w:name w:val="Bullet 0"/>
    <w:basedOn w:val="Normal"/>
    <w:pPr>
      <w:numPr>
        <w:numId w:val="44"/>
      </w:numPr>
    </w:pPr>
  </w:style>
  <w:style w:type="paragraph" w:customStyle="1" w:styleId="Bullet1">
    <w:name w:val="Bullet 1"/>
    <w:basedOn w:val="Normal"/>
    <w:pPr>
      <w:numPr>
        <w:numId w:val="45"/>
      </w:numPr>
    </w:pPr>
  </w:style>
  <w:style w:type="paragraph" w:customStyle="1" w:styleId="Bullet2">
    <w:name w:val="Bullet 2"/>
    <w:basedOn w:val="Normal"/>
    <w:pPr>
      <w:numPr>
        <w:numId w:val="46"/>
      </w:numPr>
    </w:pPr>
  </w:style>
  <w:style w:type="paragraph" w:customStyle="1" w:styleId="Bullet3">
    <w:name w:val="Bullet 3"/>
    <w:basedOn w:val="Normal"/>
    <w:pPr>
      <w:numPr>
        <w:numId w:val="47"/>
      </w:numPr>
    </w:pPr>
  </w:style>
  <w:style w:type="paragraph" w:customStyle="1" w:styleId="Bullet4">
    <w:name w:val="Bullet 4"/>
    <w:basedOn w:val="Normal"/>
    <w:pPr>
      <w:numPr>
        <w:numId w:val="4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924046">
      <w:bodyDiv w:val="1"/>
      <w:marLeft w:val="0"/>
      <w:marRight w:val="0"/>
      <w:marTop w:val="0"/>
      <w:marBottom w:val="0"/>
      <w:divBdr>
        <w:top w:val="none" w:sz="0" w:space="0" w:color="auto"/>
        <w:left w:val="none" w:sz="0" w:space="0" w:color="auto"/>
        <w:bottom w:val="none" w:sz="0" w:space="0" w:color="auto"/>
        <w:right w:val="none" w:sz="0" w:space="0" w:color="auto"/>
      </w:divBdr>
    </w:div>
    <w:div w:id="526647651">
      <w:bodyDiv w:val="1"/>
      <w:marLeft w:val="0"/>
      <w:marRight w:val="0"/>
      <w:marTop w:val="0"/>
      <w:marBottom w:val="0"/>
      <w:divBdr>
        <w:top w:val="none" w:sz="0" w:space="0" w:color="auto"/>
        <w:left w:val="none" w:sz="0" w:space="0" w:color="auto"/>
        <w:bottom w:val="none" w:sz="0" w:space="0" w:color="auto"/>
        <w:right w:val="none" w:sz="0" w:space="0" w:color="auto"/>
      </w:divBdr>
    </w:div>
    <w:div w:id="99071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footer" Target="footer8.xml"/><Relationship Id="rId39" Type="http://schemas.microsoft.com/office/2011/relationships/people" Target="people.xml"/><Relationship Id="rId3" Type="http://schemas.openxmlformats.org/officeDocument/2006/relationships/customXml" Target="../customXml/item3.xml"/><Relationship Id="rId21" Type="http://schemas.openxmlformats.org/officeDocument/2006/relationships/header" Target="header4.xml"/><Relationship Id="rId34" Type="http://schemas.openxmlformats.org/officeDocument/2006/relationships/footer" Target="footer12.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header" Target="header6.xml"/><Relationship Id="rId33" Type="http://schemas.openxmlformats.org/officeDocument/2006/relationships/header" Target="header10.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29"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7.xml"/><Relationship Id="rId32" Type="http://schemas.openxmlformats.org/officeDocument/2006/relationships/footer" Target="footer11.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5.xml"/><Relationship Id="rId28" Type="http://schemas.openxmlformats.org/officeDocument/2006/relationships/footer" Target="footer9.xml"/><Relationship Id="rId36" Type="http://schemas.openxmlformats.org/officeDocument/2006/relationships/footer" Target="footer13.xm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6.xml"/><Relationship Id="rId27" Type="http://schemas.openxmlformats.org/officeDocument/2006/relationships/header" Target="header7.xml"/><Relationship Id="rId30" Type="http://schemas.openxmlformats.org/officeDocument/2006/relationships/footer" Target="footer10.xml"/><Relationship Id="rId35" Type="http://schemas.openxmlformats.org/officeDocument/2006/relationships/header" Target="header1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info/business-economy-euro/banking-and-finance/fintech_en" TargetMode="External"/><Relationship Id="rId2" Type="http://schemas.openxmlformats.org/officeDocument/2006/relationships/hyperlink" Target="https://ec.europa.eu/growth/industry/policy/ict-standardisation_en" TargetMode="External"/><Relationship Id="rId1" Type="http://schemas.openxmlformats.org/officeDocument/2006/relationships/hyperlink" Target="https://ec.europa.eu/cefdigital/wiki/display/CEFDIGITAL/CEF+Digital+Home" TargetMode="External"/><Relationship Id="rId5" Type="http://schemas.openxmlformats.org/officeDocument/2006/relationships/hyperlink" Target="https://myintracomm.ec.europa.eu/budgweb/EN/man/budgmanag/Pages/budgmanag.aspx" TargetMode="External"/><Relationship Id="rId4" Type="http://schemas.openxmlformats.org/officeDocument/2006/relationships/hyperlink" Target="https://ec.europa.eu/digital-single-market/en/news/european-commission-launches-eu-blockchain-observatory-and-foru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B29732916DF4D831BB0FCE0DA1F47" ma:contentTypeVersion="0" ma:contentTypeDescription="Create a new document." ma:contentTypeScope="" ma:versionID="5e87b6185a4559021c2d2dd44491d6dc">
  <xsd:schema xmlns:xsd="http://www.w3.org/2001/XMLSchema" xmlns:xs="http://www.w3.org/2001/XMLSchema" xmlns:p="http://schemas.microsoft.com/office/2006/metadata/properties" targetNamespace="http://schemas.microsoft.com/office/2006/metadata/properties" ma:root="true" ma:fieldsID="520aa71ebba3a1c4bc292c1729accc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71239DC-9AC1-4813-BE47-E76D57E930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9457DB9-85F2-4F91-AB97-BD14CA334C98}">
  <ds:schemaRefs>
    <ds:schemaRef ds:uri="http://schemas.microsoft.com/sharepoint/v3/contenttype/forms"/>
  </ds:schemaRefs>
</ds:datastoreItem>
</file>

<file path=customXml/itemProps3.xml><?xml version="1.0" encoding="utf-8"?>
<ds:datastoreItem xmlns:ds="http://schemas.openxmlformats.org/officeDocument/2006/customXml" ds:itemID="{642E8B78-D5BE-4A36-83A8-37E232A94D05}">
  <ds:schemaRefs>
    <ds:schemaRef ds:uri="http://purl.org/dc/dcmitype/"/>
    <ds:schemaRef ds:uri="http://schemas.microsoft.com/office/2006/documentManagement/types"/>
    <ds:schemaRef ds:uri="http://purl.org/dc/elements/1.1/"/>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4.xml><?xml version="1.0" encoding="utf-8"?>
<ds:datastoreItem xmlns:ds="http://schemas.openxmlformats.org/officeDocument/2006/customXml" ds:itemID="{1D4A7BBA-5DB7-4241-A004-0E5AA14924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42</Pages>
  <Words>11866</Words>
  <Characters>71791</Characters>
  <Application>Microsoft Office Word</Application>
  <DocSecurity>0</DocSecurity>
  <Lines>1840</Lines>
  <Paragraphs>812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82845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19</cp:revision>
  <cp:lastPrinted>2018-05-28T16:53:00Z</cp:lastPrinted>
  <dcterms:created xsi:type="dcterms:W3CDTF">2018-06-13T08:25:00Z</dcterms:created>
  <dcterms:modified xsi:type="dcterms:W3CDTF">2018-06-14T07:33:00Z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IsMyDocuments">
    <vt:bool>true</vt:bool>
  </property>
  <property fmtid="{D5CDD505-2E9C-101B-9397-08002B2CF9AE}" pid="11" name="ContentTypeId">
    <vt:lpwstr>0x010100676B29732916DF4D831BB0FCE0DA1F47</vt:lpwstr>
  </property>
  <property fmtid="{D5CDD505-2E9C-101B-9397-08002B2CF9AE}" pid="12" name="DQCStatus">
    <vt:lpwstr>Green (DQC version 03)</vt:lpwstr>
  </property>
</Properties>
</file>