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F1CCAD6-723A-407B-BB7D-2D869AD4AB0F" style="width:450.75pt;height:384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1</w:t>
      </w:r>
    </w:p>
    <w:p>
      <w:pPr>
        <w:spacing w:before="0" w:after="200" w:line="276" w:lineRule="auto"/>
        <w:jc w:val="center"/>
        <w:rPr>
          <w:b/>
          <w:noProof/>
        </w:rPr>
      </w:pPr>
      <w:r>
        <w:rPr>
          <w:b/>
          <w:noProof/>
        </w:rPr>
        <w:t xml:space="preserve">Неизчерпателен списък на възможните форми на дейностите </w:t>
      </w:r>
      <w:r>
        <w:rPr>
          <w:b/>
          <w:noProof/>
        </w:rPr>
        <w:br/>
        <w:t>по член 7, параграф 3, първата алинея, букви а), б) и г)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 xml:space="preserve">Дейностите по член 7, параграф 3, първата алинея, букви а), б) и г) може да бъдат под следните форми (но не само): </w:t>
      </w:r>
    </w:p>
    <w:p>
      <w:pPr>
        <w:rPr>
          <w:noProof/>
        </w:rPr>
      </w:pPr>
      <w:r>
        <w:rPr>
          <w:noProof/>
        </w:rPr>
        <w:t>а)</w:t>
      </w:r>
      <w:r>
        <w:rPr>
          <w:noProof/>
        </w:rPr>
        <w:tab/>
        <w:t>За срещите и подобните събития по конкретни поводи:</w:t>
      </w:r>
    </w:p>
    <w:p>
      <w:pPr>
        <w:pStyle w:val="Tiret1"/>
        <w:numPr>
          <w:ilvl w:val="0"/>
          <w:numId w:val="9"/>
        </w:numPr>
        <w:rPr>
          <w:noProof/>
        </w:rPr>
      </w:pPr>
      <w:r>
        <w:rPr>
          <w:noProof/>
        </w:rPr>
        <w:t>семинари и работилници, обичайно с участието на всички държави, по време на които се правят представяния и участниците осъществяват усилени обсъждания и дейности по определена тема;</w:t>
      </w:r>
    </w:p>
    <w:p>
      <w:pPr>
        <w:pStyle w:val="Tiret1"/>
        <w:rPr>
          <w:noProof/>
        </w:rPr>
      </w:pPr>
      <w:r>
        <w:rPr>
          <w:noProof/>
        </w:rPr>
        <w:t xml:space="preserve">работни посещения, организирани с цел да се даде възможност на служителите да придобият или повишат експертния си опит или знанията си по митническите въпроси; </w:t>
      </w:r>
    </w:p>
    <w:p>
      <w:pPr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За структурираното сътрудничество въз основа на проекти: </w:t>
      </w:r>
    </w:p>
    <w:p>
      <w:pPr>
        <w:pStyle w:val="Tiret1"/>
        <w:rPr>
          <w:noProof/>
        </w:rPr>
      </w:pPr>
      <w:r>
        <w:rPr>
          <w:noProof/>
        </w:rPr>
        <w:t xml:space="preserve">проектни групи, които обикновено са съставени от ограничен брой държави и действат в рамките на ограничен срок за постигането на предварително определена цел с точно определен резултат, включително съгласуване или сравнителен анализ; </w:t>
      </w:r>
    </w:p>
    <w:p>
      <w:pPr>
        <w:pStyle w:val="Tiret1"/>
        <w:rPr>
          <w:noProof/>
        </w:rPr>
      </w:pPr>
      <w:r>
        <w:rPr>
          <w:noProof/>
        </w:rPr>
        <w:t>работни групи, т.е. структурирани форми на сътрудничество, които са временни или постоянни и обединяват експертен опит за изпълнение на задачи в определени области или за извършване на оперативни дейности, евентуално с помощта на услуги за сътрудничество в режим „на линия“, административна помощ и инфраструктурни съоръжения и оборудване;</w:t>
      </w:r>
    </w:p>
    <w:p>
      <w:pPr>
        <w:pStyle w:val="Tiret1"/>
        <w:rPr>
          <w:noProof/>
        </w:rPr>
      </w:pPr>
      <w:r>
        <w:rPr>
          <w:noProof/>
        </w:rPr>
        <w:t>дейности по наблюдение, провеждани от съвместни екипи, съставени от служители на Комисията и служители на отговарящите на условията органи, за анализ на митническите практики, установяване на трудностите при изпълнението на разпоредбите и, когато е целесъобразно, изготвяне на предложения за изменение на разпоредбите и работните методи на Съюза;</w:t>
      </w:r>
    </w:p>
    <w:p>
      <w:pPr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За дейностите по изграждане на компетентностите и способностите на служителите: </w:t>
      </w:r>
    </w:p>
    <w:p>
      <w:pPr>
        <w:pStyle w:val="Tiret1"/>
        <w:rPr>
          <w:noProof/>
        </w:rPr>
      </w:pPr>
      <w:r>
        <w:rPr>
          <w:noProof/>
        </w:rPr>
        <w:t>съвместно обучение или разработване на електронно обучение, с което да се подпомогне изграждането на необходимите професионални умения и знания по митническите въпроси;</w:t>
      </w:r>
    </w:p>
    <w:p>
      <w:pPr>
        <w:pStyle w:val="Tiret1"/>
        <w:rPr>
          <w:noProof/>
        </w:rPr>
      </w:pPr>
      <w:r>
        <w:rPr>
          <w:noProof/>
        </w:rPr>
        <w:t xml:space="preserve">техническа помощ, предназначена за усъвършенстване на административните процедури, повишаване на административния капацитет и подобряване на работата и дейността на митническите органи чрез въвеждане и споделяне на добри практики. 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t>ПРИЛОЖЕНИЕ 2</w:t>
      </w:r>
    </w:p>
    <w:p>
      <w:pPr>
        <w:spacing w:before="0" w:after="200" w:line="276" w:lineRule="auto"/>
        <w:jc w:val="center"/>
        <w:rPr>
          <w:noProof/>
        </w:rPr>
      </w:pPr>
      <w:r>
        <w:rPr>
          <w:b/>
          <w:noProof/>
        </w:rPr>
        <w:t xml:space="preserve">Показатели </w:t>
      </w:r>
    </w:p>
    <w:p>
      <w:pPr>
        <w:spacing w:before="0" w:after="200" w:line="276" w:lineRule="auto"/>
        <w:rPr>
          <w:noProof/>
        </w:rPr>
      </w:pPr>
      <w:r>
        <w:rPr>
          <w:noProof/>
        </w:rPr>
        <w:t>Конкретна цел: подпомагане на подготовката и еднаквото изпълнение на митническото законодателство и митническата политика, както и митническото сътрудничество и изграждането на административния капацитет, в т.ч. компетентностите на служителите и разработването и експлоатацията на европейските електронни системи за митниците.</w:t>
      </w:r>
    </w:p>
    <w:p>
      <w:pPr>
        <w:spacing w:before="0" w:after="200" w:line="276" w:lineRule="auto"/>
        <w:rPr>
          <w:b/>
          <w:bCs/>
          <w:noProof/>
          <w:u w:val="single"/>
        </w:rPr>
      </w:pPr>
      <w:r>
        <w:rPr>
          <w:b/>
          <w:noProof/>
          <w:u w:val="single"/>
        </w:rPr>
        <w:t>1. Изграждане на административния капацитет, способностите на служителите и ИТ капацитета:</w:t>
      </w:r>
    </w:p>
    <w:p>
      <w:pPr>
        <w:pStyle w:val="NumPar1"/>
        <w:numPr>
          <w:ilvl w:val="0"/>
          <w:numId w:val="25"/>
        </w:numPr>
        <w:rPr>
          <w:noProof/>
        </w:rPr>
      </w:pPr>
      <w:r>
        <w:rPr>
          <w:noProof/>
        </w:rPr>
        <w:t>Индекс на прилагането и изпълнението на законодателството и политиката на Съюза (брой на дейностите по Програмата, организирани в тази област, и препоръки, издадени вследствие на тези дейности)</w:t>
      </w:r>
    </w:p>
    <w:p>
      <w:pPr>
        <w:pStyle w:val="NumPar1"/>
        <w:rPr>
          <w:noProof/>
        </w:rPr>
      </w:pPr>
      <w:r>
        <w:rPr>
          <w:noProof/>
        </w:rPr>
        <w:t>Индекс на обучението (използвани модули за обучение; брой на служителите, преминали обучение; качествена оценка от участниците)</w:t>
      </w:r>
    </w:p>
    <w:p>
      <w:pPr>
        <w:pStyle w:val="NumPar1"/>
        <w:rPr>
          <w:noProof/>
        </w:rPr>
      </w:pPr>
      <w:r>
        <w:rPr>
          <w:noProof/>
        </w:rPr>
        <w:t>Разполагаемост на европейските електронни системи (като процент от времето)</w:t>
      </w:r>
    </w:p>
    <w:p>
      <w:pPr>
        <w:pStyle w:val="NumPar1"/>
        <w:rPr>
          <w:noProof/>
        </w:rPr>
      </w:pPr>
      <w:r>
        <w:rPr>
          <w:noProof/>
        </w:rPr>
        <w:t>Разполагаемост на общата комуникационна мрежа CCN (като процент от времето)</w:t>
      </w:r>
    </w:p>
    <w:p>
      <w:pPr>
        <w:pStyle w:val="NumPar1"/>
        <w:rPr>
          <w:noProof/>
        </w:rPr>
      </w:pPr>
      <w:r>
        <w:rPr>
          <w:noProof/>
        </w:rPr>
        <w:t>Използване на ключовите европейски електронни системи с цел повишаване на взаимната свързаност и преминаване към митнически съюз в безкнижна среда (брой на обменените съобщения и проведените консултации)</w:t>
      </w:r>
    </w:p>
    <w:p>
      <w:pPr>
        <w:pStyle w:val="NumPar1"/>
        <w:rPr>
          <w:bCs/>
          <w:noProof/>
          <w:u w:val="single"/>
        </w:rPr>
      </w:pPr>
      <w:r>
        <w:rPr>
          <w:noProof/>
        </w:rPr>
        <w:t>Степен на изпълнение на МКС (процент на постигнатите етапни цели при внедряването на системите по МКС)</w:t>
      </w:r>
    </w:p>
    <w:p>
      <w:pPr>
        <w:spacing w:before="0" w:after="200" w:line="276" w:lineRule="auto"/>
        <w:rPr>
          <w:b/>
          <w:bCs/>
          <w:noProof/>
          <w:u w:val="single"/>
        </w:rPr>
      </w:pPr>
      <w:r>
        <w:rPr>
          <w:b/>
          <w:noProof/>
          <w:u w:val="single"/>
        </w:rPr>
        <w:t>2. Споделяне на знания и създаване на работни връзки: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Индекс на надеждността на сътрудничеството (равнище на създадените работни връзки, брой на личните срещи, брой на групите за сътрудничество в режим „на линия“)</w:t>
      </w:r>
    </w:p>
    <w:p>
      <w:pPr>
        <w:pStyle w:val="NumPar1"/>
        <w:rPr>
          <w:noProof/>
        </w:rPr>
      </w:pPr>
      <w:r>
        <w:rPr>
          <w:noProof/>
        </w:rPr>
        <w:t>Индекс на най-добрите практики и указанията (брой на дейностите по Програмата, организирани в тази област; процент на участниците, които са се възползвали от работна практика или указание, установени с подкрепата на Програмата)</w:t>
      </w:r>
    </w:p>
    <w:p>
      <w:pPr>
        <w:rPr>
          <w:noProof/>
        </w:rPr>
      </w:pP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37CD2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3CE44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81E4E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D9806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85497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E38B3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0488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5F6C3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MOULIN Pierre-Yves (TAXUD)">
    <w15:presenceInfo w15:providerId="None" w15:userId="DEMOULIN Pierre-Yves (TAXU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4 09:40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\u1090?\u1086? \u1079?\u1072?"/>
    <w:docVar w:name="LW_ACCOMPAGNANT.CP" w:val="\u1082?\u1098?\u1084? \u1055?\u1088?\u1077?\u1076?\u1083?\u1086?\u1078?\u1077?\u1085?\u1080?\u1077?\u1090?\u1086? \u1079?\u1072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1F1CCAD6-723A-407B-BB7D-2D869AD4AB0F"/>
    <w:docVar w:name="LW_COVERPAGE_TYPE" w:val="1"/>
    <w:docVar w:name="LW_CROSSREFERENCE" w:val="{SEC(2018) 295 final}_x000b_{SWD(2018) 321 final}_x000b_{SWD(2018) 322 final}"/>
    <w:docVar w:name="LW_DocType" w:val="ANNEX"/>
    <w:docVar w:name="LW_EMISSION" w:val="8.6.2018"/>
    <w:docVar w:name="LW_EMISSION_ISODATE" w:val="2018-06-08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7?\u1088?\u1086?\u1075?\u1088?\u1072?\u1084?\u1072? \u8222?\u1052?\u1080?\u1090?\u1085?\u1080?\u1094?\u1080?\u8220? \u1079?\u1072? \u1089?\u1098?\u1090?\u1088?\u1091?\u1076?\u1085?\u1080?\u1095?\u1077?\u1089?\u1090?\u1074?\u1086? \u1074? \u1086?\u1073?\u1083?\u1072?\u1089?\u1090?\u1090?\u1072? \u1085?\u1072? \u1084?\u1080?\u1090?\u1085?\u1080?\u1094?\u1080?\u1090?\u1077?"/>
    <w:docVar w:name="LW_OBJETACTEPRINCIPAL.CP" w:val="\u1079?\u1072? \u1089?\u1098?\u1079?\u1076?\u1072?\u1074?\u1072?\u1085?\u1077? \u1085?\u1072? \u1087?\u1088?\u1086?\u1075?\u1088?\u1072?\u1084?\u1072? \u8222?\u1052?\u1080?\u1090?\u1085?\u1080?\u1094?\u1080?\u8220? \u1079?\u1072? \u1089?\u1098?\u1090?\u1088?\u1091?\u1076?\u1085?\u1080?\u1095?\u1077?\u1089?\u1090?\u1074?\u1086? \u1074? \u1086?\u1073?\u1083?\u1072?\u1089?\u1090?\u1090?\u1072? \u1085?\u1072? \u1084?\u1080?\u1090?\u1085?\u1080?\u1094?\u1080?\u1090?\u1077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44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B29732916DF4D831BB0FCE0DA1F47" ma:contentTypeVersion="0" ma:contentTypeDescription="Create a new document." ma:contentTypeScope="" ma:versionID="5e87b6185a4559021c2d2dd44491d6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aa71ebba3a1c4bc292c1729accc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F92C8-0112-4553-A5FA-179C2003E68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E0759E-AF00-4DF5-B5D6-AF9F24E7B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07431-4EEC-4D63-A7AB-BFAE1F016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523</Words>
  <Characters>3258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DEMOULIN Pierre-Yves (TAXUD)</dc:creator>
  <cp:lastModifiedBy>DIGIT/A3</cp:lastModifiedBy>
  <cp:revision>8</cp:revision>
  <cp:lastPrinted>2018-05-22T14:55:00Z</cp:lastPrinted>
  <dcterms:created xsi:type="dcterms:W3CDTF">2018-06-12T11:17:00Z</dcterms:created>
  <dcterms:modified xsi:type="dcterms:W3CDTF">2018-06-14T07:40:00Z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IsMyDocuments">
    <vt:bool>true</vt:bool>
  </property>
  <property fmtid="{D5CDD505-2E9C-101B-9397-08002B2CF9AE}" pid="14" name="ContentTypeId">
    <vt:lpwstr>0x010100676B29732916DF4D831BB0FCE0DA1F47</vt:lpwstr>
  </property>
  <property fmtid="{D5CDD505-2E9C-101B-9397-08002B2CF9AE}" pid="15" name="DQCStatus">
    <vt:lpwstr>Green (DQC version 03)</vt:lpwstr>
  </property>
</Properties>
</file>