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78AD9F3-415B-44C1-BBE2-165A34BAE22D"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concerns a draft Council Decision on the 2</w:t>
      </w:r>
      <w:r>
        <w:rPr>
          <w:rFonts w:eastAsia="Arial Unicode MS"/>
          <w:noProof/>
          <w:vertAlign w:val="superscript"/>
        </w:rPr>
        <w:t>nd</w:t>
      </w:r>
      <w:r>
        <w:rPr>
          <w:rFonts w:eastAsia="Arial Unicode MS"/>
          <w:noProof/>
        </w:rPr>
        <w:t xml:space="preserve"> instalment of the financial contributions to the European Development Fund (EDF) to be paid by Member States in 2018.</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EDF and other EDF funds which are still open (i.e. Eighth, Ninth and 10</w:t>
      </w:r>
      <w:r>
        <w:rPr>
          <w:rFonts w:eastAsia="Arial Unicode MS"/>
          <w:noProof/>
          <w:vertAlign w:val="superscript"/>
        </w:rPr>
        <w:t>th</w:t>
      </w:r>
      <w:r>
        <w:rPr>
          <w:rFonts w:eastAsia="Arial Unicode MS"/>
          <w:noProof/>
        </w:rPr>
        <w:t xml:space="preserve"> EDF) are managed under the following set of rules: </w:t>
      </w:r>
    </w:p>
    <w:p>
      <w:pPr>
        <w:pBdr>
          <w:top w:val="nil"/>
          <w:left w:val="nil"/>
          <w:bottom w:val="nil"/>
          <w:right w:val="nil"/>
          <w:between w:val="nil"/>
          <w:bar w:val="nil"/>
        </w:pBdr>
        <w:spacing w:before="0" w:after="240"/>
        <w:rPr>
          <w:rFonts w:eastAsia="Arial Unicode MS"/>
          <w:noProof/>
        </w:rPr>
      </w:pPr>
      <w:r>
        <w:rPr>
          <w:rFonts w:eastAsia="Arial Unicode MS"/>
          <w:noProof/>
        </w:rPr>
        <w:t>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Council Regulation (EU) 2015/323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the EDF treasury financially.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 </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1"/>
        <w:rPr>
          <w:noProof/>
        </w:rPr>
      </w:pPr>
      <w:r>
        <w:rPr>
          <w:noProof/>
        </w:rPr>
        <w:t>2.</w:t>
      </w:r>
      <w:r>
        <w:rPr>
          <w:noProof/>
        </w:rPr>
        <w:tab/>
        <w:t>LEGAL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Article 7 of the 11</w:t>
      </w:r>
      <w:r>
        <w:rPr>
          <w:rFonts w:eastAsia="Arial Unicode MS"/>
          <w:noProof/>
          <w:vertAlign w:val="superscript"/>
        </w:rPr>
        <w:t>th</w:t>
      </w:r>
      <w:r>
        <w:rPr>
          <w:rFonts w:eastAsia="Arial Unicode MS"/>
          <w:noProof/>
        </w:rPr>
        <w:t xml:space="preserve"> EDF Internal Agreement provides for the procedure according to which the contributions of the Member States to the EDF are to be decided.</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21(3) of the 11</w:t>
      </w:r>
      <w:r>
        <w:rPr>
          <w:rFonts w:eastAsia="Arial Unicode MS"/>
          <w:noProof/>
          <w:vertAlign w:val="superscript"/>
        </w:rPr>
        <w:t>th</w:t>
      </w:r>
      <w:r>
        <w:rPr>
          <w:rFonts w:eastAsia="Arial Unicode MS"/>
          <w:noProof/>
        </w:rPr>
        <w:t xml:space="preserve"> EDF Financial Regulation, the Commission presents its proposal on the contributions of Member States concerning the second instalment by 15 June. The Council must decide on this proposal at the latest 21 calendar days following the presentation of this proposal.</w:t>
      </w:r>
    </w:p>
    <w:p>
      <w:pPr>
        <w:pBdr>
          <w:top w:val="nil"/>
          <w:left w:val="nil"/>
          <w:bottom w:val="nil"/>
          <w:right w:val="nil"/>
          <w:between w:val="nil"/>
          <w:bar w:val="nil"/>
        </w:pBdr>
        <w:spacing w:before="0" w:after="240"/>
        <w:rPr>
          <w:rFonts w:eastAsia="Arial Unicode MS"/>
          <w:noProof/>
        </w:rPr>
      </w:pPr>
      <w:r>
        <w:rPr>
          <w:rFonts w:eastAsia="Arial Unicode MS"/>
          <w:noProof/>
        </w:rPr>
        <w:t>Article 21(4) of the 11</w:t>
      </w:r>
      <w:r>
        <w:rPr>
          <w:rFonts w:eastAsia="Arial Unicode MS"/>
          <w:noProof/>
          <w:vertAlign w:val="superscript"/>
        </w:rPr>
        <w:t>th</w:t>
      </w:r>
      <w:r>
        <w:rPr>
          <w:rFonts w:eastAsia="Arial Unicode MS"/>
          <w:noProof/>
        </w:rPr>
        <w:t xml:space="preserve"> EDF Financial Regulation contains rules regarding the content of the Commission's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Other legal elements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21(7) of the 11</w:t>
      </w:r>
      <w:r>
        <w:rPr>
          <w:rFonts w:eastAsia="Arial Unicode MS"/>
          <w:noProof/>
          <w:vertAlign w:val="superscript"/>
        </w:rPr>
        <w:t>th</w:t>
      </w:r>
      <w:r>
        <w:rPr>
          <w:rFonts w:eastAsia="Arial Unicode MS"/>
          <w:noProof/>
        </w:rPr>
        <w:t xml:space="preserve"> EDF Financial Regulation, the amount managed by the European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European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Bdr>
          <w:top w:val="nil"/>
          <w:left w:val="nil"/>
          <w:bottom w:val="nil"/>
          <w:right w:val="nil"/>
          <w:between w:val="nil"/>
          <w:bar w:val="nil"/>
        </w:pBdr>
        <w:spacing w:before="0" w:after="240"/>
        <w:rPr>
          <w:rFonts w:eastAsia="Arial Unicode MS"/>
          <w:noProof/>
        </w:rPr>
      </w:pP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budgetary implications.</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2018/0255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second instalment for 2018.</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noProof/>
        </w:rPr>
        <w:footnoteReference w:id="4"/>
      </w:r>
      <w:r>
        <w:rPr>
          <w:noProof/>
        </w:rPr>
        <w:t xml:space="preserve"> ("the Internal Agreement") and in particular Article 7 thereof,</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 ("the 11</w:t>
      </w:r>
      <w:r>
        <w:rPr>
          <w:noProof/>
          <w:vertAlign w:val="superscript"/>
        </w:rPr>
        <w:t>th</w:t>
      </w:r>
      <w:r>
        <w:rPr>
          <w:noProof/>
        </w:rPr>
        <w:t xml:space="preserve"> EDF Financial Regulation")</w:t>
      </w:r>
      <w:r>
        <w:rPr>
          <w:rStyle w:val="FootnoteReference"/>
          <w:noProof/>
        </w:rPr>
        <w:footnoteReference w:id="5"/>
      </w:r>
      <w:r>
        <w:rPr>
          <w:noProof/>
        </w:rPr>
        <w:t>, and in particular Article 21(3) and 21(4)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Articles 21 to 24 of the 11</w:t>
      </w:r>
      <w:r>
        <w:rPr>
          <w:noProof/>
          <w:vertAlign w:val="superscript"/>
        </w:rPr>
        <w:t>th</w:t>
      </w:r>
      <w:r>
        <w:rPr>
          <w:noProof/>
        </w:rPr>
        <w:t xml:space="preserve"> EDF Financial Regulation, the European Commission is to present a proposal by 15 June 2018 specifying (a) the amount of the second instalment of the contribution for 2018, (b) a revised annual amount of the contribution for 2018, in cases where the amount deviates from actual needs,</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15 April 2018 to the European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By means of Decision (EU) 2017/2171</w:t>
      </w:r>
      <w:r>
        <w:rPr>
          <w:rStyle w:val="FootnoteReference"/>
          <w:noProof/>
        </w:rPr>
        <w:footnoteReference w:id="6"/>
      </w:r>
      <w:r>
        <w:rPr>
          <w:noProof/>
        </w:rPr>
        <w:t>, the Council has adopted on the 20 November 2017, on a proposal by the European Commission, the Decision to set the ceiling for the annual amount of the Member States' EDF contributions for 2018 at EUR 4 550 000 000 for the European Commission, and at EUR 250 000 000 for the European Investment Bank.</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individual European Development Fund contributions to be paid by the Member States to the European Commission and the European Investment Bank as the second instalment for 2018 are set out in the table in the Annex to this Decision.</w:t>
      </w:r>
    </w:p>
    <w:p>
      <w:pPr>
        <w:pStyle w:val="Titrearticle"/>
        <w:rPr>
          <w:noProof/>
        </w:rPr>
      </w:pPr>
      <w:r>
        <w:rPr>
          <w:noProof/>
        </w:rPr>
        <w:t>Article 2</w:t>
      </w:r>
    </w:p>
    <w:p>
      <w:pPr>
        <w:keepLines/>
        <w:rPr>
          <w:noProof/>
        </w:rPr>
      </w:pPr>
      <w:r>
        <w:rPr>
          <w:noProof/>
        </w:rPr>
        <w:t>The annual amount of the Member States' EDF contributions for 2018 is hereby revised at EUR 4 500 000 000. It shall be divided into EUR 4 250 000 000 for the Commission, and EUR 250 000 000 for the EIB.</w:t>
      </w:r>
    </w:p>
    <w:p>
      <w:pPr>
        <w:pStyle w:val="Titrearticle"/>
        <w:keepNext w:val="0"/>
        <w:rPr>
          <w:noProof/>
        </w:rPr>
      </w:pPr>
      <w:r>
        <w:rPr>
          <w:noProof/>
        </w:rPr>
        <w:t>Article 3</w:t>
      </w:r>
    </w:p>
    <w:p>
      <w:pPr>
        <w:keepLines/>
        <w:rPr>
          <w:noProof/>
        </w:rPr>
      </w:pPr>
      <w:r>
        <w:rPr>
          <w:noProof/>
        </w:rPr>
        <w:t>This Decision shall enter into force on the date of its publication in the Official Journal of the European</w:t>
      </w:r>
      <w:r>
        <w:rPr>
          <w:i/>
          <w:noProof/>
        </w:rPr>
        <w:t xml:space="preserve"> Union</w:t>
      </w:r>
      <w:r>
        <w:rPr>
          <w:noProof/>
        </w:rPr>
        <w:t>.</w:t>
      </w:r>
    </w:p>
    <w:p>
      <w:pPr>
        <w:pStyle w:val="Titrearticle"/>
        <w:rPr>
          <w:noProof/>
        </w:rPr>
      </w:pPr>
      <w:r>
        <w:rPr>
          <w:noProof/>
        </w:rPr>
        <w:t>Article 4</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rPr>
          <w:lang w:val="pl-PL"/>
        </w:rPr>
      </w:pPr>
      <w:r>
        <w:rPr>
          <w:rStyle w:val="FootnoteReference"/>
        </w:rPr>
        <w:footnoteRef/>
      </w:r>
      <w:r>
        <w:rPr>
          <w:lang w:val="pl-PL"/>
        </w:rPr>
        <w:tab/>
        <w:t>OJ L 210, 6.8.2013, p. 1</w:t>
      </w:r>
    </w:p>
  </w:footnote>
  <w:footnote w:id="5">
    <w:p>
      <w:pPr>
        <w:pStyle w:val="FootnoteText"/>
        <w:rPr>
          <w:lang w:val="pl-PL"/>
        </w:rPr>
      </w:pPr>
      <w:r>
        <w:rPr>
          <w:rStyle w:val="FootnoteReference"/>
        </w:rPr>
        <w:footnoteRef/>
      </w:r>
      <w:r>
        <w:rPr>
          <w:lang w:val="pl-PL"/>
        </w:rPr>
        <w:tab/>
        <w:t>OJ L 58, 3.3.2015, p. 17-38</w:t>
      </w:r>
    </w:p>
  </w:footnote>
  <w:footnote w:id="6">
    <w:p>
      <w:pPr>
        <w:pStyle w:val="FootnoteText"/>
        <w:rPr>
          <w:lang w:val="pl-PL"/>
        </w:rPr>
      </w:pPr>
      <w:r>
        <w:rPr>
          <w:rStyle w:val="FootnoteReference"/>
        </w:rPr>
        <w:footnoteRef/>
      </w:r>
      <w:r>
        <w:rPr>
          <w:lang w:val="pl-PL"/>
        </w:rPr>
        <w:tab/>
        <w:t>OJ L 306, 22.11.2017, p. 21-23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02E73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1506F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8BD4DB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46C1E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D6F58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3475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D6AC912"/>
    <w:lvl w:ilvl="0">
      <w:start w:val="1"/>
      <w:numFmt w:val="decimal"/>
      <w:pStyle w:val="ListNumber"/>
      <w:lvlText w:val="%1."/>
      <w:lvlJc w:val="left"/>
      <w:pPr>
        <w:tabs>
          <w:tab w:val="num" w:pos="360"/>
        </w:tabs>
        <w:ind w:left="360" w:hanging="360"/>
      </w:pPr>
    </w:lvl>
  </w:abstractNum>
  <w:abstractNum w:abstractNumId="7">
    <w:nsid w:val="FFFFFF89"/>
    <w:multiLevelType w:val="singleLevel"/>
    <w:tmpl w:val="1B0C25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5 08:05: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78AD9F3-415B-44C1-BBE2-165A34BAE22D"/>
    <w:docVar w:name="LW_COVERPAGE_TYPE" w:val="1"/>
    <w:docVar w:name="LW_CROSSREFERENCE" w:val="&lt;UNUSED&gt;"/>
    <w:docVar w:name="LW_DocType" w:val="COM"/>
    <w:docVar w:name="LW_EMISSION" w:val="15.6.2018"/>
    <w:docVar w:name="LW_EMISSION_ISODATE" w:val="2018-06-15"/>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55"/>
    <w:docVar w:name="LW_REF.II.NEW.CP_YEAR" w:val="2018"/>
    <w:docVar w:name="LW_REF.INST.NEW" w:val="COM"/>
    <w:docVar w:name="LW_REF.INST.NEW_ADOPTED" w:val="final"/>
    <w:docVar w:name="LW_REF.INST.NEW_TEXT" w:val="(2018) 4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financial contributions to be paid by Member States to finance the European Development Fund, including the second instalment for 2018."/>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5</Pages>
  <Words>1079</Words>
  <Characters>5624</Characters>
  <Application>Microsoft Office Word</Application>
  <DocSecurity>0</DocSecurity>
  <Lines>110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2018-05-04T15:34:00Z</dcterms:created>
  <dcterms:modified xsi:type="dcterms:W3CDTF">2018-06-15T06:05:00Z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