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9B1416-BEC4-42C4-8807-C2DBD7627B89" style="width:450.35pt;height:424.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rPr>
          <w:noProof/>
        </w:rPr>
      </w:pPr>
    </w:p>
    <w:p>
      <w:pPr>
        <w:pStyle w:val="NumPar1"/>
        <w:numPr>
          <w:ilvl w:val="0"/>
          <w:numId w:val="10"/>
        </w:numPr>
        <w:rPr>
          <w:noProof/>
        </w:rPr>
      </w:pPr>
      <w:bookmarkStart w:id="1" w:name="DQPStarAt1DQPStarAt1C35F18C66F740CAA1DAE"/>
      <w:r>
        <w:rPr>
          <w:noProof/>
        </w:rPr>
        <w:t>Общата цел на програмата е да подпомага Литва при изпълнението на извеждането от експлоатация на ядрена централа „Игналина“, с конкретен акцент върху справянето с предизвикателствата, свързани с радиационната безопасност при извеждането от експлоатация на ядрена централа „Игналина“. След приключване на изваждането на касетите с отработено гориво от реакторите, следващите основни предизвикателства, свързани с безопасността, които трябва да се разгледат в програмата, са демонтирането на активната зона на реакторите и продължаващото управление на отпадъците в резултат от извеждането от експлоатация и от предишните практики.</w:t>
      </w:r>
    </w:p>
    <w:bookmarkEnd w:id="1"/>
    <w:p>
      <w:pPr>
        <w:pStyle w:val="NumPar1"/>
        <w:rPr>
          <w:noProof/>
        </w:rPr>
      </w:pPr>
      <w:r>
        <w:rPr>
          <w:noProof/>
        </w:rPr>
        <w:t xml:space="preserve">В периода на финансиране, започващ от 2021 г., програмата ще подпомага следното: </w:t>
      </w:r>
    </w:p>
    <w:p>
      <w:pPr>
        <w:pStyle w:val="Point1"/>
        <w:rPr>
          <w:noProof/>
        </w:rPr>
      </w:pPr>
      <w:bookmarkStart w:id="2" w:name="DQPStarAt1DQPStarAtD44EEC1CC8C942469D0DB"/>
      <w:r>
        <w:rPr>
          <w:noProof/>
        </w:rPr>
        <w:t>а)</w:t>
      </w:r>
      <w:r>
        <w:rPr>
          <w:noProof/>
        </w:rPr>
        <w:tab/>
        <w:t>демонтиране и деконтаминиране на горните и долните зони на шахтите на реактора в съответствие с плана за извеждане от експлоатация; напредъкът трябва да се измерва чрез количеството и вида на отстранените материали, както и чрез придобитата стойност;</w:t>
      </w:r>
    </w:p>
    <w:p>
      <w:pPr>
        <w:pStyle w:val="Point1"/>
        <w:rPr>
          <w:noProof/>
        </w:rPr>
      </w:pPr>
      <w:r>
        <w:rPr>
          <w:noProof/>
        </w:rPr>
        <w:t>б)</w:t>
      </w:r>
      <w:r>
        <w:rPr>
          <w:noProof/>
        </w:rPr>
        <w:tab/>
        <w:t>проектът за демонтирането и деконтаминирането на централните зони на шахтите на реактора (графитни активни зони); напредъкът трябва да се измерва чрез придобитата стойност; тази цел следва да се постигне преди 2027 г., когато ще бъдат издадени съответните разрешения за извършване на действителното демонтиране и деконтаминиране, планирани за след 2027 г.;</w:t>
      </w:r>
    </w:p>
    <w:p>
      <w:pPr>
        <w:pStyle w:val="Point1"/>
        <w:rPr>
          <w:noProof/>
        </w:rPr>
      </w:pPr>
      <w:r>
        <w:rPr>
          <w:noProof/>
        </w:rPr>
        <w:t>в)</w:t>
      </w:r>
      <w:r>
        <w:rPr>
          <w:noProof/>
        </w:rPr>
        <w:tab/>
        <w:t>безопасно управление на отпадъците в резултат от извеждането от експлоатация и от предишните практики преди междинното им съхраняване или погребването им (в зависимост от категорията на отпадъците), включително довършването на инфраструктурата за управление на отпадъци, когато е необходимо. Тази цел трябва да бъде постигната в съответствие с плана за извеждане от експлоатация; напредъкът трябва да се измерва чрез количеството и вида на безопасно съхранените или погребани отпадъци, както и чрез придобитата стойност;</w:t>
      </w:r>
    </w:p>
    <w:bookmarkEnd w:id="2"/>
    <w:p>
      <w:pPr>
        <w:pStyle w:val="Point1"/>
        <w:rPr>
          <w:noProof/>
        </w:rPr>
      </w:pPr>
      <w:r>
        <w:rPr>
          <w:noProof/>
        </w:rPr>
        <w:t>г)</w:t>
      </w:r>
      <w:r>
        <w:rPr>
          <w:noProof/>
        </w:rPr>
        <w:tab/>
        <w:t>понижаване на нивото на класификация на радиационните опасности; тази цел трябва да се измерва чрез оценки на безопасността на дейностите и на съоръжението, като се определят начините, по които би могло да възникне потенциално облъчване, и чрез оценка на вероятностите и степента на потенциалното облъчване.</w:t>
      </w:r>
    </w:p>
    <w:p>
      <w:pPr>
        <w:pStyle w:val="NumPar1"/>
        <w:rPr>
          <w:noProof/>
        </w:rPr>
      </w:pPr>
      <w:r>
        <w:rPr>
          <w:noProof/>
        </w:rPr>
        <w:t>Планът за извеждане от експлоатация на ядрена централа „Игналина“ съдържа разбивка на работата (т.нар. Йерархична структура на дейността и декомпозиране на проектите при извеждането от експлоатация на ядрена централа „Игналина“). Първото ниво на разбивката на работата се състои от следните шест точки:</w:t>
      </w:r>
    </w:p>
    <w:p>
      <w:pPr>
        <w:pStyle w:val="Point2"/>
        <w:rPr>
          <w:noProof/>
        </w:rPr>
      </w:pPr>
      <w:r>
        <w:rPr>
          <w:noProof/>
        </w:rPr>
        <w:t>i)</w:t>
      </w:r>
      <w:r>
        <w:rPr>
          <w:noProof/>
        </w:rPr>
        <w:tab/>
        <w:t>Т.0 „Организация на дейността на предприятието“;</w:t>
      </w:r>
    </w:p>
    <w:p>
      <w:pPr>
        <w:pStyle w:val="Point2"/>
        <w:rPr>
          <w:noProof/>
        </w:rPr>
      </w:pPr>
      <w:r>
        <w:rPr>
          <w:noProof/>
        </w:rPr>
        <w:t>ii)</w:t>
      </w:r>
      <w:r>
        <w:rPr>
          <w:noProof/>
        </w:rPr>
        <w:tab/>
        <w:t>Т.1 „Подготовка за извеждане от експлоатация“;</w:t>
      </w:r>
    </w:p>
    <w:p>
      <w:pPr>
        <w:pStyle w:val="Point2"/>
        <w:rPr>
          <w:noProof/>
        </w:rPr>
      </w:pPr>
      <w:r>
        <w:rPr>
          <w:noProof/>
        </w:rPr>
        <w:t>iii)</w:t>
      </w:r>
      <w:r>
        <w:rPr>
          <w:noProof/>
        </w:rPr>
        <w:tab/>
        <w:t>Т.2 „Демонтиране/разрушаване на съоръжението и възстановяване на площадката“;</w:t>
      </w:r>
    </w:p>
    <w:p>
      <w:pPr>
        <w:pStyle w:val="Point2"/>
        <w:rPr>
          <w:noProof/>
        </w:rPr>
      </w:pPr>
      <w:r>
        <w:rPr>
          <w:noProof/>
        </w:rPr>
        <w:lastRenderedPageBreak/>
        <w:t>iv)</w:t>
      </w:r>
      <w:r>
        <w:rPr>
          <w:noProof/>
        </w:rPr>
        <w:tab/>
        <w:t>Т.3 „Манипулиране на отработеното ядрено гориво“;</w:t>
      </w:r>
    </w:p>
    <w:p>
      <w:pPr>
        <w:pStyle w:val="Point2"/>
        <w:rPr>
          <w:noProof/>
        </w:rPr>
      </w:pPr>
      <w:r>
        <w:rPr>
          <w:noProof/>
        </w:rPr>
        <w:t>v)</w:t>
      </w:r>
      <w:r>
        <w:rPr>
          <w:noProof/>
        </w:rPr>
        <w:tab/>
        <w:t>Т.4 „Манипулиране на отпадъците“;</w:t>
      </w:r>
    </w:p>
    <w:p>
      <w:pPr>
        <w:pStyle w:val="Point2"/>
        <w:rPr>
          <w:noProof/>
        </w:rPr>
      </w:pPr>
      <w:r>
        <w:rPr>
          <w:noProof/>
        </w:rPr>
        <w:t>vi)</w:t>
      </w:r>
      <w:r>
        <w:rPr>
          <w:noProof/>
        </w:rPr>
        <w:tab/>
        <w:t>Т.5 „Програма за действия след извеждане от експлоатация“.</w:t>
      </w:r>
    </w:p>
    <w:p>
      <w:pPr>
        <w:pStyle w:val="Text1"/>
        <w:rPr>
          <w:noProof/>
        </w:rPr>
      </w:pPr>
      <w:r>
        <w:rPr>
          <w:noProof/>
        </w:rPr>
        <w:t>Точка Т.0 „Организация на дейността на предприятието“ обхваща управлението, надзора и осигуряването на качеството на предприятието, радиологичния и екологичния мониторинг, физическата сигурност, инженерната поддръжка на дейността на предприятието.</w:t>
      </w:r>
    </w:p>
    <w:p>
      <w:pPr>
        <w:pStyle w:val="Text1"/>
        <w:rPr>
          <w:noProof/>
        </w:rPr>
      </w:pPr>
      <w:r>
        <w:rPr>
          <w:noProof/>
        </w:rPr>
        <w:t>Точка Т.1 „Подготовка за извеждане от експлоатация“ обхваща изготвянето на предварителни условия за извеждане от експлоатация (като например инвентаризация на оборудването и радиологично характеризиране), измененията на инфраструктурата, изолацията на системите и оборудването, деконтаминирането на технологичните системи, оборудване и съоръжения.</w:t>
      </w:r>
    </w:p>
    <w:p>
      <w:pPr>
        <w:pStyle w:val="Text1"/>
        <w:rPr>
          <w:noProof/>
        </w:rPr>
      </w:pPr>
      <w:r>
        <w:rPr>
          <w:noProof/>
        </w:rPr>
        <w:t>Точка Т.2 „Демонтиране/разрушаване на съоръжението и възстановяване на площадката“ обхваща демонтирането на реакторите, демонтирането на технологичните системи/оборудване и предварителната обработка на отпадъците, разрушаването на съоръженията и възстановяването на площадката.</w:t>
      </w:r>
    </w:p>
    <w:p>
      <w:pPr>
        <w:pStyle w:val="Text1"/>
        <w:rPr>
          <w:noProof/>
        </w:rPr>
      </w:pPr>
      <w:r>
        <w:rPr>
          <w:noProof/>
        </w:rPr>
        <w:t>Точка Т.3 „Манипулиране на отработеното ядрено гориво“ обхваща манипулирането и съхраняването на отработеното ядрено гориво.</w:t>
      </w:r>
    </w:p>
    <w:p>
      <w:pPr>
        <w:pStyle w:val="Text1"/>
        <w:rPr>
          <w:noProof/>
        </w:rPr>
      </w:pPr>
      <w:r>
        <w:rPr>
          <w:noProof/>
        </w:rPr>
        <w:t>Точка Т.4 „Манипулиране на отпадъците“ обхваща третирането и кондиционирането на радиоактивните отпадъци.</w:t>
      </w:r>
    </w:p>
    <w:p>
      <w:pPr>
        <w:pStyle w:val="Text1"/>
        <w:rPr>
          <w:noProof/>
        </w:rPr>
      </w:pPr>
      <w:r>
        <w:rPr>
          <w:noProof/>
        </w:rPr>
        <w:t>Точка Т.5 „Програма за действия след извеждане от експлоатация“ обхваща експлоатацията и поддръжката на съоръженията, енергийните източници, снабдяването с вода, канализацията и пречистването на водите.</w:t>
      </w:r>
    </w:p>
    <w:p>
      <w:pPr>
        <w:pStyle w:val="NumPar1"/>
        <w:rPr>
          <w:noProof/>
        </w:rPr>
      </w:pPr>
      <w:r>
        <w:rPr>
          <w:noProof/>
        </w:rPr>
        <w:t>Основните предизвикателства, свързани с радиационната безопасност, за периода на финансиране 2021—2027 г. се разглеждат в рамките на дейности по точки Т.1, Т.2 и Т.4. По-специално демонтирането на активните зони на реакторите е обхванато по точка Т.2. Второстепенните предизвикателства се разглеждат по точка Т.3, а точки Т.0 и Т.5 обхващат спомагателните дейности по извеждането от експлоатация.</w:t>
      </w:r>
    </w:p>
    <w:p>
      <w:pPr>
        <w:pStyle w:val="NumPar1"/>
        <w:rPr>
          <w:noProof/>
        </w:rPr>
      </w:pPr>
      <w:r>
        <w:rPr>
          <w:noProof/>
        </w:rPr>
        <w:t xml:space="preserve">Съответно при изготвянето на многогодишната работна програма Комисията ще разгледа разпределението на наличните суми съобразно приоритетите, посочени в таблица 1, без да се засяга член 7. </w:t>
      </w:r>
    </w:p>
    <w:p>
      <w:pPr>
        <w:ind w:left="851"/>
        <w:rPr>
          <w:noProof/>
        </w:rPr>
      </w:pPr>
      <w:r>
        <w:rPr>
          <w:b/>
          <w:noProof/>
        </w:rPr>
        <w:t xml:space="preserve">Таблица </w:t>
      </w:r>
      <w:r>
        <w:rPr>
          <w:b/>
          <w:bCs/>
          <w:noProof/>
        </w:rPr>
        <w:fldChar w:fldCharType="begin"/>
      </w:r>
      <w:r>
        <w:rPr>
          <w:b/>
          <w:bCs/>
          <w:noProof/>
        </w:rPr>
        <w:instrText xml:space="preserve"> SEQ Table \* ARABIC </w:instrText>
      </w:r>
      <w:r>
        <w:rPr>
          <w:b/>
          <w:bCs/>
          <w:noProof/>
        </w:rPr>
        <w:fldChar w:fldCharType="separate"/>
      </w:r>
      <w:r>
        <w:rPr>
          <w:b/>
          <w:bCs/>
          <w:noProof/>
        </w:rPr>
        <w:t>1</w:t>
      </w:r>
      <w:r>
        <w:rPr>
          <w:noProof/>
        </w:rPr>
        <w:fldChar w:fldCharType="end"/>
      </w:r>
    </w:p>
    <w:p>
      <w:pPr>
        <w:ind w:left="851"/>
        <w:rPr>
          <w:b/>
          <w:bCs/>
          <w:noProof/>
        </w:rPr>
      </w:pPr>
    </w:p>
    <w:tbl>
      <w:tblPr>
        <w:tblW w:w="0" w:type="auto"/>
        <w:tblInd w:w="851" w:type="dxa"/>
        <w:tblLook w:val="04A0" w:firstRow="1" w:lastRow="0" w:firstColumn="1" w:lastColumn="0" w:noHBand="0" w:noVBand="1"/>
      </w:tblPr>
      <w:tblGrid>
        <w:gridCol w:w="663"/>
        <w:gridCol w:w="4519"/>
        <w:gridCol w:w="1974"/>
      </w:tblGrid>
      <w:tr>
        <w:tc>
          <w:tcPr>
            <w:tcW w:w="663" w:type="dxa"/>
            <w:tcBorders>
              <w:top w:val="nil"/>
              <w:left w:val="nil"/>
              <w:bottom w:val="nil"/>
              <w:right w:val="nil"/>
            </w:tcBorders>
            <w:shd w:val="clear" w:color="auto" w:fill="auto"/>
            <w:vAlign w:val="center"/>
            <w:hideMark/>
          </w:tcPr>
          <w:p>
            <w:pPr>
              <w:rPr>
                <w:b/>
                <w:bCs/>
                <w:noProof/>
              </w:rPr>
            </w:pPr>
            <w:r>
              <w:rPr>
                <w:b/>
                <w:noProof/>
              </w:rPr>
              <w:t>#</w:t>
            </w:r>
          </w:p>
        </w:tc>
        <w:tc>
          <w:tcPr>
            <w:tcW w:w="4519" w:type="dxa"/>
            <w:tcBorders>
              <w:top w:val="nil"/>
              <w:left w:val="nil"/>
              <w:bottom w:val="nil"/>
              <w:right w:val="nil"/>
            </w:tcBorders>
            <w:shd w:val="clear" w:color="000000" w:fill="F2F2F2"/>
            <w:vAlign w:val="center"/>
            <w:hideMark/>
          </w:tcPr>
          <w:p>
            <w:pPr>
              <w:rPr>
                <w:b/>
                <w:bCs/>
                <w:noProof/>
              </w:rPr>
            </w:pPr>
            <w:r>
              <w:rPr>
                <w:b/>
                <w:noProof/>
              </w:rPr>
              <w:t>Точка</w:t>
            </w:r>
          </w:p>
        </w:tc>
        <w:tc>
          <w:tcPr>
            <w:tcW w:w="1974" w:type="dxa"/>
            <w:tcBorders>
              <w:top w:val="nil"/>
              <w:left w:val="nil"/>
              <w:bottom w:val="nil"/>
              <w:right w:val="nil"/>
            </w:tcBorders>
            <w:shd w:val="clear" w:color="000000" w:fill="F2F2F2"/>
            <w:vAlign w:val="center"/>
          </w:tcPr>
          <w:p>
            <w:pPr>
              <w:rPr>
                <w:b/>
                <w:bCs/>
                <w:noProof/>
              </w:rPr>
            </w:pPr>
            <w:r>
              <w:rPr>
                <w:b/>
                <w:noProof/>
              </w:rPr>
              <w:t>Приоритет</w:t>
            </w:r>
          </w:p>
        </w:tc>
      </w:tr>
      <w:tr>
        <w:trPr>
          <w:trHeight w:val="300"/>
        </w:trPr>
        <w:tc>
          <w:tcPr>
            <w:tcW w:w="663" w:type="dxa"/>
            <w:tcBorders>
              <w:top w:val="nil"/>
              <w:left w:val="nil"/>
              <w:bottom w:val="nil"/>
              <w:right w:val="nil"/>
            </w:tcBorders>
            <w:shd w:val="clear" w:color="auto" w:fill="auto"/>
            <w:noWrap/>
            <w:vAlign w:val="center"/>
            <w:hideMark/>
          </w:tcPr>
          <w:p>
            <w:pPr>
              <w:rPr>
                <w:noProof/>
              </w:rPr>
            </w:pPr>
            <w:r>
              <w:rPr>
                <w:noProof/>
              </w:rPr>
              <w:t>Т.0</w:t>
            </w:r>
          </w:p>
        </w:tc>
        <w:tc>
          <w:tcPr>
            <w:tcW w:w="4519" w:type="dxa"/>
            <w:tcBorders>
              <w:top w:val="nil"/>
              <w:left w:val="nil"/>
              <w:bottom w:val="nil"/>
              <w:right w:val="nil"/>
            </w:tcBorders>
            <w:shd w:val="clear" w:color="000000" w:fill="F2F2F2"/>
            <w:noWrap/>
            <w:vAlign w:val="center"/>
            <w:hideMark/>
          </w:tcPr>
          <w:p>
            <w:pPr>
              <w:rPr>
                <w:noProof/>
              </w:rPr>
            </w:pPr>
            <w:r>
              <w:rPr>
                <w:noProof/>
              </w:rPr>
              <w:t>Организация на дейността на предприятието;</w:t>
            </w:r>
          </w:p>
        </w:tc>
        <w:tc>
          <w:tcPr>
            <w:tcW w:w="1974" w:type="dxa"/>
            <w:tcBorders>
              <w:top w:val="nil"/>
              <w:left w:val="nil"/>
              <w:bottom w:val="nil"/>
              <w:right w:val="nil"/>
            </w:tcBorders>
            <w:shd w:val="clear" w:color="000000" w:fill="F2F2F2"/>
            <w:vAlign w:val="center"/>
          </w:tcPr>
          <w:p>
            <w:pPr>
              <w:rPr>
                <w:noProof/>
              </w:rPr>
            </w:pPr>
            <w:r>
              <w:rPr>
                <w:noProof/>
              </w:rPr>
              <w:t>II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Т.1</w:t>
            </w:r>
          </w:p>
        </w:tc>
        <w:tc>
          <w:tcPr>
            <w:tcW w:w="4519" w:type="dxa"/>
            <w:tcBorders>
              <w:top w:val="nil"/>
              <w:left w:val="nil"/>
              <w:bottom w:val="nil"/>
              <w:right w:val="nil"/>
            </w:tcBorders>
            <w:shd w:val="clear" w:color="000000" w:fill="F2F2F2"/>
            <w:noWrap/>
            <w:vAlign w:val="center"/>
          </w:tcPr>
          <w:p>
            <w:pPr>
              <w:rPr>
                <w:noProof/>
              </w:rPr>
            </w:pPr>
            <w:r>
              <w:rPr>
                <w:noProof/>
              </w:rPr>
              <w:t>Подготовка за извеждане от експлоатация</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Т.2</w:t>
            </w:r>
          </w:p>
        </w:tc>
        <w:tc>
          <w:tcPr>
            <w:tcW w:w="4519" w:type="dxa"/>
            <w:tcBorders>
              <w:top w:val="nil"/>
              <w:left w:val="nil"/>
              <w:bottom w:val="nil"/>
              <w:right w:val="nil"/>
            </w:tcBorders>
            <w:shd w:val="clear" w:color="000000" w:fill="F2F2F2"/>
            <w:noWrap/>
            <w:vAlign w:val="center"/>
          </w:tcPr>
          <w:p>
            <w:pPr>
              <w:rPr>
                <w:noProof/>
              </w:rPr>
            </w:pPr>
            <w:r>
              <w:rPr>
                <w:noProof/>
              </w:rPr>
              <w:t>Демонтиране/разрушаване на съоръжението и възстановяване на площадката</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hideMark/>
          </w:tcPr>
          <w:p>
            <w:pPr>
              <w:rPr>
                <w:noProof/>
              </w:rPr>
            </w:pPr>
            <w:r>
              <w:rPr>
                <w:noProof/>
              </w:rPr>
              <w:t>Т.3</w:t>
            </w:r>
          </w:p>
        </w:tc>
        <w:tc>
          <w:tcPr>
            <w:tcW w:w="4519" w:type="dxa"/>
            <w:tcBorders>
              <w:top w:val="nil"/>
              <w:left w:val="nil"/>
              <w:bottom w:val="nil"/>
              <w:right w:val="nil"/>
            </w:tcBorders>
            <w:shd w:val="clear" w:color="000000" w:fill="F2F2F2"/>
            <w:noWrap/>
            <w:vAlign w:val="center"/>
            <w:hideMark/>
          </w:tcPr>
          <w:p>
            <w:pPr>
              <w:rPr>
                <w:noProof/>
              </w:rPr>
            </w:pPr>
            <w:r>
              <w:rPr>
                <w:noProof/>
              </w:rPr>
              <w:t>Манипулиране на отработеното ядрено гориво</w:t>
            </w:r>
          </w:p>
        </w:tc>
        <w:tc>
          <w:tcPr>
            <w:tcW w:w="1974" w:type="dxa"/>
            <w:tcBorders>
              <w:top w:val="nil"/>
              <w:left w:val="nil"/>
              <w:bottom w:val="nil"/>
              <w:right w:val="nil"/>
            </w:tcBorders>
            <w:shd w:val="clear" w:color="000000" w:fill="F2F2F2"/>
            <w:vAlign w:val="center"/>
          </w:tcPr>
          <w:p>
            <w:pPr>
              <w:rPr>
                <w:noProof/>
              </w:rPr>
            </w:pPr>
            <w:r>
              <w:rPr>
                <w:noProof/>
              </w:rPr>
              <w:t>II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Т.4</w:t>
            </w:r>
          </w:p>
        </w:tc>
        <w:tc>
          <w:tcPr>
            <w:tcW w:w="4519" w:type="dxa"/>
            <w:tcBorders>
              <w:top w:val="nil"/>
              <w:left w:val="nil"/>
              <w:bottom w:val="nil"/>
              <w:right w:val="nil"/>
            </w:tcBorders>
            <w:shd w:val="clear" w:color="000000" w:fill="F2F2F2"/>
            <w:noWrap/>
            <w:vAlign w:val="center"/>
          </w:tcPr>
          <w:p>
            <w:pPr>
              <w:rPr>
                <w:noProof/>
              </w:rPr>
            </w:pPr>
            <w:r>
              <w:rPr>
                <w:noProof/>
              </w:rPr>
              <w:t xml:space="preserve">Манипулиране на отпадъците </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Т.5</w:t>
            </w:r>
          </w:p>
        </w:tc>
        <w:tc>
          <w:tcPr>
            <w:tcW w:w="4519" w:type="dxa"/>
            <w:tcBorders>
              <w:top w:val="nil"/>
              <w:left w:val="nil"/>
              <w:bottom w:val="nil"/>
              <w:right w:val="nil"/>
            </w:tcBorders>
            <w:shd w:val="clear" w:color="000000" w:fill="F2F2F2"/>
            <w:noWrap/>
            <w:vAlign w:val="center"/>
          </w:tcPr>
          <w:p>
            <w:pPr>
              <w:rPr>
                <w:noProof/>
              </w:rPr>
            </w:pPr>
            <w:r>
              <w:rPr>
                <w:noProof/>
              </w:rPr>
              <w:t>Програма за действия след извеждане от експлоатация</w:t>
            </w:r>
          </w:p>
        </w:tc>
        <w:tc>
          <w:tcPr>
            <w:tcW w:w="1974" w:type="dxa"/>
            <w:tcBorders>
              <w:top w:val="nil"/>
              <w:left w:val="nil"/>
              <w:bottom w:val="nil"/>
              <w:right w:val="nil"/>
            </w:tcBorders>
            <w:shd w:val="clear" w:color="000000" w:fill="F2F2F2"/>
            <w:vAlign w:val="center"/>
          </w:tcPr>
          <w:p>
            <w:pPr>
              <w:rPr>
                <w:noProof/>
              </w:rPr>
            </w:pPr>
            <w:r>
              <w:rPr>
                <w:noProof/>
              </w:rPr>
              <w:t>III</w:t>
            </w:r>
          </w:p>
        </w:tc>
      </w:tr>
    </w:tbl>
    <w:p>
      <w:pPr>
        <w:rPr>
          <w:noProof/>
        </w:rPr>
      </w:pPr>
    </w:p>
    <w:p>
      <w:pPr>
        <w:pStyle w:val="NumPar1"/>
        <w:rPr>
          <w:noProof/>
        </w:rPr>
      </w:pPr>
      <w:r>
        <w:rPr>
          <w:noProof/>
        </w:rPr>
        <w:t>Основната цел на програмата се допълва от целта за увеличаване на реализираната от програмата добавена стойност от Съюза чрез разпространение на (генерирани от нея) знания до всички държави членки относно процеса на извеждане от експлоатация. В периода на финансиране, започващ от 2021 г., програмата трябва да доведе до следните резултати:</w:t>
      </w:r>
    </w:p>
    <w:p>
      <w:pPr>
        <w:pStyle w:val="Tiret1"/>
        <w:numPr>
          <w:ilvl w:val="0"/>
          <w:numId w:val="5"/>
        </w:numPr>
        <w:rPr>
          <w:noProof/>
        </w:rPr>
      </w:pPr>
      <w:r>
        <w:rPr>
          <w:noProof/>
        </w:rPr>
        <w:t>да създаде връзки и обмен между заинтересованите страни в Съюза (напр. държави членки, органи по безопасността, оператори на комунални инфраструктури и оператори по извеждане от експлоатация);</w:t>
      </w:r>
    </w:p>
    <w:p>
      <w:pPr>
        <w:pStyle w:val="Tiret1"/>
        <w:rPr>
          <w:noProof/>
        </w:rPr>
      </w:pPr>
      <w:r>
        <w:rPr>
          <w:noProof/>
        </w:rPr>
        <w:t xml:space="preserve">да документира ясно формулирани знания и да ги прави публично достояние чрез многостранен трансфер на знания относно свързани с управлението въпроси по извеждането от експлоатация и управлението на отпадъците, най-добрите управленски практики и технологичните предизвикателства, с оглед разработването на възможни полезни взаимодействия в Съюза. </w:t>
      </w:r>
    </w:p>
    <w:p>
      <w:pPr>
        <w:ind w:left="851"/>
        <w:rPr>
          <w:noProof/>
        </w:rPr>
      </w:pPr>
      <w:r>
        <w:rPr>
          <w:noProof/>
        </w:rPr>
        <w:t>Тези дейности са финансирани от Съюза в размер на 100 % от допустимите разходи.</w:t>
      </w:r>
    </w:p>
    <w:p>
      <w:pPr>
        <w:ind w:left="851"/>
        <w:rPr>
          <w:noProof/>
        </w:rPr>
      </w:pPr>
      <w:r>
        <w:rPr>
          <w:noProof/>
        </w:rPr>
        <w:t>Напредъкът трябва да бъде измерван с броя на създадените продукти на знанието и тяхното популяризиране.</w:t>
      </w:r>
    </w:p>
    <w:p>
      <w:pPr>
        <w:pStyle w:val="NumPar1"/>
        <w:rPr>
          <w:noProof/>
        </w:rPr>
      </w:pPr>
      <w:r>
        <w:rPr>
          <w:noProof/>
        </w:rPr>
        <w:t>Погребването на отработеното гориво и радиоактивните отпадъци в дълбоки геоложки хранилища е изключено от обхвата на програмата, а Литва следва да разгледа този въпрос в своята национална програма за управление на отработено гориво и радиоактивни отпадъци, както се изисква от Директива 2011/70/Евратом на Съвета.</w:t>
      </w:r>
    </w:p>
    <w:p>
      <w:pPr>
        <w:pStyle w:val="Text1"/>
        <w:rPr>
          <w:noProof/>
        </w:rPr>
      </w:pPr>
    </w:p>
    <w:p>
      <w:pPr>
        <w:spacing w:before="0" w:after="200" w:line="276" w:lineRule="auto"/>
        <w:jc w:val="left"/>
        <w:rPr>
          <w:noProof/>
        </w:rPr>
      </w:pPr>
      <w:r>
        <w:rPr>
          <w:noProof/>
        </w:rPr>
        <w:br w:type="page"/>
      </w:r>
    </w:p>
    <w:p>
      <w:pPr>
        <w:pStyle w:val="Annexetitre"/>
        <w:rPr>
          <w:noProof/>
        </w:rPr>
      </w:pPr>
      <w:r>
        <w:rPr>
          <w:noProof/>
        </w:rPr>
        <w:t>ПРИЛОЖЕНИЕ IІ</w:t>
      </w:r>
    </w:p>
    <w:p>
      <w:pPr>
        <w:rPr>
          <w:noProof/>
        </w:rPr>
      </w:pPr>
      <w:r>
        <w:rPr>
          <w:noProof/>
        </w:rPr>
        <w:t xml:space="preserve">Показатели </w:t>
      </w:r>
    </w:p>
    <w:p>
      <w:pPr>
        <w:rPr>
          <w:noProof/>
        </w:rPr>
      </w:pPr>
      <w:r>
        <w:rPr>
          <w:noProof/>
        </w:rPr>
        <w:t>1. Демонтиране и деконтаминиране:</w:t>
      </w:r>
    </w:p>
    <w:p>
      <w:pPr>
        <w:pStyle w:val="Bullet0"/>
        <w:numPr>
          <w:ilvl w:val="0"/>
          <w:numId w:val="11"/>
        </w:numPr>
        <w:rPr>
          <w:noProof/>
        </w:rPr>
      </w:pPr>
      <w:r>
        <w:rPr>
          <w:noProof/>
        </w:rPr>
        <w:t>количество и вид на отстранените материали.</w:t>
      </w:r>
    </w:p>
    <w:p>
      <w:pPr>
        <w:rPr>
          <w:noProof/>
        </w:rPr>
      </w:pPr>
      <w:r>
        <w:rPr>
          <w:noProof/>
        </w:rPr>
        <w:t>2. Управление на радиоактивните отпадъци:</w:t>
      </w:r>
    </w:p>
    <w:p>
      <w:pPr>
        <w:pStyle w:val="Bullet0"/>
        <w:rPr>
          <w:noProof/>
        </w:rPr>
      </w:pPr>
      <w:r>
        <w:rPr>
          <w:noProof/>
        </w:rPr>
        <w:t xml:space="preserve">количество и вид на безопасно съхранените или погребани отпадъци. </w:t>
      </w:r>
    </w:p>
    <w:p>
      <w:pPr>
        <w:rPr>
          <w:noProof/>
        </w:rPr>
      </w:pPr>
      <w:r>
        <w:rPr>
          <w:noProof/>
        </w:rPr>
        <w:t>3. Разпространение на знания:</w:t>
      </w:r>
    </w:p>
    <w:p>
      <w:pPr>
        <w:pStyle w:val="Bullet0"/>
        <w:rPr>
          <w:noProof/>
        </w:rPr>
      </w:pPr>
      <w:r>
        <w:rPr>
          <w:noProof/>
        </w:rPr>
        <w:t>брой на създадените продукти на знанието и тяхното популяризиране.</w:t>
      </w:r>
    </w:p>
    <w:p>
      <w:pPr>
        <w:pStyle w:val="Text1"/>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AE61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4CE6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2247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66F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C92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ED43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F8C550"/>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EB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2"/>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8 08:30: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D09B1416-BEC4-42C4-8807-C2DBD7627B89"/>
    <w:docVar w:name="LW_COVERPAGE_TYPE" w:val="1"/>
    <w:docVar w:name="LW_CROSSREFERENCE" w:val="{SWD(2018) 342 final}"/>
    <w:docVar w:name="LW_DocType" w:val="ANNEX"/>
    <w:docVar w:name="LW_EMISSION" w:val="13.6.2018"/>
    <w:docVar w:name="LW_EMISSION_ISODATE" w:val="2018-06-13"/>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98?\u1079?\u1076?\u1072?\u1074?\u1072?\u1085?\u1077? \u1085?\u1072? \u1087?\u1088?\u1086?\u1075?\u1088?\u1072?\u1084?\u1072? \u1079?\u1072? \u1087?\u1086?\u1076?\u1087?\u1086?\u1084?\u1072?\u1075?\u1072?\u1085?\u1077? \u1085?\u1072? \u1080?\u1079?\u1074?\u1077?\u1078?\u1076?\u1072?\u1085?\u1077?\u1090?\u1086? \u1086?\u1090? \u1077?\u1082?\u1089?\u1087?\u1083?\u1086?\u1072?\u1090?\u1072?\u1094?\u1080?\u1103? \u1085?\u1072? \u1103?\u1076?\u1088?\u1077?\u1085?\u1072?\u1090?\u1072? \u1094?\u1077?\u1085?\u1090?\u1088?\u1072?\u1083?\u1072? \u8222?\u1048?\u1075?\u1085?\u1072?\u1083?\u1080?\u1085?\u1072?\u8220? \u1074? \u1051?\u1080?\u1090?\u1074?\u1072? (\u1087?\u1088?\u1086?\u1075?\u1088?\u1072?\u1084?\u1072? \u8222?\u1048?\u1075?\u1085?\u1072?\u1083?\u1080?\u1085?\u1072?\u8220?) \u1080? \u1079?\u1072? \u1086?\u1090?\u1084?\u1103?\u1085?\u1072? \u1085?\u1072? \u1056?\u1077?\u1075?\u1083?\u1072?\u1084?\u1077?\u1085?\u1090? (\u1045?\u1057?) \u8470?&lt;LWCR:NBS&gt;1369/2013 \u1085?\u1072? \u1057?\u1098?\u1074?\u1077?\u1090?\u1072?_x000b_"/>
    <w:docVar w:name="LW_OBJETACTEPRINCIPAL.CP" w:val="\u1079?\u1072? \u1089?\u1098?\u1079?\u1076?\u1072?\u1074?\u1072?\u1085?\u1077? \u1085?\u1072? \u1087?\u1088?\u1086?\u1075?\u1088?\u1072?\u1084?\u1072? \u1079?\u1072? \u1087?\u1086?\u1076?\u1087?\u1086?\u1084?\u1072?\u1075?\u1072?\u1085?\u1077? \u1085?\u1072? \u1080?\u1079?\u1074?\u1077?\u1078?\u1076?\u1072?\u1085?\u1077?\u1090?\u1086? \u1086?\u1090? \u1077?\u1082?\u1089?\u1087?\u1083?\u1086?\u1072?\u1090?\u1072?\u1094?\u1080?\u1103? \u1085?\u1072? \u1103?\u1076?\u1088?\u1077?\u1085?\u1072?\u1090?\u1072? \u1094?\u1077?\u1085?\u1090?\u1088?\u1072?\u1083?\u1072? \u8222?\u1048?\u1075?\u1085?\u1072?\u1083?\u1080?\u1085?\u1072?\u8220? \u1074? \u1051?\u1080?\u1090?\u1074?\u1072? (\u1087?\u1088?\u1086?\u1075?\u1088?\u1072?\u1084?\u1072? \u8222?\u1048?\u1075?\u1085?\u1072?\u1083?\u1080?\u1085?\u1072?\u8220?) \u1080? \u1079?\u1072? \u1086?\u1090?\u1084?\u1103?\u1085?\u1072? \u1085?\u1072? \u1056?\u1077?\u1075?\u1083?\u1072?\u1084?\u1077?\u1085?\u1090? (\u1045?\u1057?) \u8470? 1369/2013 \u1085?\u1072? \u1057?\u1098?\u1074?\u1077?\u1090?\u1072?_x000b_"/>
    <w:docVar w:name="LW_PART_NBR" w:val="&lt;UNUSED&gt;"/>
    <w:docVar w:name="LW_PART_NBR_TOTAL" w:val="&lt;UNUSED&gt;"/>
    <w:docVar w:name="LW_REF.INST.NEW" w:val="COM"/>
    <w:docVar w:name="LW_REF.INST.NEW_ADOPTED" w:val="final"/>
    <w:docVar w:name="LW_REF.INST.NEW_TEXT" w:val="(2018)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75?\u1083?\u1072?\u1084?\u1077?\u1085?\u1090? \u1085?\u1072? \u1057?\u1098?\u1074?\u1077?\u1090?\u1072?"/>
    <w:docVar w:name="LW_TYPEACTEPRINCIPAL.CP" w:val="\u1055?\u1088?\u1077?\u1076?\u1083?\u1086?\u1078?\u1077?\u1085?\u1080?\u1077? \u1079?\u1072? \u1056?\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913</Words>
  <Characters>5873</Characters>
  <Application>Microsoft Office Word</Application>
  <DocSecurity>0</DocSecurity>
  <Lines>146</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2018-06-06T15:18:00Z</cp:lastPrinted>
  <dcterms:created xsi:type="dcterms:W3CDTF">2018-06-15T12:19:00Z</dcterms:created>
  <dcterms:modified xsi:type="dcterms:W3CDTF">2018-06-18T06:30:00Z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