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3215F5D-F3E1-47DA-BE07-6AE009115E82" style="width:450.75pt;height:411pt">
            <v:imagedata r:id="rId8" o:title=""/>
          </v:shape>
        </w:pict>
      </w:r>
    </w:p>
    <w:p>
      <w:pPr>
        <w:pStyle w:val="Pagedecouverture"/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color w:val="0000FF"/>
        </w:rPr>
      </w:pPr>
      <w:bookmarkStart w:id="0" w:name="_GoBack"/>
      <w:bookmarkEnd w:id="0"/>
      <w:r>
        <w:rPr>
          <w:noProof/>
          <w:color w:val="0000FF"/>
        </w:rPr>
        <w:lastRenderedPageBreak/>
        <w:t xml:space="preserve">ПРИЛОЖЕНИЕ I </w:t>
      </w:r>
    </w:p>
    <w:p>
      <w:pPr>
        <w:jc w:val="center"/>
        <w:rPr>
          <w:rStyle w:val="Marker"/>
          <w:noProof/>
        </w:rPr>
      </w:pPr>
      <w:r>
        <w:rPr>
          <w:noProof/>
        </w:rPr>
        <w:t>ВИДОВЕ УПОТРЕБА И МИНИМАЛНИ ИЗИСКВАНИЯ</w:t>
      </w:r>
    </w:p>
    <w:p>
      <w:pPr>
        <w:rPr>
          <w:noProof/>
        </w:rPr>
      </w:pPr>
      <w:r>
        <w:rPr>
          <w:b/>
          <w:noProof/>
        </w:rPr>
        <w:t xml:space="preserve">Раздел 1. </w:t>
      </w:r>
      <w:r>
        <w:rPr>
          <w:noProof/>
        </w:rPr>
        <w:tab/>
      </w:r>
      <w:r>
        <w:rPr>
          <w:b/>
          <w:noProof/>
        </w:rPr>
        <w:t>Видове употреба на рециклиранa водa съгласно посоченото в член 2</w:t>
      </w:r>
    </w:p>
    <w:p>
      <w:pPr>
        <w:pStyle w:val="Point0"/>
        <w:rPr>
          <w:noProof/>
        </w:rPr>
      </w:pPr>
      <w:r>
        <w:rPr>
          <w:noProof/>
        </w:rPr>
        <w:t>а)</w:t>
      </w:r>
      <w:r>
        <w:rPr>
          <w:noProof/>
        </w:rPr>
        <w:tab/>
        <w:t>Напояване в селското стопанство</w:t>
      </w:r>
    </w:p>
    <w:p>
      <w:pPr>
        <w:rPr>
          <w:noProof/>
        </w:rPr>
      </w:pPr>
      <w:r>
        <w:rPr>
          <w:noProof/>
        </w:rPr>
        <w:t xml:space="preserve">Напояване в селското стопанство означава напояване на следните видове култури: </w:t>
      </w:r>
    </w:p>
    <w:p>
      <w:pPr>
        <w:pStyle w:val="Bullet1"/>
        <w:numPr>
          <w:ilvl w:val="0"/>
          <w:numId w:val="10"/>
        </w:numPr>
        <w:ind w:left="1418" w:hanging="568"/>
        <w:rPr>
          <w:noProof/>
        </w:rPr>
      </w:pPr>
      <w:r>
        <w:rPr>
          <w:noProof/>
        </w:rPr>
        <w:t>хранителни култури, които се консумират сурови, което означава култури, предназначени за консумация от човека в суров или непреработен вид;</w:t>
      </w:r>
    </w:p>
    <w:p>
      <w:pPr>
        <w:pStyle w:val="Bullet1"/>
        <w:numPr>
          <w:ilvl w:val="0"/>
          <w:numId w:val="10"/>
        </w:numPr>
        <w:ind w:left="1418" w:hanging="568"/>
        <w:rPr>
          <w:noProof/>
        </w:rPr>
      </w:pPr>
      <w:r>
        <w:rPr>
          <w:noProof/>
        </w:rPr>
        <w:t>преработени хранителни култури, което означава култури, предназначени за консумация от човека, но не в суров вид, а след процес на обработка (т.е. сготвени, преминали през промишлена преработка);</w:t>
      </w:r>
    </w:p>
    <w:p>
      <w:pPr>
        <w:pStyle w:val="Bullet1"/>
        <w:numPr>
          <w:ilvl w:val="0"/>
          <w:numId w:val="10"/>
        </w:numPr>
        <w:ind w:left="1418" w:hanging="568"/>
        <w:rPr>
          <w:noProof/>
        </w:rPr>
      </w:pPr>
      <w:r>
        <w:rPr>
          <w:noProof/>
        </w:rPr>
        <w:t>нехранителни култури, което означава култури, непредназначени за консумация от човека (например пасищни култури, фуражни, влакнодайни, за декоративни цели, за семена, за производство на енергия и за тревни площи).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Раздел 2. </w:t>
      </w:r>
      <w:r>
        <w:rPr>
          <w:noProof/>
        </w:rPr>
        <w:tab/>
      </w:r>
      <w:r>
        <w:rPr>
          <w:b/>
          <w:noProof/>
        </w:rPr>
        <w:t>Минимални изисквания</w:t>
      </w:r>
    </w:p>
    <w:p>
      <w:pPr>
        <w:rPr>
          <w:noProof/>
        </w:rPr>
      </w:pPr>
      <w:r>
        <w:rPr>
          <w:b/>
          <w:noProof/>
        </w:rPr>
        <w:t>2.1. Минимални изисквания, приложими към рециклирана вода, предназначена да се използва за напояване в селското стопанство</w:t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Класовете на качеството на рециклираната вода и допустимата употреба и методи за напояване за всеки клас са посочени в таблица 1. Минималните изисквания за качеството на водата са посочени в таблица 2, буква а). Минималната честота и целите за ефективност на мониторинга на рециклираната вода са посочени в таблица 3, буква б) (редовен мониторинг) и в таблица 4 (мониторинг за валидиране).</w:t>
      </w:r>
    </w:p>
    <w:p>
      <w:pPr>
        <w:rPr>
          <w:noProof/>
        </w:rPr>
      </w:pPr>
      <w:r>
        <w:rPr>
          <w:b/>
          <w:noProof/>
        </w:rPr>
        <w:t xml:space="preserve">Таблица 1 Класове на качеството на рециклираната вода, допустима за употреба в селското стопанство, и методи за напояване </w:t>
      </w:r>
    </w:p>
    <w:tbl>
      <w:tblPr>
        <w:tblStyle w:val="GridTable4-Accent12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212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>
            <w:pPr>
              <w:jc w:val="center"/>
              <w:rPr>
                <w:rFonts w:ascii="Verdana" w:eastAsia="Times New Roman" w:hAnsi="Verdana"/>
                <w:i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Минимален клас на качеството на рециклираната вода </w:t>
            </w:r>
          </w:p>
        </w:tc>
        <w:tc>
          <w:tcPr>
            <w:tcW w:w="4252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Категория култура</w:t>
            </w:r>
          </w:p>
        </w:tc>
        <w:tc>
          <w:tcPr>
            <w:tcW w:w="2127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Метод за напояване 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А </w:t>
            </w:r>
          </w:p>
        </w:tc>
        <w:tc>
          <w:tcPr>
            <w:tcW w:w="4252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Всички хранителни култури, включително кореноплодни култури, които се консумират сурови, и хранителни култури, при които годната за консумация част влиза в пряк контакт с рециклираната вода</w:t>
            </w:r>
          </w:p>
        </w:tc>
        <w:tc>
          <w:tcPr>
            <w:tcW w:w="2127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Всички методи за напояване </w:t>
            </w:r>
          </w:p>
        </w:tc>
      </w:tr>
      <w:tr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Б</w:t>
            </w:r>
            <w:r>
              <w:rPr>
                <w:rFonts w:ascii="Verdana" w:hAnsi="Verdana"/>
                <w:noProof/>
                <w:color w:val="000000"/>
                <w:sz w:val="16"/>
              </w:rPr>
              <w:t xml:space="preserve"> 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</w:rPr>
              <w:t>Хранителни култури, които се консумират сурови и при които годната за консумация част е над земята и не влиза в пряк контакт с рециклираната вода, преработени хранителни култури и нехранителни култури, включително култури за хранене на животни, отглеждани за производство на мляко или месо</w:t>
            </w:r>
          </w:p>
        </w:tc>
        <w:tc>
          <w:tcPr>
            <w:tcW w:w="2127" w:type="dxa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Всички методи за напояване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>
            <w:pPr>
              <w:rPr>
                <w:rFonts w:ascii="Verdana" w:hAnsi="Verdana"/>
                <w:noProof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</w:t>
            </w:r>
          </w:p>
        </w:tc>
        <w:tc>
          <w:tcPr>
            <w:tcW w:w="4252" w:type="dxa"/>
            <w:vMerge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Само капково напояване* </w:t>
            </w:r>
          </w:p>
        </w:tc>
      </w:tr>
      <w:tr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auto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Г</w:t>
            </w:r>
          </w:p>
        </w:tc>
        <w:tc>
          <w:tcPr>
            <w:tcW w:w="4252" w:type="dxa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Индустриални, енергийни и семенни култури</w:t>
            </w:r>
          </w:p>
        </w:tc>
        <w:tc>
          <w:tcPr>
            <w:tcW w:w="2127" w:type="dxa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Всички методи за напояване </w:t>
            </w:r>
          </w:p>
        </w:tc>
      </w:tr>
    </w:tbl>
    <w:p>
      <w:pPr>
        <w:rPr>
          <w:noProof/>
          <w:sz w:val="20"/>
          <w:szCs w:val="20"/>
        </w:rPr>
      </w:pPr>
      <w:r>
        <w:rPr>
          <w:noProof/>
          <w:sz w:val="20"/>
        </w:rPr>
        <w:t xml:space="preserve">(*) Капковото напояване (наричано също така микрооросяване) е система за микронапояване, която е в състояние да отвежда водни капки или тънки струйки до растенията, като водата капе върху почвата или директно под повърхността много бавно (2—20 литра на час) от система с пластмасови тръби с малък диаметър с поставени изводи, които се наричат капкообразуватели или дюзи. </w:t>
      </w: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Минимални изисквания за качеството на водата</w:t>
      </w:r>
    </w:p>
    <w:p>
      <w:pPr>
        <w:rPr>
          <w:b/>
          <w:iCs/>
          <w:noProof/>
        </w:rPr>
      </w:pPr>
      <w:bookmarkStart w:id="1" w:name="_Ref462911051"/>
      <w:bookmarkStart w:id="2" w:name="_Ref462911044"/>
      <w:bookmarkStart w:id="3" w:name="_Toc485022168"/>
    </w:p>
    <w:p>
      <w:pPr>
        <w:rPr>
          <w:b/>
          <w:iCs/>
          <w:noProof/>
        </w:rPr>
      </w:pPr>
    </w:p>
    <w:p>
      <w:pPr>
        <w:rPr>
          <w:b/>
          <w:iCs/>
          <w:noProof/>
        </w:rPr>
      </w:pPr>
      <w:r>
        <w:rPr>
          <w:b/>
          <w:noProof/>
        </w:rPr>
        <w:t xml:space="preserve">Таблица </w:t>
      </w:r>
      <w:bookmarkEnd w:id="1"/>
      <w:r>
        <w:rPr>
          <w:b/>
          <w:noProof/>
        </w:rPr>
        <w:t>2 Изисквания за качеството на рециклираната вода за напояване в селското стопанство</w:t>
      </w:r>
      <w:bookmarkEnd w:id="2"/>
      <w:bookmarkEnd w:id="3"/>
    </w:p>
    <w:tbl>
      <w:tblPr>
        <w:tblStyle w:val="GridTable4-Accent13"/>
        <w:tblW w:w="928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276"/>
        <w:gridCol w:w="1276"/>
        <w:gridCol w:w="1134"/>
        <w:gridCol w:w="567"/>
        <w:gridCol w:w="13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>
            <w:pPr>
              <w:jc w:val="center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Клас на качеството на рециклираната вода</w:t>
            </w:r>
          </w:p>
        </w:tc>
        <w:tc>
          <w:tcPr>
            <w:tcW w:w="1276" w:type="dxa"/>
            <w:vMerge w:val="restart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Индикативна технологична цел</w:t>
            </w:r>
          </w:p>
        </w:tc>
        <w:tc>
          <w:tcPr>
            <w:tcW w:w="5387" w:type="dxa"/>
            <w:gridSpan w:val="5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Изисквания за качество</w:t>
            </w:r>
          </w:p>
        </w:tc>
        <w:tc>
          <w:tcPr>
            <w:tcW w:w="1384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>
            <w:pPr>
              <w:jc w:val="center"/>
              <w:rPr>
                <w:rFonts w:ascii="Verdana" w:eastAsia="Times New Roman" w:hAnsi="Verdana"/>
                <w:i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/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i/>
                <w:noProof/>
                <w:sz w:val="16"/>
              </w:rPr>
              <w:t>E. coli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(cfu/100 ml)</w:t>
            </w:r>
          </w:p>
        </w:tc>
        <w:tc>
          <w:tcPr>
            <w:tcW w:w="1276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BOD</w:t>
            </w:r>
            <w:r>
              <w:rPr>
                <w:rFonts w:ascii="Verdana" w:hAnsi="Verdana"/>
                <w:noProof/>
                <w:sz w:val="16"/>
                <w:vertAlign w:val="subscript"/>
              </w:rPr>
              <w:t>5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(mg/l)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TSS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(mg/l)</w:t>
            </w:r>
          </w:p>
        </w:tc>
        <w:tc>
          <w:tcPr>
            <w:tcW w:w="1134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Мътност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(NTU)</w:t>
            </w:r>
          </w:p>
        </w:tc>
        <w:tc>
          <w:tcPr>
            <w:tcW w:w="1951" w:type="dxa"/>
            <w:gridSpan w:val="2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Друго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>
            <w:pPr>
              <w:jc w:val="center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Вторично пречистване, филтруване и дезинфекция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10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или под границата на откриване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10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10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5</w:t>
            </w:r>
          </w:p>
        </w:tc>
        <w:tc>
          <w:tcPr>
            <w:tcW w:w="1951" w:type="dxa"/>
            <w:gridSpan w:val="2"/>
            <w:vMerge w:val="restart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i/>
                <w:noProof/>
                <w:sz w:val="16"/>
              </w:rPr>
              <w:t>Legionella</w:t>
            </w:r>
            <w:r>
              <w:rPr>
                <w:rFonts w:ascii="Verdana" w:hAnsi="Verdana"/>
                <w:noProof/>
                <w:sz w:val="16"/>
              </w:rPr>
              <w:t xml:space="preserve"> spp.: &lt; 1000 cfu/l, когато съществува риск от аерозолизация в парници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Чревни нематоди (яйца на хелминти): ≤ 1 яйце/l за напояване на пасищни или фуражни култури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</w:tr>
      <w:tr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>
            <w:pPr>
              <w:jc w:val="center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Б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Вторично пречистване и дезинфекция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Съгласно Директива 91/271/ЕИО на Съвета</w:t>
            </w:r>
            <w:r>
              <w:rPr>
                <w:rStyle w:val="FootnoteReference"/>
                <w:noProof/>
              </w:rPr>
              <w:footnoteReference w:id="1"/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(Приложение I, таблица 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Съгласно Директива 91/271/ЕИО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(Приложение I, таблица 1)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-</w:t>
            </w:r>
          </w:p>
        </w:tc>
        <w:tc>
          <w:tcPr>
            <w:tcW w:w="1951" w:type="dxa"/>
            <w:gridSpan w:val="2"/>
            <w:vMerge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>
            <w:pPr>
              <w:jc w:val="center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Вторично пречистване и дезинфекция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1 000</w:t>
            </w:r>
          </w:p>
        </w:tc>
        <w:tc>
          <w:tcPr>
            <w:tcW w:w="1276" w:type="dxa"/>
            <w:vMerge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-</w:t>
            </w:r>
          </w:p>
        </w:tc>
        <w:tc>
          <w:tcPr>
            <w:tcW w:w="1951" w:type="dxa"/>
            <w:gridSpan w:val="2"/>
            <w:vMerge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</w:tr>
      <w:tr>
        <w:trPr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>
            <w:pPr>
              <w:jc w:val="center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Вторично пречистване и дезинфекция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≤ 10 000</w:t>
            </w:r>
          </w:p>
        </w:tc>
        <w:tc>
          <w:tcPr>
            <w:tcW w:w="1276" w:type="dxa"/>
            <w:vMerge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-</w:t>
            </w:r>
          </w:p>
        </w:tc>
        <w:tc>
          <w:tcPr>
            <w:tcW w:w="1951" w:type="dxa"/>
            <w:gridSpan w:val="2"/>
            <w:vMerge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</w:tr>
    </w:tbl>
    <w:p>
      <w:pPr>
        <w:rPr>
          <w:rFonts w:eastAsia="Times New Roman"/>
          <w:noProof/>
          <w:szCs w:val="24"/>
        </w:rPr>
      </w:pPr>
      <w:r>
        <w:rPr>
          <w:noProof/>
        </w:rPr>
        <w:t>Рециклираната вода ще се счита за отговаряща на изискванията, посочени в таблица 2, ако измерванията изпълняват всички следни критерии:</w:t>
      </w:r>
    </w:p>
    <w:p>
      <w:pPr>
        <w:pStyle w:val="Bullet0"/>
        <w:numPr>
          <w:ilvl w:val="0"/>
          <w:numId w:val="9"/>
        </w:numPr>
        <w:rPr>
          <w:noProof/>
        </w:rPr>
      </w:pPr>
      <w:r>
        <w:rPr>
          <w:noProof/>
        </w:rPr>
        <w:t xml:space="preserve">Посочените стойности за </w:t>
      </w:r>
      <w:r>
        <w:rPr>
          <w:i/>
          <w:noProof/>
        </w:rPr>
        <w:t>E. coli</w:t>
      </w:r>
      <w:r>
        <w:rPr>
          <w:noProof/>
        </w:rPr>
        <w:t>,</w:t>
      </w:r>
      <w:r>
        <w:rPr>
          <w:i/>
          <w:noProof/>
        </w:rPr>
        <w:t xml:space="preserve"> Legionella</w:t>
      </w:r>
      <w:r>
        <w:rPr>
          <w:noProof/>
        </w:rPr>
        <w:t xml:space="preserve"> </w:t>
      </w:r>
      <w:r>
        <w:rPr>
          <w:i/>
          <w:noProof/>
        </w:rPr>
        <w:t>spp</w:t>
      </w:r>
      <w:r>
        <w:rPr>
          <w:noProof/>
        </w:rPr>
        <w:t xml:space="preserve"> и чревни нематоди са спазени в 90 % или повече от пробите. Нито една от стойностите в пробите не може да надхвърля максималното отклонение с 1 логаритмична единица от посочената стойност за </w:t>
      </w:r>
      <w:r>
        <w:rPr>
          <w:i/>
          <w:noProof/>
        </w:rPr>
        <w:t>E. coli</w:t>
      </w:r>
      <w:r>
        <w:rPr>
          <w:noProof/>
        </w:rPr>
        <w:t xml:space="preserve"> и </w:t>
      </w:r>
      <w:r>
        <w:rPr>
          <w:i/>
          <w:noProof/>
        </w:rPr>
        <w:t>Legionella</w:t>
      </w:r>
      <w:r>
        <w:rPr>
          <w:noProof/>
        </w:rPr>
        <w:t xml:space="preserve"> и 100 % от посочената стойност за чревни нематоди.</w:t>
      </w:r>
    </w:p>
    <w:p>
      <w:pPr>
        <w:pStyle w:val="Bullet0"/>
        <w:numPr>
          <w:ilvl w:val="0"/>
          <w:numId w:val="15"/>
        </w:numPr>
        <w:rPr>
          <w:noProof/>
        </w:rPr>
      </w:pPr>
      <w:r>
        <w:rPr>
          <w:noProof/>
        </w:rPr>
        <w:t>Посочените стойности за BOD</w:t>
      </w:r>
      <w:r>
        <w:rPr>
          <w:noProof/>
          <w:vertAlign w:val="subscript"/>
        </w:rPr>
        <w:t>5</w:t>
      </w:r>
      <w:r>
        <w:rPr>
          <w:noProof/>
        </w:rPr>
        <w:t xml:space="preserve"> (биологична потребност на кислород), TSS (общо суспендирани вещества) и мътност в клас А са спазени в 90 % или повече от пробите. Нито една от стойностите в пробите не може да надхвърля максималното отклонение от 100 % от посочената стойност.</w:t>
      </w: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Минимални изисквания за мониторинг</w:t>
      </w:r>
    </w:p>
    <w:p>
      <w:pPr>
        <w:rPr>
          <w:noProof/>
          <w:szCs w:val="24"/>
        </w:rPr>
      </w:pPr>
      <w:r>
        <w:rPr>
          <w:noProof/>
        </w:rPr>
        <w:t>Операторите на инсталации за рециклиране извършват редовен мониторинг, за да проверят дали рециклираната вода отговаря на минималните изисквания за качеството на водата, посочени в буква а). Редовният мониторинг е включен в процедурите за проверка на системата за повторно използване на водата.</w:t>
      </w:r>
    </w:p>
    <w:p>
      <w:pPr>
        <w:rPr>
          <w:rFonts w:eastAsia="Times New Roman"/>
          <w:b/>
          <w:iCs/>
          <w:noProof/>
          <w:szCs w:val="24"/>
        </w:rPr>
      </w:pPr>
      <w:r>
        <w:rPr>
          <w:b/>
          <w:noProof/>
        </w:rPr>
        <w:t>Таблица 3 Минимална честота на редовния мониторинг на рециклираната вода за напояване в селското стопанство</w:t>
      </w:r>
    </w:p>
    <w:tbl>
      <w:tblPr>
        <w:tblStyle w:val="GridTable4-Accent12"/>
        <w:tblW w:w="9445" w:type="dxa"/>
        <w:tblLayout w:type="fixed"/>
        <w:tblLook w:val="04A0" w:firstRow="1" w:lastRow="0" w:firstColumn="1" w:lastColumn="0" w:noHBand="0" w:noVBand="1"/>
      </w:tblPr>
      <w:tblGrid>
        <w:gridCol w:w="1435"/>
        <w:gridCol w:w="1345"/>
        <w:gridCol w:w="1443"/>
        <w:gridCol w:w="1352"/>
        <w:gridCol w:w="1260"/>
        <w:gridCol w:w="1350"/>
        <w:gridCol w:w="12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</w:p>
        </w:tc>
        <w:tc>
          <w:tcPr>
            <w:tcW w:w="8010" w:type="dxa"/>
            <w:gridSpan w:val="6"/>
          </w:tcPr>
          <w:p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 w:val="0"/>
                <w:bCs w:val="0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Минимална честота на мониторинга </w:t>
            </w:r>
          </w:p>
          <w:p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4F81BD" w:themeFill="accent1"/>
          </w:tcPr>
          <w:p>
            <w:pPr>
              <w:rPr>
                <w:rFonts w:ascii="Verdana" w:eastAsia="Times New Roman" w:hAnsi="Verdana"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FFFFFF" w:themeColor="background1"/>
                <w:sz w:val="16"/>
              </w:rPr>
              <w:t>Клас на качеството на рециклираната вода</w:t>
            </w:r>
          </w:p>
        </w:tc>
        <w:tc>
          <w:tcPr>
            <w:tcW w:w="1345" w:type="dxa"/>
            <w:shd w:val="clear" w:color="auto" w:fill="4F81BD" w:themeFill="accent1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noProof/>
                <w:color w:val="FFFFFF" w:themeColor="background1"/>
                <w:sz w:val="16"/>
              </w:rPr>
              <w:t>E. coli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Cs/>
                <w:noProof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43" w:type="dxa"/>
            <w:shd w:val="clear" w:color="auto" w:fill="4F81BD" w:themeFill="accent1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16"/>
              </w:rPr>
              <w:t>BOD</w:t>
            </w:r>
            <w:r>
              <w:rPr>
                <w:rFonts w:ascii="Verdana" w:hAnsi="Verdana"/>
                <w:b/>
                <w:noProof/>
                <w:color w:val="FFFFFF" w:themeColor="background1"/>
                <w:sz w:val="16"/>
                <w:vertAlign w:val="subscript"/>
              </w:rPr>
              <w:t>5</w:t>
            </w:r>
          </w:p>
        </w:tc>
        <w:tc>
          <w:tcPr>
            <w:tcW w:w="1352" w:type="dxa"/>
            <w:shd w:val="clear" w:color="auto" w:fill="4F81BD" w:themeFill="accent1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16"/>
              </w:rPr>
              <w:t>TSS</w:t>
            </w:r>
          </w:p>
        </w:tc>
        <w:tc>
          <w:tcPr>
            <w:tcW w:w="1260" w:type="dxa"/>
            <w:shd w:val="clear" w:color="auto" w:fill="4F81BD" w:themeFill="accent1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16"/>
              </w:rPr>
              <w:t>Мътност</w:t>
            </w:r>
          </w:p>
        </w:tc>
        <w:tc>
          <w:tcPr>
            <w:tcW w:w="1350" w:type="dxa"/>
            <w:shd w:val="clear" w:color="auto" w:fill="4F81BD" w:themeFill="accent1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noProof/>
                <w:color w:val="FFFFFF" w:themeColor="background1"/>
                <w:sz w:val="16"/>
              </w:rPr>
              <w:t>Legionella spp.</w:t>
            </w:r>
          </w:p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/>
                <w:i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noProof/>
                <w:color w:val="FFFFFF" w:themeColor="background1"/>
                <w:sz w:val="16"/>
              </w:rPr>
              <w:t>(когато е приложимо)</w:t>
            </w:r>
          </w:p>
        </w:tc>
        <w:tc>
          <w:tcPr>
            <w:tcW w:w="1260" w:type="dxa"/>
            <w:shd w:val="clear" w:color="auto" w:fill="4F81BD" w:themeFill="accent1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noProof/>
                <w:color w:val="FFFFFF" w:themeColor="background1"/>
                <w:sz w:val="16"/>
              </w:rPr>
              <w:t>Чревни нематоди</w:t>
            </w:r>
          </w:p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iCs/>
                <w:noProof/>
                <w:color w:val="FFFFFF" w:themeColor="background1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noProof/>
                <w:color w:val="FFFFFF" w:themeColor="background1"/>
                <w:sz w:val="16"/>
              </w:rPr>
              <w:t>(когато е приложимо)</w:t>
            </w:r>
          </w:p>
        </w:tc>
      </w:tr>
      <w:tr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А</w:t>
            </w:r>
          </w:p>
        </w:tc>
        <w:tc>
          <w:tcPr>
            <w:tcW w:w="1345" w:type="dxa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Веднъж </w:t>
            </w:r>
          </w:p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седмично</w:t>
            </w:r>
          </w:p>
        </w:tc>
        <w:tc>
          <w:tcPr>
            <w:tcW w:w="1443" w:type="dxa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Веднъж </w:t>
            </w:r>
          </w:p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седмично</w:t>
            </w:r>
          </w:p>
        </w:tc>
        <w:tc>
          <w:tcPr>
            <w:tcW w:w="1352" w:type="dxa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Веднъж </w:t>
            </w:r>
          </w:p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седмично</w:t>
            </w:r>
          </w:p>
        </w:tc>
        <w:tc>
          <w:tcPr>
            <w:tcW w:w="1260" w:type="dxa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Непрекъснато </w:t>
            </w:r>
          </w:p>
        </w:tc>
        <w:tc>
          <w:tcPr>
            <w:tcW w:w="1350" w:type="dxa"/>
            <w:vMerge w:val="restart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Веднъж </w:t>
            </w:r>
          </w:p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седмично</w:t>
            </w:r>
          </w:p>
        </w:tc>
        <w:tc>
          <w:tcPr>
            <w:tcW w:w="1260" w:type="dxa"/>
            <w:vMerge w:val="restart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Два пъти месечно или с честота, определена от оператора на инсталацията за рециклиране, в съответствие с броя яйца в отпадъчните води, постъпващи в инсталацията за рециклиране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Б</w:t>
            </w:r>
          </w:p>
        </w:tc>
        <w:tc>
          <w:tcPr>
            <w:tcW w:w="1345" w:type="dxa"/>
            <w:shd w:val="clear" w:color="auto" w:fill="auto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Веднъж </w:t>
            </w:r>
          </w:p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седмично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Съгласно Директива 91/271/ЕИО</w:t>
            </w:r>
          </w:p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(Приложение I, раздел Г)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Съгласно Директива 91/271/ЕИО</w:t>
            </w:r>
          </w:p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(Приложение I, раздел Г)</w:t>
            </w:r>
          </w:p>
        </w:tc>
        <w:tc>
          <w:tcPr>
            <w:tcW w:w="1260" w:type="dxa"/>
            <w:shd w:val="clear" w:color="auto" w:fill="auto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-</w:t>
            </w:r>
          </w:p>
        </w:tc>
        <w:tc>
          <w:tcPr>
            <w:tcW w:w="1350" w:type="dxa"/>
            <w:vMerge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</w:tr>
      <w:tr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</w:t>
            </w:r>
          </w:p>
        </w:tc>
        <w:tc>
          <w:tcPr>
            <w:tcW w:w="1345" w:type="dxa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Два пъти месечно</w:t>
            </w:r>
          </w:p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443" w:type="dxa"/>
            <w:vMerge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352" w:type="dxa"/>
            <w:vMerge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260" w:type="dxa"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-</w:t>
            </w:r>
          </w:p>
        </w:tc>
        <w:tc>
          <w:tcPr>
            <w:tcW w:w="1350" w:type="dxa"/>
            <w:vMerge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auto"/>
          </w:tcPr>
          <w:p>
            <w:pPr>
              <w:rPr>
                <w:rFonts w:ascii="Verdana" w:eastAsia="Times New Roman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Г </w:t>
            </w:r>
          </w:p>
        </w:tc>
        <w:tc>
          <w:tcPr>
            <w:tcW w:w="1345" w:type="dxa"/>
            <w:shd w:val="clear" w:color="auto" w:fill="auto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Два пъти месечно</w:t>
            </w:r>
          </w:p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352" w:type="dxa"/>
            <w:vMerge/>
            <w:shd w:val="clear" w:color="auto" w:fill="auto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-</w:t>
            </w:r>
          </w:p>
        </w:tc>
        <w:tc>
          <w:tcPr>
            <w:tcW w:w="1350" w:type="dxa"/>
            <w:vMerge/>
          </w:tcPr>
          <w:p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iCs/>
                <w:noProof/>
                <w:sz w:val="16"/>
                <w:szCs w:val="16"/>
              </w:rPr>
            </w:pPr>
          </w:p>
        </w:tc>
      </w:tr>
    </w:tbl>
    <w:p>
      <w:pPr>
        <w:rPr>
          <w:rFonts w:eastAsia="Times New Roman"/>
          <w:noProof/>
          <w:szCs w:val="24"/>
        </w:rPr>
      </w:pPr>
    </w:p>
    <w:p>
      <w:pPr>
        <w:rPr>
          <w:rFonts w:eastAsia="Times New Roman"/>
          <w:noProof/>
          <w:szCs w:val="24"/>
        </w:rPr>
      </w:pPr>
      <w:r>
        <w:rPr>
          <w:noProof/>
        </w:rPr>
        <w:t>Трябва да се извършва мониторинг за валидиране преди въвеждането в експлоатация на инсталацията за рециклиране, при модернизирането на оборудването и при добавянето на ново оборудване или процеси.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Извършва се мониторинг за валидиране за класа, за който се прилагат най-строгите изисквания — клас А, за да се оцени дали се спазват целите за ефективност (намаляване в log</w:t>
      </w:r>
      <w:r>
        <w:rPr>
          <w:noProof/>
          <w:vertAlign w:val="subscript"/>
        </w:rPr>
        <w:t>10</w:t>
      </w:r>
      <w:r>
        <w:rPr>
          <w:noProof/>
        </w:rPr>
        <w:t xml:space="preserve">). Мониторингът за валидиране включва мониторинг на индикаторните микроорганизми, свързани с всяка група патогенни организми (бактерии, вируси и протозои). Подбраните индикаторни микроорганизми са </w:t>
      </w:r>
      <w:r>
        <w:rPr>
          <w:i/>
          <w:noProof/>
        </w:rPr>
        <w:t>E. coli</w:t>
      </w:r>
      <w:r>
        <w:rPr>
          <w:noProof/>
        </w:rPr>
        <w:t xml:space="preserve"> за патогенни бактерии, F-специфични колифаги, соматични колифаги или колифаги за патогенни вируси, както и спори на </w:t>
      </w:r>
      <w:r>
        <w:rPr>
          <w:i/>
          <w:noProof/>
        </w:rPr>
        <w:t>Clostridium perfringens</w:t>
      </w:r>
      <w:r>
        <w:rPr>
          <w:noProof/>
        </w:rPr>
        <w:t xml:space="preserve"> или спорообразуващи сулфат-редуциращи бактерии за протозои. Целите за ефективност (намаляване в log</w:t>
      </w:r>
      <w:r>
        <w:rPr>
          <w:noProof/>
          <w:vertAlign w:val="subscript"/>
        </w:rPr>
        <w:t>10</w:t>
      </w:r>
      <w:r>
        <w:rPr>
          <w:noProof/>
        </w:rPr>
        <w:t xml:space="preserve">) по отношение на мониторинга за валидиране на подбраните индикаторни микроорганизми са посочени в таблица 4 и трябва да бъдат изпълнени на изхода на инсталацията за рециклиране (мястото на определяне на съответствието), като се вземат предвид концентрациите в непреработените отпадъчни води, постъпващи в градската пречиствателна станция за отпадъчни води. </w:t>
      </w:r>
    </w:p>
    <w:p>
      <w:pPr>
        <w:rPr>
          <w:b/>
          <w:noProof/>
        </w:rPr>
      </w:pPr>
      <w:bookmarkStart w:id="4" w:name="_Ref462837836"/>
      <w:bookmarkStart w:id="5" w:name="_Ref468289483"/>
      <w:bookmarkStart w:id="6" w:name="_Toc485022171"/>
      <w:r>
        <w:rPr>
          <w:b/>
          <w:noProof/>
        </w:rPr>
        <w:t xml:space="preserve">Таблица </w:t>
      </w:r>
      <w:bookmarkEnd w:id="4"/>
      <w:bookmarkEnd w:id="5"/>
      <w:r>
        <w:rPr>
          <w:b/>
          <w:noProof/>
        </w:rPr>
        <w:t>4 Мониторинг за валидиране на рециклирана вода за напояване в селското стопанство</w:t>
      </w:r>
      <w:bookmarkEnd w:id="6"/>
    </w:p>
    <w:tbl>
      <w:tblPr>
        <w:tblStyle w:val="GridTable4-Accent12"/>
        <w:tblW w:w="9039" w:type="dxa"/>
        <w:tblLook w:val="04A0" w:firstRow="1" w:lastRow="0" w:firstColumn="1" w:lastColumn="0" w:noHBand="0" w:noVBand="1"/>
      </w:tblPr>
      <w:tblGrid>
        <w:gridCol w:w="1636"/>
        <w:gridCol w:w="4202"/>
        <w:gridCol w:w="32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</w:tcPr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Клас на </w:t>
            </w:r>
          </w:p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качеството на</w:t>
            </w:r>
          </w:p>
          <w:p>
            <w:pPr>
              <w:rPr>
                <w:noProof/>
              </w:rPr>
            </w:pPr>
            <w:r>
              <w:rPr>
                <w:rFonts w:ascii="Verdana" w:hAnsi="Verdana"/>
                <w:noProof/>
                <w:sz w:val="16"/>
              </w:rPr>
              <w:t>рециклираната вода</w:t>
            </w:r>
          </w:p>
        </w:tc>
        <w:tc>
          <w:tcPr>
            <w:tcW w:w="4202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Индикаторни микроорганизми</w:t>
            </w:r>
            <w:r>
              <w:rPr>
                <w:rFonts w:eastAsia="Times New Roman"/>
                <w:noProof/>
                <w:szCs w:val="24"/>
                <w:lang w:val="en-US" w:eastAsia="it-IT"/>
              </w:rPr>
              <w:t>(*)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3201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Цели за ефективност на веригата на пречистване</w:t>
            </w:r>
          </w:p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Намаляване в log</w:t>
            </w:r>
            <w:r>
              <w:rPr>
                <w:rFonts w:ascii="Verdana" w:hAnsi="Verdana"/>
                <w:noProof/>
                <w:sz w:val="16"/>
                <w:vertAlign w:val="subscript"/>
              </w:rPr>
              <w:t>10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 w:val="restart"/>
            <w:shd w:val="clear" w:color="auto" w:fill="auto"/>
          </w:tcPr>
          <w:p>
            <w:pPr>
              <w:rPr>
                <w:noProof/>
              </w:rPr>
            </w:pPr>
            <w:r>
              <w:rPr>
                <w:rFonts w:ascii="Verdana" w:hAnsi="Verdana"/>
                <w:noProof/>
                <w:sz w:val="16"/>
              </w:rPr>
              <w:t>А</w:t>
            </w:r>
          </w:p>
        </w:tc>
        <w:tc>
          <w:tcPr>
            <w:tcW w:w="4202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i/>
                <w:noProof/>
                <w:sz w:val="16"/>
              </w:rPr>
              <w:t xml:space="preserve">E. coli </w:t>
            </w:r>
          </w:p>
        </w:tc>
        <w:tc>
          <w:tcPr>
            <w:tcW w:w="3201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≥ 5,0</w:t>
            </w:r>
          </w:p>
        </w:tc>
      </w:tr>
      <w:tr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4202" w:type="dxa"/>
            <w:shd w:val="clear" w:color="auto" w:fill="auto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Общо количество колифаги/F-специфични колифаги/ соматични колифаги/колифаги(**) </w:t>
            </w:r>
          </w:p>
        </w:tc>
        <w:tc>
          <w:tcPr>
            <w:tcW w:w="3201" w:type="dxa"/>
            <w:shd w:val="clear" w:color="auto" w:fill="auto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≥ 6,0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6" w:type="dxa"/>
            <w:vMerge/>
            <w:shd w:val="clear" w:color="auto" w:fill="auto"/>
          </w:tcPr>
          <w:p>
            <w:pPr>
              <w:rPr>
                <w:noProof/>
              </w:rPr>
            </w:pPr>
          </w:p>
        </w:tc>
        <w:tc>
          <w:tcPr>
            <w:tcW w:w="4202" w:type="dxa"/>
            <w:shd w:val="clear" w:color="auto" w:fill="auto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ascii="Verdana" w:hAnsi="Verdana"/>
                <w:noProof/>
                <w:sz w:val="16"/>
              </w:rPr>
              <w:t xml:space="preserve">Спори на </w:t>
            </w:r>
            <w:r>
              <w:rPr>
                <w:rFonts w:ascii="Verdana" w:hAnsi="Verdana"/>
                <w:i/>
                <w:noProof/>
                <w:sz w:val="16"/>
              </w:rPr>
              <w:t>Clostridium perfringens</w:t>
            </w:r>
            <w:r>
              <w:rPr>
                <w:rFonts w:ascii="Verdana" w:hAnsi="Verdana"/>
                <w:noProof/>
                <w:sz w:val="16"/>
              </w:rPr>
              <w:t>/спорообразуващи сулфат-редуциращи бактерии(***)</w:t>
            </w:r>
          </w:p>
        </w:tc>
        <w:tc>
          <w:tcPr>
            <w:tcW w:w="3201" w:type="dxa"/>
            <w:shd w:val="clear" w:color="auto" w:fill="auto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ascii="Verdana" w:hAnsi="Verdana"/>
                <w:noProof/>
                <w:sz w:val="16"/>
              </w:rPr>
              <w:t>≥ 5,0</w:t>
            </w:r>
          </w:p>
        </w:tc>
      </w:tr>
    </w:tbl>
    <w:p>
      <w:pPr>
        <w:pStyle w:val="EndnoteText"/>
        <w:rPr>
          <w:noProof/>
        </w:rPr>
      </w:pPr>
      <w:r>
        <w:rPr>
          <w:rFonts w:eastAsia="Times New Roman"/>
          <w:noProof/>
          <w:szCs w:val="24"/>
          <w:lang w:eastAsia="it-IT"/>
        </w:rPr>
        <w:t xml:space="preserve">(*) Референтните патогенни организми </w:t>
      </w:r>
      <w:r>
        <w:rPr>
          <w:rFonts w:eastAsia="Times New Roman"/>
          <w:noProof/>
          <w:szCs w:val="24"/>
          <w:lang w:val="en-US" w:eastAsia="it-IT"/>
        </w:rPr>
        <w:t>Campylobacter</w:t>
      </w:r>
      <w:r>
        <w:rPr>
          <w:rFonts w:eastAsia="Times New Roman"/>
          <w:noProof/>
          <w:szCs w:val="24"/>
          <w:lang w:eastAsia="it-IT"/>
        </w:rPr>
        <w:t xml:space="preserve">, </w:t>
      </w:r>
      <w:r>
        <w:rPr>
          <w:rFonts w:eastAsia="Times New Roman"/>
          <w:noProof/>
          <w:szCs w:val="24"/>
          <w:lang w:val="en-US" w:eastAsia="it-IT"/>
        </w:rPr>
        <w:t>Rotavirus</w:t>
      </w:r>
      <w:r>
        <w:rPr>
          <w:rFonts w:eastAsia="Times New Roman"/>
          <w:noProof/>
          <w:szCs w:val="24"/>
          <w:lang w:eastAsia="it-IT"/>
        </w:rPr>
        <w:t xml:space="preserve"> и </w:t>
      </w:r>
      <w:r>
        <w:rPr>
          <w:rFonts w:eastAsia="Times New Roman"/>
          <w:noProof/>
          <w:szCs w:val="24"/>
          <w:lang w:val="en-US" w:eastAsia="it-IT"/>
        </w:rPr>
        <w:t>Cryptosporidium</w:t>
      </w:r>
      <w:r>
        <w:rPr>
          <w:rFonts w:eastAsia="Times New Roman"/>
          <w:noProof/>
          <w:szCs w:val="24"/>
          <w:lang w:eastAsia="it-IT"/>
        </w:rPr>
        <w:t xml:space="preserve"> могат също така да бъдат използвани за целите на мониторинга за валидиране вместо предложените индикаторни микроорганизми. В такъв случай следва да се прилагат следните цели за ефективност на намаляването, изразено в </w:t>
      </w:r>
      <w:r>
        <w:rPr>
          <w:rFonts w:eastAsia="Times New Roman"/>
          <w:noProof/>
          <w:szCs w:val="24"/>
          <w:lang w:val="fr-BE" w:eastAsia="it-IT"/>
        </w:rPr>
        <w:t>log</w:t>
      </w:r>
      <w:r>
        <w:rPr>
          <w:rFonts w:eastAsia="Times New Roman"/>
          <w:noProof/>
          <w:szCs w:val="24"/>
          <w:vertAlign w:val="subscript"/>
          <w:lang w:eastAsia="it-IT"/>
        </w:rPr>
        <w:t>10</w:t>
      </w:r>
      <w:r>
        <w:rPr>
          <w:rFonts w:eastAsia="Times New Roman"/>
          <w:noProof/>
          <w:szCs w:val="24"/>
          <w:lang w:eastAsia="it-IT"/>
        </w:rPr>
        <w:t xml:space="preserve">: </w:t>
      </w:r>
      <w:r>
        <w:rPr>
          <w:rFonts w:eastAsia="Times New Roman"/>
          <w:noProof/>
          <w:szCs w:val="24"/>
          <w:lang w:val="en-US" w:eastAsia="it-IT"/>
        </w:rPr>
        <w:t>Campylobacter</w:t>
      </w:r>
      <w:r>
        <w:rPr>
          <w:rFonts w:eastAsia="Times New Roman"/>
          <w:noProof/>
          <w:szCs w:val="24"/>
          <w:lang w:eastAsia="it-IT"/>
        </w:rPr>
        <w:t xml:space="preserve"> (</w:t>
      </w:r>
      <w:r>
        <w:rPr>
          <w:noProof/>
          <w:sz w:val="16"/>
          <w:szCs w:val="16"/>
        </w:rPr>
        <w:t>≥ 5.0)</w:t>
      </w:r>
      <w:r>
        <w:rPr>
          <w:rFonts w:eastAsia="Times New Roman"/>
          <w:noProof/>
          <w:szCs w:val="24"/>
          <w:lang w:eastAsia="it-IT"/>
        </w:rPr>
        <w:t xml:space="preserve">, </w:t>
      </w:r>
      <w:r>
        <w:rPr>
          <w:rFonts w:eastAsia="Times New Roman"/>
          <w:noProof/>
          <w:szCs w:val="24"/>
          <w:lang w:val="en-US" w:eastAsia="it-IT"/>
        </w:rPr>
        <w:t>Rotavirus</w:t>
      </w:r>
      <w:r>
        <w:rPr>
          <w:rFonts w:eastAsia="Times New Roman"/>
          <w:noProof/>
          <w:szCs w:val="24"/>
          <w:lang w:eastAsia="it-IT"/>
        </w:rPr>
        <w:t xml:space="preserve"> (</w:t>
      </w:r>
      <w:r>
        <w:rPr>
          <w:noProof/>
          <w:sz w:val="16"/>
          <w:szCs w:val="16"/>
        </w:rPr>
        <w:t>≥ 6.0)</w:t>
      </w:r>
      <w:r>
        <w:rPr>
          <w:rFonts w:ascii="Verdana" w:hAnsi="Verdana"/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и</w:t>
      </w:r>
      <w:r>
        <w:rPr>
          <w:rFonts w:eastAsia="Times New Roman"/>
          <w:noProof/>
          <w:szCs w:val="24"/>
          <w:lang w:eastAsia="it-IT"/>
        </w:rPr>
        <w:t xml:space="preserve"> </w:t>
      </w:r>
      <w:r>
        <w:rPr>
          <w:rFonts w:eastAsia="Times New Roman"/>
          <w:noProof/>
          <w:szCs w:val="24"/>
          <w:lang w:val="en-US" w:eastAsia="it-IT"/>
        </w:rPr>
        <w:t>Cryptosporidium</w:t>
      </w:r>
      <w:r>
        <w:rPr>
          <w:rFonts w:eastAsia="Times New Roman"/>
          <w:noProof/>
          <w:szCs w:val="24"/>
          <w:lang w:eastAsia="it-IT"/>
        </w:rPr>
        <w:t xml:space="preserve"> (</w:t>
      </w:r>
      <w:r>
        <w:rPr>
          <w:noProof/>
          <w:sz w:val="16"/>
          <w:szCs w:val="16"/>
        </w:rPr>
        <w:t>≥ 5.0).</w:t>
      </w:r>
    </w:p>
    <w:p>
      <w:pPr>
        <w:spacing w:after="0"/>
        <w:rPr>
          <w:rFonts w:eastAsia="Times New Roman"/>
          <w:noProof/>
          <w:sz w:val="20"/>
          <w:szCs w:val="20"/>
        </w:rPr>
      </w:pPr>
      <w:r>
        <w:rPr>
          <w:noProof/>
          <w:sz w:val="20"/>
        </w:rPr>
        <w:t>(**) Общото количество колифаги е избрано като най-подходящия показател за вируси. Ако обаче анализът на общото количество колифаги не е осъществим, трябва да се анализира поне един вид колифаги (F-специфични или соматични колифаги).</w:t>
      </w:r>
    </w:p>
    <w:p>
      <w:pPr>
        <w:spacing w:after="0"/>
        <w:rPr>
          <w:rFonts w:eastAsia="Times New Roman"/>
          <w:noProof/>
          <w:sz w:val="20"/>
          <w:szCs w:val="20"/>
        </w:rPr>
      </w:pPr>
      <w:r>
        <w:rPr>
          <w:noProof/>
          <w:sz w:val="20"/>
        </w:rPr>
        <w:t>(***) Спорите на Clostridium perfringens са избрани като най-подходящия показател за протозои. При все това спорообразуващите сулфат-редуциращи бактерии са възможна алтернатива, ако концентрацията на спори на Clostridium perfringens не позволява валидиране на исканото отстраняване в log</w:t>
      </w:r>
      <w:r>
        <w:rPr>
          <w:noProof/>
          <w:sz w:val="20"/>
          <w:vertAlign w:val="subscript"/>
        </w:rPr>
        <w:t>10</w:t>
      </w:r>
      <w:r>
        <w:rPr>
          <w:noProof/>
          <w:sz w:val="20"/>
        </w:rPr>
        <w:t>.</w:t>
      </w:r>
    </w:p>
    <w:p>
      <w:pPr>
        <w:rPr>
          <w:noProof/>
          <w:szCs w:val="24"/>
        </w:rPr>
      </w:pPr>
      <w:r>
        <w:rPr>
          <w:noProof/>
        </w:rPr>
        <w:t>Методите на анализ за целите на мониторинга се валидират и документират от оператора в съответствие с EN ISO/IEC-17025 или други национални или международни стандарти, които осигуряват равностойно качество.</w:t>
      </w:r>
    </w:p>
    <w:p>
      <w:pPr>
        <w:rPr>
          <w:noProof/>
          <w:szCs w:val="24"/>
        </w:rPr>
      </w:pPr>
    </w:p>
    <w:p>
      <w:pPr>
        <w:pStyle w:val="Annexetitre"/>
        <w:rPr>
          <w:noProof/>
          <w:color w:val="0000FF"/>
        </w:rPr>
      </w:pPr>
      <w:r>
        <w:rPr>
          <w:noProof/>
          <w:color w:val="0000FF"/>
        </w:rPr>
        <w:t xml:space="preserve">Приложение II </w:t>
      </w:r>
    </w:p>
    <w:p>
      <w:pPr>
        <w:jc w:val="center"/>
        <w:rPr>
          <w:rStyle w:val="Marker"/>
          <w:b/>
          <w:noProof/>
        </w:rPr>
      </w:pPr>
      <w:r>
        <w:rPr>
          <w:b/>
          <w:noProof/>
        </w:rPr>
        <w:t>Ключови задачи за управление на риска</w:t>
      </w:r>
    </w:p>
    <w:p>
      <w:pPr>
        <w:pStyle w:val="NumPar1"/>
        <w:numPr>
          <w:ilvl w:val="0"/>
          <w:numId w:val="13"/>
        </w:numPr>
        <w:rPr>
          <w:noProof/>
        </w:rPr>
      </w:pPr>
      <w:r>
        <w:rPr>
          <w:b/>
          <w:noProof/>
        </w:rPr>
        <w:t>Опишете системата за повторно използване на водата</w:t>
      </w:r>
      <w:r>
        <w:rPr>
          <w:noProof/>
        </w:rPr>
        <w:t xml:space="preserve">, от постъпването на отпадъчните води в градската пречиствателна станция за отпадъчни води, до точката на използване, включително източниците на отпадъчни води, стъпалата и технологиите на пречистване в инсталацията за рециклиране, инфраструктурата за снабдяване и съхранение, предвидената употреба, мястото на използване и количествата рециклирана вода, които ще се доставят. Целта на тази задача е да се представи подробно описание на цялата система за повторно използване на водата. 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b/>
          <w:noProof/>
        </w:rPr>
        <w:t>Определете потенциалните опасности</w:t>
      </w:r>
      <w:r>
        <w:rPr>
          <w:noProof/>
        </w:rPr>
        <w:t xml:space="preserve">, по-специално наличието на замърсители и патогенни организми, </w:t>
      </w:r>
      <w:r>
        <w:rPr>
          <w:b/>
          <w:noProof/>
        </w:rPr>
        <w:t>и потенциала за настъпването на опасни събития</w:t>
      </w:r>
      <w:r>
        <w:rPr>
          <w:noProof/>
        </w:rPr>
        <w:t>, като например нарушаване на пречистването, непредвидено изтичане или замърсяване в описаната система за повторно използване на водата.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b/>
          <w:noProof/>
        </w:rPr>
        <w:t>Определете местата, популациите и лицата, изложени на риск</w:t>
      </w:r>
      <w:r>
        <w:rPr>
          <w:noProof/>
        </w:rPr>
        <w:t xml:space="preserve"> от пряка или косвена експозиция на определените потенциални опасности, като се вземат предвид определени фактори на околната среда като местните хидрогеоложки условия, топография, видове почви и екология, както и фактори, свързани с видовете култури и земеделските практики. Трябва да бъдат отчетени и възможните необратими или дълготрайни отрицателни въздействия от дейностите по рециклиране на водата.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b/>
          <w:noProof/>
        </w:rPr>
        <w:t>Извършете оценка на риска, която обхваща както рискове за околната среда, така и рисковете за здравето на хората и животните</w:t>
      </w:r>
      <w:r>
        <w:rPr>
          <w:noProof/>
        </w:rPr>
        <w:t>, като се вземе предвид естеството на определените потенциални опасности, идентифицираните места, популации и лица, изложени на риск от експозиция на тези опасности, и тежестта на възможните последици от опасностите, както и цялото съответно законодателство на Съюза и национално законодателство, документи с насоки и минимални изисквания във връзка с храните, фуражите и безопасността на работниците.  Неяснотите от научна гледна точка при характеризирането на риска се разглеждат в съответствие с принципа на предпазливост.</w:t>
      </w:r>
    </w:p>
    <w:p>
      <w:pPr>
        <w:pStyle w:val="Text1"/>
        <w:rPr>
          <w:noProof/>
        </w:rPr>
      </w:pPr>
      <w:r>
        <w:rPr>
          <w:noProof/>
        </w:rPr>
        <w:t>Оценката на риска се състои от следните елементи: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оценка на </w:t>
      </w:r>
      <w:r>
        <w:rPr>
          <w:b/>
          <w:noProof/>
        </w:rPr>
        <w:t>рисковете за околната среда</w:t>
      </w:r>
      <w:r>
        <w:rPr>
          <w:noProof/>
        </w:rPr>
        <w:t>, която включва всички следни действия:</w:t>
      </w:r>
    </w:p>
    <w:p>
      <w:pPr>
        <w:pStyle w:val="Point2letter"/>
        <w:numPr>
          <w:ilvl w:val="5"/>
          <w:numId w:val="14"/>
        </w:numPr>
        <w:rPr>
          <w:noProof/>
        </w:rPr>
      </w:pPr>
      <w:r>
        <w:rPr>
          <w:noProof/>
        </w:rPr>
        <w:t>потвърждение на естеството на опасностите, включително, когато е целесъобразно, прогнозното им ниво без да имат ефект;</w:t>
      </w:r>
    </w:p>
    <w:p>
      <w:pPr>
        <w:pStyle w:val="Point2letter"/>
        <w:numPr>
          <w:ilvl w:val="5"/>
          <w:numId w:val="14"/>
        </w:numPr>
        <w:rPr>
          <w:noProof/>
        </w:rPr>
      </w:pPr>
      <w:r>
        <w:rPr>
          <w:noProof/>
        </w:rPr>
        <w:t xml:space="preserve">оценка на потенциалния диапазон на експозицията; </w:t>
      </w:r>
    </w:p>
    <w:p>
      <w:pPr>
        <w:pStyle w:val="Point2letter"/>
        <w:numPr>
          <w:ilvl w:val="5"/>
          <w:numId w:val="14"/>
        </w:numPr>
        <w:rPr>
          <w:noProof/>
        </w:rPr>
      </w:pPr>
      <w:r>
        <w:rPr>
          <w:noProof/>
        </w:rPr>
        <w:t xml:space="preserve">характеризиране на риска. </w:t>
      </w:r>
    </w:p>
    <w:p>
      <w:pPr>
        <w:rPr>
          <w:noProof/>
        </w:rPr>
      </w:pP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оценка на </w:t>
      </w:r>
      <w:r>
        <w:rPr>
          <w:b/>
          <w:noProof/>
        </w:rPr>
        <w:t>рисковете за здравето на хората</w:t>
      </w:r>
      <w:r>
        <w:rPr>
          <w:noProof/>
        </w:rPr>
        <w:t>, която включва всички следни действия:</w:t>
      </w:r>
    </w:p>
    <w:p>
      <w:pPr>
        <w:pStyle w:val="Point2letter"/>
        <w:numPr>
          <w:ilvl w:val="5"/>
          <w:numId w:val="14"/>
        </w:numPr>
        <w:rPr>
          <w:noProof/>
        </w:rPr>
      </w:pPr>
      <w:r>
        <w:rPr>
          <w:noProof/>
        </w:rPr>
        <w:t xml:space="preserve">потвърждаване на естеството на опасностите, включително, когато е целесъобразно, зависимостта „доза—реакция“; </w:t>
      </w:r>
    </w:p>
    <w:p>
      <w:pPr>
        <w:pStyle w:val="Point2letter"/>
        <w:numPr>
          <w:ilvl w:val="5"/>
          <w:numId w:val="14"/>
        </w:numPr>
        <w:rPr>
          <w:noProof/>
        </w:rPr>
      </w:pPr>
      <w:r>
        <w:rPr>
          <w:noProof/>
        </w:rPr>
        <w:t>оценка на потенциалния диапазон на дозата или експозицията;</w:t>
      </w:r>
    </w:p>
    <w:p>
      <w:pPr>
        <w:pStyle w:val="Point2letter"/>
        <w:numPr>
          <w:ilvl w:val="5"/>
          <w:numId w:val="14"/>
        </w:numPr>
        <w:rPr>
          <w:noProof/>
        </w:rPr>
      </w:pPr>
      <w:r>
        <w:rPr>
          <w:noProof/>
        </w:rPr>
        <w:t xml:space="preserve">характеризиране на риска. </w:t>
      </w:r>
    </w:p>
    <w:p>
      <w:pPr>
        <w:rPr>
          <w:noProof/>
        </w:rPr>
      </w:pPr>
    </w:p>
    <w:p>
      <w:pPr>
        <w:pStyle w:val="Text1"/>
        <w:rPr>
          <w:noProof/>
        </w:rPr>
      </w:pPr>
      <w:r>
        <w:rPr>
          <w:noProof/>
        </w:rPr>
        <w:t>Като минимум в оценката на риска се отчитат следните изисквания и задължения: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изискването за намаляване и предотвратяване на замърсяването на водите с нитрати в съответствие с Директива 91/676/ЕИО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задължението защитените територии за питейна вода да отговарят на изискванията на Директива 98/83/ЕО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изискването за изпълнение на екологичните цели, определени в Директива 2000/60/EО на Европейския парламент и на Съвета</w:t>
      </w:r>
      <w:r>
        <w:rPr>
          <w:rStyle w:val="FootnoteReference"/>
          <w:noProof/>
        </w:rPr>
        <w:footnoteReference w:id="4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изискването за предотвратяване на замърсяването на подземните води в съответствие с Директива 2006/118/EО на Европейския парламент и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изискването за спазване на стандартите за качество на околната среда за приоритетни вещества и някои други замърсители, определени в Директива 2008/105/EО на Европейския парламент и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 xml:space="preserve">; 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изискването за спазване на екологичните качествени стандарти за замърсители от национално значение (т.е. специфични замърсители на речните басейни), определени в Директива 2000/60/ЕО;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изискването за спазване на стандартите за качество на водите за къпане, определени в Директива 2006/7/EО на Европейския парламент и на Съвета</w:t>
      </w:r>
      <w:r>
        <w:rPr>
          <w:rStyle w:val="FootnoteReference"/>
          <w:noProof/>
        </w:rPr>
        <w:footnoteReference w:id="7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изискванията за опазване на околната среда, и по-специално на почвата, при използване на утайки от отпадъчни води в земеделието в съответствие с Директива 86/278/ЕИО на Съвета</w:t>
      </w:r>
      <w:r>
        <w:rPr>
          <w:rStyle w:val="FootnoteReference"/>
          <w:noProof/>
        </w:rPr>
        <w:footnoteReference w:id="8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и)</w:t>
      </w:r>
      <w:r>
        <w:rPr>
          <w:noProof/>
        </w:rPr>
        <w:tab/>
        <w:t>изискванията относно хигиената на храните, определени в Регламент (ЕО) № 852/2004 на Европейския регламент и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, и насоките, съдържащи се в Известието на Комисията относно Ръководство за справяне с микробиологичните рискове по отношение на пресните плодове и зеленчуци при първичното производство посредством добра хигиена;</w:t>
      </w:r>
    </w:p>
    <w:p>
      <w:pPr>
        <w:pStyle w:val="Point1"/>
        <w:rPr>
          <w:noProof/>
        </w:rPr>
      </w:pPr>
      <w:r>
        <w:rPr>
          <w:noProof/>
        </w:rPr>
        <w:t>й)</w:t>
      </w:r>
      <w:r>
        <w:rPr>
          <w:noProof/>
        </w:rPr>
        <w:tab/>
        <w:t>изискванията за хигиена на фуражите, определени в Регламент (ЕО) № 183/2005 на Европейския парламент и на Съвета</w:t>
      </w:r>
      <w:r>
        <w:rPr>
          <w:rStyle w:val="FootnoteReference"/>
          <w:noProof/>
        </w:rPr>
        <w:footnoteReference w:id="10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к)</w:t>
      </w:r>
      <w:r>
        <w:rPr>
          <w:noProof/>
        </w:rPr>
        <w:tab/>
        <w:t>изискването за спазване на съответните микробиологични критерии, посочени в Регламент (ЕО) № 2073/2005 на Комисията</w:t>
      </w:r>
      <w:r>
        <w:rPr>
          <w:rStyle w:val="FootnoteReference"/>
          <w:noProof/>
        </w:rPr>
        <w:footnoteReference w:id="11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л)</w:t>
      </w:r>
      <w:r>
        <w:rPr>
          <w:noProof/>
        </w:rPr>
        <w:tab/>
        <w:t>изискванията относно максимално допустимите количества на някои замърсители в храните, посочени в Регламент (ЕО) № 1881/2006 на Комисията</w:t>
      </w:r>
      <w:r>
        <w:rPr>
          <w:rStyle w:val="FootnoteReference"/>
          <w:noProof/>
        </w:rPr>
        <w:footnoteReference w:id="12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м)</w:t>
      </w:r>
      <w:r>
        <w:rPr>
          <w:noProof/>
        </w:rPr>
        <w:tab/>
        <w:t>изискванията относно максимално допустимите граници на остатъчни вещества от пестициди във и върху храни или фуражи, посочени в Регламент (ЕО) № 396/2005 на Европейския парламент и на Съвета</w:t>
      </w:r>
      <w:r>
        <w:rPr>
          <w:rStyle w:val="FootnoteReference"/>
          <w:noProof/>
        </w:rPr>
        <w:footnoteReference w:id="13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н)</w:t>
      </w:r>
      <w:r>
        <w:rPr>
          <w:noProof/>
        </w:rPr>
        <w:tab/>
        <w:t>изискванията относно здравето на животните, посочени в Регламент (ЕО) № 1069/2009 на Европейския парламент и на Съвета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и в Регламент (ЕС) № 142/2011 на Комисията</w:t>
      </w:r>
      <w:r>
        <w:rPr>
          <w:rStyle w:val="FootnoteReference"/>
          <w:noProof/>
        </w:rPr>
        <w:footnoteReference w:id="15"/>
      </w:r>
      <w:r>
        <w:rPr>
          <w:noProof/>
        </w:rPr>
        <w:t>.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 xml:space="preserve">Когато е необходимо и целесъобразно да се гарантира опазване в достатъчна степен на околната среда и здравето на човека и животните, </w:t>
      </w:r>
      <w:r>
        <w:rPr>
          <w:b/>
          <w:noProof/>
        </w:rPr>
        <w:t>посочете изисквания за качеството и мониторинга на водата, които допълват и/или са по-строги от посочените в приложение I</w:t>
      </w:r>
      <w:r>
        <w:rPr>
          <w:noProof/>
        </w:rPr>
        <w:t>.</w:t>
      </w:r>
    </w:p>
    <w:p>
      <w:pPr>
        <w:ind w:left="850"/>
        <w:rPr>
          <w:noProof/>
        </w:rPr>
      </w:pPr>
      <w:r>
        <w:rPr>
          <w:noProof/>
        </w:rPr>
        <w:t>В зависимост от резултата от оценката на риска, посочена в точка 4, такива допълнителни изисквания може по-специално да се отнасят до:</w:t>
      </w:r>
    </w:p>
    <w:p>
      <w:pPr>
        <w:pStyle w:val="Point3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тежки метали; </w:t>
      </w: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пестициди;</w:t>
      </w:r>
    </w:p>
    <w:p>
      <w:pPr>
        <w:pStyle w:val="Point3"/>
        <w:rPr>
          <w:noProof/>
        </w:rPr>
      </w:pPr>
      <w:r>
        <w:rPr>
          <w:noProof/>
        </w:rPr>
        <w:t>в)</w:t>
      </w:r>
      <w:r>
        <w:rPr>
          <w:noProof/>
        </w:rPr>
        <w:tab/>
        <w:t>странични продукти от дезинфекция;</w:t>
      </w:r>
    </w:p>
    <w:p>
      <w:pPr>
        <w:pStyle w:val="Point3"/>
        <w:rPr>
          <w:noProof/>
        </w:rPr>
      </w:pPr>
      <w:r>
        <w:rPr>
          <w:noProof/>
        </w:rPr>
        <w:t>г)</w:t>
      </w:r>
      <w:r>
        <w:rPr>
          <w:noProof/>
        </w:rPr>
        <w:tab/>
        <w:t>лекарствени продукти;</w:t>
      </w:r>
    </w:p>
    <w:p>
      <w:pPr>
        <w:pStyle w:val="Point3"/>
        <w:rPr>
          <w:noProof/>
        </w:rPr>
      </w:pPr>
      <w:r>
        <w:rPr>
          <w:noProof/>
        </w:rPr>
        <w:t>д)</w:t>
      </w:r>
      <w:r>
        <w:rPr>
          <w:noProof/>
        </w:rPr>
        <w:tab/>
        <w:t xml:space="preserve">други вещества, които пораждат нови опасения; </w:t>
      </w:r>
    </w:p>
    <w:p>
      <w:pPr>
        <w:pStyle w:val="Point3"/>
        <w:rPr>
          <w:noProof/>
        </w:rPr>
      </w:pPr>
      <w:r>
        <w:rPr>
          <w:noProof/>
        </w:rPr>
        <w:t>е)</w:t>
      </w:r>
      <w:r>
        <w:rPr>
          <w:noProof/>
        </w:rPr>
        <w:tab/>
        <w:t>антимикробна резистентност.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b/>
          <w:noProof/>
        </w:rPr>
        <w:t>Определете превантивните мерки</w:t>
      </w:r>
      <w:r>
        <w:rPr>
          <w:noProof/>
        </w:rPr>
        <w:t>, които вече са въведени или следва да бъдат предприети с цел ограничаване на рисковете, така че всички идентифицирани рискове да могат да се управляват по подходящ начин.</w:t>
      </w:r>
    </w:p>
    <w:p>
      <w:pPr>
        <w:ind w:left="850"/>
        <w:rPr>
          <w:noProof/>
        </w:rPr>
      </w:pPr>
      <w:r>
        <w:rPr>
          <w:noProof/>
        </w:rPr>
        <w:t>Такива превантивни мерки могат да включват:</w:t>
      </w:r>
    </w:p>
    <w:p>
      <w:pPr>
        <w:pStyle w:val="Point3"/>
        <w:rPr>
          <w:noProof/>
        </w:rPr>
      </w:pPr>
      <w:r>
        <w:rPr>
          <w:noProof/>
        </w:rPr>
        <w:t>а)</w:t>
      </w:r>
      <w:r>
        <w:rPr>
          <w:noProof/>
        </w:rPr>
        <w:tab/>
        <w:t>контрол на достъпа;</w:t>
      </w:r>
    </w:p>
    <w:p>
      <w:pPr>
        <w:pStyle w:val="Point3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допълнителни мерки за дезинфекция или отстраняване на замърсители;</w:t>
      </w:r>
    </w:p>
    <w:p>
      <w:pPr>
        <w:pStyle w:val="Point3"/>
        <w:rPr>
          <w:noProof/>
        </w:rPr>
      </w:pPr>
      <w:r>
        <w:rPr>
          <w:noProof/>
        </w:rPr>
        <w:t>в)</w:t>
      </w:r>
      <w:r>
        <w:rPr>
          <w:noProof/>
        </w:rPr>
        <w:tab/>
        <w:t>специфични технологии за напояване, с които се намалява рискът от образуване на аерозоли (например капково напояване);</w:t>
      </w:r>
    </w:p>
    <w:p>
      <w:pPr>
        <w:pStyle w:val="Point3"/>
        <w:rPr>
          <w:noProof/>
        </w:rPr>
      </w:pPr>
      <w:r>
        <w:rPr>
          <w:noProof/>
        </w:rPr>
        <w:t>г)</w:t>
      </w:r>
      <w:r>
        <w:rPr>
          <w:noProof/>
        </w:rPr>
        <w:tab/>
        <w:t>подпомагане на унищожаването на патогенните организми преди прибиране на реколтата;</w:t>
      </w:r>
    </w:p>
    <w:p>
      <w:pPr>
        <w:pStyle w:val="Point3"/>
        <w:rPr>
          <w:noProof/>
        </w:rPr>
      </w:pPr>
      <w:r>
        <w:rPr>
          <w:noProof/>
        </w:rPr>
        <w:t>д)</w:t>
      </w:r>
      <w:r>
        <w:rPr>
          <w:noProof/>
        </w:rPr>
        <w:tab/>
        <w:t>установяване на минимални безопасни отстояния.</w:t>
      </w:r>
    </w:p>
    <w:p>
      <w:pPr>
        <w:ind w:left="720"/>
        <w:rPr>
          <w:rFonts w:eastAsia="Times New Roman"/>
          <w:noProof/>
          <w:szCs w:val="24"/>
        </w:rPr>
      </w:pPr>
      <w:r>
        <w:rPr>
          <w:noProof/>
        </w:rPr>
        <w:t xml:space="preserve">Конкретните превантивни мерки, които могат да бъдат от значение, са определени в таблица 1. </w:t>
      </w:r>
    </w:p>
    <w:p>
      <w:pPr>
        <w:rPr>
          <w:b/>
          <w:noProof/>
        </w:rPr>
      </w:pPr>
      <w:bookmarkStart w:id="7" w:name="_Ref485042826"/>
      <w:r>
        <w:rPr>
          <w:b/>
          <w:noProof/>
        </w:rPr>
        <w:t>Таблица</w:t>
      </w:r>
      <w:bookmarkEnd w:id="7"/>
      <w:r>
        <w:rPr>
          <w:b/>
          <w:noProof/>
        </w:rPr>
        <w:t xml:space="preserve"> 1: Конкретни превантивни мерки</w:t>
      </w:r>
    </w:p>
    <w:tbl>
      <w:tblPr>
        <w:tblStyle w:val="GridTable4-Accent12"/>
        <w:tblW w:w="9039" w:type="dxa"/>
        <w:tblLook w:val="04A0" w:firstRow="1" w:lastRow="0" w:firstColumn="1" w:lastColumn="0" w:noHBand="0" w:noVBand="1"/>
      </w:tblPr>
      <w:tblGrid>
        <w:gridCol w:w="2155"/>
        <w:gridCol w:w="68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Клас на </w:t>
            </w:r>
          </w:p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качеството на</w:t>
            </w:r>
          </w:p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рециклираната вода</w:t>
            </w:r>
          </w:p>
        </w:tc>
        <w:tc>
          <w:tcPr>
            <w:tcW w:w="6884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Конкретни превантивни мерки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А</w:t>
            </w:r>
          </w:p>
        </w:tc>
        <w:tc>
          <w:tcPr>
            <w:tcW w:w="6884" w:type="dxa"/>
            <w:shd w:val="clear" w:color="auto" w:fill="auto"/>
          </w:tcPr>
          <w:p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rFonts w:ascii="Verdana" w:hAnsi="Verdana"/>
                <w:noProof/>
                <w:sz w:val="16"/>
              </w:rPr>
              <w:t>Свинете не трябва да се хранят с фураж, напояван с рециклирана вода, освен ако са налице достатъчно данни, че рисковете в конкретния случай могат да се управляват.</w:t>
            </w:r>
          </w:p>
        </w:tc>
      </w:tr>
      <w:tr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Б</w:t>
            </w:r>
          </w:p>
        </w:tc>
        <w:tc>
          <w:tcPr>
            <w:tcW w:w="6884" w:type="dxa"/>
          </w:tcPr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20"/>
              </w:rPr>
            </w:pPr>
            <w:r>
              <w:rPr>
                <w:rFonts w:ascii="Verdana" w:hAnsi="Verdana"/>
                <w:noProof/>
                <w:sz w:val="16"/>
              </w:rPr>
              <w:t>Забрана за събиране на напоявана продукция, докато е още мокра, или на паднала на земята продукция.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Недопускане на дойни млекодайни крави на пасището до изсъхването му. 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Фуражът трябва да бъде изсушен или силажиран преди опаковането му. </w:t>
            </w:r>
          </w:p>
          <w:p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Свинете не трябва да се хранят с фураж, напояван с рециклиранa водa, освен ако са налице достатъчно данни, че рисковете в конкретния случай могат да се управляват.</w:t>
            </w:r>
          </w:p>
          <w:p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В</w:t>
            </w:r>
          </w:p>
        </w:tc>
        <w:tc>
          <w:tcPr>
            <w:tcW w:w="6884" w:type="dxa"/>
            <w:shd w:val="clear" w:color="auto" w:fill="auto"/>
          </w:tcPr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20"/>
              </w:rPr>
            </w:pPr>
            <w:r>
              <w:rPr>
                <w:rFonts w:ascii="Verdana" w:hAnsi="Verdana"/>
                <w:noProof/>
                <w:sz w:val="16"/>
              </w:rPr>
              <w:t>Забрана за събиране на напоявана продукция, докато е още мокра, или на паднала на земята продукция.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Недопускане на пасищни животни на пасището в продължение на пет дни след последното напояване. </w:t>
            </w:r>
          </w:p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 xml:space="preserve">Фуражът трябва да бъде изсушен или силажиран преди опаковането му. </w:t>
            </w:r>
          </w:p>
          <w:p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Свинете не трябва да се хранят с фураж, напояван с рециклирана вода, освен ако са налице достатъчно данни, че рисковете в конкретния случай могат да се управляват.</w:t>
            </w:r>
          </w:p>
          <w:p>
            <w:pPr>
              <w:pStyle w:val="List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16"/>
                <w:szCs w:val="16"/>
              </w:rPr>
            </w:pPr>
          </w:p>
        </w:tc>
      </w:tr>
      <w:tr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auto"/>
          </w:tcPr>
          <w:p>
            <w:pPr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w:t>Г</w:t>
            </w:r>
          </w:p>
        </w:tc>
        <w:tc>
          <w:tcPr>
            <w:tcW w:w="6884" w:type="dxa"/>
          </w:tcPr>
          <w:p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noProof/>
                <w:sz w:val="20"/>
              </w:rPr>
            </w:pPr>
            <w:r>
              <w:rPr>
                <w:rFonts w:ascii="Verdana" w:hAnsi="Verdana"/>
                <w:noProof/>
                <w:sz w:val="16"/>
              </w:rPr>
              <w:t>Забрана за събиране на напоявана продукция, докато е още мокра, или на паднала на земята продукция.</w:t>
            </w:r>
          </w:p>
        </w:tc>
      </w:tr>
    </w:tbl>
    <w:p>
      <w:pPr>
        <w:pStyle w:val="NumPar1"/>
        <w:numPr>
          <w:ilvl w:val="0"/>
          <w:numId w:val="11"/>
        </w:numPr>
        <w:rPr>
          <w:noProof/>
        </w:rPr>
      </w:pPr>
      <w:r>
        <w:rPr>
          <w:b/>
          <w:noProof/>
        </w:rPr>
        <w:t>Осигурете гаранции, че са въведени подходящи системи и процедури за контрол на качеството</w:t>
      </w:r>
      <w:r>
        <w:rPr>
          <w:noProof/>
        </w:rPr>
        <w:t>, включително мониторинг на рециклираната вода по съответните параметри, както и че са установени подходящи програми за поддръжка на оборудването.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b/>
          <w:noProof/>
        </w:rPr>
        <w:t>Осигурете гаранции, че са въведени системи за мониторинг на околната среда, които ще засекат всички отрицателни ефекти</w:t>
      </w:r>
      <w:r>
        <w:rPr>
          <w:noProof/>
        </w:rPr>
        <w:t xml:space="preserve"> от повторното използване на водата, както и че се осигурява обратна информация от мониторинга и че всички процеси и процедури се валидират и документират по подходящ начин.</w:t>
      </w:r>
    </w:p>
    <w:p>
      <w:pPr>
        <w:ind w:left="850"/>
        <w:rPr>
          <w:i/>
          <w:noProof/>
        </w:rPr>
      </w:pPr>
      <w:r>
        <w:rPr>
          <w:noProof/>
        </w:rPr>
        <w:t xml:space="preserve">Препоръчва се операторът на инсталацията за рециклиране да установи и поддържа система за управление на качеството, сертифицирана по ISO 9001 или равностоен стандарт. </w:t>
      </w:r>
    </w:p>
    <w:p>
      <w:pPr>
        <w:pStyle w:val="NumPar1"/>
        <w:numPr>
          <w:ilvl w:val="0"/>
          <w:numId w:val="11"/>
        </w:numPr>
        <w:rPr>
          <w:rFonts w:eastAsia="Times New Roman"/>
          <w:noProof/>
        </w:rPr>
      </w:pPr>
      <w:r>
        <w:rPr>
          <w:b/>
          <w:noProof/>
        </w:rPr>
        <w:t>Осигурете гаранции, че е въведена подходяща система за управление на инциденти и извънредни ситуации</w:t>
      </w:r>
      <w:r>
        <w:rPr>
          <w:noProof/>
        </w:rPr>
        <w:t>, включително процедури за информиране на всички съответни страни по подходящ начин за такива събития, и поддържайте план за спешно реагиране, който се актуализира редовно.</w:t>
      </w:r>
    </w:p>
    <w:p>
      <w:pPr>
        <w:rPr>
          <w:noProof/>
          <w:highlight w:val="yellow"/>
        </w:rPr>
      </w:pP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91/271/ЕИО на Съвета от 21 май 1991</w:t>
      </w:r>
      <w:r>
        <w:t> </w:t>
      </w:r>
      <w:r>
        <w:rPr>
          <w:lang w:val="ru-RU"/>
        </w:rPr>
        <w:t xml:space="preserve">г. за пречистването на градските отпадъчни води (ОВ </w:t>
      </w:r>
      <w:r>
        <w:t>L</w:t>
      </w:r>
      <w:r>
        <w:rPr>
          <w:lang w:val="ru-RU"/>
        </w:rPr>
        <w:t xml:space="preserve"> 135, 30.5.1991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40).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91/676/ЕИО на Съвета от 12 декември 1991</w:t>
      </w:r>
      <w:r>
        <w:t> </w:t>
      </w:r>
      <w:r>
        <w:rPr>
          <w:lang w:val="ru-RU"/>
        </w:rPr>
        <w:t xml:space="preserve">г. за опазване на водите от замърсяване с нитрати от селскостопански източници (ОВ </w:t>
      </w:r>
      <w:r>
        <w:t>L</w:t>
      </w:r>
      <w:r>
        <w:rPr>
          <w:lang w:val="ru-RU"/>
        </w:rPr>
        <w:t xml:space="preserve"> 375, 31.12.1991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1—8).</w:t>
      </w:r>
    </w:p>
  </w:footnote>
  <w:footnote w:id="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98/83/ЕО на Съвета от 3 ноември 1998</w:t>
      </w:r>
      <w:r>
        <w:t> </w:t>
      </w:r>
      <w:r>
        <w:rPr>
          <w:lang w:val="ru-RU"/>
        </w:rPr>
        <w:t xml:space="preserve">г. относно качеството на водите, предназначени за консумация от човека (ОВ </w:t>
      </w:r>
      <w:r>
        <w:t>L</w:t>
      </w:r>
      <w:r>
        <w:rPr>
          <w:lang w:val="ru-RU"/>
        </w:rPr>
        <w:t xml:space="preserve"> 330, 5.12.1998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32).</w:t>
      </w:r>
    </w:p>
  </w:footnote>
  <w:footnote w:id="4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2000/60/</w:t>
      </w:r>
      <w:r>
        <w:t>E</w:t>
      </w:r>
      <w:r>
        <w:rPr>
          <w:lang w:val="ru-RU"/>
        </w:rPr>
        <w:t>О на Европейския парламент и на Съвета от 23 октомври 2000</w:t>
      </w:r>
      <w:r>
        <w:t> </w:t>
      </w:r>
      <w:r>
        <w:rPr>
          <w:lang w:val="ru-RU"/>
        </w:rPr>
        <w:t xml:space="preserve">г. за установяване на рамка за действията на Общността в областта на политиката за водите (ОВ </w:t>
      </w:r>
      <w:r>
        <w:t>L</w:t>
      </w:r>
      <w:r>
        <w:rPr>
          <w:lang w:val="ru-RU"/>
        </w:rPr>
        <w:t xml:space="preserve"> 327, 22.12.2000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5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2006/118/ЕО на Европейския парламент и на Съвета от 12 декември 2006</w:t>
      </w:r>
      <w:r>
        <w:t> </w:t>
      </w:r>
      <w:r>
        <w:rPr>
          <w:lang w:val="ru-RU"/>
        </w:rPr>
        <w:t xml:space="preserve">г. за опазване на подземните води от замърсяване и влошаване на състоянието им (ОВ </w:t>
      </w:r>
      <w:r>
        <w:t>L</w:t>
      </w:r>
      <w:r>
        <w:rPr>
          <w:lang w:val="ru-RU"/>
        </w:rPr>
        <w:t xml:space="preserve"> 372, 27.12.2006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19).</w:t>
      </w:r>
    </w:p>
  </w:footnote>
  <w:footnote w:id="6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2008/105/ЕО на Европейския парламент и на Съвета от 16 декември 2008</w:t>
      </w:r>
      <w:r>
        <w:t> </w:t>
      </w:r>
      <w:r>
        <w:rPr>
          <w:lang w:val="ru-RU"/>
        </w:rPr>
        <w:t xml:space="preserve">г. за определяне на стандарти за качество на околната среда в областта на политиката за водите, за изменение и последваща отмяна на директиви 82/176/ЕИО, 83/513/ЕИО, 84/156/ЕИО, 84/491/ЕИО, 86/280/ЕИО на Съвета и за изменение на Директива 2000/60/ЕО на Европейския парламент и на Съвета (ОВ </w:t>
      </w:r>
      <w:r>
        <w:t>L</w:t>
      </w:r>
      <w:r>
        <w:rPr>
          <w:lang w:val="ru-RU"/>
        </w:rPr>
        <w:t xml:space="preserve"> 348, 24.12.2008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84).</w:t>
      </w:r>
    </w:p>
  </w:footnote>
  <w:footnote w:id="7">
    <w:p>
      <w:pPr>
        <w:pStyle w:val="FootnoteText"/>
        <w:rPr>
          <w:lang w:val="lt-LT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2006/7/ЕО на Европейския парламент и на Съвета от 15</w:t>
      </w:r>
      <w:r>
        <w:t> </w:t>
      </w:r>
      <w:r>
        <w:rPr>
          <w:lang w:val="ru-RU"/>
        </w:rPr>
        <w:t>февруари 2006</w:t>
      </w:r>
      <w:r>
        <w:t> </w:t>
      </w:r>
      <w:r>
        <w:rPr>
          <w:lang w:val="ru-RU"/>
        </w:rPr>
        <w:t xml:space="preserve">г. за управление качеството на водите за къпане и за отмяна на Директива 76/160/ЕИО (ОВ </w:t>
      </w:r>
      <w:r>
        <w:t>L </w:t>
      </w:r>
      <w:r>
        <w:rPr>
          <w:lang w:val="ru-RU"/>
        </w:rPr>
        <w:t>64, 4.3.2006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37).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Директива 86/278/ЕИО на Съвета от 12 юни 1986</w:t>
      </w:r>
      <w:r>
        <w:rPr>
          <w:lang w:val="lt-LT"/>
        </w:rPr>
        <w:t> </w:t>
      </w:r>
      <w:r>
        <w:rPr>
          <w:lang w:val="ru-RU"/>
        </w:rPr>
        <w:t>г. за опазване на околната среда, и по-специално на почвата, при използване на утайки от отпадъчни води в земеделието (</w:t>
      </w:r>
      <w:r>
        <w:rPr>
          <w:lang w:val="lt-LT"/>
        </w:rPr>
        <w:t>O</w:t>
      </w:r>
      <w:r>
        <w:rPr>
          <w:lang w:val="ru-RU"/>
        </w:rPr>
        <w:t xml:space="preserve">В </w:t>
      </w:r>
      <w:r>
        <w:rPr>
          <w:lang w:val="lt-LT"/>
        </w:rPr>
        <w:t>L</w:t>
      </w:r>
      <w:r>
        <w:rPr>
          <w:lang w:val="ru-RU"/>
        </w:rPr>
        <w:t xml:space="preserve"> 181, 4.7.1986</w:t>
      </w:r>
      <w:r>
        <w:rPr>
          <w:lang w:val="lt-LT"/>
        </w:rPr>
        <w:t> </w:t>
      </w:r>
      <w:r>
        <w:rPr>
          <w:lang w:val="ru-RU"/>
        </w:rPr>
        <w:t>г., стр.</w:t>
      </w:r>
      <w:r>
        <w:rPr>
          <w:lang w:val="lt-LT"/>
        </w:rPr>
        <w:t> </w:t>
      </w:r>
      <w:r>
        <w:rPr>
          <w:lang w:val="ru-RU"/>
        </w:rPr>
        <w:t>6).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(ЕО) №</w:t>
      </w:r>
      <w:r>
        <w:t> </w:t>
      </w:r>
      <w:r>
        <w:rPr>
          <w:lang w:val="ru-RU"/>
        </w:rPr>
        <w:t>852/2004 на Европейския парламент и на Съвета от 29 април 2004</w:t>
      </w:r>
      <w:r>
        <w:t> </w:t>
      </w:r>
      <w:r>
        <w:rPr>
          <w:lang w:val="ru-RU"/>
        </w:rPr>
        <w:t xml:space="preserve">г. относно хигиената на храните (ОВ </w:t>
      </w:r>
      <w:r>
        <w:t>L </w:t>
      </w:r>
      <w:r>
        <w:rPr>
          <w:lang w:val="ru-RU"/>
        </w:rPr>
        <w:t>139, 30.4.2004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10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(ЕО) №</w:t>
      </w:r>
      <w:r>
        <w:t> </w:t>
      </w:r>
      <w:r>
        <w:rPr>
          <w:lang w:val="ru-RU"/>
        </w:rPr>
        <w:t>183/2005 на Европейския парламент и на Съвета от 12 януари 2005</w:t>
      </w:r>
      <w:r>
        <w:t> </w:t>
      </w:r>
      <w:r>
        <w:rPr>
          <w:lang w:val="ru-RU"/>
        </w:rPr>
        <w:t xml:space="preserve">г. за определяне на изискванията за хигиена на фуражите (ОВ </w:t>
      </w:r>
      <w:r>
        <w:t>L </w:t>
      </w:r>
      <w:r>
        <w:rPr>
          <w:lang w:val="ru-RU"/>
        </w:rPr>
        <w:t>35, 8.2.2005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1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(ЕО) №</w:t>
      </w:r>
      <w:r>
        <w:t> </w:t>
      </w:r>
      <w:r>
        <w:rPr>
          <w:lang w:val="ru-RU"/>
        </w:rPr>
        <w:t>2073/2005 на Комисията от 15 ноември 2005</w:t>
      </w:r>
      <w:r>
        <w:t> </w:t>
      </w:r>
      <w:r>
        <w:rPr>
          <w:lang w:val="ru-RU"/>
        </w:rPr>
        <w:t xml:space="preserve">г. относно микробиологични критерии за храните (ОВ </w:t>
      </w:r>
      <w:r>
        <w:t>L </w:t>
      </w:r>
      <w:r>
        <w:rPr>
          <w:lang w:val="ru-RU"/>
        </w:rPr>
        <w:t>338, 22.12.2005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1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(ЕО) №</w:t>
      </w:r>
      <w:r>
        <w:t> </w:t>
      </w:r>
      <w:r>
        <w:rPr>
          <w:lang w:val="ru-RU"/>
        </w:rPr>
        <w:t>1881/2006 на Комисията от 19 декември 2006</w:t>
      </w:r>
      <w:r>
        <w:t> </w:t>
      </w:r>
      <w:r>
        <w:rPr>
          <w:lang w:val="ru-RU"/>
        </w:rPr>
        <w:t xml:space="preserve">г. за определяне на максимално допустимите количества на някои замърсители в храните (ОВ </w:t>
      </w:r>
      <w:r>
        <w:t>L</w:t>
      </w:r>
      <w:r>
        <w:rPr>
          <w:lang w:val="ru-RU"/>
        </w:rPr>
        <w:t xml:space="preserve"> 364, 20.12.2006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5).</w:t>
      </w:r>
    </w:p>
  </w:footnote>
  <w:footnote w:id="13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(ЕО) №</w:t>
      </w:r>
      <w:r>
        <w:t> </w:t>
      </w:r>
      <w:r>
        <w:rPr>
          <w:lang w:val="ru-RU"/>
        </w:rPr>
        <w:t>396/2005 на Европейския парламент и на Съвета от 23 февруари 2005</w:t>
      </w:r>
      <w:r>
        <w:t> </w:t>
      </w:r>
      <w:r>
        <w:rPr>
          <w:lang w:val="ru-RU"/>
        </w:rPr>
        <w:t xml:space="preserve">г.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91/414/ЕИО на Съвета (ОВ </w:t>
      </w:r>
      <w:r>
        <w:t>L</w:t>
      </w:r>
      <w:r>
        <w:rPr>
          <w:lang w:val="ru-RU"/>
        </w:rPr>
        <w:t xml:space="preserve"> 70, 16.3.2005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14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(ЕО) №</w:t>
      </w:r>
      <w:r>
        <w:t> </w:t>
      </w:r>
      <w:r>
        <w:rPr>
          <w:lang w:val="ru-RU"/>
        </w:rPr>
        <w:t>1069/2009 на Европейския парламент и на Съвета от 21 октомври 2009</w:t>
      </w:r>
      <w:r>
        <w:t> </w:t>
      </w:r>
      <w:r>
        <w:rPr>
          <w:lang w:val="ru-RU"/>
        </w:rPr>
        <w:t>г. за установяване на здравни правила относно странични животински продукти и производни продукти, непредназначени за консумация от човека, и за отмяна на Регламент (ЕО) №</w:t>
      </w:r>
      <w:r>
        <w:t> </w:t>
      </w:r>
      <w:r>
        <w:rPr>
          <w:lang w:val="ru-RU"/>
        </w:rPr>
        <w:t xml:space="preserve">1774/2002 (Регламент за страничните животински продукти) (ОВ </w:t>
      </w:r>
      <w:r>
        <w:t>L </w:t>
      </w:r>
      <w:r>
        <w:rPr>
          <w:lang w:val="ru-RU"/>
        </w:rPr>
        <w:t>300, 14.11.2009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15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Регламент (ЕС) №</w:t>
      </w:r>
      <w:r>
        <w:t> </w:t>
      </w:r>
      <w:r>
        <w:rPr>
          <w:lang w:val="ru-RU"/>
        </w:rPr>
        <w:t>142/2011 на Комисията от 25 февруари 2011</w:t>
      </w:r>
      <w:r>
        <w:t> </w:t>
      </w:r>
      <w:r>
        <w:rPr>
          <w:lang w:val="ru-RU"/>
        </w:rPr>
        <w:t>г. за прилагане на Регламент (ЕО) №</w:t>
      </w:r>
      <w:r>
        <w:t> </w:t>
      </w:r>
      <w:r>
        <w:rPr>
          <w:lang w:val="ru-RU"/>
        </w:rPr>
        <w:t xml:space="preserve">1069/2009 на Европейския парламент и на Съвета за установяване на здравни правила относно странични животински продукти и производни продукти, непредназначени за консумация от човека, и за прилагане на Директива 97/78/ЕО на Съвета по отношение на някои проби и артикули, освободени от ветеринарни проверки на границата съгласно посочената директива (текст от значение за ЕИП) (ОВ </w:t>
      </w:r>
      <w:r>
        <w:t>L</w:t>
      </w:r>
      <w:r>
        <w:rPr>
          <w:lang w:val="ru-RU"/>
        </w:rPr>
        <w:t xml:space="preserve"> 54, 26.2.2011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F281F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022E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84810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7CEA6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E25B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1D6FF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640E4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DE2B3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FE51CEA"/>
    <w:multiLevelType w:val="hybridMultilevel"/>
    <w:tmpl w:val="FA0C2038"/>
    <w:lvl w:ilvl="0" w:tplc="77928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9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lvl w:ilvl="0">
        <w:start w:val="1"/>
        <w:numFmt w:val="decimal"/>
        <w:lvlRestart w:val="0"/>
        <w:pStyle w:val="Point0number"/>
        <w:lvlText w:val="(%1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lowerRoman"/>
        <w:pStyle w:val="Point0letter"/>
        <w:lvlText w:val="(%2)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2">
      <w:lvl w:ilvl="2">
        <w:start w:val="1"/>
        <w:numFmt w:val="decimal"/>
        <w:pStyle w:val="Point1number"/>
        <w:lvlText w:val="(%3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pStyle w:val="Point1letter"/>
        <w:lvlText w:val="(%4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Point2number"/>
        <w:lvlText w:val="(%5)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pStyle w:val="Point2letter"/>
        <w:lvlText w:val="%6."/>
        <w:lvlJc w:val="left"/>
        <w:pPr>
          <w:tabs>
            <w:tab w:val="num" w:pos="1984"/>
          </w:tabs>
          <w:ind w:left="1984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Point3number"/>
        <w:lvlText w:val="(%7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pStyle w:val="Point3letter"/>
        <w:lvlText w:val="(%8)"/>
        <w:lvlJc w:val="left"/>
        <w:pPr>
          <w:tabs>
            <w:tab w:val="num" w:pos="2551"/>
          </w:tabs>
          <w:ind w:left="2551" w:hanging="567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oint4letter"/>
        <w:lvlText w:val="(%9)"/>
        <w:lvlJc w:val="left"/>
        <w:pPr>
          <w:tabs>
            <w:tab w:val="num" w:pos="3118"/>
          </w:tabs>
          <w:ind w:left="3118" w:hanging="567"/>
        </w:pPr>
        <w:rPr>
          <w:rFonts w:hint="default"/>
        </w:rPr>
      </w:lvl>
    </w:lvlOverride>
  </w:num>
  <w:num w:numId="15">
    <w:abstractNumId w:val="14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13"/>
  </w:num>
  <w:num w:numId="21">
    <w:abstractNumId w:val="9"/>
  </w:num>
  <w:num w:numId="22">
    <w:abstractNumId w:val="20"/>
  </w:num>
  <w:num w:numId="23">
    <w:abstractNumId w:val="8"/>
  </w:num>
  <w:num w:numId="24">
    <w:abstractNumId w:val="14"/>
  </w:num>
  <w:num w:numId="25">
    <w:abstractNumId w:val="16"/>
  </w:num>
  <w:num w:numId="26">
    <w:abstractNumId w:val="17"/>
  </w:num>
  <w:num w:numId="27">
    <w:abstractNumId w:val="10"/>
  </w:num>
  <w:num w:numId="28">
    <w:abstractNumId w:val="15"/>
  </w:num>
  <w:num w:numId="29">
    <w:abstractNumId w:val="22"/>
  </w:num>
  <w:num w:numId="30">
    <w:abstractNumId w:val="18"/>
  </w:num>
  <w:num w:numId="31">
    <w:abstractNumId w:val="12"/>
  </w:num>
  <w:num w:numId="32">
    <w:abstractNumId w:val="21"/>
  </w:num>
  <w:num w:numId="33">
    <w:abstractNumId w:val="11"/>
  </w:num>
  <w:num w:numId="34">
    <w:abstractNumId w:val="13"/>
  </w:num>
  <w:num w:numId="35">
    <w:abstractNumId w:val="9"/>
  </w:num>
  <w:num w:numId="36">
    <w:abstractNumId w:val="20"/>
  </w:num>
  <w:num w:numId="37">
    <w:abstractNumId w:val="8"/>
  </w:num>
  <w:num w:numId="38">
    <w:abstractNumId w:val="14"/>
  </w:num>
  <w:num w:numId="39">
    <w:abstractNumId w:val="16"/>
  </w:num>
  <w:num w:numId="40">
    <w:abstractNumId w:val="17"/>
  </w:num>
  <w:num w:numId="41">
    <w:abstractNumId w:val="10"/>
  </w:num>
  <w:num w:numId="42">
    <w:abstractNumId w:val="15"/>
  </w:num>
  <w:num w:numId="43">
    <w:abstractNumId w:val="22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CKAITYTE Indre (SJ)">
    <w15:presenceInfo w15:providerId="None" w15:userId="MOCKAITYTE Indre (SJ)"/>
  </w15:person>
  <w15:person w15:author="LJUNG RASMUSSEN Eva (SJ)">
    <w15:presenceInfo w15:providerId="None" w15:userId="LJUNG RASMUSSEN Eva (SJ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5 10:46:16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3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83215F5D-F3E1-47DA-BE07-6AE009115E82"/>
    <w:docVar w:name="LW_COVERPAGE_TYPE" w:val="1"/>
    <w:docVar w:name="LW_CROSSREFERENCE" w:val="{SEC(2018) 249 final}_x000b_{SWD(2018) 249 final}_x000b_{SWD(2018) 250 final}"/>
    <w:docVar w:name="LW_DocType" w:val="ANNEX"/>
    <w:docVar w:name="LW_EMISSION" w:val="28.5.2018"/>
    <w:docVar w:name="LW_EMISSION_ISODATE" w:val="2018-05-28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4?\u1080?\u1085?\u1080?\u1084?\u1072?\u1083?\u1085?\u1080?\u1090?\u1077? \u1080?\u1079?\u1080?\u1089?\u1082?\u1074?\u1072?\u1085?\u1080?\u1103? \u1079?\u1072? \u1087?\u1086?\u1074?\u1090?\u1086?\u1088?\u1085?\u1086?\u1090?\u1086? \u1080?\u1079?\u1087?\u1086?\u1083?\u1079?\u1074?\u1072?\u1085?\u1077? \u1085?\u1072? \u1074?\u1086?\u1076?\u1072?\u1090?\u1072?_x000b__x000b_"/>
    <w:docVar w:name="LW_OBJETACTEPRINCIPAL.CP" w:val="\u1086?\u1090?\u1085?\u1086?\u1089?\u1085?\u1086? \u1084?\u1080?\u1085?\u1080?\u1084?\u1072?\u1083?\u1085?\u1080?\u1090?\u1077? \u1080?\u1079?\u1080?\u1089?\u1082?\u1074?\u1072?\u1085?\u1080?\u1103? \u1079?\u1072? \u1087?\u1086?\u1074?\u1090?\u1086?\u1088?\u1085?\u1086?\u1090?\u1086? \u1080?\u1079?\u1087?\u1086?\u1083?\u1079?\u1074?\u1072?\u1085?\u1077? \u1085?\u1072? \u1074?\u1086?\u1076?\u1072?\u1090?\u1072?_x000b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88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customStyle="1" w:styleId="GridTable4-Accent13">
    <w:name w:val="Grid Table 4 - Accent 13"/>
    <w:basedOn w:val="TableNormal"/>
    <w:uiPriority w:val="49"/>
    <w:pPr>
      <w:spacing w:after="0" w:line="240" w:lineRule="auto"/>
    </w:pPr>
    <w:rPr>
      <w:sz w:val="20"/>
      <w:szCs w:val="20"/>
      <w:lang w:val="it-IT" w:eastAsia="en-GB" w:bidi="he-I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uiPriority w:val="49"/>
    <w:pPr>
      <w:spacing w:after="0" w:line="240" w:lineRule="auto"/>
    </w:pPr>
    <w:rPr>
      <w:sz w:val="20"/>
      <w:szCs w:val="20"/>
      <w:lang w:val="it-IT" w:eastAsia="en-GB" w:bidi="he-I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aliases w:val="Bullet List Paragraph,List Paragraph1,Heading 2_sj,Resume Title,Citation List,Ha,List Paragraph_Table bullets,Listes,1st level - Bullet List Paragraph,Lettre d'introduction,Paragrafo elenco,Medium Grid 1 - Accent 21,Normal bullet 2"/>
    <w:basedOn w:val="Normal"/>
    <w:link w:val="ListParagraphChar"/>
    <w:uiPriority w:val="34"/>
    <w:qFormat/>
    <w:pPr>
      <w:spacing w:before="0" w:after="200"/>
      <w:ind w:left="720"/>
      <w:contextualSpacing/>
      <w:jc w:val="left"/>
    </w:pPr>
    <w:rPr>
      <w:rFonts w:asciiTheme="minorHAnsi" w:hAnsiTheme="minorHAnsi" w:cstheme="minorBidi"/>
      <w:sz w:val="22"/>
      <w:lang w:eastAsia="it-I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ListParagraphChar">
    <w:name w:val="List Paragraph Char"/>
    <w:aliases w:val="Bullet List Paragraph Char,List Paragraph1 Char,Heading 2_sj Char,Resume Title Char,Citation List Char,Ha Char,List Paragraph_Table bullets Char,Listes Char,1st level - Bullet List Paragraph Char,Lettre d'introduction Char"/>
    <w:link w:val="ListParagraph"/>
    <w:uiPriority w:val="34"/>
    <w:qFormat/>
    <w:locked/>
    <w:rPr>
      <w:lang w:val="en-GB"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customStyle="1" w:styleId="GridTable4-Accent13">
    <w:name w:val="Grid Table 4 - Accent 13"/>
    <w:basedOn w:val="TableNormal"/>
    <w:uiPriority w:val="49"/>
    <w:pPr>
      <w:spacing w:after="0" w:line="240" w:lineRule="auto"/>
    </w:pPr>
    <w:rPr>
      <w:sz w:val="20"/>
      <w:szCs w:val="20"/>
      <w:lang w:val="it-IT" w:eastAsia="en-GB" w:bidi="he-I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2">
    <w:name w:val="Grid Table 4 - Accent 12"/>
    <w:basedOn w:val="TableNormal"/>
    <w:uiPriority w:val="49"/>
    <w:pPr>
      <w:spacing w:after="0" w:line="240" w:lineRule="auto"/>
    </w:pPr>
    <w:rPr>
      <w:sz w:val="20"/>
      <w:szCs w:val="20"/>
      <w:lang w:val="it-IT" w:eastAsia="en-GB" w:bidi="he-IL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aliases w:val="Bullet List Paragraph,List Paragraph1,Heading 2_sj,Resume Title,Citation List,Ha,List Paragraph_Table bullets,Listes,1st level - Bullet List Paragraph,Lettre d'introduction,Paragrafo elenco,Medium Grid 1 - Accent 21,Normal bullet 2"/>
    <w:basedOn w:val="Normal"/>
    <w:link w:val="ListParagraphChar"/>
    <w:uiPriority w:val="34"/>
    <w:qFormat/>
    <w:pPr>
      <w:spacing w:before="0" w:after="200"/>
      <w:ind w:left="720"/>
      <w:contextualSpacing/>
      <w:jc w:val="left"/>
    </w:pPr>
    <w:rPr>
      <w:rFonts w:asciiTheme="minorHAnsi" w:hAnsiTheme="minorHAnsi" w:cstheme="minorBidi"/>
      <w:sz w:val="22"/>
      <w:lang w:eastAsia="it-I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ListParagraphChar">
    <w:name w:val="List Paragraph Char"/>
    <w:aliases w:val="Bullet List Paragraph Char,List Paragraph1 Char,Heading 2_sj Char,Resume Title Char,Citation List Char,Ha Char,List Paragraph_Table bullets Char,Listes Char,1st level - Bullet List Paragraph Char,Lettre d'introduction Char"/>
    <w:link w:val="ListParagraph"/>
    <w:uiPriority w:val="34"/>
    <w:qFormat/>
    <w:locked/>
    <w:rPr>
      <w:lang w:val="en-GB"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10</Pages>
  <Words>2361</Words>
  <Characters>14005</Characters>
  <Application>Microsoft Office Word</Application>
  <DocSecurity>0</DocSecurity>
  <Lines>500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DIGIT/A3</cp:lastModifiedBy>
  <cp:revision>8</cp:revision>
  <cp:lastPrinted>2018-04-10T09:38:00Z</cp:lastPrinted>
  <dcterms:created xsi:type="dcterms:W3CDTF">2018-06-14T13:18:00Z</dcterms:created>
  <dcterms:modified xsi:type="dcterms:W3CDTF">2018-06-15T08:46:00Z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