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AC500951-C723-4C6F-827F-3DD2CCF24D11" style="width:450.75pt;height:422.2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ОБОБЩЕНА ОЦЕНКА НА ВЪЗДЕЙСТВИЕТО</w:t>
      </w:r>
    </w:p>
    <w:p>
      <w:pPr>
        <w:rPr>
          <w:noProof/>
        </w:rPr>
      </w:pPr>
    </w:p>
    <w:p>
      <w:pPr>
        <w:spacing w:before="0" w:after="0"/>
        <w:jc w:val="left"/>
        <w:rPr>
          <w:rFonts w:eastAsia="Times New Roman"/>
          <w:noProof/>
          <w:szCs w:val="24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Обобщение</w:t>
            </w:r>
          </w:p>
        </w:tc>
      </w:tr>
      <w:t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Оценка на въздействието на предложение за Регламент на Европейския парламент и на Съвета за изменение на Регламент (ЕО) № 1224/2009 на Съвета и за изменение на регламенти (ЕО) № 768/2005, (ЕО) № 1967/2006, (ЕО) № 1005/2008 на Съвета и Регламент (ЕС) 2016/1139 на Европейския съюз и на Съвета по отношение на контрола на рибарството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A. Необходимост от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spacing w:before="6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Защо? Какъв е разглежданият проблем?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11 реда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rFonts w:ascii="Arial" w:hAnsi="Arial" w:cs="Arial"/>
                <w:noProof/>
                <w:sz w:val="20"/>
              </w:rPr>
            </w:pPr>
            <w:r>
              <w:rPr>
                <w:noProof/>
              </w:rPr>
              <w:t xml:space="preserve">Настоящата система на ЕС за контрол на рибарството бе разработена преди реформирането на общата политика в областта на рибарството (ОПОР) и затова </w:t>
            </w:r>
            <w:r>
              <w:rPr>
                <w:b/>
                <w:noProof/>
              </w:rPr>
              <w:t>не е съгласувана</w:t>
            </w:r>
            <w:r>
              <w:rPr>
                <w:noProof/>
              </w:rPr>
              <w:t xml:space="preserve"> с нея. Липсата на действия в това отношение би застрашило сериозно спазването на ОПОР и изпълнението на целите ѝ. Наред с това днес системата е </w:t>
            </w:r>
            <w:r>
              <w:rPr>
                <w:b/>
                <w:noProof/>
              </w:rPr>
              <w:t>остаряла</w:t>
            </w:r>
            <w:r>
              <w:rPr>
                <w:noProof/>
              </w:rPr>
              <w:t xml:space="preserve">, главно тъй като все още до голяма степен се поддържа в хартиен вид. В резултат на това тя не е ефективна и ефикасна, както бе </w:t>
            </w:r>
            <w:r>
              <w:rPr>
                <w:noProof/>
                <w:color w:val="000000" w:themeColor="text1"/>
              </w:rPr>
              <w:t>широко признато и подчертано от четирите европейски институции (Комисията, Съвета, Европейския парламент и Сметната палата), като и четирите обръщат внимание на необходимостта от преработване на рамката. В проведената от Комисията оценка по REFIT бяха установени следните основни фактори: а) липса на мерки за контрол на разпоредбите на реформираната ОПОР, липса на синергия с други политики; б) сложност на законодателната рамка и неяснота на правните разпоредби; в) неадекватни разпоредби за данните за риболова; г) правилата за правоприлагане нямат достатъчно възпиращ ефект. Засегнатите от инициативата заинтересовани страни са: оператори в областта на рибарството, публични органи в държавите членки, Комисията и Европейската агенция за контрол на рибарството.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се очаква да бъде постигнато с настоящата инициатива?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8 реда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  <w:color w:val="000000" w:themeColor="text1"/>
              </w:rPr>
              <w:t>Основните цели на настоящата</w:t>
            </w:r>
            <w:r>
              <w:rPr>
                <w:noProof/>
              </w:rPr>
              <w:t xml:space="preserve"> инициатива са повишаване на ефективността и ефикасността на системата на Съюза за контрол на рибарството и гарантиране на пълното спазване на реформираната ОПОР и изпълнение на нейните цели. </w:t>
            </w:r>
          </w:p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Конкретните цели са: 1) отстраняване на различията спрямо ОПОР и други политики на ЕС; 2) опростяване на законодателната рамка и намаляване на ненужната административна тежест; 3) подобряване на достъпа, надеждността и пълнотата на данните и информацията за рибарството, и по-специално данни за улова, както и създаване на възможности за обмен и споделяне на информация; и 4) премахване на пречките, затрудняващи развитието на културата на спазване на правилата и равноправното третиране на операторите в рамките на държавите членки и между тях.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Каква е добавената стойност от действие на равнището на ЕС?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7 реда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ОПОР и контролът над нея е сфера от изключителната компетентност на ЕС съгласно член 3, буква г) от Договора за ЕС. Н</w:t>
            </w:r>
            <w:r>
              <w:rPr>
                <w:noProof/>
                <w:color w:val="000000"/>
              </w:rPr>
              <w:t>еобходими са действия на равнището на ЕС</w:t>
            </w:r>
            <w:r>
              <w:rPr>
                <w:noProof/>
              </w:rPr>
              <w:t xml:space="preserve"> от страна на европейските институции, които имат </w:t>
            </w:r>
            <w:r>
              <w:rPr>
                <w:noProof/>
                <w:color w:val="000000"/>
              </w:rPr>
              <w:t xml:space="preserve">силната подкрепа на </w:t>
            </w:r>
            <w:r>
              <w:rPr>
                <w:noProof/>
              </w:rPr>
              <w:t>заинтересованите страни, включително на държавите членки, тъй като те добавят стойност в сравнение с възможните различни национални подходи чрез гарантирането на хармонизирана рамка за контрол на разпоредбите на ОПОР, чрез принос към еднаквите условия за конкуренция за рибарите в ЕС и в крайна сметка чрез насърчаване на култура на спазване на правилата в целия ЕС.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Б. Решения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законодателни и незаконодателни варианти на политиката са разгледани? Има ли предпочитан вариант? Защо?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14 реда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В рамките на оценката на въздействието бяха анализирани три политически варианта: 0) Базовия сценарий; 1) Целеви изменения на Регламента относно контрола на рибарството; (2) Целеви изменения на системата за контрол на рибарството (и по-специално, следните регламенти: Регламента относно контрола на рибарството, Регламента относно незаконния, недеклариран и нерегулиран риболов и Регламента за Европейската агенция за контрол на рибарството). Вариант 2 като цяло демонстрира подчертано по-добра ефективност в сравнение с другите варианти и е предпочитан. Този вариант: 1) би гарантирал съгласуваност с реформираната ОПОР; 2) би гарантирал система за контрол, ориентирана към бъдещето; 3) би довел до опростяване на законодателната рамка и намаляване на ненужната административна тежест; 4) би довел до увеличаване на културата на спазване на ОПОР; 5) би гарантирал равноправното третиране на операторите; 6) би подобрил качеството, обмена и споделянето на данни за риболова; 7) би подобрил научните данни за оценките на запасите; 8) би увеличил полезното взаимодействие с други политики; 9) би увеличил конкурентоспособността на европейската промишленост; 10) би довел до увеличаване над два пъти на всяко евро, инвестиран в контрола, под формата на приходи за икономиката на ЕС; 11) би увеличил разкриването на нови работни места в сферата на ИКТ; 12) би стимулирал инвестициите в нови технологии при същевременни икономии в размер на 157 милиона евро за период от пет години в сравнение с базовия сценарий; 13) би довел до по-бързо подобрение на състоянието на запасите и така до по-голяма рентабилност на съответните кораби и по-големи заплати на рибарите.</w:t>
            </w:r>
          </w:p>
        </w:tc>
      </w:tr>
      <w:tr>
        <w:tc>
          <w:tcPr>
            <w:tcW w:w="10188" w:type="dxa"/>
            <w:shd w:val="clear" w:color="auto" w:fill="CCCCCC"/>
          </w:tcPr>
          <w:p>
            <w:pPr>
              <w:spacing w:before="60" w:after="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Кой подкрепя отделните варианти?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7 реда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rPr>
          <w:trHeight w:val="540"/>
        </w:trPr>
        <w:tc>
          <w:tcPr>
            <w:tcW w:w="10188" w:type="dxa"/>
            <w:shd w:val="clear" w:color="auto" w:fill="auto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Преобладаващата част от заинтересованите страни, с които бяха направени консултации, включително държавите членки, силно подкрепиха или са изразили предпочитание за вариант 2. Нито една от заинтересованите страни не подкрепи варианта без политическа промяна (базовия сценарий).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В. Въздействие на предпочитания вариант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ползите от предпочитания вариант (ако има такъв, в противен случай — от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12 реда</w:t>
            </w:r>
            <w:r>
              <w:rPr>
                <w:rFonts w:ascii="Tahoma" w:hAnsi="Tahoma"/>
                <w:noProof/>
                <w:sz w:val="20"/>
              </w:rPr>
              <w:t xml:space="preserve">                                     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noProof/>
              </w:rPr>
              <w:t>Положителното екологично въздействие би включвало:</w:t>
            </w:r>
            <w:r>
              <w:rPr>
                <w:rFonts w:ascii="Arial" w:hAnsi="Arial"/>
                <w:i/>
                <w:noProof/>
                <w:sz w:val="20"/>
              </w:rPr>
              <w:t xml:space="preserve"> </w:t>
            </w:r>
            <w:r>
              <w:rPr>
                <w:noProof/>
              </w:rPr>
              <w:t>намаляване на прекомерния улов, прекратяване на изхвърлянето на улов в морето, по-здрави рибни запаси и адекватен контрол на морските защитени зони.</w:t>
            </w:r>
          </w:p>
          <w:p>
            <w:pPr>
              <w:tabs>
                <w:tab w:val="num" w:pos="425"/>
              </w:tabs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Основните социално-икономически ползи включват</w:t>
            </w:r>
            <w:r>
              <w:rPr>
                <w:rFonts w:ascii="Arial" w:hAnsi="Arial"/>
                <w:noProof/>
                <w:sz w:val="20"/>
              </w:rPr>
              <w:t xml:space="preserve">: </w:t>
            </w:r>
            <w:r>
              <w:rPr>
                <w:noProof/>
              </w:rPr>
              <w:t>повишаване на заплатите и конкурентоспособността в риболовния сектор, най-вече що се отнася до малките флотове; стимулиране на създаването на работни места (най-вече такива в областта на ИКТ); подобряване на съответствието с ОПОР и равноправното третиране на рибарите. Наред с това се очаква предпочитаният вариант да опрости и значително да намали административната тежест на сегашната система, като се реализират икономии в очакван размер на 157 милиона евро за период от 5 години в сравнение с базовия сценарий. Трябва да се отбележи, че макар че беше възможно някои от икономиите да се остойностят, други са само установени, но не беше възможно да бъдат количествено определени.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разходите за предпочитания вариант (ако има такъв, в противен случай — основните разходи)?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12 реда</w:t>
            </w:r>
            <w:r>
              <w:rPr>
                <w:rFonts w:ascii="Tahoma" w:hAnsi="Tahoma"/>
                <w:noProof/>
                <w:sz w:val="20"/>
              </w:rPr>
              <w:t xml:space="preserve">                                     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Разходите биха били „пропорционални“ на постигнатите ползи (особено предвид икономиите) и икономически ефективни, като значителните ползи надхвърлят сравнително скромните промени в разходите. При този вариант органите в държавите членки също така биха реализирали икономии чрез опростяване и оперативна съвместимост. Разходите за привеждане в съответствие ще се отнасят за мониторинга на риболовния капацитет (5,1 милиона евро за предприятията, отчасти компенсирани с 4,2 милиона евро икономии за органите) и контрола на задължението за разтоварване (инвестиции в размер на 7,2 милиона евро). Общите инвестиции в ИКТ биха възлезли на 134,6 милиона евро за период от 5 години, но отчасти биха се компенсирали от периодични икономии в размер на 127,3 милиона евро за същия период.</w:t>
            </w:r>
          </w:p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Не се очаква негативно социално или екологично въздействие в резултат на предпочитания вариант.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ще са последиците за предприятията, МСП и микропредприятията?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8 реда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Ще има минимални разходи за предприятия, които ще подлежат на финансиране по Европейския фонд за морско дело и рибарство (ЕФМДР), като същевременно тези предприятия ще имат екологичните, икономическите и социалните ползи. Наред с това с въвеждането на удобни и рентабилни системи за отчитане на данните за рибарството, с което ще се оползотворяват възможностите на достъпните и широко разпространени мобилни технологии, ще се избегне допълнителна тежест за малките оператори (дребномащабни рибари). Тези системи също така биха отговаряли на условията за финансиране по ЕФМДР. Наред с това въвеждането на нови информационни и комуникационни технологии ще стимулира иновациите и ще осигури нови пътища за създаване на работни места</w:t>
            </w:r>
            <w:r>
              <w:rPr>
                <w:b/>
                <w:noProof/>
              </w:rPr>
              <w:t xml:space="preserve"> </w:t>
            </w:r>
            <w:r>
              <w:rPr>
                <w:noProof/>
              </w:rPr>
              <w:t xml:space="preserve">в малките, средните и стартиращите предприятия.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значително въздействие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b/>
                <w:noProof/>
                <w:sz w:val="20"/>
              </w:rPr>
              <w:t>върху националните бюджети и администрации?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4 реда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spacing w:before="0"/>
              <w:rPr>
                <w:rFonts w:ascii="Arial" w:hAnsi="Arial" w:cs="Arial"/>
                <w:noProof/>
                <w:sz w:val="20"/>
              </w:rPr>
            </w:pPr>
            <w:r>
              <w:rPr>
                <w:noProof/>
              </w:rPr>
              <w:t>Държавите членки ще трябва да разработят ИКТ решения, за да завършат цифровизацията на системите за данни за рибарството и за да управляват новия поток данни (разходите подлежат на възстановяване по ЕФМДР) и да внедрят новата цифрова система за внос на продукти от риболов от трети държави (електронен сертификат за улов).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други значителни въздействия?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 xml:space="preserve">Максимум 6 реда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rFonts w:ascii="Arial" w:hAnsi="Arial" w:cs="Arial"/>
                <w:noProof/>
                <w:sz w:val="20"/>
              </w:rPr>
            </w:pPr>
            <w:r>
              <w:rPr>
                <w:noProof/>
              </w:rPr>
              <w:t>Риболовът за нетърговски цели като цяло би бил обект на по-строги правила в сравнение със сега, според които пи-специално ще се изисква деклариране на улова</w:t>
            </w:r>
            <w:r>
              <w:rPr>
                <w:rFonts w:ascii="Arial" w:hAnsi="Arial"/>
                <w:noProof/>
                <w:sz w:val="20"/>
              </w:rPr>
              <w:t xml:space="preserve">. </w:t>
            </w:r>
            <w:r>
              <w:rPr>
                <w:noProof/>
              </w:rPr>
              <w:t>За гражданите ползите ще се изразяват в по-добра и по-надеждна информация за продуктите от риболов и по-добра сигурност на предлагането на морски продукти.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Г. Последващи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Кога ще се извърши преглед на политиката?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4 реда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rFonts w:ascii="Tahoma" w:hAnsi="Tahoma" w:cs="Tahoma"/>
                <w:noProof/>
                <w:sz w:val="20"/>
              </w:rPr>
            </w:pPr>
            <w:r>
              <w:rPr>
                <w:noProof/>
              </w:rPr>
              <w:t xml:space="preserve">В настоящия Регламент относно контрола на рибарството вече се предвижда, че Комисията оценява изпълнението му на всеки 5 години въз основа на доклади от държавите членки. Това правило ще бъде запазено. </w:t>
            </w:r>
          </w:p>
        </w:tc>
      </w:tr>
    </w:tbl>
    <w:p>
      <w:pPr>
        <w:spacing w:before="0" w:after="0"/>
        <w:jc w:val="left"/>
        <w:rPr>
          <w:rFonts w:eastAsia="Times New Roman"/>
          <w:noProof/>
          <w:szCs w:val="24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7?\u1088?\u1080?\u1076?\u1088?\u1091?\u1078?\u1072?\u1074?\u1072?\u1097?"/>
    <w:docVar w:name="LW_CORRIGENDUM" w:val="&lt;UNUSED&gt;"/>
    <w:docVar w:name="LW_COVERPAGE_EXISTS" w:val="True"/>
    <w:docVar w:name="LW_COVERPAGE_GUID" w:val="AC500951-C723-4C6F-827F-3DD2CCF24D11"/>
    <w:docVar w:name="LW_COVERPAGE_TYPE" w:val="1"/>
    <w:docVar w:name="LW_CROSSREFERENCE" w:val="{COM(2018) 368 final}_x000b_{SEC(2018) 267 final}_x000b_{SWD(2018) 280 final}"/>
    <w:docVar w:name="LW_DocType" w:val="NORMAL"/>
    <w:docVar w:name="LW_EMISSION" w:val="30.5.2018"/>
    <w:docVar w:name="LW_EMISSION_ISODATE" w:val="2018-05-30"/>
    <w:docVar w:name="LW_EMISSION_LOCATION" w:val="BRX"/>
    <w:docVar w:name="LW_EMISSION_PREFIX" w:val="Брюксел, "/>
    <w:docVar w:name="LW_EMISSION_SUFFIX" w:val="\u1075?."/>
    <w:docVar w:name="LW_ID_DOCTYPE_NONLW" w:val="CP-02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56?\u1077?\u1075?\u1083?\u1072?\u1084?\u1077?\u1085?\u1090? (E\u1054?) \u8470? 1224/2009 \u1085?\u1072? \u1057?\u1098?\u1074?\u1077?\u1090?\u1072? \u1080? \u1079?\u1072? \u1080?\u1079?\u1084?\u1077?\u1085?\u1077?\u1085?\u1080?\u1077? \u1085?\u1072? \u1088?\u1077?\u1075?\u1083?\u1072?\u1084?\u1077?\u1085?\u1090?\u1080? (E\u1054?) \u8470? 768/2005, (E\u1054?) \u8470? 1967/2006, (E\u1054?) \u8470? 1005/2008 \u1080? \u1056?\u1077?\u1075?\u1083?\u1072?\u1084?\u1077?\u1085?\u1090? (E\u1057?) 2016/1139 \u1085?\u1072? \u1045?\u1074?\u1088?\u1086?\u1087?\u1077?\u1081?\u1089?\u1082?\u1080?\u1103? \u1087?\u1072?\u1088?\u1083?\u1072?\u1084?\u1077?\u1085?\u1090? \u1080? \u1085?\u1072? \u1057?\u1098?\u1074?\u1077?\u1090?\u1072? \u1087?\u1086? \u1086?\u1090?\u1085?\u1086?\u1096?\u1077?\u1085?\u1080?\u1077? \u1085?\u1072? \u1082?\u1086?\u1085?\u1090?\u1088?\u1086?\u1083?\u1072? \u1085?\u1072? \u1088?\u1080?\u1073?\u1072?\u1088?\u1089?\u1090?\u1074?\u1086?\u1090?\u1086?"/>
    <w:docVar w:name="LW_PART_NBR" w:val="1"/>
    <w:docVar w:name="LW_PART_NBR_TOTAL" w:val="1"/>
    <w:docVar w:name="LW_REF.INST.NEW" w:val="SWD"/>
    <w:docVar w:name="LW_REF.INST.NEW_ADOPTED" w:val="final"/>
    <w:docVar w:name="LW_REF.INST.NEW_TEXT" w:val="(2018) 27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rFonts w:eastAsiaTheme="minorHAnsi"/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ocument Table,CV1,Deloitte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Pr>
      <w:rFonts w:eastAsiaTheme="minorHAnsi"/>
      <w:sz w:val="24"/>
      <w:szCs w:val="22"/>
      <w:lang w:eastAsia="bg-BG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Pr>
      <w:rFonts w:eastAsiaTheme="minorHAnsi"/>
      <w:sz w:val="24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eastAsiaTheme="minorHAnsi"/>
      <w:b/>
      <w:sz w:val="32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eastAsiaTheme="minorHAnsi"/>
      <w:b/>
      <w:sz w:val="32"/>
      <w:szCs w:val="22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rFonts w:eastAsiaTheme="minorHAnsi"/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ocument Table,CV1,Deloitte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Pr>
      <w:rFonts w:eastAsiaTheme="minorHAnsi"/>
      <w:sz w:val="24"/>
      <w:szCs w:val="22"/>
      <w:lang w:eastAsia="bg-BG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Pr>
      <w:rFonts w:eastAsiaTheme="minorHAnsi"/>
      <w:sz w:val="24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eastAsiaTheme="minorHAnsi"/>
      <w:b/>
      <w:sz w:val="32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eastAsiaTheme="minorHAnsi"/>
      <w:b/>
      <w:sz w:val="32"/>
      <w:szCs w:val="22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1385</Words>
  <Characters>8050</Characters>
  <Application>Microsoft Office Word</Application>
  <DocSecurity>0</DocSecurity>
  <Lines>129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DIGIT/A3</cp:lastModifiedBy>
  <cp:revision>17</cp:revision>
  <dcterms:created xsi:type="dcterms:W3CDTF">2018-05-07T16:06:00Z</dcterms:created>
  <dcterms:modified xsi:type="dcterms:W3CDTF">2018-06-18T08:29:00Z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</Properties>
</file>