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DD8CF73-41F2-4C78-BFE2-3127CE3764E7"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ПРИЛОЖЕНИЕ I</w:t>
      </w:r>
    </w:p>
    <w:p>
      <w:pPr>
        <w:rPr>
          <w:noProof/>
        </w:rPr>
      </w:pPr>
    </w:p>
    <w:p>
      <w:pPr>
        <w:pStyle w:val="NumPar1"/>
        <w:numPr>
          <w:ilvl w:val="0"/>
          <w:numId w:val="9"/>
        </w:numPr>
        <w:rPr>
          <w:noProof/>
        </w:rPr>
      </w:pPr>
      <w:bookmarkStart w:id="1" w:name="DQPStarAt1DQPStarAtE536327E303E4B2EA4B01"/>
      <w:r>
        <w:rPr>
          <w:noProof/>
        </w:rPr>
        <w:t>Главната цел на програмата „Козлодуй“ е да се окаже помощ на България в управлението на предизвикателствата във връзка с радиационната безопасност, породени от извеждането от експлоатация на блокове 1—4 на ядрената централа „Козлодуй“ . Основните предизвикателства по отношение на безопасността, които трябва да бъдат разрешени от програмите са:</w:t>
      </w:r>
    </w:p>
    <w:p>
      <w:pPr>
        <w:pStyle w:val="Point1"/>
        <w:rPr>
          <w:noProof/>
        </w:rPr>
      </w:pPr>
      <w:bookmarkStart w:id="2" w:name="DQPStarAt1DQPStarAtA03E90F2E53241BEB0448"/>
      <w:bookmarkEnd w:id="1"/>
      <w:r>
        <w:rPr>
          <w:noProof/>
        </w:rPr>
        <w:t>а)</w:t>
      </w:r>
      <w:r>
        <w:rPr>
          <w:noProof/>
        </w:rPr>
        <w:tab/>
        <w:t>демонтирането и деконтаминирането на първия контур на реакторите и големите компоненти в съответствие с плана за извеждане от експлоатация; напредъкът следва да се измерва въз основа на количеството и вида на извлечените материали, както и на придобитата стойност;</w:t>
      </w:r>
    </w:p>
    <w:bookmarkEnd w:id="2"/>
    <w:p>
      <w:pPr>
        <w:pStyle w:val="Point1"/>
        <w:rPr>
          <w:noProof/>
        </w:rPr>
      </w:pPr>
      <w:r>
        <w:rPr>
          <w:noProof/>
        </w:rPr>
        <w:t>б)</w:t>
      </w:r>
      <w:r>
        <w:rPr>
          <w:noProof/>
        </w:rPr>
        <w:tab/>
        <w:t xml:space="preserve">безопасното провеждане на извеждането от експлоатация и управлението на натрупаните отпадъци до временно им съхранение или до погребването им (в зависимост от категорията отпадъци), включително завършването на изграждането на инфраструктура за управление на отпадъците, когато това е необходимо. Тази цел трябва да бъде постигната в съответствие с плана за извеждане от експлоатация; напредъкът следва да се измерва въз основа на количеството и вида на безопасно складираните или погребаните материали, както и на придобитата стойност; </w:t>
      </w:r>
    </w:p>
    <w:p>
      <w:pPr>
        <w:pStyle w:val="Point1"/>
        <w:rPr>
          <w:noProof/>
        </w:rPr>
      </w:pPr>
      <w:r>
        <w:rPr>
          <w:noProof/>
        </w:rPr>
        <w:t>в)</w:t>
      </w:r>
      <w:r>
        <w:rPr>
          <w:noProof/>
        </w:rPr>
        <w:tab/>
        <w:t xml:space="preserve">продължаване на намаляването на радиационните опасности; тази цел трябва да се измерва чрез оценка на безопасността на дейностите и на съоръжението, като се определят начините, по които би могло да се стигне до потенциална експозиция, оценява се вероятността от такава и евентуалното ѝ равнище. По програма „Козлодуй“ премахването на регулаторния контрол на съоръженията се планира да се осъществи до 2030 г. </w:t>
      </w:r>
    </w:p>
    <w:p>
      <w:pPr>
        <w:pStyle w:val="NumPar1"/>
        <w:rPr>
          <w:noProof/>
        </w:rPr>
      </w:pPr>
      <w:r>
        <w:rPr>
          <w:noProof/>
        </w:rPr>
        <w:t>Максималната ставка на съфинансиране от ЕС, приложима спрямо проектите и дейностите, финансирани през периода 2021—2027 г. по програма „Козлодуй“, е 50 %.</w:t>
      </w:r>
    </w:p>
    <w:p>
      <w:pPr>
        <w:pStyle w:val="NumPar1"/>
        <w:rPr>
          <w:noProof/>
        </w:rPr>
      </w:pPr>
      <w:r>
        <w:rPr>
          <w:noProof/>
        </w:rPr>
        <w:t>Основната обща цел на програмата се допълва от целта за повишаване на добавената стойност за ЕС от програмата чрез разпространението на знания (генерирани при изпълнението ѝ) за всички държави членки на ЕС по отношение на процеса на извеждане от експлоатация. През финансовия период, започващ през 2021 г., програмата трябва да постигане следните цели:</w:t>
      </w:r>
    </w:p>
    <w:p>
      <w:pPr>
        <w:pStyle w:val="NumPar2"/>
        <w:ind w:left="1418" w:hanging="567"/>
        <w:rPr>
          <w:noProof/>
        </w:rPr>
      </w:pPr>
      <w:r>
        <w:rPr>
          <w:noProof/>
        </w:rPr>
        <w:t>да спомогне да се създадат връзки и да се установи обмен между заинтересованите страни в ЕС (напр. държави членки, органи по безопасността, оператори на комунални инфраструктури и оператори по извеждане от експлоатация);</w:t>
      </w:r>
    </w:p>
    <w:p>
      <w:pPr>
        <w:pStyle w:val="NumPar2"/>
        <w:ind w:left="1418" w:hanging="567"/>
        <w:rPr>
          <w:noProof/>
        </w:rPr>
      </w:pPr>
      <w:r>
        <w:rPr>
          <w:noProof/>
        </w:rPr>
        <w:t xml:space="preserve">да документира ясно формулирани знания и да ги прави публично достояние чрез многостранен трансфер на знания относно свързани с управлението въпроси по извеждането от експлоатация и управлението на отпадъците, най-добрите управленски практики и технологичните предизвикателства, с оглед разработването на възможни полезни взаимодействия в ЕС. </w:t>
      </w:r>
    </w:p>
    <w:p>
      <w:pPr>
        <w:ind w:left="851"/>
        <w:rPr>
          <w:noProof/>
        </w:rPr>
      </w:pPr>
      <w:r>
        <w:rPr>
          <w:noProof/>
        </w:rPr>
        <w:t>Тези дейности могат да бъдат финансирани от Съюза в размер до 100 %.</w:t>
      </w:r>
    </w:p>
    <w:p>
      <w:pPr>
        <w:ind w:left="851"/>
        <w:rPr>
          <w:noProof/>
        </w:rPr>
      </w:pPr>
      <w:r>
        <w:rPr>
          <w:noProof/>
        </w:rPr>
        <w:t>Напредъкът трябва да бъде измерван с броя на създадените продукти на знанието и тяхното популяризиране.</w:t>
      </w:r>
    </w:p>
    <w:p>
      <w:pPr>
        <w:pStyle w:val="NumPar1"/>
        <w:rPr>
          <w:noProof/>
        </w:rPr>
      </w:pPr>
      <w:r>
        <w:rPr>
          <w:noProof/>
        </w:rPr>
        <w:t>Погребването на отработеното гориво и радиоактивните отпадъци в дълбоки геоложки хранилища е изключено от обхвата на програмата, а България следва да разгледа този въпрос в своята национална програма за управление на отработено гориво и радиоактивни отпадъци, както се изисква от относимата Директива 2011/70/Евратом на Съвета.</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rStyle w:val="Marker"/>
          <w:noProof/>
        </w:rPr>
      </w:pPr>
      <w:r>
        <w:rPr>
          <w:noProof/>
        </w:rPr>
        <w:t>ПРИЛОЖЕНИЕ II</w:t>
      </w:r>
    </w:p>
    <w:p>
      <w:pPr>
        <w:rPr>
          <w:noProof/>
        </w:rPr>
      </w:pPr>
    </w:p>
    <w:p>
      <w:pPr>
        <w:pStyle w:val="NumPar1"/>
        <w:numPr>
          <w:ilvl w:val="0"/>
          <w:numId w:val="10"/>
        </w:numPr>
        <w:rPr>
          <w:noProof/>
        </w:rPr>
      </w:pPr>
      <w:bookmarkStart w:id="3" w:name="DQPStarAt1DQPStarAtF8377F2285B44A6F81726"/>
      <w:r>
        <w:rPr>
          <w:noProof/>
        </w:rPr>
        <w:t>Главната цел на програмата „Бохунице“ е да се окаже помощ на Словакия в управлението на предизвикателствата във връзка с радиационната безопасност, породени от извеждането от експлоатация на блокове 1 и 2 на ядрената централа „Бохунице V1“ . Основните предизвикателства по отношение на безопасността, които трябва да бъдат разрешени от програмите са:</w:t>
      </w:r>
    </w:p>
    <w:bookmarkEnd w:id="3"/>
    <w:p>
      <w:pPr>
        <w:pStyle w:val="Point1"/>
        <w:rPr>
          <w:noProof/>
        </w:rPr>
      </w:pPr>
      <w:r>
        <w:rPr>
          <w:noProof/>
        </w:rPr>
        <w:t>а)</w:t>
      </w:r>
      <w:r>
        <w:rPr>
          <w:noProof/>
        </w:rPr>
        <w:tab/>
        <w:t>демонтирането на първия контур на реакторите и големите компоненти в съответствие с плана за извеждане от експлоатация; напредъкът следва да се измерва въз основа на количеството и вида на извлечените материали, както и на придобитата стойност;</w:t>
      </w:r>
    </w:p>
    <w:p>
      <w:pPr>
        <w:pStyle w:val="Point1"/>
        <w:rPr>
          <w:noProof/>
        </w:rPr>
      </w:pPr>
      <w:r>
        <w:rPr>
          <w:noProof/>
        </w:rPr>
        <w:t>б)</w:t>
      </w:r>
      <w:r>
        <w:rPr>
          <w:noProof/>
        </w:rPr>
        <w:tab/>
        <w:t xml:space="preserve">безопасното провеждане на извеждането от експлоатация и управлението на натрупаните отпадъци до временно им съхранение или до погребването им (в зависимост от категорията отпадъци), включително завършването на изграждането на инфраструктура за управление на отпадъците, когато това е необходимо. Тази цел трябва да бъде постигната в съответствие с плана за извеждане от експлоатация; напредъкът следва да се измерва въз основа на количеството и вида на безопасно складираните или погребаните материали, както и на придобитата стойност; </w:t>
      </w:r>
    </w:p>
    <w:p>
      <w:pPr>
        <w:pStyle w:val="Point1"/>
        <w:rPr>
          <w:noProof/>
        </w:rPr>
      </w:pPr>
      <w:r>
        <w:rPr>
          <w:noProof/>
        </w:rPr>
        <w:t>в)</w:t>
      </w:r>
      <w:r>
        <w:rPr>
          <w:noProof/>
        </w:rPr>
        <w:tab/>
        <w:t>продължаване на намаляването на радиационните опасности; тази цел трябва да се измерва чрез оценка на безопасността на дейностите и на съоръжението, като се определят начините, по които би могло да се стигне до потенциална експозиция, и се оценява вероятността от такава и евентуалното ѝ равнище. По програма „Бохунице“ премахването на регулаторния контрол на съоръженията се планира да се осъществи до 2025 г.</w:t>
      </w:r>
    </w:p>
    <w:p>
      <w:pPr>
        <w:pStyle w:val="NumPar1"/>
        <w:rPr>
          <w:noProof/>
        </w:rPr>
      </w:pPr>
      <w:r>
        <w:rPr>
          <w:noProof/>
        </w:rPr>
        <w:t>Максималната ставка на съфинансиране от ЕС, приложима спрямо проектите и дейностите, финансирани през периода 2021—2027 г. по програма „Козлодуй“, е 50 %.</w:t>
      </w:r>
    </w:p>
    <w:p>
      <w:pPr>
        <w:pStyle w:val="NumPar1"/>
        <w:rPr>
          <w:noProof/>
        </w:rPr>
      </w:pPr>
      <w:r>
        <w:rPr>
          <w:noProof/>
        </w:rPr>
        <w:t>Основната обща цел на програмите се допълва от целта за повишаване на добавената стойност за ЕС от програмата чрез разпространението на знания (генерирани при изпълнеието ѝ) за всички държави членки на ЕС по отношение на процеса на извеждане от експлоатация. През финансовия период, започващ през 2021 г., програмата трябва да постигне следните цели:</w:t>
      </w:r>
    </w:p>
    <w:p>
      <w:pPr>
        <w:pStyle w:val="NumPar2"/>
        <w:ind w:left="1418" w:hanging="567"/>
        <w:rPr>
          <w:noProof/>
        </w:rPr>
      </w:pPr>
      <w:r>
        <w:rPr>
          <w:noProof/>
        </w:rPr>
        <w:t>да спомогне да се създадат връзки и да се установи обмен между заинтересованите страни в ЕС (напр. държави членки, органи по безопасността, оператори на комунални инфраструктури и оператори по извеждане от експлоатация);</w:t>
      </w:r>
    </w:p>
    <w:p>
      <w:pPr>
        <w:pStyle w:val="NumPar2"/>
        <w:ind w:left="1418" w:hanging="567"/>
        <w:rPr>
          <w:noProof/>
        </w:rPr>
      </w:pPr>
      <w:r>
        <w:rPr>
          <w:noProof/>
        </w:rPr>
        <w:t xml:space="preserve">да документира ясно формулирани знания и да ги прави публично достояние чрез многостранен трансфер на знания относно свързани с управлението въпроси по извеждането от експлоатация и управлението на отпадъците, най-добрите управленски практики и технологичните предизвикателства, с оглед разработването на възможни полезни взаимодействия в ЕС. </w:t>
      </w:r>
    </w:p>
    <w:p>
      <w:pPr>
        <w:ind w:left="851"/>
        <w:rPr>
          <w:noProof/>
        </w:rPr>
      </w:pPr>
      <w:r>
        <w:rPr>
          <w:noProof/>
        </w:rPr>
        <w:t>Тези дейности могат да бъдат финансирани от Съюза в размер до 100 %.</w:t>
      </w:r>
    </w:p>
    <w:p>
      <w:pPr>
        <w:ind w:left="851"/>
        <w:rPr>
          <w:noProof/>
        </w:rPr>
      </w:pPr>
      <w:r>
        <w:rPr>
          <w:noProof/>
        </w:rPr>
        <w:t>Напредъкът трябва да бъде измерван с броя създадени продукти на знанието и тяхното популяризиране.</w:t>
      </w:r>
    </w:p>
    <w:p>
      <w:pPr>
        <w:pStyle w:val="NumPar1"/>
        <w:rPr>
          <w:noProof/>
        </w:rPr>
      </w:pPr>
      <w:r>
        <w:rPr>
          <w:noProof/>
        </w:rPr>
        <w:t>Погребването на отработеното гориво и радиоактивните отпадъци в дълбоки геоложки хранилища е изключено от обхвата на програмата, а Словакия следва да разгледа този въпрос в своята национална програма за управление на отработено гориво и радиоактивни отпадъци, както се изисква от относимата Директива 2011/70/Евратом на Съвета.</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ПРИЛОЖЕНИЕ III</w:t>
      </w:r>
    </w:p>
    <w:p>
      <w:pPr>
        <w:rPr>
          <w:noProof/>
        </w:rPr>
      </w:pPr>
    </w:p>
    <w:p>
      <w:pPr>
        <w:pStyle w:val="NumPar1"/>
        <w:numPr>
          <w:ilvl w:val="0"/>
          <w:numId w:val="11"/>
        </w:numPr>
        <w:rPr>
          <w:noProof/>
        </w:rPr>
      </w:pPr>
      <w:r>
        <w:rPr>
          <w:noProof/>
        </w:rPr>
        <w:t>Главната цел на програмата на JRC за извеждане от експлоатация и управление на отпадъци е да се продължи извеждането от експлоатация на инсталациите на JRC на Комисията в четири обекта: JRC-Геел в Белгия, JRC-Карлсруе в Германия, JRC-Испра в Италия и JRC-Петен в Нидерландия, както и безопасното управление на отработено гориво и радиоактивните отпадъци до прехвърлянето на отговорностите на държавата членка домакин. Дейностите, финансирани по тази програма за периода 2021—2027 г., имат за цел постигането на следното:</w:t>
      </w:r>
    </w:p>
    <w:p>
      <w:pPr>
        <w:pStyle w:val="NumPar2"/>
        <w:ind w:left="1418" w:hanging="567"/>
        <w:rPr>
          <w:noProof/>
        </w:rPr>
      </w:pPr>
      <w:r>
        <w:rPr>
          <w:noProof/>
        </w:rPr>
        <w:t>За всички обекти:</w:t>
      </w:r>
    </w:p>
    <w:p>
      <w:pPr>
        <w:pStyle w:val="NumPar3"/>
        <w:spacing w:after="0"/>
        <w:ind w:left="1702" w:hanging="851"/>
        <w:rPr>
          <w:noProof/>
        </w:rPr>
      </w:pPr>
      <w:r>
        <w:rPr>
          <w:noProof/>
        </w:rPr>
        <w:t>проучване и разработване на варианти за очакваното прехвърляне на задълженията по извеждане от експлоатация и управление на отпадъците на държавата членка домакин.</w:t>
      </w:r>
    </w:p>
    <w:p>
      <w:pPr>
        <w:pStyle w:val="Text1"/>
        <w:rPr>
          <w:noProof/>
        </w:rPr>
      </w:pPr>
    </w:p>
    <w:p>
      <w:pPr>
        <w:pStyle w:val="NumPar2"/>
        <w:ind w:left="1418" w:hanging="567"/>
        <w:rPr>
          <w:noProof/>
        </w:rPr>
      </w:pPr>
      <w:r>
        <w:rPr>
          <w:noProof/>
        </w:rPr>
        <w:t xml:space="preserve"> В JRC-Испра (в зависимост от издаването на съответните разрешения от италианските органи за безопасност): </w:t>
      </w:r>
    </w:p>
    <w:p>
      <w:pPr>
        <w:pStyle w:val="NumPar3"/>
        <w:ind w:left="1702" w:hanging="851"/>
        <w:rPr>
          <w:noProof/>
        </w:rPr>
      </w:pPr>
      <w:r>
        <w:rPr>
          <w:noProof/>
        </w:rPr>
        <w:t>извличането, третирането и безопасното складиране на старите отпадъци до прехвърлянето на собствеността на държавата членка домакин;</w:t>
      </w:r>
    </w:p>
    <w:p>
      <w:pPr>
        <w:pStyle w:val="NumPar3"/>
        <w:ind w:left="1702" w:hanging="851"/>
        <w:rPr>
          <w:noProof/>
        </w:rPr>
      </w:pPr>
      <w:r>
        <w:rPr>
          <w:noProof/>
        </w:rPr>
        <w:t>извличането, третирането и безопасното складиране на ядрен материал и отработено гориво до прехвърлянето на собствеността на държавата членка домакин;</w:t>
      </w:r>
    </w:p>
    <w:p>
      <w:pPr>
        <w:pStyle w:val="NumPar3"/>
        <w:ind w:left="1702" w:hanging="851"/>
        <w:rPr>
          <w:noProof/>
        </w:rPr>
      </w:pPr>
      <w:r>
        <w:rPr>
          <w:noProof/>
        </w:rPr>
        <w:t xml:space="preserve">извеждане от експлоатация на лицензирани ядрени съоръжения; </w:t>
      </w:r>
    </w:p>
    <w:p>
      <w:pPr>
        <w:pStyle w:val="NumPar3"/>
        <w:ind w:left="1702" w:hanging="851"/>
        <w:rPr>
          <w:noProof/>
        </w:rPr>
      </w:pPr>
      <w:r>
        <w:rPr>
          <w:noProof/>
        </w:rPr>
        <w:t>безопасно управление на получените при извеждането от експлоатация радиоактивни отпадъци и материали.</w:t>
      </w:r>
    </w:p>
    <w:p>
      <w:pPr>
        <w:pStyle w:val="Text1"/>
        <w:rPr>
          <w:noProof/>
        </w:rPr>
      </w:pPr>
    </w:p>
    <w:p>
      <w:pPr>
        <w:pStyle w:val="NumPar2"/>
        <w:numPr>
          <w:ilvl w:val="1"/>
          <w:numId w:val="12"/>
        </w:numPr>
        <w:ind w:firstLine="1"/>
        <w:rPr>
          <w:noProof/>
        </w:rPr>
      </w:pPr>
      <w:r>
        <w:rPr>
          <w:noProof/>
        </w:rPr>
        <w:t>В JRC-Карлсруе:</w:t>
      </w:r>
    </w:p>
    <w:p>
      <w:pPr>
        <w:pStyle w:val="NumPar3"/>
        <w:ind w:left="1702" w:hanging="851"/>
        <w:rPr>
          <w:noProof/>
        </w:rPr>
      </w:pPr>
      <w:r>
        <w:rPr>
          <w:noProof/>
        </w:rPr>
        <w:t>извеждане от експлоатация на остаряло оборудване;</w:t>
      </w:r>
    </w:p>
    <w:p>
      <w:pPr>
        <w:pStyle w:val="NumPar3"/>
        <w:ind w:left="1702" w:hanging="851"/>
        <w:rPr>
          <w:noProof/>
        </w:rPr>
      </w:pPr>
      <w:r>
        <w:rPr>
          <w:noProof/>
        </w:rPr>
        <w:t>безопасно управление на получените при извеждането от експлоатация радиоактивни отпадъци и материали.</w:t>
      </w:r>
    </w:p>
    <w:p>
      <w:pPr>
        <w:pStyle w:val="NumPar3"/>
        <w:ind w:left="1702" w:hanging="851"/>
        <w:rPr>
          <w:noProof/>
        </w:rPr>
      </w:pPr>
      <w:r>
        <w:rPr>
          <w:noProof/>
        </w:rPr>
        <w:t>съкращаване на списъка остарели ядрени материали и отработено гориво;</w:t>
      </w:r>
    </w:p>
    <w:p>
      <w:pPr>
        <w:pStyle w:val="NumPar3"/>
        <w:ind w:left="1702" w:hanging="851"/>
        <w:rPr>
          <w:noProof/>
        </w:rPr>
      </w:pPr>
      <w:r>
        <w:rPr>
          <w:noProof/>
        </w:rPr>
        <w:t>извеждане от експлоатация на спрени ядрени съоръжения;</w:t>
      </w:r>
    </w:p>
    <w:p>
      <w:pPr>
        <w:pStyle w:val="NumPar3"/>
        <w:ind w:left="1702" w:hanging="851"/>
        <w:rPr>
          <w:noProof/>
        </w:rPr>
      </w:pPr>
      <w:r>
        <w:rPr>
          <w:noProof/>
        </w:rPr>
        <w:t>подготвителни етапи на извеждане от експлоатация на сградни части.</w:t>
      </w:r>
    </w:p>
    <w:p>
      <w:pPr>
        <w:pStyle w:val="Text1"/>
        <w:rPr>
          <w:noProof/>
        </w:rPr>
      </w:pPr>
    </w:p>
    <w:p>
      <w:pPr>
        <w:pStyle w:val="NumPar2"/>
        <w:ind w:left="1418" w:hanging="567"/>
        <w:rPr>
          <w:noProof/>
        </w:rPr>
      </w:pPr>
      <w:r>
        <w:rPr>
          <w:noProof/>
        </w:rPr>
        <w:t>В JRC-Петен:</w:t>
      </w:r>
    </w:p>
    <w:p>
      <w:pPr>
        <w:pStyle w:val="NumPar3"/>
        <w:ind w:left="1702" w:hanging="851"/>
        <w:rPr>
          <w:noProof/>
        </w:rPr>
      </w:pPr>
      <w:r>
        <w:rPr>
          <w:noProof/>
        </w:rPr>
        <w:t>безопасно управление на стари и получени при извеждането от експлоатация радиоактивни отпадъци и материали;</w:t>
      </w:r>
    </w:p>
    <w:p>
      <w:pPr>
        <w:pStyle w:val="NumPar3"/>
        <w:ind w:left="1702" w:hanging="851"/>
        <w:rPr>
          <w:noProof/>
        </w:rPr>
      </w:pPr>
      <w:r>
        <w:rPr>
          <w:noProof/>
        </w:rPr>
        <w:t xml:space="preserve">съкращаване на списъка </w:t>
      </w:r>
      <w:bookmarkStart w:id="4" w:name="_Ref509590121"/>
      <w:r>
        <w:rPr>
          <w:noProof/>
        </w:rPr>
        <w:t xml:space="preserve"> остарели ядрени </w:t>
      </w:r>
      <w:bookmarkEnd w:id="4"/>
      <w:r>
        <w:rPr>
          <w:noProof/>
        </w:rPr>
        <w:t>материали и отработено гориво;</w:t>
      </w:r>
    </w:p>
    <w:p>
      <w:pPr>
        <w:pStyle w:val="NumPar3"/>
        <w:ind w:left="1702" w:hanging="851"/>
        <w:rPr>
          <w:noProof/>
        </w:rPr>
      </w:pPr>
      <w:r>
        <w:rPr>
          <w:noProof/>
        </w:rPr>
        <w:t>подготвителни етапи за извеждане от експлоатация на HFR.</w:t>
      </w:r>
    </w:p>
    <w:p>
      <w:pPr>
        <w:pStyle w:val="Text1"/>
        <w:rPr>
          <w:noProof/>
        </w:rPr>
      </w:pPr>
    </w:p>
    <w:p>
      <w:pPr>
        <w:pStyle w:val="NumPar2"/>
        <w:ind w:left="1418" w:hanging="567"/>
        <w:rPr>
          <w:noProof/>
        </w:rPr>
      </w:pPr>
      <w:r>
        <w:rPr>
          <w:noProof/>
        </w:rPr>
        <w:t>В JRC-Геел:</w:t>
      </w:r>
    </w:p>
    <w:p>
      <w:pPr>
        <w:pStyle w:val="NumPar3"/>
        <w:ind w:left="1702" w:hanging="851"/>
        <w:rPr>
          <w:noProof/>
        </w:rPr>
      </w:pPr>
      <w:r>
        <w:rPr>
          <w:noProof/>
        </w:rPr>
        <w:t>извеждане от експлоатация на остаряло оборудване;</w:t>
      </w:r>
    </w:p>
    <w:p>
      <w:pPr>
        <w:pStyle w:val="NumPar3"/>
        <w:ind w:left="1702" w:hanging="851"/>
        <w:rPr>
          <w:noProof/>
        </w:rPr>
      </w:pPr>
      <w:r>
        <w:rPr>
          <w:noProof/>
        </w:rPr>
        <w:t>безопасно управление на получените при извеждането от експлоатация радиоактивни отпадъци и материали.</w:t>
      </w:r>
    </w:p>
    <w:p>
      <w:pPr>
        <w:ind w:left="851"/>
        <w:rPr>
          <w:noProof/>
        </w:rPr>
      </w:pPr>
      <w:r>
        <w:rPr>
          <w:noProof/>
        </w:rPr>
        <w:t>Постигнатият напредък трябва да се измерва по целесъобразност въз основа на количеството и вида на безопасно съхраняваните или погребаните отпадъци, количеството и вида на безопасно съхранявания или погребан ядрен материал, отработеното гориво и количеството и вида на извлечените материали. Като общ принцип, напредъкът трябва да се измерва също и чрез придобитата стойност.</w:t>
      </w:r>
    </w:p>
    <w:p>
      <w:pPr>
        <w:pStyle w:val="NumPar1"/>
        <w:rPr>
          <w:noProof/>
        </w:rPr>
      </w:pPr>
      <w:r>
        <w:rPr>
          <w:noProof/>
        </w:rPr>
        <w:t>Основната обща цел на програмата се допълва от целта за повишаване на добавената стойност за ЕС от програмата чрез разпространението на знания (генерирани при изпълнението ѝ) за всички държави членки на ЕС по отношение на процеса на извеждане от експлоатация. През финансовия период, започващ през 2021 г., програмата трябва да постигне следните цели:</w:t>
      </w:r>
    </w:p>
    <w:p>
      <w:pPr>
        <w:pStyle w:val="NumPar2"/>
        <w:ind w:left="1418" w:hanging="567"/>
        <w:rPr>
          <w:noProof/>
        </w:rPr>
      </w:pPr>
      <w:r>
        <w:rPr>
          <w:noProof/>
        </w:rPr>
        <w:t>да спомогне да се създадат връзки и да се установи обмен между заинтересованите страни в ЕС (напр. държави членки, органи по безопасността, оператори на комунални инфраструктури и оператори по извеждане от експлоатация);</w:t>
      </w:r>
    </w:p>
    <w:p>
      <w:pPr>
        <w:pStyle w:val="NumPar2"/>
        <w:ind w:left="1418" w:hanging="567"/>
        <w:rPr>
          <w:noProof/>
        </w:rPr>
      </w:pPr>
      <w:r>
        <w:rPr>
          <w:noProof/>
        </w:rPr>
        <w:t xml:space="preserve">да документира ясно формулирани знания и да ги прави публично достояние чрез многостранен трансфер на знания относно свързани с управлението въпроси по извеждането от експлоатация и управлението на отпадъците, най-добрите управленски практики и технологичните предизвикателства, с оглед разработването на възможни полезни взаимодействия в ЕС. </w:t>
      </w:r>
    </w:p>
    <w:p>
      <w:pPr>
        <w:ind w:left="851"/>
        <w:rPr>
          <w:noProof/>
        </w:rPr>
      </w:pPr>
      <w:r>
        <w:rPr>
          <w:noProof/>
        </w:rPr>
        <w:t>Напредъкът трябва да бъде измерван с броя създадени продукти на знанието и тяхното популяризиране.</w:t>
      </w:r>
    </w:p>
    <w:p>
      <w:pPr>
        <w:pStyle w:val="NumPar1"/>
        <w:rPr>
          <w:noProof/>
        </w:rPr>
      </w:pPr>
      <w:r>
        <w:rPr>
          <w:noProof/>
        </w:rPr>
        <w:t>Погребването на отработено гориво и радиоактивните отпадъци в дълбоки геоложки хранилища е включено в обхвата на програмата, в съответствие с изискванията на относимата Директива 2011/70/Евратом на Съвета.</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ПРИЛОЖЕНИЕ IV</w:t>
      </w:r>
    </w:p>
    <w:p>
      <w:pPr>
        <w:rPr>
          <w:noProof/>
        </w:rPr>
      </w:pPr>
      <w:r>
        <w:rPr>
          <w:noProof/>
        </w:rPr>
        <w:t>Показатели</w:t>
      </w:r>
    </w:p>
    <w:p>
      <w:pPr>
        <w:pStyle w:val="Point0number"/>
        <w:numPr>
          <w:ilvl w:val="0"/>
          <w:numId w:val="13"/>
        </w:numPr>
        <w:rPr>
          <w:noProof/>
        </w:rPr>
      </w:pPr>
      <w:r>
        <w:rPr>
          <w:noProof/>
        </w:rPr>
        <w:t>Управление на радиоактивните отпадъци:</w:t>
      </w:r>
    </w:p>
    <w:p>
      <w:pPr>
        <w:pStyle w:val="Point1"/>
        <w:rPr>
          <w:noProof/>
        </w:rPr>
      </w:pPr>
      <w:r>
        <w:rPr>
          <w:noProof/>
        </w:rPr>
        <w:t>а)</w:t>
      </w:r>
      <w:r>
        <w:rPr>
          <w:noProof/>
        </w:rPr>
        <w:tab/>
        <w:t>количество и вид на безопасно съхранените или погребаните отпадъци.</w:t>
      </w:r>
    </w:p>
    <w:p>
      <w:pPr>
        <w:rPr>
          <w:noProof/>
        </w:rPr>
      </w:pPr>
    </w:p>
    <w:p>
      <w:pPr>
        <w:pStyle w:val="Point0number"/>
        <w:numPr>
          <w:ilvl w:val="0"/>
          <w:numId w:val="13"/>
        </w:numPr>
        <w:rPr>
          <w:noProof/>
        </w:rPr>
      </w:pPr>
      <w:r>
        <w:rPr>
          <w:noProof/>
        </w:rPr>
        <w:t>Демонтиране и деконтаминиране:</w:t>
      </w:r>
    </w:p>
    <w:p>
      <w:pPr>
        <w:pStyle w:val="Point1"/>
        <w:rPr>
          <w:noProof/>
        </w:rPr>
      </w:pPr>
      <w:r>
        <w:rPr>
          <w:noProof/>
        </w:rPr>
        <w:t>а)</w:t>
      </w:r>
      <w:r>
        <w:rPr>
          <w:noProof/>
        </w:rPr>
        <w:tab/>
        <w:t>количество и вид на отстранените материали.</w:t>
      </w:r>
    </w:p>
    <w:p>
      <w:pPr>
        <w:rPr>
          <w:noProof/>
        </w:rPr>
      </w:pPr>
    </w:p>
    <w:p>
      <w:pPr>
        <w:pStyle w:val="Point0number"/>
        <w:numPr>
          <w:ilvl w:val="0"/>
          <w:numId w:val="13"/>
        </w:numPr>
        <w:rPr>
          <w:noProof/>
        </w:rPr>
      </w:pPr>
      <w:r>
        <w:rPr>
          <w:noProof/>
        </w:rPr>
        <w:t>Разпространение на знания:</w:t>
      </w:r>
    </w:p>
    <w:p>
      <w:pPr>
        <w:pStyle w:val="Point1"/>
        <w:rPr>
          <w:noProof/>
        </w:rPr>
      </w:pPr>
      <w:r>
        <w:rPr>
          <w:noProof/>
        </w:rPr>
        <w:t>а)</w:t>
      </w:r>
      <w:r>
        <w:rPr>
          <w:noProof/>
        </w:rPr>
        <w:tab/>
        <w:t>брой на създадените продукти на знанието и тяхното популяризиране.</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9CE0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6CC72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88610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2E329A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C6246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16204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F6A8088"/>
    <w:lvl w:ilvl="0">
      <w:start w:val="1"/>
      <w:numFmt w:val="decimal"/>
      <w:pStyle w:val="ListNumber"/>
      <w:lvlText w:val="%1."/>
      <w:lvlJc w:val="left"/>
      <w:pPr>
        <w:tabs>
          <w:tab w:val="num" w:pos="360"/>
        </w:tabs>
        <w:ind w:left="360" w:hanging="360"/>
      </w:pPr>
    </w:lvl>
  </w:abstractNum>
  <w:abstractNum w:abstractNumId="7">
    <w:nsid w:val="FFFFFF89"/>
    <w:multiLevelType w:val="singleLevel"/>
    <w:tmpl w:val="05A867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8 08:11:0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2"/>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4"/>
    <w:docVar w:name="LW_ANNEX_UNIQUE" w:val="0"/>
    <w:docVar w:name="LW_CORRIGENDUM" w:val="&lt;UNUSED&gt;"/>
    <w:docVar w:name="LW_COVERPAGE_EXISTS" w:val="True"/>
    <w:docVar w:name="LW_COVERPAGE_GUID" w:val="ADD8CF73-41F2-4C78-BFE2-3127CE3764E7"/>
    <w:docVar w:name="LW_COVERPAGE_TYPE" w:val="1"/>
    <w:docVar w:name="LW_CROSSREFERENCE" w:val="{SWD(2018) 343 final}"/>
    <w:docVar w:name="LW_DocType" w:val="ANNEX"/>
    <w:docVar w:name="LW_EMISSION" w:val="13.6.2018"/>
    <w:docVar w:name="LW_EMISSION_ISODATE" w:val="2018-06-13"/>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47?\u1072? \u1089?\u1098?\u1079?\u1076?\u1072?\u1074?\u1072?\u1085?\u1077? \u1085?\u1072? \u1089?\u1087?\u1077?\u1094?\u1080?\u1072?\u1083?\u1085?\u1072? \u1092?\u1080?\u1085?\u1072?\u1085?\u1089?\u1086?\u1074?\u1072? \u1087?\u1088?\u1086?\u1075?\u1088?\u1072?\u1084?\u1072? \u1079?\u1072? \u1080?\u1079?\u1074?\u1077?\u1078?\u1076?\u1072?\u1085?\u1077? \u1086?\u1090? \u1077?\u1082?\u1089?\u1087?\u1083?\u1086?\u1072?\u1090?\u1072?\u1094?\u1080?\u1103? \u1085?\u1072? \u1103?\u1076?\u1088?\u1077?\u1085?\u1080? \u1089?\u1098?\u1086?\u1088?\u1098?\u1078?\u1077?\u1085?\u1080?\u1103? \u1080? \u1091?\u1087?\u1088?\u1072?\u1074?\u1083?\u1077?\u1085?\u1080?\u1077? \u1085?\u1072? \u1088?\u1072?\u1076?\u1080?\u1086?\u1072?\u1082?\u1090?\u1080?\u1074?\u1085?\u1080? \u1086?\u1090?\u1087?\u1072?\u1076?\u1098?\u1094?\u1080? \u1080? \u1079?\u1072? \u1086?\u1090?\u1084?\u1103?\u1085?\u1072? \u1085?\u1072? \u1056?\u1077?\u1075?\u1083?\u1072?\u1084?\u1077?\u1085?\u1090? (\u1045?\u1074?\u1088?\u1072?\u1090?\u1086?\u1084?) \u8470?&lt;LWCR:NBS&gt;1368/2013 \u1085?\u1072? \u1057?\u1098?\u1074?\u1077?\u1090?\u1072?"/>
    <w:docVar w:name="LW_OBJETACTEPRINCIPAL.CP" w:val="\u1047?\u1072? \u1089?\u1098?\u1079?\u1076?\u1072?\u1074?\u1072?\u1085?\u1077? \u1085?\u1072? \u1089?\u1087?\u1077?\u1094?\u1080?\u1072?\u1083?\u1085?\u1072? \u1092?\u1080?\u1085?\u1072?\u1085?\u1089?\u1086?\u1074?\u1072? \u1087?\u1088?\u1086?\u1075?\u1088?\u1072?\u1084?\u1072? \u1079?\u1072? \u1080?\u1079?\u1074?\u1077?\u1078?\u1076?\u1072?\u1085?\u1077? \u1086?\u1090? \u1077?\u1082?\u1089?\u1087?\u1083?\u1086?\u1072?\u1090?\u1072?\u1094?\u1080?\u1103? \u1085?\u1072? \u1103?\u1076?\u1088?\u1077?\u1085?\u1080? \u1089?\u1098?\u1086?\u1088?\u1098?\u1078?\u1077?\u1085?\u1080?\u1103? \u1080? \u1091?\u1087?\u1088?\u1072?\u1074?\u1083?\u1077?\u1085?\u1080?\u1077? \u1085?\u1072? \u1088?\u1072?\u1076?\u1080?\u1086?\u1072?\u1082?\u1090?\u1080?\u1074?\u1085?\u1080? \u1086?\u1090?\u1087?\u1072?\u1076?\u1098?\u1094?\u1080? \u1080? \u1079?\u1072? \u1086?\u1090?\u1084?\u1103?\u1085?\u1072? \u1085?\u1072? \u1056?\u1077?\u1075?\u1083?\u1072?\u1084?\u1077?\u1085?\u1090? (\u1045?\u1074?\u1088?\u1072?\u1090?\u1086?\u1084?) \u8470? 1368/2013 \u1085?\u1072? \u1057?\u1098?\u1074?\u1077?\u1090?\u1072?"/>
    <w:docVar w:name="LW_PART_NBR" w:val="&lt;UNUSED&gt;"/>
    <w:docVar w:name="LW_PART_NBR_TOTAL" w:val="&lt;UNUSED&gt;"/>
    <w:docVar w:name="LW_REF.INST.NEW" w:val="COM"/>
    <w:docVar w:name="LW_REF.INST.NEW_ADOPTED" w:val="final"/>
    <w:docVar w:name="LW_REF.INST.NEW_TEXT" w:val="(2018) 4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87?\u1088?\u1077?\u1076?\u1083?\u1086?\u1078?\u1077?\u1085?\u1080?\u1077? \u1079?\u1072? \u1088?\u1077?\u1075?\u1083?\u1072?\u1084?\u1077?\u1085?\u1090? \u1085?\u1072? \u1057?\u1098?\u1074?\u1077?\u1090?\u1072?"/>
    <w:docVar w:name="LW_TYPEACTEPRINCIPAL.CP" w:val="\u1087?\u1088?\u1077?\u1076?\u1083?\u1086?\u1078?\u1077?\u1085?\u1080?\u1077? \u1079?\u1072? \u1088?\u1077?\u1075?\u1083?\u1072?\u1084?\u1077?\u1085?\u109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16B33-F474-4A18-A6AF-57B932EC7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8</Pages>
  <Words>1450</Words>
  <Characters>8807</Characters>
  <Application>Microsoft Office Word</Application>
  <DocSecurity>0</DocSecurity>
  <Lines>195</Lines>
  <Paragraphs>68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8</cp:revision>
  <cp:lastPrinted>2018-05-25T08:21:00Z</cp:lastPrinted>
  <dcterms:created xsi:type="dcterms:W3CDTF">2018-06-15T15:04:00Z</dcterms:created>
  <dcterms:modified xsi:type="dcterms:W3CDTF">2018-06-18T06:11:00Z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4</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