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E6AB004-6ADF-4E42-8B50-EA1C154FF7D5" style="width:450.75pt;height:446.25pt">
            <v:imagedata r:id="rId8" o:title=""/>
          </v:shape>
        </w:pict>
      </w:r>
    </w:p>
    <w:bookmarkEnd w:id="0"/>
    <w:p>
      <w:pPr>
        <w:rPr>
          <w:rFonts w:ascii="Times New Roman" w:hAnsi="Times New Roman" w:cs="Times New Roman"/>
          <w:noProof/>
          <w:sz w:val="24"/>
          <w:szCs w:val="24"/>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Въведение</w:t>
      </w:r>
    </w:p>
    <w:p>
      <w:pPr>
        <w:spacing w:line="240" w:lineRule="auto"/>
        <w:jc w:val="both"/>
        <w:rPr>
          <w:rFonts w:ascii="Times New Roman" w:hAnsi="Times New Roman" w:cs="Times New Roman"/>
          <w:noProof/>
          <w:sz w:val="24"/>
          <w:szCs w:val="24"/>
        </w:rPr>
      </w:pPr>
      <w:r>
        <w:rPr>
          <w:rFonts w:ascii="Times New Roman" w:hAnsi="Times New Roman"/>
          <w:noProof/>
          <w:sz w:val="24"/>
        </w:rPr>
        <w:t>В периода декември 2017 г. — март 2018 г. Комисията проведе обширни консултации</w:t>
      </w:r>
      <w:r>
        <w:rPr>
          <w:rStyle w:val="FootnoteReference"/>
          <w:rFonts w:ascii="Times New Roman" w:hAnsi="Times New Roman"/>
          <w:noProof/>
          <w:sz w:val="24"/>
        </w:rPr>
        <w:footnoteReference w:id="1"/>
      </w:r>
      <w:r>
        <w:rPr>
          <w:rFonts w:ascii="Times New Roman" w:hAnsi="Times New Roman"/>
          <w:noProof/>
          <w:sz w:val="24"/>
        </w:rPr>
        <w:t xml:space="preserve"> със заинтересованите страни, в това число с широката общественост, публичните органи, занимаващи се с опазването на природата и селското стопанство, академичните среди, екологични неправителствени организации, сектора на пчеларството, селскостопанския сектор и други сектори, свързани с управлението на земите. В настоящия доклад са обобщени данните, получени от: i) </w:t>
      </w:r>
      <w:r>
        <w:rPr>
          <w:rFonts w:ascii="Times New Roman" w:hAnsi="Times New Roman"/>
          <w:b/>
          <w:noProof/>
          <w:sz w:val="24"/>
        </w:rPr>
        <w:t>отворена обществена консултация</w:t>
      </w:r>
      <w:r>
        <w:rPr>
          <w:rFonts w:ascii="Times New Roman" w:hAnsi="Times New Roman"/>
          <w:noProof/>
          <w:sz w:val="24"/>
        </w:rPr>
        <w:t xml:space="preserve">, в рамките на която бяха получени над 66 000 отговора; ii) </w:t>
      </w:r>
      <w:r>
        <w:rPr>
          <w:rFonts w:ascii="Times New Roman" w:hAnsi="Times New Roman"/>
          <w:b/>
          <w:noProof/>
          <w:sz w:val="24"/>
        </w:rPr>
        <w:t>двудневен семинар на експерти</w:t>
      </w:r>
      <w:r>
        <w:rPr>
          <w:rFonts w:ascii="Times New Roman" w:hAnsi="Times New Roman"/>
          <w:noProof/>
          <w:sz w:val="24"/>
        </w:rPr>
        <w:t xml:space="preserve">; и iii) консултацията с няколко </w:t>
      </w:r>
      <w:r>
        <w:rPr>
          <w:rFonts w:ascii="Times New Roman" w:hAnsi="Times New Roman"/>
          <w:b/>
          <w:noProof/>
          <w:sz w:val="24"/>
        </w:rPr>
        <w:t>експертни групи и комитети</w:t>
      </w:r>
      <w:r>
        <w:rPr>
          <w:rFonts w:ascii="Times New Roman" w:hAnsi="Times New Roman"/>
          <w:noProof/>
          <w:sz w:val="24"/>
        </w:rPr>
        <w:t xml:space="preserve"> на Комисията. Докладът е структуриран въз основа на трите приоритетни области на инициативата, посочени в пътната карта</w:t>
      </w:r>
      <w:r>
        <w:rPr>
          <w:rStyle w:val="FootnoteReference"/>
          <w:rFonts w:ascii="Times New Roman" w:hAnsi="Times New Roman"/>
          <w:noProof/>
          <w:sz w:val="24"/>
        </w:rPr>
        <w:footnoteReference w:id="2"/>
      </w:r>
      <w:r>
        <w:rPr>
          <w:rFonts w:ascii="Times New Roman" w:hAnsi="Times New Roman"/>
          <w:noProof/>
          <w:sz w:val="24"/>
        </w:rPr>
        <w:t xml:space="preserve">. </w:t>
      </w:r>
    </w:p>
    <w:p>
      <w:pPr>
        <w:pStyle w:val="Heading1"/>
        <w:rPr>
          <w:noProof/>
        </w:rPr>
      </w:pPr>
      <w:r>
        <w:rPr>
          <w:noProof/>
        </w:rPr>
        <w:t>Резултати от дейностите в рамките на консултацията</w:t>
      </w:r>
    </w:p>
    <w:p>
      <w:pPr>
        <w:pStyle w:val="Heading2"/>
        <w:rPr>
          <w:noProof/>
        </w:rPr>
      </w:pPr>
      <w:r>
        <w:rPr>
          <w:noProof/>
        </w:rPr>
        <w:t>Приоритет I: Подобряване на познанията за опрашителите</w:t>
      </w:r>
    </w:p>
    <w:p>
      <w:pPr>
        <w:spacing w:line="240" w:lineRule="auto"/>
        <w:jc w:val="both"/>
        <w:rPr>
          <w:rFonts w:ascii="Times New Roman" w:hAnsi="Times New Roman" w:cs="Times New Roman"/>
          <w:noProof/>
          <w:sz w:val="24"/>
          <w:szCs w:val="24"/>
        </w:rPr>
      </w:pPr>
      <w:r>
        <w:rPr>
          <w:rFonts w:ascii="Times New Roman" w:hAnsi="Times New Roman"/>
          <w:noProof/>
          <w:sz w:val="24"/>
        </w:rPr>
        <w:t>Почти всички респонденти в обществената консултация (над 95 %) считат, че е важно да се подобрят познанията за опрашителите и причините и последиците, свързани с влошаването на състоянието им. Въпреки че най-малко две трети от заинтересованите страни във всички групи</w:t>
      </w:r>
      <w:r>
        <w:rPr>
          <w:rStyle w:val="FootnoteReference"/>
          <w:rFonts w:ascii="Times New Roman" w:hAnsi="Times New Roman"/>
          <w:noProof/>
          <w:sz w:val="24"/>
        </w:rPr>
        <w:footnoteReference w:id="3"/>
      </w:r>
      <w:r>
        <w:rPr>
          <w:rFonts w:ascii="Times New Roman" w:hAnsi="Times New Roman"/>
          <w:noProof/>
          <w:sz w:val="24"/>
        </w:rPr>
        <w:t xml:space="preserve"> считат влошаването на състоянието на опрашителите за тревожно, те считат също така, че е важно да се запълнят празнотите в познанията, които може да прикриват действителния мащаб на проблема. </w:t>
      </w:r>
    </w:p>
    <w:p>
      <w:pPr>
        <w:spacing w:line="240" w:lineRule="auto"/>
        <w:jc w:val="both"/>
        <w:rPr>
          <w:rFonts w:ascii="Times New Roman" w:hAnsi="Times New Roman" w:cs="Times New Roman"/>
          <w:noProof/>
          <w:sz w:val="24"/>
          <w:szCs w:val="24"/>
        </w:rPr>
      </w:pPr>
      <w:r>
        <w:rPr>
          <w:rFonts w:ascii="Times New Roman" w:hAnsi="Times New Roman"/>
          <w:noProof/>
          <w:sz w:val="24"/>
        </w:rPr>
        <w:t>Една от основните празноти, определени от експертите на семинара, бе липсата на данни относно числеността и тенденциите при популациите на дивите опрашители. Те подчертаха необходимостта от процес на мониторинг в целия ЕС, за да се запълнят празнотите в данните. Експертите предложиха да се разработят различни инструменти и подходи за подпомагане на процеса на мониторинг, като генетичен баркод и машинно самообучение. Друг начин за постигането на тази цел би бил да се стимулира по-активно участие на обществеността в научните дейности.</w:t>
      </w:r>
    </w:p>
    <w:p>
      <w:pPr>
        <w:spacing w:line="240" w:lineRule="auto"/>
        <w:jc w:val="both"/>
        <w:rPr>
          <w:rFonts w:ascii="Times New Roman" w:hAnsi="Times New Roman" w:cs="Times New Roman"/>
          <w:noProof/>
          <w:sz w:val="24"/>
          <w:szCs w:val="24"/>
        </w:rPr>
      </w:pPr>
      <w:r>
        <w:rPr>
          <w:rFonts w:ascii="Times New Roman" w:hAnsi="Times New Roman"/>
          <w:noProof/>
          <w:sz w:val="24"/>
        </w:rPr>
        <w:t>Почти всички участници в обществената консултация са на мнение, че е важно да се изследват заплахите за опрашителите и въздействието на влошаването на състоянието им върху природните екосистеми и човешкото общество. В рамките на семинара експертите откроиха необходимостта от по-нататъшни изследвания във връзка с комбинираните последици от различните заплахи, устойчивостта на популациите на опрашителите и функционалните връзки между опрашителите и опрашваните растения. Те подчертаха също така необходимостта от подобряване на наличността на данните, по-специално относно статуса на местообитанията на опрашителите, използването и управлението на земеделската земя и използването на пестициди.</w:t>
      </w:r>
    </w:p>
    <w:p>
      <w:pPr>
        <w:spacing w:line="240" w:lineRule="auto"/>
        <w:jc w:val="both"/>
        <w:rPr>
          <w:rFonts w:ascii="Times New Roman" w:hAnsi="Times New Roman" w:cs="Times New Roman"/>
          <w:noProof/>
          <w:sz w:val="24"/>
          <w:szCs w:val="24"/>
        </w:rPr>
      </w:pPr>
      <w:r>
        <w:rPr>
          <w:rFonts w:ascii="Times New Roman" w:hAnsi="Times New Roman"/>
          <w:noProof/>
          <w:sz w:val="24"/>
        </w:rPr>
        <w:t>Като цяло научната общност подчерта необходимостта от укрепване на научноизследователския капацитет, по-специално в регионите на ЕС, които са по-слабо проучени. Въпреки че различни инструменти за финансиране бяха определени като уместни, рамковата програма на ЕС за научни изследвания и иновации беше откроена като ключова.</w:t>
      </w:r>
    </w:p>
    <w:p>
      <w:pPr>
        <w:pStyle w:val="Heading2"/>
        <w:rPr>
          <w:noProof/>
        </w:rPr>
      </w:pPr>
      <w:r>
        <w:rPr>
          <w:noProof/>
        </w:rPr>
        <w:t>Приоритет II: Справяне с причините за влошаването на състоянието на опрашителите</w:t>
      </w:r>
    </w:p>
    <w:p>
      <w:pPr>
        <w:spacing w:line="240" w:lineRule="auto"/>
        <w:jc w:val="both"/>
        <w:rPr>
          <w:rFonts w:ascii="Times New Roman" w:hAnsi="Times New Roman" w:cs="Times New Roman"/>
          <w:noProof/>
          <w:sz w:val="24"/>
          <w:szCs w:val="24"/>
        </w:rPr>
      </w:pPr>
      <w:r>
        <w:rPr>
          <w:rFonts w:ascii="Times New Roman" w:hAnsi="Times New Roman"/>
          <w:noProof/>
          <w:sz w:val="24"/>
        </w:rPr>
        <w:t>Голямото мнозинство от участниците в обществената консултация (75 % в хранително-вкусовия сектор и над 90 % в други групи) посочиха интензивното селскостопанско управление и използването на пестициди като най-значимите заплахи за опрашителите. Три четвърти от участниците в консултацията от хранително-вкусовия сектор считат, че тези фактори представляват значими причини за влошаването на състоянието. При други групи заинтересовани страни процентът бе значително по-висок (95 % или повече). Други заплахи като урбанизацията, замърсяването, инвазивните чужди видове, заболяванията и изменението на климата също бяха посочени като значими от поне половината от участниците във всяка група заинтересовани страни. Физическите лица отдават по-голямо значение на изменението на климата и заболяванията от другите групи заинтересовани страни.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Респондентите в обществената консултация считат, че най-важните действия за справяне с влошаването на състоянието на опрашителите са: i) оценка на свързаните с пестицидите рискове за опрашителите; и ii) подпомагане на техните местообитания, по-специално в селските райони както във вътрешността на защитените зони по „Натура 2000“, така и извън тях. Голямо мнозинство от участниците обаче (най-малко половината във всяка група заинтересовани страни) считат, че е важно също така да се работи за преодоляването и на други заплахи за опрашителите, в това число чрез включване на частния сектор и местните общности в действията. </w:t>
      </w:r>
    </w:p>
    <w:p>
      <w:pPr>
        <w:spacing w:line="240" w:lineRule="auto"/>
        <w:jc w:val="both"/>
        <w:rPr>
          <w:rFonts w:ascii="Times New Roman" w:hAnsi="Times New Roman" w:cs="Times New Roman"/>
          <w:noProof/>
          <w:sz w:val="24"/>
          <w:szCs w:val="24"/>
        </w:rPr>
      </w:pPr>
      <w:r>
        <w:rPr>
          <w:rFonts w:ascii="Times New Roman" w:hAnsi="Times New Roman"/>
          <w:noProof/>
          <w:sz w:val="24"/>
        </w:rPr>
        <w:t>Експертите в семинара поставиха ударението върху възстановяването и поддържането на местообитанията на опрашителите в селска и градска среда и върху преодоляването на свързаната с пестицидите заплаха за опрашителите. Мнозинството от експертите определиха Директивата за местообитанията и общата селскостопанска политика на ЕС като ключови инструменти за закрила и подпомагане на местообитанията на опрашителите. Имаше всеобщо съгласие между експертите, че насърчаването на участието на земеделските стопани ще бъде особено съществено за създаване на благоприятна среда за опрашителите в селските райони. Те подчертаха също така важността на градските райони и потенциала на мащабните инфраструктури, като транспортната и енергийната, за осигуряване на местообитания и гарантиране, че те са свързани с ландшафта като цяло.</w:t>
      </w:r>
    </w:p>
    <w:p>
      <w:pPr>
        <w:spacing w:line="240" w:lineRule="auto"/>
        <w:jc w:val="both"/>
        <w:rPr>
          <w:rFonts w:ascii="Times New Roman" w:hAnsi="Times New Roman" w:cs="Times New Roman"/>
          <w:noProof/>
          <w:sz w:val="24"/>
          <w:szCs w:val="24"/>
        </w:rPr>
      </w:pPr>
      <w:r>
        <w:rPr>
          <w:rFonts w:ascii="Times New Roman" w:hAnsi="Times New Roman"/>
          <w:noProof/>
          <w:sz w:val="24"/>
        </w:rPr>
        <w:t>С цел намаляване на заплахата от пестицидите експертите подчертаха необходимостта от подобряване на оценката на риска и намаляване на излагането на опрашителите на пестициди. Според експертите е важно също така в оценката да се включат дивите видове опрашители и в Директивата на ЕС относно устойчивата употреба на пестициди</w:t>
      </w:r>
      <w:r>
        <w:rPr>
          <w:rStyle w:val="FootnoteReference"/>
          <w:rFonts w:ascii="Times New Roman" w:hAnsi="Times New Roman"/>
          <w:noProof/>
          <w:sz w:val="24"/>
        </w:rPr>
        <w:footnoteReference w:id="4"/>
      </w:r>
      <w:r>
        <w:rPr>
          <w:rFonts w:ascii="Times New Roman" w:hAnsi="Times New Roman"/>
          <w:noProof/>
          <w:sz w:val="24"/>
        </w:rPr>
        <w:t xml:space="preserve"> да се предвидят изрични мерки за намаляване на въздействието на пестицидите върху опрашителите.</w:t>
      </w:r>
    </w:p>
    <w:p>
      <w:pPr>
        <w:pStyle w:val="Heading2"/>
        <w:rPr>
          <w:noProof/>
        </w:rPr>
      </w:pPr>
      <w:r>
        <w:rPr>
          <w:noProof/>
        </w:rPr>
        <w:t>Приоритет ІІІ: Повишаване на осведомеността и подобряване на сътрудничеството и обмена на познания</w:t>
      </w:r>
    </w:p>
    <w:p>
      <w:pPr>
        <w:spacing w:line="240" w:lineRule="auto"/>
        <w:jc w:val="both"/>
        <w:rPr>
          <w:rFonts w:ascii="Times New Roman" w:hAnsi="Times New Roman" w:cs="Times New Roman"/>
          <w:noProof/>
          <w:sz w:val="24"/>
          <w:szCs w:val="24"/>
        </w:rPr>
      </w:pPr>
      <w:r>
        <w:rPr>
          <w:rFonts w:ascii="Times New Roman" w:hAnsi="Times New Roman"/>
          <w:noProof/>
          <w:sz w:val="24"/>
        </w:rPr>
        <w:t>Над 90 % от участниците в обществената консултация подчертаха значението на повишаването на осведомеността, привличането на участието на обществеността в решенията и улесняването на сътрудничеството и обмена на познания. Участниците подчертаха необходимостта от инициатива на ЕС с цел подпомагане на действията на национално, регионално и местно равнище. Въпреки че бяха дадени различни предложения за начина, по който да се предостави широк достъп до познанията, заинтересованите страни изразиха широко съгласие по отношение на необходимостта от централна платформа за познания с отворен достъп.</w:t>
      </w:r>
    </w:p>
    <w:p>
      <w:pPr>
        <w:spacing w:line="240" w:lineRule="auto"/>
        <w:jc w:val="both"/>
        <w:rPr>
          <w:rFonts w:ascii="Times New Roman" w:hAnsi="Times New Roman" w:cs="Times New Roman"/>
          <w:noProof/>
          <w:sz w:val="24"/>
          <w:szCs w:val="24"/>
        </w:rPr>
      </w:pPr>
      <w:r>
        <w:rPr>
          <w:rFonts w:ascii="Times New Roman" w:hAnsi="Times New Roman"/>
          <w:noProof/>
          <w:sz w:val="24"/>
        </w:rPr>
        <w:t>Експертите изразиха широка подкрепа за участието на обществеността в научните дейности и признаха ролята на катализатор, която могат да изиграят учебните заведения, като училищата и музеите, по този въпрос. Въпреки че съществуват няколко платформи, които подкрепят сътрудничеството между заинтересованите страни, според експертите капацитетът за сътрудничество следва да бъде укрепен допълнително.</w:t>
      </w:r>
    </w:p>
    <w:p>
      <w:pPr>
        <w:pStyle w:val="Heading1"/>
        <w:rPr>
          <w:noProof/>
        </w:rPr>
      </w:pPr>
      <w:r>
        <w:rPr>
          <w:noProof/>
        </w:rPr>
        <w:t>Заключение</w:t>
      </w:r>
    </w:p>
    <w:p>
      <w:pPr>
        <w:spacing w:line="240" w:lineRule="auto"/>
        <w:jc w:val="both"/>
        <w:rPr>
          <w:rFonts w:ascii="Times New Roman" w:hAnsi="Times New Roman" w:cs="Times New Roman"/>
          <w:noProof/>
          <w:sz w:val="24"/>
          <w:szCs w:val="24"/>
        </w:rPr>
      </w:pPr>
      <w:r>
        <w:rPr>
          <w:rFonts w:ascii="Times New Roman" w:hAnsi="Times New Roman"/>
          <w:noProof/>
          <w:sz w:val="24"/>
        </w:rPr>
        <w:t>Всички отговори в консултацията бяха взети под внимание, но поради голямото разнообразие на изразените мнения окончателният политически документ може да не отразява непременно всички тях. В рамките на инициативата ще се работи по определените нужди от познания посредством действия, които обединяват на едно място вече съществуващи познания в тази област, като до тях ще бъде предоставен широк достъп, и същевременно ще се придобиват нови познания за запълване на празнотите. Инициативата ще се стреми също така към справяне с вече установените заплахи за опрашителите било то преки (интензивното селскостопанско управление и използването на пестициди, инвазивните чужди видове) или косвени (изменението на климата, заболяванията и замърсяването). Инициативата ще подкрепя сътрудничеството и действията на всички равнища с цел способстване за координирана реакция на ЕС за справяне с проблема. Тя ще се стреми също така към включване на широката общественост посредством насърчаване и подкрепяне на действия, предприети от обществеността и частния сектор.</w:t>
      </w:r>
    </w:p>
    <w:p>
      <w:pPr>
        <w:rPr>
          <w:rFonts w:ascii="Times New Roman" w:hAnsi="Times New Roman" w:cs="Times New Roman"/>
          <w:noProof/>
          <w:sz w:val="24"/>
          <w:szCs w:val="24"/>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5223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hyperlink r:id="rId1">
        <w:r>
          <w:rPr>
            <w:rStyle w:val="Hyperlink"/>
          </w:rPr>
          <w:t>http://ec.europa.eu/environment/nature/conservation/species/pollinators/index_en.htm</w:t>
        </w:r>
      </w:hyperlink>
    </w:p>
  </w:footnote>
  <w:footnote w:id="2">
    <w:p>
      <w:pPr>
        <w:pStyle w:val="FootnoteText"/>
        <w:rPr>
          <w:rFonts w:cs="Times New Roman"/>
        </w:rPr>
      </w:pPr>
      <w:r>
        <w:rPr>
          <w:rStyle w:val="FootnoteReference"/>
        </w:rPr>
        <w:footnoteRef/>
      </w:r>
      <w:r>
        <w:t xml:space="preserve"> </w:t>
      </w:r>
      <w:hyperlink r:id="rId2">
        <w:r>
          <w:rPr>
            <w:rStyle w:val="Hyperlink"/>
          </w:rPr>
          <w:t>https://ec.europa.eu/info/law/better-regulation/initiative/136668/attachment/090166e5b6db6927</w:t>
        </w:r>
      </w:hyperlink>
    </w:p>
  </w:footnote>
  <w:footnote w:id="3">
    <w:p>
      <w:pPr>
        <w:pStyle w:val="FootnoteText"/>
      </w:pPr>
      <w:r>
        <w:rPr>
          <w:rStyle w:val="FootnoteReference"/>
        </w:rPr>
        <w:footnoteRef/>
      </w:r>
      <w:r>
        <w:t xml:space="preserve"> В анализа на обществената консултация участниците в нея са категоризирани като физически лица и в четири групи организации (хранително-вкусова промишленост, пчеларство, организации за природата/околната среда и други).</w:t>
      </w:r>
    </w:p>
  </w:footnote>
  <w:footnote w:id="4">
    <w:p>
      <w:pPr>
        <w:pStyle w:val="FootnoteText"/>
      </w:pPr>
      <w:r>
        <w:rPr>
          <w:rStyle w:val="FootnoteReference"/>
        </w:rPr>
        <w:footnoteRef/>
      </w:r>
      <w:r>
        <w:t xml:space="preserve"> Директива 2009/128/ЕО.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2B7EC76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88"/>
        </w:tabs>
        <w:ind w:left="1288"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BE6AB004-6ADF-4E42-8B50-EA1C154FF7D5"/>
    <w:docVar w:name="LW_COVERPAGE_TYPE" w:val="1"/>
    <w:docVar w:name="LW_CROSSREFERENCE" w:val="{COM(2018) 395 final}_x000b_{SWD(2018) 302 final}"/>
    <w:docVar w:name="LW_DocType" w:val="NORMAL"/>
    <w:docVar w:name="LW_EMISSION" w:val="1.6.2018"/>
    <w:docVar w:name="LW_EMISSION_ISODATE" w:val="2018-06-01"/>
    <w:docVar w:name="LW_EMISSION_LOCATION" w:val="BRX"/>
    <w:docVar w:name="LW_EMISSION_PREFIX" w:val="Брюксел, "/>
    <w:docVar w:name="LW_EMISSION_SUFFIX" w:val="\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_x000b__x000b_\u1048?\u1085?\u1080?\u1094?\u1080?\u1072?\u1090?\u1080?\u1074?\u1072? \u1085?\u1072? \u1045?\u1057? \u1086?\u1090?\u1085?\u1086?\u1089?\u1085?\u1086? \u1086?\u1087?\u1088?\u1072?\u1096?\u1080?\u1090?\u1077?\u1083?\u1080?\u1090?\u1077?_x000b__x000b_"/>
    <w:docVar w:name="LW_PART_NBR" w:val="1"/>
    <w:docVar w:name="LW_PART_NBR_TOTAL" w:val="1"/>
    <w:docVar w:name="LW_REF.INST.NEW" w:val="SWD"/>
    <w:docVar w:name="LW_REF.INST.NEW_ADOPTED" w:val="final"/>
    <w:docVar w:name="LW_REF.INST.NEW_TEXT" w:val="(2018) 3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0?\u1054?\u1053?\u1057?\u1059?\u1051?\u1058?\u1040?\u1062?\u1048?\u1071? \u1057?\u1066?\u1057? \u1047?\u1040?\u1048?\u1053?\u1058?\u1045?\u1056?\u1045?\u1057?\u1054?\u1042?\u1040?\u1053?\u1048?\u1058?\u1045? \u1057?\u1058?\u1056?\u1040?\u1053?\u1048? - \u1054?\u1041?\u1047?\u1054?\u1056?\u1045?\u1053? \u1044?\u1054?\u1050?\u1051?\u1040?\u1044?"/>
    <w:docVar w:name="LW_TYPE.DOC.CP" w:val="\u1056?\u1040?\u1041?\u1054?\u1058?\u1045?\u1053? \u1044?\u1054?\u1050?\u1059?\u1052?\u1045?\u1053?\u1058? \u1053?\u1040? \u1057?\u1051?\u1059?\u1046?\u1041?\u1048?\u1058?\u1045? \u1053?\u1040? \u1050?\u1054?\u1052?\u1048?\u1057?\u1048?\u1071?\u1058?\u1040?"/>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nhideWhenUsed/>
    <w:qFormat/>
    <w:pPr>
      <w:keepNext/>
      <w:numPr>
        <w:ilvl w:val="1"/>
        <w:numId w:val="1"/>
      </w:numPr>
      <w:spacing w:before="240" w:after="240" w:line="240" w:lineRule="auto"/>
      <w:ind w:left="1287"/>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semiHidden/>
    <w:unhideWhenUsed/>
    <w:qFormat/>
    <w:pPr>
      <w:keepNext/>
      <w:numPr>
        <w:ilvl w:val="2"/>
        <w:numId w:val="1"/>
      </w:numPr>
      <w:spacing w:after="240" w:line="240" w:lineRule="auto"/>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semiHidden/>
    <w:unhideWhenUsed/>
    <w:qFormat/>
    <w:pPr>
      <w:keepNext/>
      <w:numPr>
        <w:ilvl w:val="3"/>
        <w:numId w:val="1"/>
      </w:numPr>
      <w:spacing w:after="240" w:line="240" w:lineRule="auto"/>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character" w:customStyle="1" w:styleId="Heading3Char">
    <w:name w:val="Heading 3 Char"/>
    <w:basedOn w:val="DefaultParagraphFont"/>
    <w:link w:val="Heading3"/>
    <w:semiHidden/>
    <w:rPr>
      <w:rFonts w:ascii="Times New Roman" w:eastAsia="Times New Roman" w:hAnsi="Times New Roman" w:cs="Times New Roman"/>
      <w:i/>
      <w:sz w:val="24"/>
      <w:szCs w:val="20"/>
      <w:lang w:val="bg-BG"/>
    </w:rPr>
  </w:style>
  <w:style w:type="character" w:customStyle="1" w:styleId="Heading4Char">
    <w:name w:val="Heading 4 Char"/>
    <w:basedOn w:val="DefaultParagraphFont"/>
    <w:link w:val="Heading4"/>
    <w:semiHidden/>
    <w:rPr>
      <w:rFonts w:ascii="Times New Roman" w:eastAsia="Times New Roman" w:hAnsi="Times New Roman" w:cs="Times New Roman"/>
      <w:sz w:val="24"/>
      <w:szCs w:val="20"/>
      <w:lang w:val="bg-BG"/>
    </w:rPr>
  </w:style>
  <w:style w:type="character" w:styleId="Hyperlink">
    <w:name w:val="Hyperlink"/>
    <w:basedOn w:val="DefaultParagraphFont"/>
    <w:uiPriority w:val="99"/>
    <w:semiHidden/>
    <w:unhideWhenUsed/>
    <w:rPr>
      <w:color w:val="0000FF" w:themeColor="hyperlink"/>
      <w:u w:val="single"/>
    </w:rPr>
  </w:style>
  <w:style w:type="paragraph" w:styleId="FootnoteText">
    <w:name w:val="footnote text"/>
    <w:basedOn w:val="Normal"/>
    <w:link w:val="FootnoteTextChar"/>
    <w:uiPriority w:val="99"/>
    <w:semiHidden/>
    <w:unhideWhenUsed/>
    <w:pPr>
      <w:spacing w:after="0" w:line="240" w:lineRule="auto"/>
    </w:pPr>
    <w:rPr>
      <w:rFonts w:ascii="Times New Roman" w:hAnsi="Times New Roman"/>
      <w:sz w:val="18"/>
      <w:szCs w:val="20"/>
    </w:rPr>
  </w:style>
  <w:style w:type="character" w:customStyle="1" w:styleId="FootnoteTextChar">
    <w:name w:val="Footnote Text Char"/>
    <w:basedOn w:val="DefaultParagraphFont"/>
    <w:link w:val="FootnoteText"/>
    <w:uiPriority w:val="99"/>
    <w:semiHidden/>
    <w:rPr>
      <w:rFonts w:ascii="Times New Roman" w:hAnsi="Times New Roman"/>
      <w:sz w:val="18"/>
      <w:szCs w:val="20"/>
      <w:lang w:val="bg-BG"/>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nhideWhenUsed/>
    <w:qFormat/>
    <w:pPr>
      <w:keepNext/>
      <w:numPr>
        <w:ilvl w:val="1"/>
        <w:numId w:val="1"/>
      </w:numPr>
      <w:spacing w:before="240" w:after="240" w:line="240" w:lineRule="auto"/>
      <w:ind w:left="1287"/>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semiHidden/>
    <w:unhideWhenUsed/>
    <w:qFormat/>
    <w:pPr>
      <w:keepNext/>
      <w:numPr>
        <w:ilvl w:val="2"/>
        <w:numId w:val="1"/>
      </w:numPr>
      <w:spacing w:after="240" w:line="240" w:lineRule="auto"/>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semiHidden/>
    <w:unhideWhenUsed/>
    <w:qFormat/>
    <w:pPr>
      <w:keepNext/>
      <w:numPr>
        <w:ilvl w:val="3"/>
        <w:numId w:val="1"/>
      </w:numPr>
      <w:spacing w:after="240" w:line="240" w:lineRule="auto"/>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character" w:customStyle="1" w:styleId="Heading3Char">
    <w:name w:val="Heading 3 Char"/>
    <w:basedOn w:val="DefaultParagraphFont"/>
    <w:link w:val="Heading3"/>
    <w:semiHidden/>
    <w:rPr>
      <w:rFonts w:ascii="Times New Roman" w:eastAsia="Times New Roman" w:hAnsi="Times New Roman" w:cs="Times New Roman"/>
      <w:i/>
      <w:sz w:val="24"/>
      <w:szCs w:val="20"/>
      <w:lang w:val="bg-BG"/>
    </w:rPr>
  </w:style>
  <w:style w:type="character" w:customStyle="1" w:styleId="Heading4Char">
    <w:name w:val="Heading 4 Char"/>
    <w:basedOn w:val="DefaultParagraphFont"/>
    <w:link w:val="Heading4"/>
    <w:semiHidden/>
    <w:rPr>
      <w:rFonts w:ascii="Times New Roman" w:eastAsia="Times New Roman" w:hAnsi="Times New Roman" w:cs="Times New Roman"/>
      <w:sz w:val="24"/>
      <w:szCs w:val="20"/>
      <w:lang w:val="bg-BG"/>
    </w:rPr>
  </w:style>
  <w:style w:type="character" w:styleId="Hyperlink">
    <w:name w:val="Hyperlink"/>
    <w:basedOn w:val="DefaultParagraphFont"/>
    <w:uiPriority w:val="99"/>
    <w:semiHidden/>
    <w:unhideWhenUsed/>
    <w:rPr>
      <w:color w:val="0000FF" w:themeColor="hyperlink"/>
      <w:u w:val="single"/>
    </w:rPr>
  </w:style>
  <w:style w:type="paragraph" w:styleId="FootnoteText">
    <w:name w:val="footnote text"/>
    <w:basedOn w:val="Normal"/>
    <w:link w:val="FootnoteTextChar"/>
    <w:uiPriority w:val="99"/>
    <w:semiHidden/>
    <w:unhideWhenUsed/>
    <w:pPr>
      <w:spacing w:after="0" w:line="240" w:lineRule="auto"/>
    </w:pPr>
    <w:rPr>
      <w:rFonts w:ascii="Times New Roman" w:hAnsi="Times New Roman"/>
      <w:sz w:val="18"/>
      <w:szCs w:val="20"/>
    </w:rPr>
  </w:style>
  <w:style w:type="character" w:customStyle="1" w:styleId="FootnoteTextChar">
    <w:name w:val="Footnote Text Char"/>
    <w:basedOn w:val="DefaultParagraphFont"/>
    <w:link w:val="FootnoteText"/>
    <w:uiPriority w:val="99"/>
    <w:semiHidden/>
    <w:rPr>
      <w:rFonts w:ascii="Times New Roman" w:hAnsi="Times New Roman"/>
      <w:sz w:val="18"/>
      <w:szCs w:val="20"/>
      <w:lang w:val="bg-BG"/>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60862">
      <w:bodyDiv w:val="1"/>
      <w:marLeft w:val="0"/>
      <w:marRight w:val="0"/>
      <w:marTop w:val="0"/>
      <w:marBottom w:val="0"/>
      <w:divBdr>
        <w:top w:val="none" w:sz="0" w:space="0" w:color="auto"/>
        <w:left w:val="none" w:sz="0" w:space="0" w:color="auto"/>
        <w:bottom w:val="none" w:sz="0" w:space="0" w:color="auto"/>
        <w:right w:val="none" w:sz="0" w:space="0" w:color="auto"/>
      </w:divBdr>
    </w:div>
    <w:div w:id="16349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law/better-regulation/initiative/136668/attachment/090166e5b6db6927" TargetMode="External"/><Relationship Id="rId1" Type="http://schemas.openxmlformats.org/officeDocument/2006/relationships/hyperlink" Target="http://ec.europa.eu/environment/nature/conservation/species/pollinator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1078</Words>
  <Characters>6766</Characters>
  <Application>Microsoft Office Word</Application>
  <DocSecurity>0</DocSecurity>
  <Lines>110</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2015-08-28T07:32:00Z</cp:lastPrinted>
  <dcterms:created xsi:type="dcterms:W3CDTF">2018-05-04T07:46:00Z</dcterms:created>
  <dcterms:modified xsi:type="dcterms:W3CDTF">2018-06-19T09:20:00Z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